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63C" w:rsidRDefault="00E4363C" w:rsidP="00E4363C">
      <w:pPr>
        <w:pStyle w:val="Heading2"/>
      </w:pPr>
      <w:bookmarkStart w:id="0" w:name="_GoBack"/>
      <w:bookmarkEnd w:id="0"/>
      <w:r>
        <w:rPr>
          <w:rFonts w:cs="Times New Roman"/>
        </w:rPr>
        <w:t>§</w:t>
      </w:r>
      <w:r w:rsidR="0010466C">
        <w:rPr>
          <w:rFonts w:cs="Times New Roman"/>
        </w:rPr>
        <w:t>S1</w:t>
      </w:r>
      <w:r>
        <w:t xml:space="preserve"> Forest plots for treatment arms</w:t>
      </w:r>
    </w:p>
    <w:p w:rsidR="00E4363C" w:rsidRPr="00E4363C" w:rsidRDefault="006F5E50" w:rsidP="00E4363C">
      <w:r w:rsidRPr="006F5E50">
        <w:rPr>
          <w:noProof/>
          <w:lang w:eastAsia="en-GB"/>
        </w:rPr>
        <w:drawing>
          <wp:inline distT="0" distB="0" distL="0" distR="0" wp14:anchorId="6304443D" wp14:editId="2991B756">
            <wp:extent cx="5731510" cy="336994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369945"/>
                    </a:xfrm>
                    <a:prstGeom prst="rect">
                      <a:avLst/>
                    </a:prstGeom>
                  </pic:spPr>
                </pic:pic>
              </a:graphicData>
            </a:graphic>
          </wp:inline>
        </w:drawing>
      </w:r>
    </w:p>
    <w:p w:rsidR="00E4363C" w:rsidRDefault="00E4363C" w:rsidP="00E4363C">
      <w:pPr>
        <w:pStyle w:val="Heading2"/>
      </w:pPr>
      <w:r>
        <w:rPr>
          <w:rFonts w:cs="Times New Roman"/>
        </w:rPr>
        <w:t>§</w:t>
      </w:r>
      <w:r w:rsidR="0010466C">
        <w:rPr>
          <w:rFonts w:cs="Times New Roman"/>
        </w:rPr>
        <w:t>S2</w:t>
      </w:r>
      <w:r>
        <w:t xml:space="preserve"> Heterogeneity measures</w:t>
      </w:r>
      <w:r w:rsidR="009515E0">
        <w:t xml:space="preserve"> for treatment arms</w:t>
      </w:r>
    </w:p>
    <w:tbl>
      <w:tblPr>
        <w:tblStyle w:val="TableGrid"/>
        <w:tblW w:w="0" w:type="auto"/>
        <w:tblLook w:val="04A0" w:firstRow="1" w:lastRow="0" w:firstColumn="1" w:lastColumn="0" w:noHBand="0" w:noVBand="1"/>
      </w:tblPr>
      <w:tblGrid>
        <w:gridCol w:w="1563"/>
        <w:gridCol w:w="1508"/>
        <w:gridCol w:w="1343"/>
        <w:gridCol w:w="1582"/>
        <w:gridCol w:w="1454"/>
        <w:gridCol w:w="1455"/>
      </w:tblGrid>
      <w:tr w:rsidR="00E4363C" w:rsidTr="009D4FAD">
        <w:trPr>
          <w:trHeight w:val="1237"/>
        </w:trPr>
        <w:tc>
          <w:tcPr>
            <w:tcW w:w="1563" w:type="dxa"/>
            <w:shd w:val="clear" w:color="auto" w:fill="DBDBDB" w:themeFill="accent3" w:themeFillTint="66"/>
            <w:vAlign w:val="center"/>
          </w:tcPr>
          <w:p w:rsidR="00E4363C" w:rsidRPr="00D30D35" w:rsidRDefault="00E4363C" w:rsidP="009D4FAD">
            <w:pPr>
              <w:jc w:val="center"/>
              <w:rPr>
                <w:b/>
              </w:rPr>
            </w:pPr>
          </w:p>
        </w:tc>
        <w:tc>
          <w:tcPr>
            <w:tcW w:w="1508" w:type="dxa"/>
            <w:shd w:val="clear" w:color="auto" w:fill="DBDBDB" w:themeFill="accent3" w:themeFillTint="66"/>
            <w:vAlign w:val="center"/>
          </w:tcPr>
          <w:p w:rsidR="00E4363C" w:rsidRPr="00D30D35" w:rsidRDefault="00E4363C" w:rsidP="009D4FAD">
            <w:pPr>
              <w:jc w:val="center"/>
              <w:rPr>
                <w:b/>
              </w:rPr>
            </w:pPr>
            <w:r w:rsidRPr="00B65020">
              <w:rPr>
                <w:b/>
              </w:rPr>
              <w:t>tau^2 (estimated amount of total heterogeneity):</w:t>
            </w:r>
          </w:p>
        </w:tc>
        <w:tc>
          <w:tcPr>
            <w:tcW w:w="1343" w:type="dxa"/>
            <w:shd w:val="clear" w:color="auto" w:fill="DBDBDB" w:themeFill="accent3" w:themeFillTint="66"/>
            <w:vAlign w:val="center"/>
          </w:tcPr>
          <w:p w:rsidR="00E4363C" w:rsidRPr="00D30D35" w:rsidRDefault="00E4363C" w:rsidP="009D4FAD">
            <w:pPr>
              <w:jc w:val="center"/>
              <w:rPr>
                <w:b/>
              </w:rPr>
            </w:pPr>
            <w:r w:rsidRPr="00B65020">
              <w:rPr>
                <w:b/>
              </w:rPr>
              <w:t xml:space="preserve">tau (square root of estimated tau^2 value):      </w:t>
            </w:r>
          </w:p>
        </w:tc>
        <w:tc>
          <w:tcPr>
            <w:tcW w:w="1582" w:type="dxa"/>
            <w:shd w:val="clear" w:color="auto" w:fill="DBDBDB" w:themeFill="accent3" w:themeFillTint="66"/>
            <w:vAlign w:val="center"/>
          </w:tcPr>
          <w:p w:rsidR="00E4363C" w:rsidRPr="00D30D35" w:rsidRDefault="00E4363C" w:rsidP="009D4FAD">
            <w:pPr>
              <w:jc w:val="center"/>
              <w:rPr>
                <w:b/>
              </w:rPr>
            </w:pPr>
            <w:r w:rsidRPr="00B65020">
              <w:rPr>
                <w:b/>
              </w:rPr>
              <w:t xml:space="preserve">I^2 (total heterogeneity / total variability):   </w:t>
            </w:r>
          </w:p>
        </w:tc>
        <w:tc>
          <w:tcPr>
            <w:tcW w:w="1454" w:type="dxa"/>
            <w:shd w:val="clear" w:color="auto" w:fill="DBDBDB" w:themeFill="accent3" w:themeFillTint="66"/>
            <w:vAlign w:val="center"/>
          </w:tcPr>
          <w:p w:rsidR="00E4363C" w:rsidRPr="00D30D35" w:rsidRDefault="00E4363C" w:rsidP="009D4FAD">
            <w:pPr>
              <w:jc w:val="center"/>
              <w:rPr>
                <w:b/>
              </w:rPr>
            </w:pPr>
            <w:r w:rsidRPr="00B65020">
              <w:rPr>
                <w:b/>
              </w:rPr>
              <w:t xml:space="preserve">H^2 (total variability / sampling variability):  </w:t>
            </w:r>
          </w:p>
        </w:tc>
        <w:tc>
          <w:tcPr>
            <w:tcW w:w="1455" w:type="dxa"/>
            <w:shd w:val="clear" w:color="auto" w:fill="DBDBDB" w:themeFill="accent3" w:themeFillTint="66"/>
            <w:vAlign w:val="center"/>
          </w:tcPr>
          <w:p w:rsidR="00E4363C" w:rsidRPr="00B65020" w:rsidRDefault="00E4363C" w:rsidP="009D4FAD">
            <w:pPr>
              <w:jc w:val="center"/>
              <w:rPr>
                <w:b/>
              </w:rPr>
            </w:pPr>
            <w:r w:rsidRPr="00B65020">
              <w:rPr>
                <w:b/>
              </w:rPr>
              <w:t>Test for Heterogeneity:</w:t>
            </w:r>
          </w:p>
          <w:p w:rsidR="00E4363C" w:rsidRPr="00D30D35" w:rsidRDefault="00E4363C" w:rsidP="009D4FAD">
            <w:pPr>
              <w:jc w:val="center"/>
              <w:rPr>
                <w:b/>
              </w:rPr>
            </w:pPr>
          </w:p>
        </w:tc>
      </w:tr>
      <w:tr w:rsidR="00E4363C" w:rsidTr="009D4FAD">
        <w:trPr>
          <w:trHeight w:val="842"/>
        </w:trPr>
        <w:tc>
          <w:tcPr>
            <w:tcW w:w="1563" w:type="dxa"/>
            <w:shd w:val="clear" w:color="auto" w:fill="DBDBDB" w:themeFill="accent3" w:themeFillTint="66"/>
            <w:vAlign w:val="center"/>
          </w:tcPr>
          <w:p w:rsidR="00E4363C" w:rsidRPr="00D30D35" w:rsidRDefault="00E4363C" w:rsidP="009D4FAD">
            <w:pPr>
              <w:jc w:val="center"/>
              <w:rPr>
                <w:b/>
              </w:rPr>
            </w:pPr>
            <w:r w:rsidRPr="00D30D35">
              <w:rPr>
                <w:b/>
              </w:rPr>
              <w:t>Treatment gambling severity</w:t>
            </w:r>
          </w:p>
        </w:tc>
        <w:tc>
          <w:tcPr>
            <w:tcW w:w="1508" w:type="dxa"/>
            <w:shd w:val="clear" w:color="auto" w:fill="FFFFFF" w:themeFill="background1"/>
            <w:vAlign w:val="center"/>
          </w:tcPr>
          <w:p w:rsidR="00E4363C" w:rsidRDefault="00006521" w:rsidP="00006521">
            <w:pPr>
              <w:jc w:val="center"/>
            </w:pPr>
            <w:r>
              <w:t>0.2709 (SE = 0.1421)</w:t>
            </w:r>
          </w:p>
        </w:tc>
        <w:tc>
          <w:tcPr>
            <w:tcW w:w="1343" w:type="dxa"/>
            <w:shd w:val="clear" w:color="auto" w:fill="FFFFFF" w:themeFill="background1"/>
            <w:vAlign w:val="center"/>
          </w:tcPr>
          <w:p w:rsidR="00E4363C" w:rsidRDefault="00006521" w:rsidP="009D4FAD">
            <w:pPr>
              <w:jc w:val="center"/>
            </w:pPr>
            <w:r>
              <w:t>0.5205</w:t>
            </w:r>
          </w:p>
        </w:tc>
        <w:tc>
          <w:tcPr>
            <w:tcW w:w="1582" w:type="dxa"/>
            <w:shd w:val="clear" w:color="auto" w:fill="FFFFFF" w:themeFill="background1"/>
            <w:vAlign w:val="center"/>
          </w:tcPr>
          <w:p w:rsidR="00E4363C" w:rsidRDefault="00006521" w:rsidP="009D4FAD">
            <w:pPr>
              <w:jc w:val="center"/>
            </w:pPr>
            <w:r>
              <w:t>79.37%</w:t>
            </w:r>
          </w:p>
        </w:tc>
        <w:tc>
          <w:tcPr>
            <w:tcW w:w="1454" w:type="dxa"/>
            <w:shd w:val="clear" w:color="auto" w:fill="FFFFFF" w:themeFill="background1"/>
            <w:vAlign w:val="center"/>
          </w:tcPr>
          <w:p w:rsidR="00E4363C" w:rsidRDefault="00006521" w:rsidP="009D4FAD">
            <w:pPr>
              <w:jc w:val="center"/>
            </w:pPr>
            <w:r>
              <w:t>4.85</w:t>
            </w:r>
          </w:p>
        </w:tc>
        <w:tc>
          <w:tcPr>
            <w:tcW w:w="1455" w:type="dxa"/>
            <w:shd w:val="clear" w:color="auto" w:fill="FFFFFF" w:themeFill="background1"/>
            <w:vAlign w:val="center"/>
          </w:tcPr>
          <w:p w:rsidR="00E4363C" w:rsidRDefault="00006521" w:rsidP="009D4FAD">
            <w:pPr>
              <w:jc w:val="center"/>
            </w:pPr>
            <w:r>
              <w:t>Q(</w:t>
            </w:r>
            <w:proofErr w:type="spellStart"/>
            <w:r>
              <w:t>df</w:t>
            </w:r>
            <w:proofErr w:type="spellEnd"/>
            <w:r>
              <w:t xml:space="preserve"> = 15) = 78.1221, p-</w:t>
            </w:r>
            <w:proofErr w:type="spellStart"/>
            <w:r>
              <w:t>val</w:t>
            </w:r>
            <w:proofErr w:type="spellEnd"/>
            <w:r>
              <w:t xml:space="preserve"> &lt; .0001</w:t>
            </w:r>
          </w:p>
        </w:tc>
      </w:tr>
      <w:tr w:rsidR="00E4363C" w:rsidTr="009D4FAD">
        <w:trPr>
          <w:trHeight w:val="416"/>
        </w:trPr>
        <w:tc>
          <w:tcPr>
            <w:tcW w:w="1563" w:type="dxa"/>
            <w:shd w:val="clear" w:color="auto" w:fill="DBDBDB" w:themeFill="accent3" w:themeFillTint="66"/>
            <w:vAlign w:val="center"/>
          </w:tcPr>
          <w:p w:rsidR="00E4363C" w:rsidRDefault="00E4363C" w:rsidP="009D4FAD">
            <w:pPr>
              <w:jc w:val="center"/>
              <w:rPr>
                <w:b/>
              </w:rPr>
            </w:pPr>
          </w:p>
          <w:p w:rsidR="00E4363C" w:rsidRDefault="00E4363C" w:rsidP="009D4FAD">
            <w:pPr>
              <w:jc w:val="center"/>
              <w:rPr>
                <w:b/>
              </w:rPr>
            </w:pPr>
          </w:p>
          <w:p w:rsidR="00E4363C" w:rsidRDefault="00E4363C" w:rsidP="009D4FAD">
            <w:pPr>
              <w:jc w:val="center"/>
              <w:rPr>
                <w:b/>
              </w:rPr>
            </w:pPr>
            <w:r w:rsidRPr="00D30D35">
              <w:rPr>
                <w:b/>
              </w:rPr>
              <w:t>Treatment QOL</w:t>
            </w:r>
          </w:p>
          <w:p w:rsidR="00E4363C" w:rsidRDefault="00E4363C" w:rsidP="009D4FAD">
            <w:pPr>
              <w:jc w:val="center"/>
              <w:rPr>
                <w:b/>
              </w:rPr>
            </w:pPr>
          </w:p>
          <w:p w:rsidR="00E4363C" w:rsidRPr="00D30D35" w:rsidRDefault="00E4363C" w:rsidP="009D4FAD">
            <w:pPr>
              <w:jc w:val="center"/>
              <w:rPr>
                <w:b/>
              </w:rPr>
            </w:pPr>
          </w:p>
        </w:tc>
        <w:tc>
          <w:tcPr>
            <w:tcW w:w="1508" w:type="dxa"/>
            <w:shd w:val="clear" w:color="auto" w:fill="FFFFFF" w:themeFill="background1"/>
            <w:vAlign w:val="center"/>
          </w:tcPr>
          <w:p w:rsidR="00E4363C" w:rsidRDefault="00006521" w:rsidP="00006521">
            <w:pPr>
              <w:jc w:val="center"/>
            </w:pPr>
            <w:r>
              <w:t>0.0028 (SE = 0.0221)</w:t>
            </w:r>
          </w:p>
        </w:tc>
        <w:tc>
          <w:tcPr>
            <w:tcW w:w="1343" w:type="dxa"/>
            <w:shd w:val="clear" w:color="auto" w:fill="FFFFFF" w:themeFill="background1"/>
            <w:vAlign w:val="center"/>
          </w:tcPr>
          <w:p w:rsidR="00E4363C" w:rsidRDefault="00006521" w:rsidP="009D4FAD">
            <w:pPr>
              <w:jc w:val="center"/>
            </w:pPr>
            <w:r>
              <w:t>0.0534</w:t>
            </w:r>
          </w:p>
        </w:tc>
        <w:tc>
          <w:tcPr>
            <w:tcW w:w="1582" w:type="dxa"/>
            <w:shd w:val="clear" w:color="auto" w:fill="FFFFFF" w:themeFill="background1"/>
            <w:vAlign w:val="center"/>
          </w:tcPr>
          <w:p w:rsidR="00E4363C" w:rsidRDefault="00006521" w:rsidP="009D4FAD">
            <w:pPr>
              <w:jc w:val="center"/>
            </w:pPr>
            <w:r>
              <w:t>6.14%</w:t>
            </w:r>
          </w:p>
        </w:tc>
        <w:tc>
          <w:tcPr>
            <w:tcW w:w="1454" w:type="dxa"/>
            <w:shd w:val="clear" w:color="auto" w:fill="FFFFFF" w:themeFill="background1"/>
            <w:vAlign w:val="center"/>
          </w:tcPr>
          <w:p w:rsidR="00E4363C" w:rsidRDefault="00006521" w:rsidP="009D4FAD">
            <w:pPr>
              <w:jc w:val="center"/>
            </w:pPr>
            <w:r>
              <w:t>1.07</w:t>
            </w:r>
          </w:p>
        </w:tc>
        <w:tc>
          <w:tcPr>
            <w:tcW w:w="1455" w:type="dxa"/>
            <w:shd w:val="clear" w:color="auto" w:fill="FFFFFF" w:themeFill="background1"/>
            <w:vAlign w:val="center"/>
          </w:tcPr>
          <w:p w:rsidR="00E4363C" w:rsidRDefault="00006521" w:rsidP="009D4FAD">
            <w:pPr>
              <w:jc w:val="center"/>
            </w:pPr>
            <w:r>
              <w:t>Q(</w:t>
            </w:r>
            <w:proofErr w:type="spellStart"/>
            <w:r>
              <w:t>df</w:t>
            </w:r>
            <w:proofErr w:type="spellEnd"/>
            <w:r>
              <w:t xml:space="preserve"> = 7) = 12.3856, p-</w:t>
            </w:r>
            <w:proofErr w:type="spellStart"/>
            <w:r>
              <w:t>val</w:t>
            </w:r>
            <w:proofErr w:type="spellEnd"/>
            <w:r>
              <w:t xml:space="preserve"> = 0.0886</w:t>
            </w:r>
          </w:p>
        </w:tc>
      </w:tr>
      <w:tr w:rsidR="00E4363C" w:rsidTr="009D4FAD">
        <w:trPr>
          <w:trHeight w:val="831"/>
        </w:trPr>
        <w:tc>
          <w:tcPr>
            <w:tcW w:w="1563" w:type="dxa"/>
            <w:shd w:val="clear" w:color="auto" w:fill="DBDBDB" w:themeFill="accent3" w:themeFillTint="66"/>
            <w:vAlign w:val="center"/>
          </w:tcPr>
          <w:p w:rsidR="00E4363C" w:rsidRPr="00D30D35" w:rsidRDefault="00E4363C" w:rsidP="009D4FAD">
            <w:pPr>
              <w:jc w:val="center"/>
              <w:rPr>
                <w:b/>
              </w:rPr>
            </w:pPr>
            <w:r w:rsidRPr="00D30D35">
              <w:rPr>
                <w:b/>
              </w:rPr>
              <w:t>Treatment PGYBOCS</w:t>
            </w:r>
          </w:p>
        </w:tc>
        <w:tc>
          <w:tcPr>
            <w:tcW w:w="1508" w:type="dxa"/>
            <w:shd w:val="clear" w:color="auto" w:fill="FFFFFF" w:themeFill="background1"/>
            <w:vAlign w:val="center"/>
          </w:tcPr>
          <w:p w:rsidR="00006521" w:rsidRDefault="00006521" w:rsidP="00006521">
            <w:pPr>
              <w:jc w:val="center"/>
            </w:pPr>
            <w:r>
              <w:t>0.2859 (SE = 0.1718)</w:t>
            </w:r>
          </w:p>
          <w:p w:rsidR="00E4363C" w:rsidRDefault="00E4363C" w:rsidP="00006521">
            <w:pPr>
              <w:jc w:val="center"/>
            </w:pPr>
          </w:p>
        </w:tc>
        <w:tc>
          <w:tcPr>
            <w:tcW w:w="1343" w:type="dxa"/>
            <w:shd w:val="clear" w:color="auto" w:fill="FFFFFF" w:themeFill="background1"/>
            <w:vAlign w:val="center"/>
          </w:tcPr>
          <w:p w:rsidR="00E4363C" w:rsidRDefault="00006521" w:rsidP="009D4FAD">
            <w:pPr>
              <w:jc w:val="center"/>
            </w:pPr>
            <w:r>
              <w:t>0.5347</w:t>
            </w:r>
          </w:p>
        </w:tc>
        <w:tc>
          <w:tcPr>
            <w:tcW w:w="1582" w:type="dxa"/>
            <w:shd w:val="clear" w:color="auto" w:fill="FFFFFF" w:themeFill="background1"/>
            <w:vAlign w:val="center"/>
          </w:tcPr>
          <w:p w:rsidR="00E4363C" w:rsidRDefault="00006521" w:rsidP="009D4FAD">
            <w:pPr>
              <w:jc w:val="center"/>
            </w:pPr>
            <w:r>
              <w:t>80.77%</w:t>
            </w:r>
          </w:p>
        </w:tc>
        <w:tc>
          <w:tcPr>
            <w:tcW w:w="1454" w:type="dxa"/>
            <w:shd w:val="clear" w:color="auto" w:fill="FFFFFF" w:themeFill="background1"/>
            <w:vAlign w:val="center"/>
          </w:tcPr>
          <w:p w:rsidR="00E4363C" w:rsidRDefault="00006521" w:rsidP="009D4FAD">
            <w:pPr>
              <w:jc w:val="center"/>
            </w:pPr>
            <w:r>
              <w:t>5.20</w:t>
            </w:r>
          </w:p>
        </w:tc>
        <w:tc>
          <w:tcPr>
            <w:tcW w:w="1455" w:type="dxa"/>
            <w:shd w:val="clear" w:color="auto" w:fill="FFFFFF" w:themeFill="background1"/>
            <w:vAlign w:val="center"/>
          </w:tcPr>
          <w:p w:rsidR="00E4363C" w:rsidRDefault="00006521" w:rsidP="009D4FAD">
            <w:pPr>
              <w:jc w:val="center"/>
            </w:pPr>
            <w:r>
              <w:t>Q(</w:t>
            </w:r>
            <w:proofErr w:type="spellStart"/>
            <w:r>
              <w:t>df</w:t>
            </w:r>
            <w:proofErr w:type="spellEnd"/>
            <w:r>
              <w:t xml:space="preserve"> = 11) = 59.1895, p-</w:t>
            </w:r>
            <w:proofErr w:type="spellStart"/>
            <w:r>
              <w:t>val</w:t>
            </w:r>
            <w:proofErr w:type="spellEnd"/>
            <w:r>
              <w:t xml:space="preserve"> &lt; .0001</w:t>
            </w:r>
          </w:p>
        </w:tc>
      </w:tr>
      <w:tr w:rsidR="00E4363C" w:rsidTr="009D4FAD">
        <w:trPr>
          <w:trHeight w:val="416"/>
        </w:trPr>
        <w:tc>
          <w:tcPr>
            <w:tcW w:w="1563" w:type="dxa"/>
            <w:shd w:val="clear" w:color="auto" w:fill="DBDBDB" w:themeFill="accent3" w:themeFillTint="66"/>
            <w:vAlign w:val="center"/>
          </w:tcPr>
          <w:p w:rsidR="00E4363C" w:rsidRDefault="00E4363C" w:rsidP="009D4FAD">
            <w:pPr>
              <w:jc w:val="center"/>
              <w:rPr>
                <w:b/>
              </w:rPr>
            </w:pPr>
          </w:p>
          <w:p w:rsidR="00E4363C" w:rsidRDefault="00E4363C" w:rsidP="009D4FAD">
            <w:pPr>
              <w:jc w:val="center"/>
              <w:rPr>
                <w:b/>
              </w:rPr>
            </w:pPr>
            <w:r w:rsidRPr="00D30D35">
              <w:rPr>
                <w:b/>
              </w:rPr>
              <w:t>Treatment GSAS</w:t>
            </w:r>
          </w:p>
          <w:p w:rsidR="00E4363C" w:rsidRPr="00D30D35" w:rsidRDefault="00E4363C" w:rsidP="009D4FAD">
            <w:pPr>
              <w:jc w:val="center"/>
              <w:rPr>
                <w:b/>
              </w:rPr>
            </w:pPr>
          </w:p>
        </w:tc>
        <w:tc>
          <w:tcPr>
            <w:tcW w:w="1508" w:type="dxa"/>
            <w:shd w:val="clear" w:color="auto" w:fill="FFFFFF" w:themeFill="background1"/>
            <w:vAlign w:val="center"/>
          </w:tcPr>
          <w:p w:rsidR="00E4363C" w:rsidRDefault="00006521" w:rsidP="00006521">
            <w:pPr>
              <w:jc w:val="center"/>
            </w:pPr>
            <w:r>
              <w:t>0.0839 (SE = 0.0837)</w:t>
            </w:r>
          </w:p>
        </w:tc>
        <w:tc>
          <w:tcPr>
            <w:tcW w:w="1343" w:type="dxa"/>
            <w:shd w:val="clear" w:color="auto" w:fill="FFFFFF" w:themeFill="background1"/>
            <w:vAlign w:val="center"/>
          </w:tcPr>
          <w:p w:rsidR="00E4363C" w:rsidRDefault="00006521" w:rsidP="009D4FAD">
            <w:pPr>
              <w:jc w:val="center"/>
            </w:pPr>
            <w:r>
              <w:t>0.2896</w:t>
            </w:r>
          </w:p>
        </w:tc>
        <w:tc>
          <w:tcPr>
            <w:tcW w:w="1582" w:type="dxa"/>
            <w:shd w:val="clear" w:color="auto" w:fill="FFFFFF" w:themeFill="background1"/>
            <w:vAlign w:val="center"/>
          </w:tcPr>
          <w:p w:rsidR="00E4363C" w:rsidRDefault="00006521" w:rsidP="009D4FAD">
            <w:pPr>
              <w:jc w:val="center"/>
            </w:pPr>
            <w:r>
              <w:t>52.83%</w:t>
            </w:r>
          </w:p>
        </w:tc>
        <w:tc>
          <w:tcPr>
            <w:tcW w:w="1454" w:type="dxa"/>
            <w:shd w:val="clear" w:color="auto" w:fill="FFFFFF" w:themeFill="background1"/>
            <w:vAlign w:val="center"/>
          </w:tcPr>
          <w:p w:rsidR="00E4363C" w:rsidRDefault="00006521" w:rsidP="009D4FAD">
            <w:pPr>
              <w:jc w:val="center"/>
            </w:pPr>
            <w:r>
              <w:t>2.12</w:t>
            </w:r>
          </w:p>
        </w:tc>
        <w:tc>
          <w:tcPr>
            <w:tcW w:w="1455" w:type="dxa"/>
            <w:shd w:val="clear" w:color="auto" w:fill="FFFFFF" w:themeFill="background1"/>
            <w:vAlign w:val="center"/>
          </w:tcPr>
          <w:p w:rsidR="00E4363C" w:rsidRDefault="00006521" w:rsidP="009D4FAD">
            <w:pPr>
              <w:jc w:val="center"/>
            </w:pPr>
            <w:r>
              <w:t>Q(</w:t>
            </w:r>
            <w:proofErr w:type="spellStart"/>
            <w:r>
              <w:t>df</w:t>
            </w:r>
            <w:proofErr w:type="spellEnd"/>
            <w:r>
              <w:t xml:space="preserve"> = 8) = 19.4638, p-</w:t>
            </w:r>
            <w:proofErr w:type="spellStart"/>
            <w:r>
              <w:t>val</w:t>
            </w:r>
            <w:proofErr w:type="spellEnd"/>
            <w:r>
              <w:t xml:space="preserve"> = 0.0126</w:t>
            </w:r>
          </w:p>
        </w:tc>
      </w:tr>
      <w:tr w:rsidR="00E4363C" w:rsidTr="009D4FAD">
        <w:trPr>
          <w:trHeight w:val="416"/>
        </w:trPr>
        <w:tc>
          <w:tcPr>
            <w:tcW w:w="1563" w:type="dxa"/>
            <w:shd w:val="clear" w:color="auto" w:fill="DBDBDB" w:themeFill="accent3" w:themeFillTint="66"/>
            <w:vAlign w:val="center"/>
          </w:tcPr>
          <w:p w:rsidR="00E4363C" w:rsidRDefault="00E4363C" w:rsidP="009D4FAD">
            <w:pPr>
              <w:jc w:val="center"/>
              <w:rPr>
                <w:b/>
              </w:rPr>
            </w:pPr>
          </w:p>
          <w:p w:rsidR="00E4363C" w:rsidRDefault="00E4363C" w:rsidP="009D4FAD">
            <w:pPr>
              <w:jc w:val="center"/>
              <w:rPr>
                <w:b/>
              </w:rPr>
            </w:pPr>
            <w:r w:rsidRPr="00D30D35">
              <w:rPr>
                <w:b/>
              </w:rPr>
              <w:t>Treatment CGI</w:t>
            </w:r>
          </w:p>
          <w:p w:rsidR="00E4363C" w:rsidRPr="00D30D35" w:rsidRDefault="00E4363C" w:rsidP="009D4FAD">
            <w:pPr>
              <w:jc w:val="center"/>
              <w:rPr>
                <w:b/>
              </w:rPr>
            </w:pPr>
          </w:p>
        </w:tc>
        <w:tc>
          <w:tcPr>
            <w:tcW w:w="1508" w:type="dxa"/>
            <w:shd w:val="clear" w:color="auto" w:fill="FFFFFF" w:themeFill="background1"/>
            <w:vAlign w:val="center"/>
          </w:tcPr>
          <w:p w:rsidR="00E4363C" w:rsidRDefault="00E4363C" w:rsidP="009D4FAD">
            <w:pPr>
              <w:jc w:val="center"/>
            </w:pPr>
            <w:r>
              <w:t>0</w:t>
            </w:r>
          </w:p>
          <w:p w:rsidR="00E4363C" w:rsidRDefault="00E4363C" w:rsidP="009D4FAD">
            <w:pPr>
              <w:jc w:val="center"/>
            </w:pPr>
            <w:r>
              <w:t xml:space="preserve"> (SE = 0.0</w:t>
            </w:r>
            <w:r w:rsidR="00006521">
              <w:t>638</w:t>
            </w:r>
            <w:r>
              <w:t>)</w:t>
            </w:r>
          </w:p>
          <w:p w:rsidR="00E4363C" w:rsidRDefault="00E4363C" w:rsidP="009D4FAD">
            <w:pPr>
              <w:jc w:val="center"/>
            </w:pPr>
          </w:p>
        </w:tc>
        <w:tc>
          <w:tcPr>
            <w:tcW w:w="1343" w:type="dxa"/>
            <w:shd w:val="clear" w:color="auto" w:fill="FFFFFF" w:themeFill="background1"/>
            <w:vAlign w:val="center"/>
          </w:tcPr>
          <w:p w:rsidR="00E4363C" w:rsidRDefault="00E4363C" w:rsidP="009D4FAD">
            <w:pPr>
              <w:jc w:val="center"/>
            </w:pPr>
            <w:r>
              <w:t>0</w:t>
            </w:r>
          </w:p>
        </w:tc>
        <w:tc>
          <w:tcPr>
            <w:tcW w:w="1582" w:type="dxa"/>
            <w:shd w:val="clear" w:color="auto" w:fill="FFFFFF" w:themeFill="background1"/>
            <w:vAlign w:val="center"/>
          </w:tcPr>
          <w:p w:rsidR="00E4363C" w:rsidRDefault="00E4363C" w:rsidP="009D4FAD">
            <w:pPr>
              <w:jc w:val="center"/>
            </w:pPr>
            <w:r>
              <w:t>0.00%</w:t>
            </w:r>
          </w:p>
        </w:tc>
        <w:tc>
          <w:tcPr>
            <w:tcW w:w="1454" w:type="dxa"/>
            <w:shd w:val="clear" w:color="auto" w:fill="FFFFFF" w:themeFill="background1"/>
            <w:vAlign w:val="center"/>
          </w:tcPr>
          <w:p w:rsidR="00E4363C" w:rsidRDefault="00E4363C" w:rsidP="009D4FAD">
            <w:pPr>
              <w:jc w:val="center"/>
            </w:pPr>
            <w:r>
              <w:t>1.00</w:t>
            </w:r>
          </w:p>
        </w:tc>
        <w:tc>
          <w:tcPr>
            <w:tcW w:w="1455" w:type="dxa"/>
            <w:shd w:val="clear" w:color="auto" w:fill="FFFFFF" w:themeFill="background1"/>
            <w:vAlign w:val="center"/>
          </w:tcPr>
          <w:p w:rsidR="00E4363C" w:rsidRDefault="00006521" w:rsidP="009D4FAD">
            <w:pPr>
              <w:jc w:val="center"/>
            </w:pPr>
            <w:r w:rsidRPr="00006521">
              <w:t>Q(</w:t>
            </w:r>
            <w:proofErr w:type="spellStart"/>
            <w:r w:rsidRPr="00006521">
              <w:t>df</w:t>
            </w:r>
            <w:proofErr w:type="spellEnd"/>
            <w:r w:rsidRPr="00006521">
              <w:t xml:space="preserve"> = 4) = 2.3691, p-</w:t>
            </w:r>
            <w:proofErr w:type="spellStart"/>
            <w:r w:rsidRPr="00006521">
              <w:t>val</w:t>
            </w:r>
            <w:proofErr w:type="spellEnd"/>
            <w:r w:rsidRPr="00006521">
              <w:t xml:space="preserve"> = 0.6682</w:t>
            </w:r>
          </w:p>
        </w:tc>
      </w:tr>
    </w:tbl>
    <w:p w:rsidR="00E4363C" w:rsidRDefault="00E4363C" w:rsidP="00E4363C">
      <w:pPr>
        <w:jc w:val="center"/>
      </w:pPr>
    </w:p>
    <w:p w:rsidR="00CB5080" w:rsidRDefault="00CB5080" w:rsidP="00FC6BA4">
      <w:pPr>
        <w:jc w:val="both"/>
      </w:pPr>
      <w:r w:rsidRPr="00BE1862">
        <w:rPr>
          <w:b/>
        </w:rPr>
        <w:t>Legend</w:t>
      </w:r>
      <w:r>
        <w:t>: PG-YBOCS</w:t>
      </w:r>
      <w:r w:rsidRPr="00BE1862">
        <w:t xml:space="preserve"> </w:t>
      </w:r>
      <w:r>
        <w:t xml:space="preserve">= </w:t>
      </w:r>
      <w:r w:rsidRPr="00BE1862">
        <w:t>Yale-Brown Obsessive Compulsive Scale adapted for Patholo</w:t>
      </w:r>
      <w:r>
        <w:t>gical Gambling, GSAS =</w:t>
      </w:r>
      <w:r w:rsidRPr="00BE1862">
        <w:t xml:space="preserve"> Gambling Sympto</w:t>
      </w:r>
      <w:r>
        <w:t>m Assessment Scale,</w:t>
      </w:r>
      <w:r w:rsidRPr="00BE1862">
        <w:t xml:space="preserve"> CGI-I </w:t>
      </w:r>
      <w:r>
        <w:t xml:space="preserve">= </w:t>
      </w:r>
      <w:r w:rsidRPr="00BE1862">
        <w:t>Clinical Global Impression-Improvement scale</w:t>
      </w:r>
      <w:r>
        <w:t xml:space="preserve">; SE = standard error; </w:t>
      </w:r>
      <w:proofErr w:type="spellStart"/>
      <w:proofErr w:type="gramStart"/>
      <w:r>
        <w:t>df</w:t>
      </w:r>
      <w:proofErr w:type="spellEnd"/>
      <w:proofErr w:type="gramEnd"/>
      <w:r>
        <w:t xml:space="preserve"> = degrees of freedom</w:t>
      </w:r>
      <w:r w:rsidRPr="00BE1862">
        <w:t xml:space="preserve"> </w:t>
      </w:r>
    </w:p>
    <w:p w:rsidR="00E4363C" w:rsidRDefault="00E4363C" w:rsidP="00E4363C">
      <w:pPr>
        <w:jc w:val="center"/>
      </w:pPr>
    </w:p>
    <w:p w:rsidR="0010466C" w:rsidRDefault="0010466C" w:rsidP="0010466C">
      <w:pPr>
        <w:pStyle w:val="Heading2"/>
      </w:pPr>
      <w:r>
        <w:rPr>
          <w:rFonts w:cs="Times New Roman"/>
        </w:rPr>
        <w:lastRenderedPageBreak/>
        <w:t>§S3</w:t>
      </w:r>
      <w:r>
        <w:t xml:space="preserve"> Publication bias in the treatment arms</w:t>
      </w:r>
    </w:p>
    <w:p w:rsidR="00FC6BA4" w:rsidRDefault="00CA510E" w:rsidP="0010466C">
      <w:r w:rsidRPr="00CA510E">
        <w:rPr>
          <w:noProof/>
          <w:lang w:eastAsia="en-GB"/>
        </w:rPr>
        <w:drawing>
          <wp:inline distT="0" distB="0" distL="0" distR="0" wp14:anchorId="3E93A03A" wp14:editId="68028F96">
            <wp:extent cx="5731510" cy="36302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630295"/>
                    </a:xfrm>
                    <a:prstGeom prst="rect">
                      <a:avLst/>
                    </a:prstGeom>
                  </pic:spPr>
                </pic:pic>
              </a:graphicData>
            </a:graphic>
          </wp:inline>
        </w:drawing>
      </w:r>
    </w:p>
    <w:p w:rsidR="00FC6BA4" w:rsidRDefault="00FC6BA4" w:rsidP="00FC6BA4">
      <w:pPr>
        <w:jc w:val="both"/>
      </w:pPr>
      <w:r w:rsidRPr="005649D9">
        <w:rPr>
          <w:b/>
        </w:rPr>
        <w:t>Legend</w:t>
      </w:r>
      <w:r>
        <w:t xml:space="preserve"> – Funnel plots with regression for funnel plot asymmetry p-values. PG-YBOCS</w:t>
      </w:r>
      <w:r w:rsidRPr="00BE1862">
        <w:t xml:space="preserve"> </w:t>
      </w:r>
      <w:r>
        <w:t xml:space="preserve">= </w:t>
      </w:r>
      <w:r w:rsidRPr="00BE1862">
        <w:t>Yale-Brown Obsessive Compulsive Scale adapted for Patholo</w:t>
      </w:r>
      <w:r>
        <w:t>gical Gambling, GSAS =</w:t>
      </w:r>
      <w:r w:rsidRPr="00BE1862">
        <w:t xml:space="preserve"> Gambling Sympto</w:t>
      </w:r>
      <w:r>
        <w:t>m Assessment Scale,</w:t>
      </w:r>
      <w:r w:rsidRPr="00BE1862">
        <w:t xml:space="preserve"> CGI-I </w:t>
      </w:r>
      <w:r>
        <w:t xml:space="preserve">= </w:t>
      </w:r>
      <w:r w:rsidRPr="00BE1862">
        <w:t>Clinical Global Impression-Improvement scale</w:t>
      </w:r>
      <w:r>
        <w:t xml:space="preserve">. Publication bias identified in the Quality of life analysis and the trim and fill method was used to provide a new effect size estimate. </w:t>
      </w:r>
    </w:p>
    <w:p w:rsidR="0010466C" w:rsidRDefault="0010466C" w:rsidP="0010466C">
      <w:r>
        <w:br w:type="page"/>
      </w:r>
    </w:p>
    <w:p w:rsidR="0010466C" w:rsidRPr="00950238" w:rsidRDefault="0010466C" w:rsidP="0010466C">
      <w:pPr>
        <w:pStyle w:val="Heading2"/>
      </w:pPr>
      <w:r>
        <w:rPr>
          <w:rFonts w:cs="Times New Roman"/>
        </w:rPr>
        <w:lastRenderedPageBreak/>
        <w:t xml:space="preserve">§S4 </w:t>
      </w:r>
      <w:r w:rsidR="003E2172">
        <w:t>Meta-regression</w:t>
      </w:r>
      <w:r w:rsidRPr="00950238">
        <w:t xml:space="preserve"> analyses (meta-regression)</w:t>
      </w:r>
      <w:r>
        <w:t xml:space="preserve"> – TREATMENT effects</w:t>
      </w:r>
    </w:p>
    <w:tbl>
      <w:tblPr>
        <w:tblStyle w:val="TableGrid"/>
        <w:tblW w:w="9973" w:type="dxa"/>
        <w:tblLayout w:type="fixed"/>
        <w:tblLook w:val="04A0" w:firstRow="1" w:lastRow="0" w:firstColumn="1" w:lastColumn="0" w:noHBand="0" w:noVBand="1"/>
      </w:tblPr>
      <w:tblGrid>
        <w:gridCol w:w="1063"/>
        <w:gridCol w:w="849"/>
        <w:gridCol w:w="952"/>
        <w:gridCol w:w="900"/>
        <w:gridCol w:w="952"/>
        <w:gridCol w:w="814"/>
        <w:gridCol w:w="806"/>
        <w:gridCol w:w="745"/>
        <w:gridCol w:w="745"/>
        <w:gridCol w:w="745"/>
        <w:gridCol w:w="684"/>
        <w:gridCol w:w="718"/>
      </w:tblGrid>
      <w:tr w:rsidR="0010466C" w:rsidRPr="009115C7" w:rsidTr="009D4FAD">
        <w:trPr>
          <w:cantSplit/>
          <w:trHeight w:val="1169"/>
        </w:trPr>
        <w:tc>
          <w:tcPr>
            <w:tcW w:w="1063" w:type="dxa"/>
            <w:shd w:val="clear" w:color="auto" w:fill="F2F2F2" w:themeFill="background1" w:themeFillShade="F2"/>
          </w:tcPr>
          <w:p w:rsidR="0010466C" w:rsidRPr="009115C7" w:rsidRDefault="0010466C" w:rsidP="009D4FAD">
            <w:pPr>
              <w:jc w:val="center"/>
              <w:rPr>
                <w:rFonts w:cs="Times New Roman"/>
                <w:b/>
                <w:szCs w:val="16"/>
              </w:rPr>
            </w:pPr>
            <w:r w:rsidRPr="009115C7">
              <w:rPr>
                <w:rFonts w:cs="Times New Roman"/>
                <w:b/>
                <w:szCs w:val="16"/>
              </w:rPr>
              <w:t>Analysis</w:t>
            </w:r>
          </w:p>
        </w:tc>
        <w:tc>
          <w:tcPr>
            <w:tcW w:w="849" w:type="dxa"/>
            <w:shd w:val="clear" w:color="auto" w:fill="F2F2F2" w:themeFill="background1" w:themeFillShade="F2"/>
            <w:textDirection w:val="btLr"/>
            <w:vAlign w:val="center"/>
          </w:tcPr>
          <w:p w:rsidR="0010466C" w:rsidRPr="009115C7" w:rsidRDefault="0010466C" w:rsidP="009D4FAD">
            <w:pPr>
              <w:ind w:left="113" w:right="113"/>
              <w:jc w:val="center"/>
              <w:rPr>
                <w:rFonts w:cs="Times New Roman"/>
                <w:b/>
                <w:szCs w:val="16"/>
              </w:rPr>
            </w:pPr>
            <w:r w:rsidRPr="009115C7">
              <w:rPr>
                <w:rFonts w:cs="Times New Roman"/>
                <w:b/>
                <w:szCs w:val="16"/>
              </w:rPr>
              <w:t>Publication Year</w:t>
            </w:r>
          </w:p>
        </w:tc>
        <w:tc>
          <w:tcPr>
            <w:tcW w:w="952" w:type="dxa"/>
            <w:shd w:val="clear" w:color="auto" w:fill="F2F2F2" w:themeFill="background1" w:themeFillShade="F2"/>
            <w:textDirection w:val="btLr"/>
            <w:vAlign w:val="center"/>
          </w:tcPr>
          <w:p w:rsidR="0010466C" w:rsidRPr="009115C7" w:rsidRDefault="0010466C" w:rsidP="009D4FAD">
            <w:pPr>
              <w:ind w:left="113" w:right="113"/>
              <w:jc w:val="center"/>
              <w:rPr>
                <w:rFonts w:cs="Times New Roman"/>
                <w:b/>
                <w:szCs w:val="16"/>
              </w:rPr>
            </w:pPr>
            <w:r w:rsidRPr="009115C7">
              <w:rPr>
                <w:rFonts w:cs="Times New Roman"/>
                <w:b/>
                <w:szCs w:val="16"/>
              </w:rPr>
              <w:t>Medication type (class)</w:t>
            </w:r>
          </w:p>
        </w:tc>
        <w:tc>
          <w:tcPr>
            <w:tcW w:w="900" w:type="dxa"/>
            <w:shd w:val="clear" w:color="auto" w:fill="F2F2F2" w:themeFill="background1" w:themeFillShade="F2"/>
            <w:textDirection w:val="btLr"/>
            <w:vAlign w:val="center"/>
          </w:tcPr>
          <w:p w:rsidR="0010466C" w:rsidRPr="009115C7" w:rsidRDefault="0010466C" w:rsidP="009D4FAD">
            <w:pPr>
              <w:ind w:left="113" w:right="113"/>
              <w:jc w:val="center"/>
              <w:rPr>
                <w:rFonts w:cs="Times New Roman"/>
                <w:b/>
                <w:szCs w:val="16"/>
              </w:rPr>
            </w:pPr>
            <w:r w:rsidRPr="009115C7">
              <w:rPr>
                <w:rFonts w:cs="Times New Roman"/>
                <w:b/>
                <w:szCs w:val="16"/>
              </w:rPr>
              <w:t>Sponsored study (Y/N)</w:t>
            </w:r>
          </w:p>
        </w:tc>
        <w:tc>
          <w:tcPr>
            <w:tcW w:w="952" w:type="dxa"/>
            <w:shd w:val="clear" w:color="auto" w:fill="F2F2F2" w:themeFill="background1" w:themeFillShade="F2"/>
            <w:textDirection w:val="btLr"/>
            <w:vAlign w:val="center"/>
          </w:tcPr>
          <w:p w:rsidR="0010466C" w:rsidRPr="009115C7" w:rsidRDefault="0010466C" w:rsidP="009D4FAD">
            <w:pPr>
              <w:ind w:left="113" w:right="113"/>
              <w:jc w:val="center"/>
              <w:rPr>
                <w:rFonts w:cs="Times New Roman"/>
                <w:b/>
                <w:szCs w:val="16"/>
              </w:rPr>
            </w:pPr>
            <w:r w:rsidRPr="009115C7">
              <w:rPr>
                <w:rFonts w:cs="Times New Roman"/>
                <w:b/>
                <w:szCs w:val="16"/>
              </w:rPr>
              <w:t>Participant age (mean)</w:t>
            </w:r>
          </w:p>
        </w:tc>
        <w:tc>
          <w:tcPr>
            <w:tcW w:w="814" w:type="dxa"/>
            <w:shd w:val="clear" w:color="auto" w:fill="F2F2F2" w:themeFill="background1" w:themeFillShade="F2"/>
            <w:textDirection w:val="btLr"/>
            <w:vAlign w:val="center"/>
          </w:tcPr>
          <w:p w:rsidR="0010466C" w:rsidRPr="009115C7" w:rsidRDefault="0010466C" w:rsidP="009D4FAD">
            <w:pPr>
              <w:ind w:left="113" w:right="113"/>
              <w:jc w:val="center"/>
              <w:rPr>
                <w:rFonts w:cs="Times New Roman"/>
                <w:b/>
                <w:szCs w:val="16"/>
              </w:rPr>
            </w:pPr>
            <w:r w:rsidRPr="009115C7">
              <w:rPr>
                <w:rFonts w:cs="Times New Roman"/>
                <w:b/>
                <w:szCs w:val="16"/>
              </w:rPr>
              <w:t>%gender</w:t>
            </w:r>
          </w:p>
        </w:tc>
        <w:tc>
          <w:tcPr>
            <w:tcW w:w="806" w:type="dxa"/>
            <w:shd w:val="clear" w:color="auto" w:fill="F2F2F2" w:themeFill="background1" w:themeFillShade="F2"/>
            <w:textDirection w:val="btLr"/>
            <w:vAlign w:val="center"/>
          </w:tcPr>
          <w:p w:rsidR="0010466C" w:rsidRPr="009115C7" w:rsidRDefault="0010466C" w:rsidP="009D4FAD">
            <w:pPr>
              <w:ind w:left="113" w:right="113"/>
              <w:jc w:val="center"/>
              <w:rPr>
                <w:rFonts w:cs="Times New Roman"/>
                <w:b/>
                <w:szCs w:val="16"/>
              </w:rPr>
            </w:pPr>
            <w:r w:rsidRPr="009115C7">
              <w:rPr>
                <w:rFonts w:cs="Times New Roman"/>
                <w:b/>
                <w:szCs w:val="16"/>
              </w:rPr>
              <w:t>Duration of study</w:t>
            </w:r>
          </w:p>
        </w:tc>
        <w:tc>
          <w:tcPr>
            <w:tcW w:w="745" w:type="dxa"/>
            <w:shd w:val="clear" w:color="auto" w:fill="F2F2F2" w:themeFill="background1" w:themeFillShade="F2"/>
            <w:textDirection w:val="btLr"/>
            <w:vAlign w:val="center"/>
          </w:tcPr>
          <w:p w:rsidR="0010466C" w:rsidRPr="009115C7" w:rsidRDefault="0010466C" w:rsidP="009D4FAD">
            <w:pPr>
              <w:ind w:left="113" w:right="113"/>
              <w:jc w:val="center"/>
              <w:rPr>
                <w:rFonts w:cs="Times New Roman"/>
                <w:b/>
                <w:szCs w:val="16"/>
              </w:rPr>
            </w:pPr>
            <w:r w:rsidRPr="009115C7">
              <w:rPr>
                <w:rFonts w:cs="Times New Roman"/>
                <w:b/>
                <w:szCs w:val="16"/>
              </w:rPr>
              <w:t>Unbalanced randomization</w:t>
            </w:r>
          </w:p>
        </w:tc>
        <w:tc>
          <w:tcPr>
            <w:tcW w:w="745" w:type="dxa"/>
            <w:shd w:val="clear" w:color="auto" w:fill="F2F2F2" w:themeFill="background1" w:themeFillShade="F2"/>
            <w:textDirection w:val="btLr"/>
            <w:vAlign w:val="center"/>
          </w:tcPr>
          <w:p w:rsidR="0010466C" w:rsidRPr="009115C7" w:rsidRDefault="0010466C" w:rsidP="009D4FAD">
            <w:pPr>
              <w:ind w:left="113" w:right="113"/>
              <w:jc w:val="center"/>
              <w:rPr>
                <w:rFonts w:cs="Times New Roman"/>
                <w:b/>
                <w:szCs w:val="16"/>
              </w:rPr>
            </w:pPr>
            <w:r w:rsidRPr="009115C7">
              <w:rPr>
                <w:rFonts w:cs="Times New Roman"/>
                <w:b/>
                <w:szCs w:val="16"/>
              </w:rPr>
              <w:t>Baseline severity</w:t>
            </w:r>
          </w:p>
        </w:tc>
        <w:tc>
          <w:tcPr>
            <w:tcW w:w="745" w:type="dxa"/>
            <w:shd w:val="clear" w:color="auto" w:fill="F2F2F2" w:themeFill="background1" w:themeFillShade="F2"/>
            <w:textDirection w:val="btLr"/>
            <w:vAlign w:val="center"/>
          </w:tcPr>
          <w:p w:rsidR="0010466C" w:rsidRPr="009115C7" w:rsidRDefault="0010466C" w:rsidP="009D4FAD">
            <w:pPr>
              <w:ind w:left="113" w:right="113"/>
              <w:jc w:val="center"/>
              <w:rPr>
                <w:rFonts w:cs="Times New Roman"/>
                <w:b/>
                <w:szCs w:val="16"/>
              </w:rPr>
            </w:pPr>
            <w:r w:rsidRPr="009115C7">
              <w:rPr>
                <w:rFonts w:cs="Times New Roman"/>
                <w:b/>
                <w:szCs w:val="16"/>
              </w:rPr>
              <w:t>Severity scale</w:t>
            </w:r>
          </w:p>
        </w:tc>
        <w:tc>
          <w:tcPr>
            <w:tcW w:w="684" w:type="dxa"/>
            <w:shd w:val="clear" w:color="auto" w:fill="F2F2F2" w:themeFill="background1" w:themeFillShade="F2"/>
            <w:textDirection w:val="btLr"/>
            <w:vAlign w:val="center"/>
          </w:tcPr>
          <w:p w:rsidR="0010466C" w:rsidRPr="009115C7" w:rsidRDefault="0010466C" w:rsidP="009D4FAD">
            <w:pPr>
              <w:ind w:left="113" w:right="113"/>
              <w:jc w:val="center"/>
              <w:rPr>
                <w:rFonts w:cs="Times New Roman"/>
                <w:b/>
                <w:szCs w:val="16"/>
              </w:rPr>
            </w:pPr>
            <w:r w:rsidRPr="009115C7">
              <w:rPr>
                <w:rFonts w:cs="Times New Roman"/>
                <w:b/>
                <w:szCs w:val="16"/>
              </w:rPr>
              <w:t>Author COI (Y/N)</w:t>
            </w:r>
          </w:p>
        </w:tc>
        <w:tc>
          <w:tcPr>
            <w:tcW w:w="718" w:type="dxa"/>
            <w:shd w:val="clear" w:color="auto" w:fill="F2F2F2" w:themeFill="background1" w:themeFillShade="F2"/>
          </w:tcPr>
          <w:p w:rsidR="0010466C" w:rsidRPr="009115C7" w:rsidRDefault="0010466C" w:rsidP="009D4FAD">
            <w:pPr>
              <w:jc w:val="center"/>
              <w:rPr>
                <w:rFonts w:cs="Times New Roman"/>
                <w:b/>
                <w:szCs w:val="16"/>
              </w:rPr>
            </w:pPr>
            <w:r w:rsidRPr="009115C7">
              <w:rPr>
                <w:rFonts w:cs="Times New Roman"/>
                <w:b/>
                <w:szCs w:val="16"/>
              </w:rPr>
              <w:t>Placebo run in 1 week</w:t>
            </w:r>
          </w:p>
        </w:tc>
      </w:tr>
      <w:tr w:rsidR="0010466C" w:rsidRPr="009115C7" w:rsidTr="009D4FAD">
        <w:trPr>
          <w:trHeight w:val="1161"/>
        </w:trPr>
        <w:tc>
          <w:tcPr>
            <w:tcW w:w="1063" w:type="dxa"/>
          </w:tcPr>
          <w:p w:rsidR="0010466C" w:rsidRPr="009115C7" w:rsidRDefault="0010466C" w:rsidP="009D4FAD">
            <w:pPr>
              <w:jc w:val="center"/>
              <w:rPr>
                <w:rFonts w:cs="Times New Roman"/>
                <w:b/>
                <w:szCs w:val="16"/>
              </w:rPr>
            </w:pPr>
            <w:r w:rsidRPr="009115C7">
              <w:rPr>
                <w:rFonts w:cs="Times New Roman"/>
                <w:b/>
                <w:szCs w:val="16"/>
              </w:rPr>
              <w:t>Severity (all measures)</w:t>
            </w:r>
          </w:p>
        </w:tc>
        <w:tc>
          <w:tcPr>
            <w:tcW w:w="849"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952" w:type="dxa"/>
          </w:tcPr>
          <w:p w:rsidR="0010466C" w:rsidRPr="009115C7" w:rsidRDefault="0010466C" w:rsidP="009D4FAD">
            <w:pPr>
              <w:jc w:val="center"/>
              <w:rPr>
                <w:rFonts w:cs="Times New Roman"/>
                <w:szCs w:val="16"/>
              </w:rPr>
            </w:pPr>
            <w:r w:rsidRPr="009115C7">
              <w:rPr>
                <w:rFonts w:cs="Times New Roman"/>
                <w:szCs w:val="16"/>
              </w:rPr>
              <w:t>* MS higher E.S.</w:t>
            </w:r>
          </w:p>
          <w:p w:rsidR="0010466C" w:rsidRPr="009115C7" w:rsidRDefault="0010466C" w:rsidP="009D4FAD">
            <w:pPr>
              <w:jc w:val="center"/>
              <w:rPr>
                <w:rFonts w:cs="Times New Roman"/>
                <w:szCs w:val="16"/>
              </w:rPr>
            </w:pPr>
            <w:r w:rsidRPr="009115C7">
              <w:rPr>
                <w:rFonts w:cs="Times New Roman"/>
                <w:szCs w:val="16"/>
              </w:rPr>
              <w:t xml:space="preserve"> ·</w:t>
            </w:r>
          </w:p>
          <w:p w:rsidR="0010466C" w:rsidRPr="009115C7" w:rsidRDefault="0010466C" w:rsidP="009D4FAD">
            <w:pPr>
              <w:jc w:val="center"/>
              <w:rPr>
                <w:rFonts w:cs="Times New Roman"/>
                <w:szCs w:val="16"/>
              </w:rPr>
            </w:pPr>
            <w:r w:rsidRPr="009115C7">
              <w:rPr>
                <w:rFonts w:cs="Times New Roman"/>
                <w:szCs w:val="16"/>
              </w:rPr>
              <w:t>supplement higher E.S.</w:t>
            </w:r>
          </w:p>
        </w:tc>
        <w:tc>
          <w:tcPr>
            <w:tcW w:w="900"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952"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14"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06" w:type="dxa"/>
          </w:tcPr>
          <w:p w:rsidR="0010466C" w:rsidRPr="009115C7" w:rsidRDefault="00C86A17" w:rsidP="009D4FAD">
            <w:pPr>
              <w:jc w:val="center"/>
              <w:rPr>
                <w:rFonts w:cs="Times New Roman"/>
                <w:szCs w:val="16"/>
              </w:rPr>
            </w:pPr>
            <w:r>
              <w:rPr>
                <w:rFonts w:cs="Times New Roman"/>
                <w:szCs w:val="16"/>
              </w:rPr>
              <w:t xml:space="preserve">** 16-weeks, lower E.S. </w:t>
            </w:r>
            <w:r w:rsidR="0010466C" w:rsidRPr="009115C7">
              <w:rPr>
                <w:rFonts w:cs="Times New Roman"/>
                <w:szCs w:val="16"/>
              </w:rPr>
              <w:t>* 17-weeks lower E.S.</w:t>
            </w:r>
          </w:p>
        </w:tc>
        <w:tc>
          <w:tcPr>
            <w:tcW w:w="745"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45" w:type="dxa"/>
          </w:tcPr>
          <w:p w:rsidR="0010466C" w:rsidRPr="009115C7" w:rsidRDefault="0010466C" w:rsidP="009D4FAD">
            <w:pPr>
              <w:jc w:val="center"/>
              <w:rPr>
                <w:rFonts w:cs="Times New Roman"/>
                <w:szCs w:val="16"/>
              </w:rPr>
            </w:pPr>
            <w:r w:rsidRPr="009115C7">
              <w:rPr>
                <w:rFonts w:cs="Times New Roman"/>
                <w:szCs w:val="16"/>
              </w:rPr>
              <w:t>NA</w:t>
            </w:r>
          </w:p>
        </w:tc>
        <w:tc>
          <w:tcPr>
            <w:tcW w:w="745"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684"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18"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r>
      <w:tr w:rsidR="0010466C" w:rsidRPr="009115C7" w:rsidTr="009D4FAD">
        <w:trPr>
          <w:trHeight w:val="1165"/>
        </w:trPr>
        <w:tc>
          <w:tcPr>
            <w:tcW w:w="1063" w:type="dxa"/>
          </w:tcPr>
          <w:p w:rsidR="0010466C" w:rsidRPr="009115C7" w:rsidRDefault="0010466C" w:rsidP="009D4FAD">
            <w:pPr>
              <w:jc w:val="center"/>
              <w:rPr>
                <w:rFonts w:cs="Times New Roman"/>
                <w:b/>
                <w:szCs w:val="16"/>
              </w:rPr>
            </w:pPr>
            <w:r w:rsidRPr="009115C7">
              <w:rPr>
                <w:rFonts w:cs="Times New Roman"/>
                <w:b/>
                <w:szCs w:val="16"/>
              </w:rPr>
              <w:t>PGYBOCS</w:t>
            </w:r>
          </w:p>
        </w:tc>
        <w:tc>
          <w:tcPr>
            <w:tcW w:w="849" w:type="dxa"/>
          </w:tcPr>
          <w:p w:rsidR="0010466C" w:rsidRPr="009115C7" w:rsidRDefault="00215256" w:rsidP="009D4FAD">
            <w:pPr>
              <w:jc w:val="center"/>
              <w:rPr>
                <w:rFonts w:cs="Times New Roman"/>
                <w:szCs w:val="16"/>
              </w:rPr>
            </w:pPr>
            <w:r>
              <w:rPr>
                <w:rFonts w:cs="Times New Roman"/>
                <w:szCs w:val="16"/>
              </w:rPr>
              <w:t>*</w:t>
            </w:r>
          </w:p>
          <w:p w:rsidR="0010466C" w:rsidRPr="009115C7" w:rsidRDefault="0010466C" w:rsidP="009D4FAD">
            <w:pPr>
              <w:jc w:val="center"/>
              <w:rPr>
                <w:rFonts w:cs="Times New Roman"/>
                <w:szCs w:val="16"/>
              </w:rPr>
            </w:pPr>
            <w:r w:rsidRPr="009115C7">
              <w:rPr>
                <w:rFonts w:cs="Times New Roman"/>
                <w:szCs w:val="16"/>
              </w:rPr>
              <w:t>Recent higher E.S.</w:t>
            </w:r>
          </w:p>
        </w:tc>
        <w:tc>
          <w:tcPr>
            <w:tcW w:w="952" w:type="dxa"/>
          </w:tcPr>
          <w:p w:rsidR="0010466C" w:rsidRPr="009115C7" w:rsidRDefault="0010466C" w:rsidP="009D4FAD">
            <w:pPr>
              <w:jc w:val="center"/>
              <w:rPr>
                <w:rFonts w:cs="Times New Roman"/>
                <w:szCs w:val="16"/>
              </w:rPr>
            </w:pPr>
            <w:r w:rsidRPr="009115C7">
              <w:rPr>
                <w:rFonts w:cs="Times New Roman"/>
                <w:szCs w:val="16"/>
              </w:rPr>
              <w:t>* MS higher E.S.</w:t>
            </w:r>
          </w:p>
          <w:p w:rsidR="0010466C" w:rsidRPr="009115C7" w:rsidRDefault="0010466C" w:rsidP="009D4FAD">
            <w:pPr>
              <w:jc w:val="center"/>
              <w:rPr>
                <w:rFonts w:cs="Times New Roman"/>
                <w:szCs w:val="16"/>
              </w:rPr>
            </w:pPr>
            <w:r w:rsidRPr="009115C7">
              <w:rPr>
                <w:rFonts w:cs="Times New Roman"/>
                <w:szCs w:val="16"/>
              </w:rPr>
              <w:t>* supplement higher E.S.</w:t>
            </w:r>
          </w:p>
        </w:tc>
        <w:tc>
          <w:tcPr>
            <w:tcW w:w="900"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p>
        </w:tc>
        <w:tc>
          <w:tcPr>
            <w:tcW w:w="952"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14"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06" w:type="dxa"/>
          </w:tcPr>
          <w:p w:rsidR="0010466C" w:rsidRPr="009115C7" w:rsidRDefault="0010466C" w:rsidP="009D4FAD">
            <w:pPr>
              <w:jc w:val="center"/>
              <w:rPr>
                <w:rFonts w:cs="Times New Roman"/>
                <w:szCs w:val="16"/>
              </w:rPr>
            </w:pPr>
            <w:r w:rsidRPr="009115C7">
              <w:rPr>
                <w:rFonts w:cs="Times New Roman"/>
                <w:szCs w:val="16"/>
              </w:rPr>
              <w:t>** 16-weeks, lower E.S. * 17-weeks, lower E.S.</w:t>
            </w:r>
          </w:p>
        </w:tc>
        <w:tc>
          <w:tcPr>
            <w:tcW w:w="745"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45" w:type="dxa"/>
          </w:tcPr>
          <w:p w:rsidR="0010466C" w:rsidRPr="009115C7" w:rsidRDefault="0010466C" w:rsidP="009D4FAD">
            <w:pPr>
              <w:jc w:val="center"/>
              <w:rPr>
                <w:rFonts w:cs="Times New Roman"/>
                <w:szCs w:val="16"/>
              </w:rPr>
            </w:pPr>
            <w:r w:rsidRPr="009115C7">
              <w:rPr>
                <w:rFonts w:cs="Times New Roman"/>
                <w:szCs w:val="16"/>
              </w:rPr>
              <w:t>*** higher baseline higher E.S.</w:t>
            </w:r>
          </w:p>
        </w:tc>
        <w:tc>
          <w:tcPr>
            <w:tcW w:w="745" w:type="dxa"/>
          </w:tcPr>
          <w:p w:rsidR="0010466C" w:rsidRPr="009115C7" w:rsidRDefault="0010466C" w:rsidP="009D4FAD">
            <w:pPr>
              <w:jc w:val="center"/>
              <w:rPr>
                <w:rFonts w:cs="Times New Roman"/>
                <w:szCs w:val="16"/>
              </w:rPr>
            </w:pPr>
            <w:r w:rsidRPr="009115C7">
              <w:rPr>
                <w:rFonts w:cs="Times New Roman"/>
                <w:szCs w:val="16"/>
              </w:rPr>
              <w:t>NA</w:t>
            </w:r>
          </w:p>
        </w:tc>
        <w:tc>
          <w:tcPr>
            <w:tcW w:w="684"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18"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r>
      <w:tr w:rsidR="0010466C" w:rsidRPr="009115C7" w:rsidTr="009D4FAD">
        <w:trPr>
          <w:trHeight w:val="1629"/>
        </w:trPr>
        <w:tc>
          <w:tcPr>
            <w:tcW w:w="1063" w:type="dxa"/>
          </w:tcPr>
          <w:p w:rsidR="0010466C" w:rsidRPr="009115C7" w:rsidRDefault="0010466C" w:rsidP="009D4FAD">
            <w:pPr>
              <w:jc w:val="center"/>
              <w:rPr>
                <w:rFonts w:cs="Times New Roman"/>
                <w:b/>
                <w:szCs w:val="16"/>
              </w:rPr>
            </w:pPr>
            <w:r w:rsidRPr="009115C7">
              <w:rPr>
                <w:rFonts w:cs="Times New Roman"/>
                <w:b/>
                <w:szCs w:val="16"/>
              </w:rPr>
              <w:t>GSAS</w:t>
            </w:r>
          </w:p>
        </w:tc>
        <w:tc>
          <w:tcPr>
            <w:tcW w:w="849" w:type="dxa"/>
          </w:tcPr>
          <w:p w:rsidR="00FF5467" w:rsidRPr="009115C7" w:rsidRDefault="00FF5467" w:rsidP="00FF5467">
            <w:pPr>
              <w:jc w:val="center"/>
              <w:rPr>
                <w:rFonts w:cs="Times New Roman"/>
                <w:szCs w:val="16"/>
              </w:rPr>
            </w:pPr>
            <w:r>
              <w:rPr>
                <w:rFonts w:cs="Times New Roman"/>
                <w:szCs w:val="16"/>
              </w:rPr>
              <w:t>*</w:t>
            </w:r>
          </w:p>
          <w:p w:rsidR="0010466C" w:rsidRPr="009115C7" w:rsidRDefault="00FF5467" w:rsidP="00FF5467">
            <w:pPr>
              <w:jc w:val="center"/>
              <w:rPr>
                <w:rFonts w:cs="Times New Roman"/>
                <w:szCs w:val="16"/>
              </w:rPr>
            </w:pPr>
            <w:r w:rsidRPr="009115C7">
              <w:rPr>
                <w:rFonts w:cs="Times New Roman"/>
                <w:szCs w:val="16"/>
              </w:rPr>
              <w:t>Recent higher E.S.</w:t>
            </w:r>
          </w:p>
        </w:tc>
        <w:tc>
          <w:tcPr>
            <w:tcW w:w="952" w:type="dxa"/>
          </w:tcPr>
          <w:p w:rsidR="0010466C" w:rsidRPr="009115C7" w:rsidRDefault="00FF5467" w:rsidP="009D4FAD">
            <w:pPr>
              <w:jc w:val="center"/>
              <w:rPr>
                <w:rFonts w:cs="Times New Roman"/>
                <w:szCs w:val="16"/>
              </w:rPr>
            </w:pPr>
            <w:r w:rsidRPr="009115C7">
              <w:rPr>
                <w:rFonts w:cs="Times New Roman"/>
                <w:szCs w:val="16"/>
              </w:rPr>
              <w:t>* supplement higher E.S.</w:t>
            </w:r>
          </w:p>
        </w:tc>
        <w:tc>
          <w:tcPr>
            <w:tcW w:w="900"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952"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14"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06" w:type="dxa"/>
          </w:tcPr>
          <w:p w:rsidR="0010466C" w:rsidRPr="009115C7" w:rsidRDefault="0010466C" w:rsidP="009D4FAD">
            <w:pPr>
              <w:jc w:val="center"/>
              <w:rPr>
                <w:rFonts w:cs="Times New Roman"/>
                <w:szCs w:val="16"/>
              </w:rPr>
            </w:pPr>
            <w:r w:rsidRPr="009115C7">
              <w:rPr>
                <w:rFonts w:cs="Times New Roman"/>
                <w:szCs w:val="16"/>
              </w:rPr>
              <w:t>** 11-week (the shortest) duration higher E.S.</w:t>
            </w:r>
          </w:p>
        </w:tc>
        <w:tc>
          <w:tcPr>
            <w:tcW w:w="745" w:type="dxa"/>
          </w:tcPr>
          <w:p w:rsidR="0010466C" w:rsidRPr="009115C7" w:rsidRDefault="0010466C" w:rsidP="009D4FAD">
            <w:pPr>
              <w:jc w:val="center"/>
              <w:rPr>
                <w:rFonts w:cs="Times New Roman"/>
                <w:szCs w:val="16"/>
              </w:rPr>
            </w:pPr>
            <w:r w:rsidRPr="009115C7">
              <w:rPr>
                <w:rFonts w:cs="Times New Roman"/>
                <w:szCs w:val="16"/>
              </w:rPr>
              <w:t>NA</w:t>
            </w:r>
          </w:p>
        </w:tc>
        <w:tc>
          <w:tcPr>
            <w:tcW w:w="745" w:type="dxa"/>
          </w:tcPr>
          <w:p w:rsidR="0010466C" w:rsidRPr="009115C7" w:rsidRDefault="0010466C" w:rsidP="009D4FAD">
            <w:pPr>
              <w:jc w:val="center"/>
              <w:rPr>
                <w:rFonts w:cs="Times New Roman"/>
                <w:szCs w:val="16"/>
              </w:rPr>
            </w:pPr>
            <w:r w:rsidRPr="009115C7">
              <w:rPr>
                <w:rFonts w:cs="Times New Roman"/>
                <w:szCs w:val="16"/>
              </w:rPr>
              <w:t>* higher baseline higher E.S.</w:t>
            </w:r>
          </w:p>
        </w:tc>
        <w:tc>
          <w:tcPr>
            <w:tcW w:w="745" w:type="dxa"/>
          </w:tcPr>
          <w:p w:rsidR="0010466C" w:rsidRPr="009115C7" w:rsidRDefault="0010466C" w:rsidP="009D4FAD">
            <w:pPr>
              <w:jc w:val="center"/>
              <w:rPr>
                <w:rFonts w:cs="Times New Roman"/>
                <w:szCs w:val="16"/>
              </w:rPr>
            </w:pPr>
            <w:r w:rsidRPr="009115C7">
              <w:rPr>
                <w:rFonts w:cs="Times New Roman"/>
                <w:szCs w:val="16"/>
              </w:rPr>
              <w:t>NA</w:t>
            </w:r>
          </w:p>
        </w:tc>
        <w:tc>
          <w:tcPr>
            <w:tcW w:w="684"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18"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r>
      <w:tr w:rsidR="0010466C" w:rsidRPr="009115C7" w:rsidTr="009D4FAD">
        <w:trPr>
          <w:trHeight w:val="232"/>
        </w:trPr>
        <w:tc>
          <w:tcPr>
            <w:tcW w:w="1063" w:type="dxa"/>
          </w:tcPr>
          <w:p w:rsidR="0010466C" w:rsidRPr="009115C7" w:rsidRDefault="0010466C" w:rsidP="009D4FAD">
            <w:pPr>
              <w:jc w:val="center"/>
              <w:rPr>
                <w:rFonts w:cs="Times New Roman"/>
                <w:b/>
                <w:szCs w:val="16"/>
              </w:rPr>
            </w:pPr>
            <w:r w:rsidRPr="009115C7">
              <w:rPr>
                <w:rFonts w:cs="Times New Roman"/>
                <w:b/>
                <w:szCs w:val="16"/>
              </w:rPr>
              <w:t>CGI</w:t>
            </w:r>
          </w:p>
        </w:tc>
        <w:tc>
          <w:tcPr>
            <w:tcW w:w="849"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p>
        </w:tc>
        <w:tc>
          <w:tcPr>
            <w:tcW w:w="952"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900"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p>
        </w:tc>
        <w:tc>
          <w:tcPr>
            <w:tcW w:w="952"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14"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06"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45"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45"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45" w:type="dxa"/>
          </w:tcPr>
          <w:p w:rsidR="0010466C" w:rsidRPr="009115C7" w:rsidRDefault="0010466C" w:rsidP="009D4FAD">
            <w:pPr>
              <w:jc w:val="center"/>
              <w:rPr>
                <w:rFonts w:cs="Times New Roman"/>
                <w:szCs w:val="16"/>
              </w:rPr>
            </w:pPr>
            <w:r w:rsidRPr="009115C7">
              <w:rPr>
                <w:rFonts w:cs="Times New Roman"/>
                <w:szCs w:val="16"/>
              </w:rPr>
              <w:t>NA</w:t>
            </w:r>
          </w:p>
        </w:tc>
        <w:tc>
          <w:tcPr>
            <w:tcW w:w="684"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18"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r>
      <w:tr w:rsidR="0010466C" w:rsidRPr="009115C7" w:rsidTr="009D4FAD">
        <w:trPr>
          <w:trHeight w:val="699"/>
        </w:trPr>
        <w:tc>
          <w:tcPr>
            <w:tcW w:w="1063" w:type="dxa"/>
          </w:tcPr>
          <w:p w:rsidR="0010466C" w:rsidRPr="009115C7" w:rsidRDefault="0010466C" w:rsidP="009D4FAD">
            <w:pPr>
              <w:jc w:val="center"/>
              <w:rPr>
                <w:rFonts w:cs="Times New Roman"/>
                <w:b/>
                <w:szCs w:val="16"/>
              </w:rPr>
            </w:pPr>
            <w:proofErr w:type="spellStart"/>
            <w:r w:rsidRPr="009115C7">
              <w:rPr>
                <w:rFonts w:cs="Times New Roman"/>
                <w:b/>
                <w:szCs w:val="16"/>
              </w:rPr>
              <w:t>QoL</w:t>
            </w:r>
            <w:proofErr w:type="spellEnd"/>
          </w:p>
        </w:tc>
        <w:tc>
          <w:tcPr>
            <w:tcW w:w="849"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p>
        </w:tc>
        <w:tc>
          <w:tcPr>
            <w:tcW w:w="952" w:type="dxa"/>
          </w:tcPr>
          <w:p w:rsidR="0010466C" w:rsidRPr="009115C7" w:rsidRDefault="00215256" w:rsidP="009D4FAD">
            <w:pPr>
              <w:jc w:val="center"/>
              <w:rPr>
                <w:rFonts w:cs="Times New Roman"/>
                <w:szCs w:val="16"/>
              </w:rPr>
            </w:pPr>
            <w:proofErr w:type="spellStart"/>
            <w:r>
              <w:rPr>
                <w:rFonts w:cs="Times New Roman"/>
                <w:szCs w:val="16"/>
              </w:rPr>
              <w:t>n.s</w:t>
            </w:r>
            <w:proofErr w:type="spellEnd"/>
            <w:r>
              <w:rPr>
                <w:rFonts w:cs="Times New Roman"/>
                <w:szCs w:val="16"/>
              </w:rPr>
              <w:t>.</w:t>
            </w:r>
          </w:p>
        </w:tc>
        <w:tc>
          <w:tcPr>
            <w:tcW w:w="900"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p>
        </w:tc>
        <w:tc>
          <w:tcPr>
            <w:tcW w:w="952" w:type="dxa"/>
          </w:tcPr>
          <w:p w:rsidR="0010466C" w:rsidRPr="009115C7" w:rsidRDefault="0010466C" w:rsidP="009D4FAD">
            <w:pPr>
              <w:jc w:val="center"/>
              <w:rPr>
                <w:rFonts w:cs="Times New Roman"/>
                <w:szCs w:val="16"/>
              </w:rPr>
            </w:pPr>
            <w:r w:rsidRPr="009115C7">
              <w:rPr>
                <w:rFonts w:cs="Times New Roman"/>
                <w:szCs w:val="16"/>
              </w:rPr>
              <w:t>* higher age higher E.S.</w:t>
            </w:r>
          </w:p>
        </w:tc>
        <w:tc>
          <w:tcPr>
            <w:tcW w:w="814"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06"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45" w:type="dxa"/>
          </w:tcPr>
          <w:p w:rsidR="0010466C" w:rsidRPr="009115C7" w:rsidRDefault="0010466C" w:rsidP="009D4FAD">
            <w:pPr>
              <w:jc w:val="center"/>
              <w:rPr>
                <w:rFonts w:cs="Times New Roman"/>
                <w:szCs w:val="16"/>
              </w:rPr>
            </w:pPr>
            <w:r w:rsidRPr="009115C7">
              <w:rPr>
                <w:rFonts w:cs="Times New Roman"/>
                <w:szCs w:val="16"/>
              </w:rPr>
              <w:t>NA</w:t>
            </w:r>
          </w:p>
        </w:tc>
        <w:tc>
          <w:tcPr>
            <w:tcW w:w="745" w:type="dxa"/>
          </w:tcPr>
          <w:p w:rsidR="0010466C" w:rsidRPr="009115C7" w:rsidRDefault="0010466C" w:rsidP="009D4FAD">
            <w:pPr>
              <w:jc w:val="center"/>
              <w:rPr>
                <w:rFonts w:cs="Times New Roman"/>
                <w:szCs w:val="16"/>
              </w:rPr>
            </w:pPr>
            <w:r w:rsidRPr="009115C7">
              <w:rPr>
                <w:rFonts w:cs="Times New Roman"/>
                <w:szCs w:val="16"/>
              </w:rPr>
              <w:t>NA</w:t>
            </w:r>
          </w:p>
        </w:tc>
        <w:tc>
          <w:tcPr>
            <w:tcW w:w="745"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684" w:type="dxa"/>
          </w:tcPr>
          <w:p w:rsidR="0010466C" w:rsidRPr="009115C7" w:rsidRDefault="00215256" w:rsidP="009D4FAD">
            <w:pPr>
              <w:jc w:val="center"/>
              <w:rPr>
                <w:rFonts w:cs="Times New Roman"/>
                <w:szCs w:val="16"/>
              </w:rPr>
            </w:pPr>
            <w:r>
              <w:rPr>
                <w:rFonts w:cs="Times New Roman"/>
                <w:szCs w:val="16"/>
              </w:rPr>
              <w:t>*</w:t>
            </w:r>
          </w:p>
          <w:p w:rsidR="0010466C" w:rsidRPr="009115C7" w:rsidRDefault="0010466C" w:rsidP="009D4FAD">
            <w:pPr>
              <w:jc w:val="center"/>
              <w:rPr>
                <w:rFonts w:cs="Times New Roman"/>
                <w:szCs w:val="16"/>
              </w:rPr>
            </w:pPr>
            <w:r w:rsidRPr="009115C7">
              <w:rPr>
                <w:rFonts w:cs="Times New Roman"/>
                <w:szCs w:val="16"/>
              </w:rPr>
              <w:t>Presence of COI lower E.S.</w:t>
            </w:r>
          </w:p>
        </w:tc>
        <w:tc>
          <w:tcPr>
            <w:tcW w:w="718" w:type="dxa"/>
          </w:tcPr>
          <w:p w:rsidR="0010466C" w:rsidRPr="009115C7" w:rsidRDefault="0010466C"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r>
    </w:tbl>
    <w:p w:rsidR="0010466C" w:rsidRDefault="0010466C" w:rsidP="00FC6BA4">
      <w:pPr>
        <w:jc w:val="both"/>
      </w:pPr>
      <w:r w:rsidRPr="006126E4">
        <w:rPr>
          <w:b/>
        </w:rPr>
        <w:t>Legend</w:t>
      </w:r>
      <w:r>
        <w:t xml:space="preserve">: PGYBOCS=Problematic Gambling Yale-Brown Obsessive Compulsive Scale (clinician rated, structured); GSAS = Gambling Symptom Assessment Scale (self-reported); CGI = Clinical Global Improvement (clinician scored – unstructured); </w:t>
      </w:r>
      <w:proofErr w:type="spellStart"/>
      <w:r>
        <w:t>QoL</w:t>
      </w:r>
      <w:proofErr w:type="spellEnd"/>
      <w:r>
        <w:t xml:space="preserve"> = Quality of life; E.S = effect size; </w:t>
      </w:r>
      <w:proofErr w:type="spellStart"/>
      <w:r>
        <w:t>n.s</w:t>
      </w:r>
      <w:proofErr w:type="spellEnd"/>
      <w:r>
        <w:t xml:space="preserve">.= non-significant statistically; ORAs = Opiate receptor antagonists; MS = mood stabilizers; AP = antipsychotics; AD = antidepressants; </w:t>
      </w:r>
      <w:r w:rsidRPr="009515E0">
        <w:t xml:space="preserve">statistical significance: </w:t>
      </w:r>
      <w:proofErr w:type="spellStart"/>
      <w:r w:rsidRPr="009515E0">
        <w:t>n.s</w:t>
      </w:r>
      <w:proofErr w:type="spellEnd"/>
      <w:r w:rsidRPr="009515E0">
        <w:t>. = non-significant; ‘.’ &lt;.10 (trend); ‘*’ &lt;.05; ‘**’ &lt;0.01; ‘***’ &lt;0.001; NA = not available/not applicable</w:t>
      </w:r>
    </w:p>
    <w:p w:rsidR="0010466C" w:rsidRDefault="0010466C" w:rsidP="0010466C"/>
    <w:p w:rsidR="00CF75F4" w:rsidRDefault="00CF75F4">
      <w:pPr>
        <w:rPr>
          <w:rFonts w:eastAsiaTheme="majorEastAsia" w:cs="Times New Roman"/>
          <w:b/>
          <w:sz w:val="26"/>
          <w:szCs w:val="26"/>
        </w:rPr>
      </w:pPr>
      <w:r>
        <w:rPr>
          <w:rFonts w:cs="Times New Roman"/>
        </w:rPr>
        <w:br w:type="page"/>
      </w:r>
    </w:p>
    <w:p w:rsidR="002A7071" w:rsidRDefault="002A7071" w:rsidP="002A7071">
      <w:pPr>
        <w:pStyle w:val="Heading2"/>
      </w:pPr>
      <w:r>
        <w:rPr>
          <w:rFonts w:cs="Times New Roman"/>
        </w:rPr>
        <w:lastRenderedPageBreak/>
        <w:t>§</w:t>
      </w:r>
      <w:r w:rsidR="0010466C">
        <w:rPr>
          <w:rFonts w:cs="Times New Roman"/>
        </w:rPr>
        <w:t>S5</w:t>
      </w:r>
      <w:r>
        <w:rPr>
          <w:rFonts w:cs="Times New Roman"/>
        </w:rPr>
        <w:t xml:space="preserve"> </w:t>
      </w:r>
      <w:r>
        <w:t>Correlation between effect sizes (Pearson)</w:t>
      </w:r>
    </w:p>
    <w:tbl>
      <w:tblPr>
        <w:tblStyle w:val="TableGrid"/>
        <w:tblW w:w="0" w:type="auto"/>
        <w:tblLook w:val="04A0" w:firstRow="1" w:lastRow="0" w:firstColumn="1" w:lastColumn="0" w:noHBand="0" w:noVBand="1"/>
      </w:tblPr>
      <w:tblGrid>
        <w:gridCol w:w="1563"/>
        <w:gridCol w:w="1508"/>
        <w:gridCol w:w="1343"/>
        <w:gridCol w:w="1582"/>
        <w:gridCol w:w="1454"/>
        <w:gridCol w:w="1455"/>
      </w:tblGrid>
      <w:tr w:rsidR="002A7071" w:rsidTr="009D4FAD">
        <w:trPr>
          <w:trHeight w:val="1237"/>
        </w:trPr>
        <w:tc>
          <w:tcPr>
            <w:tcW w:w="1563" w:type="dxa"/>
            <w:shd w:val="clear" w:color="auto" w:fill="DBDBDB" w:themeFill="accent3" w:themeFillTint="66"/>
            <w:vAlign w:val="center"/>
          </w:tcPr>
          <w:p w:rsidR="002A7071" w:rsidRPr="00D30D35" w:rsidRDefault="002A7071" w:rsidP="009D4FAD">
            <w:pPr>
              <w:jc w:val="center"/>
              <w:rPr>
                <w:b/>
              </w:rPr>
            </w:pPr>
          </w:p>
        </w:tc>
        <w:tc>
          <w:tcPr>
            <w:tcW w:w="1508" w:type="dxa"/>
            <w:shd w:val="clear" w:color="auto" w:fill="DBDBDB" w:themeFill="accent3" w:themeFillTint="66"/>
            <w:vAlign w:val="center"/>
          </w:tcPr>
          <w:p w:rsidR="002A7071" w:rsidRPr="00D30D35" w:rsidRDefault="002A7071" w:rsidP="009D4FAD">
            <w:pPr>
              <w:jc w:val="center"/>
              <w:rPr>
                <w:b/>
              </w:rPr>
            </w:pPr>
            <w:r w:rsidRPr="00D30D35">
              <w:rPr>
                <w:b/>
              </w:rPr>
              <w:t>Placebo gambling severity</w:t>
            </w:r>
          </w:p>
        </w:tc>
        <w:tc>
          <w:tcPr>
            <w:tcW w:w="1343" w:type="dxa"/>
            <w:shd w:val="clear" w:color="auto" w:fill="DBDBDB" w:themeFill="accent3" w:themeFillTint="66"/>
            <w:vAlign w:val="center"/>
          </w:tcPr>
          <w:p w:rsidR="002A7071" w:rsidRPr="00D30D35" w:rsidRDefault="002A7071" w:rsidP="009D4FAD">
            <w:pPr>
              <w:jc w:val="center"/>
              <w:rPr>
                <w:b/>
              </w:rPr>
            </w:pPr>
            <w:r w:rsidRPr="00D30D35">
              <w:rPr>
                <w:b/>
              </w:rPr>
              <w:t>Placebo QOL</w:t>
            </w:r>
          </w:p>
        </w:tc>
        <w:tc>
          <w:tcPr>
            <w:tcW w:w="1582" w:type="dxa"/>
            <w:shd w:val="clear" w:color="auto" w:fill="DBDBDB" w:themeFill="accent3" w:themeFillTint="66"/>
            <w:vAlign w:val="center"/>
          </w:tcPr>
          <w:p w:rsidR="002A7071" w:rsidRPr="00D30D35" w:rsidRDefault="002A7071" w:rsidP="009D4FAD">
            <w:pPr>
              <w:jc w:val="center"/>
              <w:rPr>
                <w:b/>
              </w:rPr>
            </w:pPr>
            <w:r w:rsidRPr="00D30D35">
              <w:rPr>
                <w:b/>
              </w:rPr>
              <w:t>Placebo PGYBOCS</w:t>
            </w:r>
          </w:p>
        </w:tc>
        <w:tc>
          <w:tcPr>
            <w:tcW w:w="1454" w:type="dxa"/>
            <w:shd w:val="clear" w:color="auto" w:fill="DBDBDB" w:themeFill="accent3" w:themeFillTint="66"/>
            <w:vAlign w:val="center"/>
          </w:tcPr>
          <w:p w:rsidR="002A7071" w:rsidRPr="00D30D35" w:rsidRDefault="002A7071" w:rsidP="009D4FAD">
            <w:pPr>
              <w:jc w:val="center"/>
              <w:rPr>
                <w:b/>
              </w:rPr>
            </w:pPr>
            <w:r w:rsidRPr="00D30D35">
              <w:rPr>
                <w:b/>
              </w:rPr>
              <w:t>Placebo GSAS</w:t>
            </w:r>
          </w:p>
        </w:tc>
        <w:tc>
          <w:tcPr>
            <w:tcW w:w="1455" w:type="dxa"/>
            <w:shd w:val="clear" w:color="auto" w:fill="DBDBDB" w:themeFill="accent3" w:themeFillTint="66"/>
            <w:vAlign w:val="center"/>
          </w:tcPr>
          <w:p w:rsidR="002A7071" w:rsidRPr="00D30D35" w:rsidRDefault="002A7071" w:rsidP="009D4FAD">
            <w:pPr>
              <w:jc w:val="center"/>
              <w:rPr>
                <w:b/>
              </w:rPr>
            </w:pPr>
            <w:r w:rsidRPr="00D30D35">
              <w:rPr>
                <w:b/>
              </w:rPr>
              <w:t>Placebo CGI</w:t>
            </w:r>
          </w:p>
        </w:tc>
      </w:tr>
      <w:tr w:rsidR="002A7071" w:rsidTr="009D4FAD">
        <w:trPr>
          <w:trHeight w:val="1237"/>
        </w:trPr>
        <w:tc>
          <w:tcPr>
            <w:tcW w:w="1563" w:type="dxa"/>
            <w:shd w:val="clear" w:color="auto" w:fill="DBDBDB" w:themeFill="accent3" w:themeFillTint="66"/>
            <w:vAlign w:val="center"/>
          </w:tcPr>
          <w:p w:rsidR="002A7071" w:rsidRPr="00D30D35" w:rsidRDefault="002A7071" w:rsidP="009D4FAD">
            <w:pPr>
              <w:jc w:val="center"/>
              <w:rPr>
                <w:b/>
              </w:rPr>
            </w:pPr>
            <w:r w:rsidRPr="00D30D35">
              <w:rPr>
                <w:b/>
              </w:rPr>
              <w:t>Treatment gambling severity</w:t>
            </w:r>
          </w:p>
        </w:tc>
        <w:tc>
          <w:tcPr>
            <w:tcW w:w="1508" w:type="dxa"/>
            <w:vAlign w:val="center"/>
          </w:tcPr>
          <w:p w:rsidR="002A7071" w:rsidRDefault="002A7071" w:rsidP="009D4FAD">
            <w:pPr>
              <w:jc w:val="center"/>
            </w:pPr>
            <w:r>
              <w:t>r=0.669</w:t>
            </w:r>
          </w:p>
          <w:p w:rsidR="002A7071" w:rsidRDefault="002A7071" w:rsidP="009D4FAD">
            <w:pPr>
              <w:jc w:val="center"/>
            </w:pPr>
            <w:r>
              <w:t>**</w:t>
            </w:r>
          </w:p>
          <w:p w:rsidR="002A7071" w:rsidRDefault="002A7071" w:rsidP="009D4FAD">
            <w:pPr>
              <w:jc w:val="center"/>
            </w:pPr>
          </w:p>
        </w:tc>
        <w:tc>
          <w:tcPr>
            <w:tcW w:w="1343" w:type="dxa"/>
            <w:shd w:val="clear" w:color="auto" w:fill="EDEDED" w:themeFill="accent3" w:themeFillTint="33"/>
            <w:vAlign w:val="center"/>
          </w:tcPr>
          <w:p w:rsidR="002A7071" w:rsidRDefault="002A7071" w:rsidP="009D4FAD">
            <w:pPr>
              <w:jc w:val="center"/>
            </w:pPr>
          </w:p>
        </w:tc>
        <w:tc>
          <w:tcPr>
            <w:tcW w:w="1582" w:type="dxa"/>
            <w:shd w:val="clear" w:color="auto" w:fill="EDEDED" w:themeFill="accent3" w:themeFillTint="33"/>
            <w:vAlign w:val="center"/>
          </w:tcPr>
          <w:p w:rsidR="002A7071" w:rsidRDefault="002A7071" w:rsidP="009D4FAD">
            <w:pPr>
              <w:jc w:val="center"/>
            </w:pPr>
          </w:p>
        </w:tc>
        <w:tc>
          <w:tcPr>
            <w:tcW w:w="1454" w:type="dxa"/>
            <w:shd w:val="clear" w:color="auto" w:fill="EDEDED" w:themeFill="accent3" w:themeFillTint="33"/>
            <w:vAlign w:val="center"/>
          </w:tcPr>
          <w:p w:rsidR="002A7071" w:rsidRDefault="002A7071" w:rsidP="009D4FAD">
            <w:pPr>
              <w:jc w:val="center"/>
            </w:pPr>
          </w:p>
        </w:tc>
        <w:tc>
          <w:tcPr>
            <w:tcW w:w="1455" w:type="dxa"/>
            <w:shd w:val="clear" w:color="auto" w:fill="EDEDED" w:themeFill="accent3" w:themeFillTint="33"/>
            <w:vAlign w:val="center"/>
          </w:tcPr>
          <w:p w:rsidR="002A7071" w:rsidRDefault="002A7071" w:rsidP="009D4FAD">
            <w:pPr>
              <w:jc w:val="center"/>
            </w:pPr>
          </w:p>
        </w:tc>
      </w:tr>
      <w:tr w:rsidR="002A7071" w:rsidTr="009D4FAD">
        <w:trPr>
          <w:trHeight w:val="416"/>
        </w:trPr>
        <w:tc>
          <w:tcPr>
            <w:tcW w:w="1563" w:type="dxa"/>
            <w:shd w:val="clear" w:color="auto" w:fill="DBDBDB" w:themeFill="accent3" w:themeFillTint="66"/>
            <w:vAlign w:val="center"/>
          </w:tcPr>
          <w:p w:rsidR="002A7071" w:rsidRDefault="002A7071" w:rsidP="009D4FAD">
            <w:pPr>
              <w:jc w:val="center"/>
              <w:rPr>
                <w:b/>
              </w:rPr>
            </w:pPr>
          </w:p>
          <w:p w:rsidR="002A7071" w:rsidRDefault="002A7071" w:rsidP="009D4FAD">
            <w:pPr>
              <w:jc w:val="center"/>
              <w:rPr>
                <w:b/>
              </w:rPr>
            </w:pPr>
          </w:p>
          <w:p w:rsidR="002A7071" w:rsidRDefault="002A7071" w:rsidP="009D4FAD">
            <w:pPr>
              <w:jc w:val="center"/>
              <w:rPr>
                <w:b/>
              </w:rPr>
            </w:pPr>
            <w:r w:rsidRPr="00D30D35">
              <w:rPr>
                <w:b/>
              </w:rPr>
              <w:t>Treatment QOL</w:t>
            </w:r>
          </w:p>
          <w:p w:rsidR="002A7071" w:rsidRDefault="002A7071" w:rsidP="009D4FAD">
            <w:pPr>
              <w:jc w:val="center"/>
              <w:rPr>
                <w:b/>
              </w:rPr>
            </w:pPr>
          </w:p>
          <w:p w:rsidR="002A7071" w:rsidRPr="00D30D35" w:rsidRDefault="002A7071" w:rsidP="009D4FAD">
            <w:pPr>
              <w:jc w:val="center"/>
              <w:rPr>
                <w:b/>
              </w:rPr>
            </w:pPr>
          </w:p>
        </w:tc>
        <w:tc>
          <w:tcPr>
            <w:tcW w:w="1508" w:type="dxa"/>
            <w:shd w:val="clear" w:color="auto" w:fill="EDEDED" w:themeFill="accent3" w:themeFillTint="33"/>
            <w:vAlign w:val="center"/>
          </w:tcPr>
          <w:p w:rsidR="002A7071" w:rsidRDefault="002A7071" w:rsidP="009D4FAD">
            <w:pPr>
              <w:jc w:val="center"/>
            </w:pPr>
          </w:p>
        </w:tc>
        <w:tc>
          <w:tcPr>
            <w:tcW w:w="1343" w:type="dxa"/>
            <w:vAlign w:val="center"/>
          </w:tcPr>
          <w:p w:rsidR="002A7071" w:rsidRDefault="002A7071" w:rsidP="009D4FAD">
            <w:pPr>
              <w:jc w:val="center"/>
            </w:pPr>
            <w:r>
              <w:t>r=0.198</w:t>
            </w:r>
          </w:p>
          <w:p w:rsidR="002A7071" w:rsidRDefault="002A7071" w:rsidP="009D4FAD">
            <w:pPr>
              <w:jc w:val="center"/>
            </w:pPr>
            <w:proofErr w:type="spellStart"/>
            <w:r>
              <w:t>n.s</w:t>
            </w:r>
            <w:proofErr w:type="spellEnd"/>
            <w:r>
              <w:t>.</w:t>
            </w:r>
          </w:p>
        </w:tc>
        <w:tc>
          <w:tcPr>
            <w:tcW w:w="1582" w:type="dxa"/>
            <w:shd w:val="clear" w:color="auto" w:fill="EDEDED" w:themeFill="accent3" w:themeFillTint="33"/>
            <w:vAlign w:val="center"/>
          </w:tcPr>
          <w:p w:rsidR="002A7071" w:rsidRDefault="002A7071" w:rsidP="009D4FAD">
            <w:pPr>
              <w:jc w:val="center"/>
            </w:pPr>
          </w:p>
        </w:tc>
        <w:tc>
          <w:tcPr>
            <w:tcW w:w="1454" w:type="dxa"/>
            <w:shd w:val="clear" w:color="auto" w:fill="EDEDED" w:themeFill="accent3" w:themeFillTint="33"/>
            <w:vAlign w:val="center"/>
          </w:tcPr>
          <w:p w:rsidR="002A7071" w:rsidRDefault="002A7071" w:rsidP="009D4FAD">
            <w:pPr>
              <w:jc w:val="center"/>
            </w:pPr>
          </w:p>
        </w:tc>
        <w:tc>
          <w:tcPr>
            <w:tcW w:w="1455" w:type="dxa"/>
            <w:shd w:val="clear" w:color="auto" w:fill="EDEDED" w:themeFill="accent3" w:themeFillTint="33"/>
            <w:vAlign w:val="center"/>
          </w:tcPr>
          <w:p w:rsidR="002A7071" w:rsidRDefault="002A7071" w:rsidP="009D4FAD">
            <w:pPr>
              <w:jc w:val="center"/>
            </w:pPr>
          </w:p>
        </w:tc>
      </w:tr>
      <w:tr w:rsidR="002A7071" w:rsidTr="009D4FAD">
        <w:trPr>
          <w:trHeight w:val="831"/>
        </w:trPr>
        <w:tc>
          <w:tcPr>
            <w:tcW w:w="1563" w:type="dxa"/>
            <w:shd w:val="clear" w:color="auto" w:fill="DBDBDB" w:themeFill="accent3" w:themeFillTint="66"/>
            <w:vAlign w:val="center"/>
          </w:tcPr>
          <w:p w:rsidR="002A7071" w:rsidRPr="00D30D35" w:rsidRDefault="002A7071" w:rsidP="009D4FAD">
            <w:pPr>
              <w:jc w:val="center"/>
              <w:rPr>
                <w:b/>
              </w:rPr>
            </w:pPr>
            <w:r w:rsidRPr="00D30D35">
              <w:rPr>
                <w:b/>
              </w:rPr>
              <w:t>Treatment PGYBOCS</w:t>
            </w:r>
          </w:p>
        </w:tc>
        <w:tc>
          <w:tcPr>
            <w:tcW w:w="1508" w:type="dxa"/>
            <w:shd w:val="clear" w:color="auto" w:fill="EDEDED" w:themeFill="accent3" w:themeFillTint="33"/>
            <w:vAlign w:val="center"/>
          </w:tcPr>
          <w:p w:rsidR="002A7071" w:rsidRDefault="002A7071" w:rsidP="009D4FAD">
            <w:pPr>
              <w:jc w:val="center"/>
            </w:pPr>
          </w:p>
        </w:tc>
        <w:tc>
          <w:tcPr>
            <w:tcW w:w="1343" w:type="dxa"/>
            <w:shd w:val="clear" w:color="auto" w:fill="EDEDED" w:themeFill="accent3" w:themeFillTint="33"/>
            <w:vAlign w:val="center"/>
          </w:tcPr>
          <w:p w:rsidR="002A7071" w:rsidRDefault="002A7071" w:rsidP="009D4FAD">
            <w:pPr>
              <w:jc w:val="center"/>
            </w:pPr>
          </w:p>
        </w:tc>
        <w:tc>
          <w:tcPr>
            <w:tcW w:w="1582" w:type="dxa"/>
            <w:vAlign w:val="center"/>
          </w:tcPr>
          <w:p w:rsidR="002A7071" w:rsidRDefault="002A7071" w:rsidP="009D4FAD">
            <w:pPr>
              <w:jc w:val="center"/>
            </w:pPr>
            <w:r>
              <w:t>r=0.735</w:t>
            </w:r>
          </w:p>
          <w:p w:rsidR="002A7071" w:rsidRDefault="002A7071" w:rsidP="009D4FAD">
            <w:pPr>
              <w:jc w:val="center"/>
            </w:pPr>
            <w:r>
              <w:t>**</w:t>
            </w:r>
          </w:p>
        </w:tc>
        <w:tc>
          <w:tcPr>
            <w:tcW w:w="1454" w:type="dxa"/>
            <w:shd w:val="clear" w:color="auto" w:fill="EDEDED" w:themeFill="accent3" w:themeFillTint="33"/>
            <w:vAlign w:val="center"/>
          </w:tcPr>
          <w:p w:rsidR="002A7071" w:rsidRDefault="002A7071" w:rsidP="009D4FAD">
            <w:pPr>
              <w:jc w:val="center"/>
            </w:pPr>
          </w:p>
        </w:tc>
        <w:tc>
          <w:tcPr>
            <w:tcW w:w="1455" w:type="dxa"/>
            <w:shd w:val="clear" w:color="auto" w:fill="EDEDED" w:themeFill="accent3" w:themeFillTint="33"/>
            <w:vAlign w:val="center"/>
          </w:tcPr>
          <w:p w:rsidR="002A7071" w:rsidRDefault="002A7071" w:rsidP="009D4FAD">
            <w:pPr>
              <w:jc w:val="center"/>
            </w:pPr>
          </w:p>
        </w:tc>
      </w:tr>
      <w:tr w:rsidR="002A7071" w:rsidTr="009D4FAD">
        <w:trPr>
          <w:trHeight w:val="416"/>
        </w:trPr>
        <w:tc>
          <w:tcPr>
            <w:tcW w:w="1563" w:type="dxa"/>
            <w:shd w:val="clear" w:color="auto" w:fill="DBDBDB" w:themeFill="accent3" w:themeFillTint="66"/>
            <w:vAlign w:val="center"/>
          </w:tcPr>
          <w:p w:rsidR="002A7071" w:rsidRDefault="002A7071" w:rsidP="009D4FAD">
            <w:pPr>
              <w:jc w:val="center"/>
              <w:rPr>
                <w:b/>
              </w:rPr>
            </w:pPr>
          </w:p>
          <w:p w:rsidR="002A7071" w:rsidRDefault="002A7071" w:rsidP="009D4FAD">
            <w:pPr>
              <w:jc w:val="center"/>
              <w:rPr>
                <w:b/>
              </w:rPr>
            </w:pPr>
            <w:r w:rsidRPr="00D30D35">
              <w:rPr>
                <w:b/>
              </w:rPr>
              <w:t>Treatment GSAS</w:t>
            </w:r>
          </w:p>
          <w:p w:rsidR="002A7071" w:rsidRPr="00D30D35" w:rsidRDefault="002A7071" w:rsidP="009D4FAD">
            <w:pPr>
              <w:jc w:val="center"/>
              <w:rPr>
                <w:b/>
              </w:rPr>
            </w:pPr>
          </w:p>
        </w:tc>
        <w:tc>
          <w:tcPr>
            <w:tcW w:w="1508" w:type="dxa"/>
            <w:shd w:val="clear" w:color="auto" w:fill="EDEDED" w:themeFill="accent3" w:themeFillTint="33"/>
            <w:vAlign w:val="center"/>
          </w:tcPr>
          <w:p w:rsidR="002A7071" w:rsidRDefault="002A7071" w:rsidP="009D4FAD">
            <w:pPr>
              <w:jc w:val="center"/>
            </w:pPr>
          </w:p>
        </w:tc>
        <w:tc>
          <w:tcPr>
            <w:tcW w:w="1343" w:type="dxa"/>
            <w:shd w:val="clear" w:color="auto" w:fill="EDEDED" w:themeFill="accent3" w:themeFillTint="33"/>
            <w:vAlign w:val="center"/>
          </w:tcPr>
          <w:p w:rsidR="002A7071" w:rsidRDefault="002A7071" w:rsidP="009D4FAD">
            <w:pPr>
              <w:jc w:val="center"/>
            </w:pPr>
          </w:p>
        </w:tc>
        <w:tc>
          <w:tcPr>
            <w:tcW w:w="1582" w:type="dxa"/>
            <w:shd w:val="clear" w:color="auto" w:fill="EDEDED" w:themeFill="accent3" w:themeFillTint="33"/>
            <w:vAlign w:val="center"/>
          </w:tcPr>
          <w:p w:rsidR="002A7071" w:rsidRDefault="002A7071" w:rsidP="009D4FAD">
            <w:pPr>
              <w:jc w:val="center"/>
            </w:pPr>
          </w:p>
        </w:tc>
        <w:tc>
          <w:tcPr>
            <w:tcW w:w="1454" w:type="dxa"/>
            <w:vAlign w:val="center"/>
          </w:tcPr>
          <w:p w:rsidR="002A7071" w:rsidRDefault="002A7071" w:rsidP="009D4FAD">
            <w:pPr>
              <w:jc w:val="center"/>
            </w:pPr>
            <w:r>
              <w:t>r=0.672</w:t>
            </w:r>
          </w:p>
          <w:p w:rsidR="002A7071" w:rsidRDefault="002A7071" w:rsidP="009D4FAD">
            <w:pPr>
              <w:jc w:val="center"/>
            </w:pPr>
            <w:r>
              <w:t>*</w:t>
            </w:r>
          </w:p>
        </w:tc>
        <w:tc>
          <w:tcPr>
            <w:tcW w:w="1455" w:type="dxa"/>
            <w:shd w:val="clear" w:color="auto" w:fill="EDEDED" w:themeFill="accent3" w:themeFillTint="33"/>
            <w:vAlign w:val="center"/>
          </w:tcPr>
          <w:p w:rsidR="002A7071" w:rsidRDefault="002A7071" w:rsidP="009D4FAD">
            <w:pPr>
              <w:jc w:val="center"/>
            </w:pPr>
          </w:p>
        </w:tc>
      </w:tr>
      <w:tr w:rsidR="002A7071" w:rsidTr="009D4FAD">
        <w:trPr>
          <w:trHeight w:val="416"/>
        </w:trPr>
        <w:tc>
          <w:tcPr>
            <w:tcW w:w="1563" w:type="dxa"/>
            <w:shd w:val="clear" w:color="auto" w:fill="DBDBDB" w:themeFill="accent3" w:themeFillTint="66"/>
            <w:vAlign w:val="center"/>
          </w:tcPr>
          <w:p w:rsidR="002A7071" w:rsidRDefault="002A7071" w:rsidP="009D4FAD">
            <w:pPr>
              <w:jc w:val="center"/>
              <w:rPr>
                <w:b/>
              </w:rPr>
            </w:pPr>
          </w:p>
          <w:p w:rsidR="002A7071" w:rsidRDefault="002A7071" w:rsidP="009D4FAD">
            <w:pPr>
              <w:jc w:val="center"/>
              <w:rPr>
                <w:b/>
              </w:rPr>
            </w:pPr>
            <w:r w:rsidRPr="00D30D35">
              <w:rPr>
                <w:b/>
              </w:rPr>
              <w:t>Treatment CGI</w:t>
            </w:r>
          </w:p>
          <w:p w:rsidR="002A7071" w:rsidRPr="00D30D35" w:rsidRDefault="002A7071" w:rsidP="009D4FAD">
            <w:pPr>
              <w:jc w:val="center"/>
              <w:rPr>
                <w:b/>
              </w:rPr>
            </w:pPr>
          </w:p>
        </w:tc>
        <w:tc>
          <w:tcPr>
            <w:tcW w:w="1508" w:type="dxa"/>
            <w:shd w:val="clear" w:color="auto" w:fill="EDEDED" w:themeFill="accent3" w:themeFillTint="33"/>
            <w:vAlign w:val="center"/>
          </w:tcPr>
          <w:p w:rsidR="002A7071" w:rsidRDefault="002A7071" w:rsidP="009D4FAD">
            <w:pPr>
              <w:jc w:val="center"/>
            </w:pPr>
          </w:p>
        </w:tc>
        <w:tc>
          <w:tcPr>
            <w:tcW w:w="1343" w:type="dxa"/>
            <w:shd w:val="clear" w:color="auto" w:fill="EDEDED" w:themeFill="accent3" w:themeFillTint="33"/>
            <w:vAlign w:val="center"/>
          </w:tcPr>
          <w:p w:rsidR="002A7071" w:rsidRDefault="002A7071" w:rsidP="009D4FAD">
            <w:pPr>
              <w:jc w:val="center"/>
            </w:pPr>
          </w:p>
        </w:tc>
        <w:tc>
          <w:tcPr>
            <w:tcW w:w="1582" w:type="dxa"/>
            <w:shd w:val="clear" w:color="auto" w:fill="EDEDED" w:themeFill="accent3" w:themeFillTint="33"/>
            <w:vAlign w:val="center"/>
          </w:tcPr>
          <w:p w:rsidR="002A7071" w:rsidRDefault="002A7071" w:rsidP="009D4FAD">
            <w:pPr>
              <w:jc w:val="center"/>
            </w:pPr>
          </w:p>
        </w:tc>
        <w:tc>
          <w:tcPr>
            <w:tcW w:w="1454" w:type="dxa"/>
            <w:shd w:val="clear" w:color="auto" w:fill="EDEDED" w:themeFill="accent3" w:themeFillTint="33"/>
            <w:vAlign w:val="center"/>
          </w:tcPr>
          <w:p w:rsidR="002A7071" w:rsidRDefault="002A7071" w:rsidP="009D4FAD">
            <w:pPr>
              <w:jc w:val="center"/>
            </w:pPr>
          </w:p>
        </w:tc>
        <w:tc>
          <w:tcPr>
            <w:tcW w:w="1455" w:type="dxa"/>
            <w:vAlign w:val="center"/>
          </w:tcPr>
          <w:p w:rsidR="002A7071" w:rsidRDefault="002A7071" w:rsidP="009D4FAD">
            <w:pPr>
              <w:jc w:val="center"/>
            </w:pPr>
            <w:r>
              <w:t>r=0.96</w:t>
            </w:r>
          </w:p>
          <w:p w:rsidR="002A7071" w:rsidRDefault="002A7071" w:rsidP="009D4FAD">
            <w:pPr>
              <w:jc w:val="center"/>
            </w:pPr>
            <w:r>
              <w:t>***</w:t>
            </w:r>
          </w:p>
        </w:tc>
      </w:tr>
    </w:tbl>
    <w:p w:rsidR="002A7071" w:rsidRDefault="002A7071" w:rsidP="002A7071">
      <w:pPr>
        <w:jc w:val="center"/>
      </w:pPr>
    </w:p>
    <w:p w:rsidR="0029344B" w:rsidRDefault="0029344B" w:rsidP="0029344B">
      <w:pPr>
        <w:pStyle w:val="Heading2"/>
      </w:pPr>
      <w:r>
        <w:rPr>
          <w:rFonts w:cs="Times New Roman"/>
        </w:rPr>
        <w:t>§S</w:t>
      </w:r>
      <w:r w:rsidR="006F1AEC">
        <w:t>6</w:t>
      </w:r>
      <w:r>
        <w:t xml:space="preserve"> Sensitivity analysis with correlation 0.25</w:t>
      </w:r>
    </w:p>
    <w:p w:rsidR="00CF75F4" w:rsidRDefault="00CF75F4" w:rsidP="00CF75F4">
      <w:pPr>
        <w:pStyle w:val="Heading3"/>
      </w:pPr>
      <w:r>
        <w:t>Forest plots</w:t>
      </w:r>
    </w:p>
    <w:p w:rsidR="00CF75F4" w:rsidRDefault="00CF75F4" w:rsidP="00CF75F4">
      <w:pPr>
        <w:jc w:val="center"/>
      </w:pPr>
      <w:r w:rsidRPr="00B50D06">
        <w:rPr>
          <w:noProof/>
          <w:lang w:eastAsia="en-GB"/>
        </w:rPr>
        <w:drawing>
          <wp:inline distT="0" distB="0" distL="0" distR="0" wp14:anchorId="253C03B1" wp14:editId="0A666815">
            <wp:extent cx="5731510" cy="34842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484245"/>
                    </a:xfrm>
                    <a:prstGeom prst="rect">
                      <a:avLst/>
                    </a:prstGeom>
                  </pic:spPr>
                </pic:pic>
              </a:graphicData>
            </a:graphic>
          </wp:inline>
        </w:drawing>
      </w:r>
    </w:p>
    <w:p w:rsidR="00CF75F4" w:rsidRDefault="00CF75F4" w:rsidP="00CF75F4">
      <w:pPr>
        <w:pStyle w:val="Heading3"/>
      </w:pPr>
      <w:r>
        <w:lastRenderedPageBreak/>
        <w:t>Funnel plots</w:t>
      </w:r>
    </w:p>
    <w:p w:rsidR="00CF75F4" w:rsidRDefault="00CF75F4" w:rsidP="00CF75F4">
      <w:pPr>
        <w:jc w:val="center"/>
      </w:pPr>
      <w:r w:rsidRPr="00B50D06">
        <w:rPr>
          <w:noProof/>
          <w:lang w:eastAsia="en-GB"/>
        </w:rPr>
        <w:drawing>
          <wp:inline distT="0" distB="0" distL="0" distR="0" wp14:anchorId="39D029B0" wp14:editId="01DC0E99">
            <wp:extent cx="5731510" cy="358584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585845"/>
                    </a:xfrm>
                    <a:prstGeom prst="rect">
                      <a:avLst/>
                    </a:prstGeom>
                  </pic:spPr>
                </pic:pic>
              </a:graphicData>
            </a:graphic>
          </wp:inline>
        </w:drawing>
      </w:r>
    </w:p>
    <w:p w:rsidR="00CB5080" w:rsidRDefault="00CB5080" w:rsidP="00FC6BA4">
      <w:pPr>
        <w:jc w:val="both"/>
      </w:pPr>
      <w:r w:rsidRPr="005649D9">
        <w:rPr>
          <w:b/>
        </w:rPr>
        <w:t>Legend</w:t>
      </w:r>
      <w:r>
        <w:t xml:space="preserve"> – Funnel plots with regression for funnel plot asymmetry p-values. PG-YBOCS</w:t>
      </w:r>
      <w:r w:rsidRPr="00BE1862">
        <w:t xml:space="preserve"> </w:t>
      </w:r>
      <w:r>
        <w:t xml:space="preserve">= </w:t>
      </w:r>
      <w:r w:rsidRPr="00BE1862">
        <w:t>Yale-Brown Obsessive Compulsive Scale adapted for Patholo</w:t>
      </w:r>
      <w:r>
        <w:t>gical Gambling, GSAS =</w:t>
      </w:r>
      <w:r w:rsidRPr="00BE1862">
        <w:t xml:space="preserve"> Gambling Sympto</w:t>
      </w:r>
      <w:r>
        <w:t>m Assessment Scale,</w:t>
      </w:r>
      <w:r w:rsidRPr="00BE1862">
        <w:t xml:space="preserve"> CGI-I </w:t>
      </w:r>
      <w:r>
        <w:t xml:space="preserve">= </w:t>
      </w:r>
      <w:r w:rsidRPr="00BE1862">
        <w:t>Clinical Global Impression-Improvement scale</w:t>
      </w:r>
      <w:r>
        <w:t xml:space="preserve">. Publication bias identified in the Quality of life analysis and the trim and fill method was used to provide a new effect size estimate. </w:t>
      </w:r>
    </w:p>
    <w:p w:rsidR="00CB5080" w:rsidRDefault="00CB5080" w:rsidP="00CF75F4">
      <w:pPr>
        <w:jc w:val="center"/>
      </w:pPr>
    </w:p>
    <w:p w:rsidR="0029344B" w:rsidRPr="0029344B" w:rsidRDefault="0029344B" w:rsidP="0029344B">
      <w:pPr>
        <w:pStyle w:val="Heading3"/>
      </w:pPr>
      <w:r>
        <w:t>Heterogeneity</w:t>
      </w:r>
      <w:r w:rsidR="00503B80">
        <w:t xml:space="preserve"> placebo with r=0.25</w:t>
      </w:r>
    </w:p>
    <w:tbl>
      <w:tblPr>
        <w:tblStyle w:val="TableGrid"/>
        <w:tblW w:w="0" w:type="auto"/>
        <w:tblLook w:val="04A0" w:firstRow="1" w:lastRow="0" w:firstColumn="1" w:lastColumn="0" w:noHBand="0" w:noVBand="1"/>
      </w:tblPr>
      <w:tblGrid>
        <w:gridCol w:w="1563"/>
        <w:gridCol w:w="1508"/>
        <w:gridCol w:w="1343"/>
        <w:gridCol w:w="1582"/>
        <w:gridCol w:w="1454"/>
        <w:gridCol w:w="1455"/>
      </w:tblGrid>
      <w:tr w:rsidR="0029344B" w:rsidTr="009D4FAD">
        <w:trPr>
          <w:trHeight w:val="1237"/>
        </w:trPr>
        <w:tc>
          <w:tcPr>
            <w:tcW w:w="1563" w:type="dxa"/>
            <w:shd w:val="clear" w:color="auto" w:fill="DBDBDB" w:themeFill="accent3" w:themeFillTint="66"/>
            <w:vAlign w:val="center"/>
          </w:tcPr>
          <w:p w:rsidR="0029344B" w:rsidRPr="00D30D35" w:rsidRDefault="0029344B" w:rsidP="009D4FAD">
            <w:pPr>
              <w:jc w:val="center"/>
              <w:rPr>
                <w:b/>
              </w:rPr>
            </w:pPr>
          </w:p>
        </w:tc>
        <w:tc>
          <w:tcPr>
            <w:tcW w:w="1508" w:type="dxa"/>
            <w:shd w:val="clear" w:color="auto" w:fill="DBDBDB" w:themeFill="accent3" w:themeFillTint="66"/>
            <w:vAlign w:val="center"/>
          </w:tcPr>
          <w:p w:rsidR="0029344B" w:rsidRPr="00D30D35" w:rsidRDefault="0029344B" w:rsidP="009D4FAD">
            <w:pPr>
              <w:jc w:val="center"/>
              <w:rPr>
                <w:b/>
              </w:rPr>
            </w:pPr>
            <w:r w:rsidRPr="00B65020">
              <w:rPr>
                <w:b/>
              </w:rPr>
              <w:t>tau^2 (estimated amount of total heterogeneity):</w:t>
            </w:r>
          </w:p>
        </w:tc>
        <w:tc>
          <w:tcPr>
            <w:tcW w:w="1343" w:type="dxa"/>
            <w:shd w:val="clear" w:color="auto" w:fill="DBDBDB" w:themeFill="accent3" w:themeFillTint="66"/>
            <w:vAlign w:val="center"/>
          </w:tcPr>
          <w:p w:rsidR="0029344B" w:rsidRPr="00D30D35" w:rsidRDefault="0029344B" w:rsidP="009D4FAD">
            <w:pPr>
              <w:jc w:val="center"/>
              <w:rPr>
                <w:b/>
              </w:rPr>
            </w:pPr>
            <w:r w:rsidRPr="00B65020">
              <w:rPr>
                <w:b/>
              </w:rPr>
              <w:t xml:space="preserve">tau (square root of estimated tau^2 value):      </w:t>
            </w:r>
          </w:p>
        </w:tc>
        <w:tc>
          <w:tcPr>
            <w:tcW w:w="1582" w:type="dxa"/>
            <w:shd w:val="clear" w:color="auto" w:fill="DBDBDB" w:themeFill="accent3" w:themeFillTint="66"/>
            <w:vAlign w:val="center"/>
          </w:tcPr>
          <w:p w:rsidR="0029344B" w:rsidRPr="00D30D35" w:rsidRDefault="0029344B" w:rsidP="009D4FAD">
            <w:pPr>
              <w:jc w:val="center"/>
              <w:rPr>
                <w:b/>
              </w:rPr>
            </w:pPr>
            <w:r w:rsidRPr="00B65020">
              <w:rPr>
                <w:b/>
              </w:rPr>
              <w:t xml:space="preserve">I^2 (total heterogeneity / total variability):   </w:t>
            </w:r>
          </w:p>
        </w:tc>
        <w:tc>
          <w:tcPr>
            <w:tcW w:w="1454" w:type="dxa"/>
            <w:shd w:val="clear" w:color="auto" w:fill="DBDBDB" w:themeFill="accent3" w:themeFillTint="66"/>
            <w:vAlign w:val="center"/>
          </w:tcPr>
          <w:p w:rsidR="0029344B" w:rsidRPr="00D30D35" w:rsidRDefault="0029344B" w:rsidP="009D4FAD">
            <w:pPr>
              <w:jc w:val="center"/>
              <w:rPr>
                <w:b/>
              </w:rPr>
            </w:pPr>
            <w:r w:rsidRPr="00B65020">
              <w:rPr>
                <w:b/>
              </w:rPr>
              <w:t xml:space="preserve">H^2 (total variability / sampling variability):  </w:t>
            </w:r>
          </w:p>
        </w:tc>
        <w:tc>
          <w:tcPr>
            <w:tcW w:w="1455" w:type="dxa"/>
            <w:shd w:val="clear" w:color="auto" w:fill="DBDBDB" w:themeFill="accent3" w:themeFillTint="66"/>
            <w:vAlign w:val="center"/>
          </w:tcPr>
          <w:p w:rsidR="0029344B" w:rsidRPr="00B65020" w:rsidRDefault="0029344B" w:rsidP="009D4FAD">
            <w:pPr>
              <w:jc w:val="center"/>
              <w:rPr>
                <w:b/>
              </w:rPr>
            </w:pPr>
            <w:r w:rsidRPr="00B65020">
              <w:rPr>
                <w:b/>
              </w:rPr>
              <w:t>Test for Heterogeneity:</w:t>
            </w:r>
          </w:p>
          <w:p w:rsidR="0029344B" w:rsidRPr="00D30D35" w:rsidRDefault="0029344B" w:rsidP="009D4FAD">
            <w:pPr>
              <w:jc w:val="center"/>
              <w:rPr>
                <w:b/>
              </w:rPr>
            </w:pPr>
          </w:p>
        </w:tc>
      </w:tr>
      <w:tr w:rsidR="00503B80" w:rsidTr="009D4FAD">
        <w:trPr>
          <w:trHeight w:val="842"/>
        </w:trPr>
        <w:tc>
          <w:tcPr>
            <w:tcW w:w="1563" w:type="dxa"/>
            <w:shd w:val="clear" w:color="auto" w:fill="DBDBDB" w:themeFill="accent3" w:themeFillTint="66"/>
            <w:vAlign w:val="center"/>
          </w:tcPr>
          <w:p w:rsidR="00503B80" w:rsidRPr="00865875" w:rsidRDefault="00503B80" w:rsidP="00503B80">
            <w:pPr>
              <w:jc w:val="center"/>
              <w:rPr>
                <w:b/>
                <w:szCs w:val="16"/>
              </w:rPr>
            </w:pPr>
            <w:r w:rsidRPr="00865875">
              <w:rPr>
                <w:b/>
                <w:szCs w:val="16"/>
              </w:rPr>
              <w:t>Placebo gambling severity</w:t>
            </w:r>
          </w:p>
        </w:tc>
        <w:tc>
          <w:tcPr>
            <w:tcW w:w="1508" w:type="dxa"/>
            <w:shd w:val="clear" w:color="auto" w:fill="FFFFFF" w:themeFill="background1"/>
            <w:vAlign w:val="center"/>
          </w:tcPr>
          <w:p w:rsidR="00503B80" w:rsidRDefault="00503B80" w:rsidP="00503B80">
            <w:pPr>
              <w:jc w:val="center"/>
            </w:pPr>
            <w:r>
              <w:t>0.1464 (SE = 0.0808)</w:t>
            </w:r>
          </w:p>
        </w:tc>
        <w:tc>
          <w:tcPr>
            <w:tcW w:w="1343" w:type="dxa"/>
            <w:shd w:val="clear" w:color="auto" w:fill="FFFFFF" w:themeFill="background1"/>
            <w:vAlign w:val="center"/>
          </w:tcPr>
          <w:p w:rsidR="00503B80" w:rsidRDefault="00503B80" w:rsidP="00503B80">
            <w:pPr>
              <w:jc w:val="center"/>
            </w:pPr>
            <w:r>
              <w:t>0.3826</w:t>
            </w:r>
          </w:p>
        </w:tc>
        <w:tc>
          <w:tcPr>
            <w:tcW w:w="1582" w:type="dxa"/>
            <w:shd w:val="clear" w:color="auto" w:fill="FFFFFF" w:themeFill="background1"/>
            <w:vAlign w:val="center"/>
          </w:tcPr>
          <w:p w:rsidR="00503B80" w:rsidRDefault="00503B80" w:rsidP="00503B80">
            <w:pPr>
              <w:jc w:val="center"/>
            </w:pPr>
            <w:r>
              <w:t>69.19%</w:t>
            </w:r>
          </w:p>
        </w:tc>
        <w:tc>
          <w:tcPr>
            <w:tcW w:w="1454" w:type="dxa"/>
            <w:shd w:val="clear" w:color="auto" w:fill="FFFFFF" w:themeFill="background1"/>
            <w:vAlign w:val="center"/>
          </w:tcPr>
          <w:p w:rsidR="00503B80" w:rsidRDefault="00503B80" w:rsidP="00503B80">
            <w:pPr>
              <w:jc w:val="center"/>
            </w:pPr>
            <w:r>
              <w:t>3.25</w:t>
            </w:r>
          </w:p>
        </w:tc>
        <w:tc>
          <w:tcPr>
            <w:tcW w:w="1455" w:type="dxa"/>
            <w:shd w:val="clear" w:color="auto" w:fill="FFFFFF" w:themeFill="background1"/>
            <w:vAlign w:val="center"/>
          </w:tcPr>
          <w:p w:rsidR="00503B80" w:rsidRDefault="00503B80" w:rsidP="00503B80">
            <w:pPr>
              <w:jc w:val="center"/>
            </w:pPr>
            <w:r>
              <w:t>Q(</w:t>
            </w:r>
            <w:proofErr w:type="spellStart"/>
            <w:r>
              <w:t>df</w:t>
            </w:r>
            <w:proofErr w:type="spellEnd"/>
            <w:r>
              <w:t xml:space="preserve"> = 15) = 51.0825, p-</w:t>
            </w:r>
            <w:proofErr w:type="spellStart"/>
            <w:r>
              <w:t>val</w:t>
            </w:r>
            <w:proofErr w:type="spellEnd"/>
            <w:r>
              <w:t xml:space="preserve"> &lt; .0001</w:t>
            </w:r>
          </w:p>
        </w:tc>
      </w:tr>
      <w:tr w:rsidR="00503B80" w:rsidTr="009D4FAD">
        <w:trPr>
          <w:trHeight w:val="416"/>
        </w:trPr>
        <w:tc>
          <w:tcPr>
            <w:tcW w:w="1563" w:type="dxa"/>
            <w:shd w:val="clear" w:color="auto" w:fill="DBDBDB" w:themeFill="accent3" w:themeFillTint="66"/>
            <w:vAlign w:val="center"/>
          </w:tcPr>
          <w:p w:rsidR="00503B80" w:rsidRPr="00865875" w:rsidRDefault="00503B80" w:rsidP="00503B80">
            <w:pPr>
              <w:jc w:val="center"/>
              <w:rPr>
                <w:b/>
                <w:szCs w:val="16"/>
              </w:rPr>
            </w:pPr>
            <w:r w:rsidRPr="00865875">
              <w:rPr>
                <w:b/>
                <w:szCs w:val="16"/>
              </w:rPr>
              <w:t>Placebo QOL</w:t>
            </w:r>
          </w:p>
        </w:tc>
        <w:tc>
          <w:tcPr>
            <w:tcW w:w="1508" w:type="dxa"/>
            <w:shd w:val="clear" w:color="auto" w:fill="FFFFFF" w:themeFill="background1"/>
            <w:vAlign w:val="center"/>
          </w:tcPr>
          <w:p w:rsidR="00503B80" w:rsidRDefault="00503B80" w:rsidP="00503B80">
            <w:pPr>
              <w:jc w:val="center"/>
            </w:pPr>
            <w:r>
              <w:t>0.0191 (SE = 0.0333)</w:t>
            </w:r>
          </w:p>
        </w:tc>
        <w:tc>
          <w:tcPr>
            <w:tcW w:w="1343" w:type="dxa"/>
            <w:shd w:val="clear" w:color="auto" w:fill="FFFFFF" w:themeFill="background1"/>
            <w:vAlign w:val="center"/>
          </w:tcPr>
          <w:p w:rsidR="00503B80" w:rsidRDefault="00503B80" w:rsidP="00503B80">
            <w:pPr>
              <w:jc w:val="center"/>
            </w:pPr>
            <w:r>
              <w:t>0.1383</w:t>
            </w:r>
          </w:p>
        </w:tc>
        <w:tc>
          <w:tcPr>
            <w:tcW w:w="1582" w:type="dxa"/>
            <w:shd w:val="clear" w:color="auto" w:fill="FFFFFF" w:themeFill="background1"/>
            <w:vAlign w:val="center"/>
          </w:tcPr>
          <w:p w:rsidR="00503B80" w:rsidRDefault="00503B80" w:rsidP="00503B80">
            <w:pPr>
              <w:jc w:val="center"/>
            </w:pPr>
            <w:r>
              <w:t>30.57%</w:t>
            </w:r>
          </w:p>
        </w:tc>
        <w:tc>
          <w:tcPr>
            <w:tcW w:w="1454" w:type="dxa"/>
            <w:shd w:val="clear" w:color="auto" w:fill="FFFFFF" w:themeFill="background1"/>
            <w:vAlign w:val="center"/>
          </w:tcPr>
          <w:p w:rsidR="00503B80" w:rsidRDefault="00503B80" w:rsidP="00503B80">
            <w:pPr>
              <w:jc w:val="center"/>
            </w:pPr>
            <w:r>
              <w:t>1.44</w:t>
            </w:r>
          </w:p>
        </w:tc>
        <w:tc>
          <w:tcPr>
            <w:tcW w:w="1455" w:type="dxa"/>
            <w:shd w:val="clear" w:color="auto" w:fill="FFFFFF" w:themeFill="background1"/>
            <w:vAlign w:val="center"/>
          </w:tcPr>
          <w:p w:rsidR="00503B80" w:rsidRDefault="00503B80" w:rsidP="00503B80">
            <w:pPr>
              <w:jc w:val="center"/>
            </w:pPr>
            <w:r>
              <w:t>Q(</w:t>
            </w:r>
            <w:proofErr w:type="spellStart"/>
            <w:r>
              <w:t>df</w:t>
            </w:r>
            <w:proofErr w:type="spellEnd"/>
            <w:r>
              <w:t xml:space="preserve"> = 7) = 9.7669, p-</w:t>
            </w:r>
            <w:proofErr w:type="spellStart"/>
            <w:r>
              <w:t>val</w:t>
            </w:r>
            <w:proofErr w:type="spellEnd"/>
            <w:r>
              <w:t xml:space="preserve"> = 0.2022</w:t>
            </w:r>
          </w:p>
        </w:tc>
      </w:tr>
      <w:tr w:rsidR="00503B80" w:rsidTr="009D4FAD">
        <w:trPr>
          <w:trHeight w:val="831"/>
        </w:trPr>
        <w:tc>
          <w:tcPr>
            <w:tcW w:w="1563" w:type="dxa"/>
            <w:shd w:val="clear" w:color="auto" w:fill="DBDBDB" w:themeFill="accent3" w:themeFillTint="66"/>
            <w:vAlign w:val="center"/>
          </w:tcPr>
          <w:p w:rsidR="00503B80" w:rsidRPr="00865875" w:rsidRDefault="00503B80" w:rsidP="00503B80">
            <w:pPr>
              <w:jc w:val="center"/>
              <w:rPr>
                <w:b/>
                <w:szCs w:val="16"/>
              </w:rPr>
            </w:pPr>
            <w:r w:rsidRPr="00865875">
              <w:rPr>
                <w:b/>
                <w:szCs w:val="16"/>
              </w:rPr>
              <w:t>Placebo PGYBOCS</w:t>
            </w:r>
          </w:p>
        </w:tc>
        <w:tc>
          <w:tcPr>
            <w:tcW w:w="1508" w:type="dxa"/>
            <w:shd w:val="clear" w:color="auto" w:fill="FFFFFF" w:themeFill="background1"/>
            <w:vAlign w:val="center"/>
          </w:tcPr>
          <w:p w:rsidR="00503B80" w:rsidRDefault="00503B80" w:rsidP="00503B80">
            <w:pPr>
              <w:jc w:val="center"/>
            </w:pPr>
            <w:r>
              <w:t>0.1565 (SE = 0.1010)</w:t>
            </w:r>
          </w:p>
        </w:tc>
        <w:tc>
          <w:tcPr>
            <w:tcW w:w="1343" w:type="dxa"/>
            <w:shd w:val="clear" w:color="auto" w:fill="FFFFFF" w:themeFill="background1"/>
            <w:vAlign w:val="center"/>
          </w:tcPr>
          <w:p w:rsidR="00503B80" w:rsidRDefault="00503B80" w:rsidP="00503B80">
            <w:pPr>
              <w:jc w:val="center"/>
            </w:pPr>
            <w:r>
              <w:t>0.3956</w:t>
            </w:r>
          </w:p>
        </w:tc>
        <w:tc>
          <w:tcPr>
            <w:tcW w:w="1582" w:type="dxa"/>
            <w:shd w:val="clear" w:color="auto" w:fill="FFFFFF" w:themeFill="background1"/>
            <w:vAlign w:val="center"/>
          </w:tcPr>
          <w:p w:rsidR="00503B80" w:rsidRDefault="00503B80" w:rsidP="00503B80">
            <w:pPr>
              <w:jc w:val="center"/>
            </w:pPr>
            <w:r>
              <w:t>69.57%</w:t>
            </w:r>
          </w:p>
        </w:tc>
        <w:tc>
          <w:tcPr>
            <w:tcW w:w="1454" w:type="dxa"/>
            <w:shd w:val="clear" w:color="auto" w:fill="FFFFFF" w:themeFill="background1"/>
            <w:vAlign w:val="center"/>
          </w:tcPr>
          <w:p w:rsidR="00503B80" w:rsidRDefault="00503B80" w:rsidP="00503B80">
            <w:pPr>
              <w:jc w:val="center"/>
            </w:pPr>
            <w:r>
              <w:t>3.29</w:t>
            </w:r>
          </w:p>
        </w:tc>
        <w:tc>
          <w:tcPr>
            <w:tcW w:w="1455" w:type="dxa"/>
            <w:shd w:val="clear" w:color="auto" w:fill="FFFFFF" w:themeFill="background1"/>
            <w:vAlign w:val="center"/>
          </w:tcPr>
          <w:p w:rsidR="00503B80" w:rsidRDefault="00503B80" w:rsidP="00503B80">
            <w:pPr>
              <w:jc w:val="center"/>
            </w:pPr>
            <w:r>
              <w:t>Q(</w:t>
            </w:r>
            <w:proofErr w:type="spellStart"/>
            <w:r>
              <w:t>df</w:t>
            </w:r>
            <w:proofErr w:type="spellEnd"/>
            <w:r>
              <w:t xml:space="preserve"> = 11) = 39.0654, p-</w:t>
            </w:r>
            <w:proofErr w:type="spellStart"/>
            <w:r>
              <w:t>val</w:t>
            </w:r>
            <w:proofErr w:type="spellEnd"/>
            <w:r>
              <w:t xml:space="preserve"> &lt; .0001</w:t>
            </w:r>
          </w:p>
        </w:tc>
      </w:tr>
      <w:tr w:rsidR="00503B80" w:rsidTr="009D4FAD">
        <w:trPr>
          <w:trHeight w:val="416"/>
        </w:trPr>
        <w:tc>
          <w:tcPr>
            <w:tcW w:w="1563" w:type="dxa"/>
            <w:shd w:val="clear" w:color="auto" w:fill="DBDBDB" w:themeFill="accent3" w:themeFillTint="66"/>
            <w:vAlign w:val="center"/>
          </w:tcPr>
          <w:p w:rsidR="00503B80" w:rsidRPr="00865875" w:rsidRDefault="00503B80" w:rsidP="00503B80">
            <w:pPr>
              <w:jc w:val="center"/>
              <w:rPr>
                <w:b/>
                <w:szCs w:val="16"/>
              </w:rPr>
            </w:pPr>
            <w:r w:rsidRPr="00865875">
              <w:rPr>
                <w:b/>
                <w:szCs w:val="16"/>
              </w:rPr>
              <w:t>Placebo GSAS</w:t>
            </w:r>
          </w:p>
        </w:tc>
        <w:tc>
          <w:tcPr>
            <w:tcW w:w="1508" w:type="dxa"/>
            <w:shd w:val="clear" w:color="auto" w:fill="FFFFFF" w:themeFill="background1"/>
            <w:vAlign w:val="center"/>
          </w:tcPr>
          <w:p w:rsidR="00503B80" w:rsidRDefault="00503B80" w:rsidP="00503B80">
            <w:pPr>
              <w:jc w:val="center"/>
            </w:pPr>
            <w:r>
              <w:t>0.0572 (SE = 0.0586)</w:t>
            </w:r>
          </w:p>
        </w:tc>
        <w:tc>
          <w:tcPr>
            <w:tcW w:w="1343" w:type="dxa"/>
            <w:shd w:val="clear" w:color="auto" w:fill="FFFFFF" w:themeFill="background1"/>
            <w:vAlign w:val="center"/>
          </w:tcPr>
          <w:p w:rsidR="00503B80" w:rsidRDefault="00503B80" w:rsidP="00503B80">
            <w:pPr>
              <w:jc w:val="center"/>
            </w:pPr>
            <w:r>
              <w:t>0.2391</w:t>
            </w:r>
          </w:p>
        </w:tc>
        <w:tc>
          <w:tcPr>
            <w:tcW w:w="1582" w:type="dxa"/>
            <w:shd w:val="clear" w:color="auto" w:fill="FFFFFF" w:themeFill="background1"/>
            <w:vAlign w:val="center"/>
          </w:tcPr>
          <w:p w:rsidR="00503B80" w:rsidRDefault="00503B80" w:rsidP="00503B80">
            <w:pPr>
              <w:jc w:val="center"/>
            </w:pPr>
            <w:r>
              <w:t>49.47%</w:t>
            </w:r>
          </w:p>
        </w:tc>
        <w:tc>
          <w:tcPr>
            <w:tcW w:w="1454" w:type="dxa"/>
            <w:shd w:val="clear" w:color="auto" w:fill="FFFFFF" w:themeFill="background1"/>
            <w:vAlign w:val="center"/>
          </w:tcPr>
          <w:p w:rsidR="00503B80" w:rsidRDefault="00503B80" w:rsidP="00503B80">
            <w:pPr>
              <w:jc w:val="center"/>
            </w:pPr>
            <w:r>
              <w:t>1.98</w:t>
            </w:r>
          </w:p>
        </w:tc>
        <w:tc>
          <w:tcPr>
            <w:tcW w:w="1455" w:type="dxa"/>
            <w:shd w:val="clear" w:color="auto" w:fill="FFFFFF" w:themeFill="background1"/>
            <w:vAlign w:val="center"/>
          </w:tcPr>
          <w:p w:rsidR="00503B80" w:rsidRDefault="00503B80" w:rsidP="00503B80">
            <w:pPr>
              <w:jc w:val="center"/>
            </w:pPr>
            <w:r>
              <w:t>Q(</w:t>
            </w:r>
            <w:proofErr w:type="spellStart"/>
            <w:r>
              <w:t>df</w:t>
            </w:r>
            <w:proofErr w:type="spellEnd"/>
            <w:r>
              <w:t xml:space="preserve"> = 8) = 16.0486, p-</w:t>
            </w:r>
            <w:proofErr w:type="spellStart"/>
            <w:r>
              <w:t>val</w:t>
            </w:r>
            <w:proofErr w:type="spellEnd"/>
            <w:r>
              <w:t xml:space="preserve"> = 0.0417</w:t>
            </w:r>
          </w:p>
        </w:tc>
      </w:tr>
      <w:tr w:rsidR="00503B80" w:rsidTr="009D4FAD">
        <w:trPr>
          <w:trHeight w:val="416"/>
        </w:trPr>
        <w:tc>
          <w:tcPr>
            <w:tcW w:w="1563" w:type="dxa"/>
            <w:shd w:val="clear" w:color="auto" w:fill="DBDBDB" w:themeFill="accent3" w:themeFillTint="66"/>
            <w:vAlign w:val="center"/>
          </w:tcPr>
          <w:p w:rsidR="00503B80" w:rsidRPr="00865875" w:rsidRDefault="00503B80" w:rsidP="00503B80">
            <w:pPr>
              <w:jc w:val="center"/>
              <w:rPr>
                <w:b/>
                <w:szCs w:val="16"/>
              </w:rPr>
            </w:pPr>
            <w:r w:rsidRPr="00865875">
              <w:rPr>
                <w:b/>
                <w:szCs w:val="16"/>
              </w:rPr>
              <w:t>Placebo CGI</w:t>
            </w:r>
            <w:r>
              <w:rPr>
                <w:b/>
                <w:szCs w:val="16"/>
              </w:rPr>
              <w:t>-I</w:t>
            </w:r>
          </w:p>
        </w:tc>
        <w:tc>
          <w:tcPr>
            <w:tcW w:w="1508" w:type="dxa"/>
            <w:shd w:val="clear" w:color="auto" w:fill="FFFFFF" w:themeFill="background1"/>
            <w:vAlign w:val="center"/>
          </w:tcPr>
          <w:p w:rsidR="00503B80" w:rsidRDefault="00503B80" w:rsidP="00503B80">
            <w:pPr>
              <w:jc w:val="center"/>
            </w:pPr>
            <w:r>
              <w:t>0.0183 (SE = 0.0713)</w:t>
            </w:r>
          </w:p>
        </w:tc>
        <w:tc>
          <w:tcPr>
            <w:tcW w:w="1343" w:type="dxa"/>
            <w:shd w:val="clear" w:color="auto" w:fill="FFFFFF" w:themeFill="background1"/>
            <w:vAlign w:val="center"/>
          </w:tcPr>
          <w:p w:rsidR="00503B80" w:rsidRDefault="00503B80" w:rsidP="00503B80">
            <w:pPr>
              <w:jc w:val="center"/>
            </w:pPr>
            <w:r>
              <w:t>0.1352</w:t>
            </w:r>
          </w:p>
        </w:tc>
        <w:tc>
          <w:tcPr>
            <w:tcW w:w="1582" w:type="dxa"/>
            <w:shd w:val="clear" w:color="auto" w:fill="FFFFFF" w:themeFill="background1"/>
            <w:vAlign w:val="center"/>
          </w:tcPr>
          <w:p w:rsidR="00503B80" w:rsidRDefault="00503B80" w:rsidP="00503B80">
            <w:pPr>
              <w:jc w:val="center"/>
            </w:pPr>
            <w:r>
              <w:t>17.54%</w:t>
            </w:r>
          </w:p>
        </w:tc>
        <w:tc>
          <w:tcPr>
            <w:tcW w:w="1454" w:type="dxa"/>
            <w:shd w:val="clear" w:color="auto" w:fill="FFFFFF" w:themeFill="background1"/>
            <w:vAlign w:val="center"/>
          </w:tcPr>
          <w:p w:rsidR="00503B80" w:rsidRDefault="00503B80" w:rsidP="00503B80">
            <w:pPr>
              <w:jc w:val="center"/>
            </w:pPr>
            <w:r>
              <w:t>1.21</w:t>
            </w:r>
          </w:p>
        </w:tc>
        <w:tc>
          <w:tcPr>
            <w:tcW w:w="1455" w:type="dxa"/>
            <w:shd w:val="clear" w:color="auto" w:fill="FFFFFF" w:themeFill="background1"/>
            <w:vAlign w:val="center"/>
          </w:tcPr>
          <w:p w:rsidR="00503B80" w:rsidRDefault="00503B80" w:rsidP="00503B80">
            <w:pPr>
              <w:jc w:val="center"/>
            </w:pPr>
            <w:r>
              <w:t>Q(</w:t>
            </w:r>
            <w:proofErr w:type="spellStart"/>
            <w:r>
              <w:t>df</w:t>
            </w:r>
            <w:proofErr w:type="spellEnd"/>
            <w:r>
              <w:t xml:space="preserve"> = 4) = 4.9326, p-</w:t>
            </w:r>
            <w:proofErr w:type="spellStart"/>
            <w:r>
              <w:t>val</w:t>
            </w:r>
            <w:proofErr w:type="spellEnd"/>
            <w:r>
              <w:t xml:space="preserve"> = 0.2943</w:t>
            </w:r>
          </w:p>
        </w:tc>
      </w:tr>
    </w:tbl>
    <w:p w:rsidR="0029344B" w:rsidRDefault="0029344B" w:rsidP="002A7071">
      <w:pPr>
        <w:jc w:val="center"/>
      </w:pPr>
    </w:p>
    <w:p w:rsidR="00CB5080" w:rsidRDefault="00CB5080" w:rsidP="00FC6BA4">
      <w:pPr>
        <w:jc w:val="both"/>
      </w:pPr>
      <w:r w:rsidRPr="00BE1862">
        <w:rPr>
          <w:b/>
        </w:rPr>
        <w:t>Legend</w:t>
      </w:r>
      <w:r>
        <w:t>: PG-YBOCS</w:t>
      </w:r>
      <w:r w:rsidRPr="00BE1862">
        <w:t xml:space="preserve"> </w:t>
      </w:r>
      <w:r>
        <w:t xml:space="preserve">= </w:t>
      </w:r>
      <w:r w:rsidRPr="00BE1862">
        <w:t>Yale-Brown Obsessive Compulsive Scale adapted for Patholo</w:t>
      </w:r>
      <w:r>
        <w:t>gical Gambling, GSAS =</w:t>
      </w:r>
      <w:r w:rsidRPr="00BE1862">
        <w:t xml:space="preserve"> Gambling Sympto</w:t>
      </w:r>
      <w:r>
        <w:t>m Assessment Scale,</w:t>
      </w:r>
      <w:r w:rsidRPr="00BE1862">
        <w:t xml:space="preserve"> CGI-I </w:t>
      </w:r>
      <w:r>
        <w:t xml:space="preserve">= </w:t>
      </w:r>
      <w:r w:rsidRPr="00BE1862">
        <w:t>Clinical Global Impression-Improvement scale</w:t>
      </w:r>
      <w:r>
        <w:t xml:space="preserve">; SE = standard error; </w:t>
      </w:r>
      <w:proofErr w:type="spellStart"/>
      <w:proofErr w:type="gramStart"/>
      <w:r>
        <w:t>df</w:t>
      </w:r>
      <w:proofErr w:type="spellEnd"/>
      <w:proofErr w:type="gramEnd"/>
      <w:r>
        <w:t xml:space="preserve"> = degrees of freedom</w:t>
      </w:r>
      <w:r w:rsidRPr="00BE1862">
        <w:t xml:space="preserve"> </w:t>
      </w:r>
    </w:p>
    <w:p w:rsidR="00315638" w:rsidRDefault="00315638">
      <w:pPr>
        <w:rPr>
          <w:rFonts w:asciiTheme="majorHAnsi" w:eastAsiaTheme="majorEastAsia" w:hAnsiTheme="majorHAnsi" w:cstheme="majorBidi"/>
          <w:i/>
          <w:sz w:val="22"/>
          <w:szCs w:val="24"/>
        </w:rPr>
      </w:pPr>
      <w:r>
        <w:br w:type="page"/>
      </w:r>
    </w:p>
    <w:p w:rsidR="0029344B" w:rsidRDefault="003E2172" w:rsidP="0029344B">
      <w:pPr>
        <w:pStyle w:val="Heading3"/>
      </w:pPr>
      <w:r>
        <w:lastRenderedPageBreak/>
        <w:t>Meta-regression</w:t>
      </w:r>
      <w:r w:rsidR="00503B80">
        <w:t>, placebo with r=0.25</w:t>
      </w:r>
    </w:p>
    <w:tbl>
      <w:tblPr>
        <w:tblStyle w:val="TableGrid"/>
        <w:tblW w:w="9973" w:type="dxa"/>
        <w:tblLayout w:type="fixed"/>
        <w:tblLook w:val="04A0" w:firstRow="1" w:lastRow="0" w:firstColumn="1" w:lastColumn="0" w:noHBand="0" w:noVBand="1"/>
      </w:tblPr>
      <w:tblGrid>
        <w:gridCol w:w="1063"/>
        <w:gridCol w:w="849"/>
        <w:gridCol w:w="952"/>
        <w:gridCol w:w="900"/>
        <w:gridCol w:w="952"/>
        <w:gridCol w:w="814"/>
        <w:gridCol w:w="806"/>
        <w:gridCol w:w="745"/>
        <w:gridCol w:w="745"/>
        <w:gridCol w:w="745"/>
        <w:gridCol w:w="684"/>
        <w:gridCol w:w="718"/>
      </w:tblGrid>
      <w:tr w:rsidR="0029344B" w:rsidRPr="009115C7" w:rsidTr="009D4FAD">
        <w:trPr>
          <w:cantSplit/>
          <w:trHeight w:val="1169"/>
        </w:trPr>
        <w:tc>
          <w:tcPr>
            <w:tcW w:w="1063" w:type="dxa"/>
            <w:shd w:val="clear" w:color="auto" w:fill="F2F2F2" w:themeFill="background1" w:themeFillShade="F2"/>
          </w:tcPr>
          <w:p w:rsidR="0029344B" w:rsidRPr="009115C7" w:rsidRDefault="0029344B" w:rsidP="009D4FAD">
            <w:pPr>
              <w:jc w:val="center"/>
              <w:rPr>
                <w:rFonts w:cs="Times New Roman"/>
                <w:b/>
                <w:szCs w:val="16"/>
              </w:rPr>
            </w:pPr>
            <w:r w:rsidRPr="009115C7">
              <w:rPr>
                <w:rFonts w:cs="Times New Roman"/>
                <w:b/>
                <w:szCs w:val="16"/>
              </w:rPr>
              <w:t>Analysis</w:t>
            </w:r>
          </w:p>
        </w:tc>
        <w:tc>
          <w:tcPr>
            <w:tcW w:w="849" w:type="dxa"/>
            <w:shd w:val="clear" w:color="auto" w:fill="F2F2F2" w:themeFill="background1" w:themeFillShade="F2"/>
            <w:textDirection w:val="btLr"/>
            <w:vAlign w:val="center"/>
          </w:tcPr>
          <w:p w:rsidR="0029344B" w:rsidRPr="009115C7" w:rsidRDefault="0029344B" w:rsidP="009D4FAD">
            <w:pPr>
              <w:ind w:left="113" w:right="113"/>
              <w:jc w:val="center"/>
              <w:rPr>
                <w:rFonts w:cs="Times New Roman"/>
                <w:b/>
                <w:szCs w:val="16"/>
              </w:rPr>
            </w:pPr>
            <w:r w:rsidRPr="009115C7">
              <w:rPr>
                <w:rFonts w:cs="Times New Roman"/>
                <w:b/>
                <w:szCs w:val="16"/>
              </w:rPr>
              <w:t>Publication Year</w:t>
            </w:r>
          </w:p>
        </w:tc>
        <w:tc>
          <w:tcPr>
            <w:tcW w:w="952" w:type="dxa"/>
            <w:shd w:val="clear" w:color="auto" w:fill="F2F2F2" w:themeFill="background1" w:themeFillShade="F2"/>
            <w:textDirection w:val="btLr"/>
            <w:vAlign w:val="center"/>
          </w:tcPr>
          <w:p w:rsidR="0029344B" w:rsidRPr="009115C7" w:rsidRDefault="0029344B" w:rsidP="009D4FAD">
            <w:pPr>
              <w:ind w:left="113" w:right="113"/>
              <w:jc w:val="center"/>
              <w:rPr>
                <w:rFonts w:cs="Times New Roman"/>
                <w:b/>
                <w:szCs w:val="16"/>
              </w:rPr>
            </w:pPr>
            <w:r w:rsidRPr="009115C7">
              <w:rPr>
                <w:rFonts w:cs="Times New Roman"/>
                <w:b/>
                <w:szCs w:val="16"/>
              </w:rPr>
              <w:t>Medication type (class)</w:t>
            </w:r>
          </w:p>
        </w:tc>
        <w:tc>
          <w:tcPr>
            <w:tcW w:w="900" w:type="dxa"/>
            <w:shd w:val="clear" w:color="auto" w:fill="F2F2F2" w:themeFill="background1" w:themeFillShade="F2"/>
            <w:textDirection w:val="btLr"/>
            <w:vAlign w:val="center"/>
          </w:tcPr>
          <w:p w:rsidR="0029344B" w:rsidRPr="009115C7" w:rsidRDefault="0029344B" w:rsidP="009D4FAD">
            <w:pPr>
              <w:ind w:left="113" w:right="113"/>
              <w:jc w:val="center"/>
              <w:rPr>
                <w:rFonts w:cs="Times New Roman"/>
                <w:b/>
                <w:szCs w:val="16"/>
              </w:rPr>
            </w:pPr>
            <w:r w:rsidRPr="009115C7">
              <w:rPr>
                <w:rFonts w:cs="Times New Roman"/>
                <w:b/>
                <w:szCs w:val="16"/>
              </w:rPr>
              <w:t>Sponsored study (Y/N)</w:t>
            </w:r>
          </w:p>
        </w:tc>
        <w:tc>
          <w:tcPr>
            <w:tcW w:w="952" w:type="dxa"/>
            <w:shd w:val="clear" w:color="auto" w:fill="F2F2F2" w:themeFill="background1" w:themeFillShade="F2"/>
            <w:textDirection w:val="btLr"/>
            <w:vAlign w:val="center"/>
          </w:tcPr>
          <w:p w:rsidR="0029344B" w:rsidRPr="009115C7" w:rsidRDefault="0029344B" w:rsidP="009D4FAD">
            <w:pPr>
              <w:ind w:left="113" w:right="113"/>
              <w:jc w:val="center"/>
              <w:rPr>
                <w:rFonts w:cs="Times New Roman"/>
                <w:b/>
                <w:szCs w:val="16"/>
              </w:rPr>
            </w:pPr>
            <w:r w:rsidRPr="009115C7">
              <w:rPr>
                <w:rFonts w:cs="Times New Roman"/>
                <w:b/>
                <w:szCs w:val="16"/>
              </w:rPr>
              <w:t>Participant age (mean)</w:t>
            </w:r>
          </w:p>
        </w:tc>
        <w:tc>
          <w:tcPr>
            <w:tcW w:w="814" w:type="dxa"/>
            <w:shd w:val="clear" w:color="auto" w:fill="F2F2F2" w:themeFill="background1" w:themeFillShade="F2"/>
            <w:textDirection w:val="btLr"/>
            <w:vAlign w:val="center"/>
          </w:tcPr>
          <w:p w:rsidR="0029344B" w:rsidRPr="009115C7" w:rsidRDefault="0029344B" w:rsidP="009D4FAD">
            <w:pPr>
              <w:ind w:left="113" w:right="113"/>
              <w:jc w:val="center"/>
              <w:rPr>
                <w:rFonts w:cs="Times New Roman"/>
                <w:b/>
                <w:szCs w:val="16"/>
              </w:rPr>
            </w:pPr>
            <w:r w:rsidRPr="009115C7">
              <w:rPr>
                <w:rFonts w:cs="Times New Roman"/>
                <w:b/>
                <w:szCs w:val="16"/>
              </w:rPr>
              <w:t>%gender</w:t>
            </w:r>
          </w:p>
        </w:tc>
        <w:tc>
          <w:tcPr>
            <w:tcW w:w="806" w:type="dxa"/>
            <w:shd w:val="clear" w:color="auto" w:fill="F2F2F2" w:themeFill="background1" w:themeFillShade="F2"/>
            <w:textDirection w:val="btLr"/>
            <w:vAlign w:val="center"/>
          </w:tcPr>
          <w:p w:rsidR="0029344B" w:rsidRPr="009115C7" w:rsidRDefault="0029344B" w:rsidP="009D4FAD">
            <w:pPr>
              <w:ind w:left="113" w:right="113"/>
              <w:jc w:val="center"/>
              <w:rPr>
                <w:rFonts w:cs="Times New Roman"/>
                <w:b/>
                <w:szCs w:val="16"/>
              </w:rPr>
            </w:pPr>
            <w:r w:rsidRPr="009115C7">
              <w:rPr>
                <w:rFonts w:cs="Times New Roman"/>
                <w:b/>
                <w:szCs w:val="16"/>
              </w:rPr>
              <w:t>Duration of study</w:t>
            </w:r>
          </w:p>
        </w:tc>
        <w:tc>
          <w:tcPr>
            <w:tcW w:w="745" w:type="dxa"/>
            <w:shd w:val="clear" w:color="auto" w:fill="F2F2F2" w:themeFill="background1" w:themeFillShade="F2"/>
            <w:textDirection w:val="btLr"/>
            <w:vAlign w:val="center"/>
          </w:tcPr>
          <w:p w:rsidR="0029344B" w:rsidRPr="009115C7" w:rsidRDefault="0029344B" w:rsidP="009D4FAD">
            <w:pPr>
              <w:ind w:left="113" w:right="113"/>
              <w:jc w:val="center"/>
              <w:rPr>
                <w:rFonts w:cs="Times New Roman"/>
                <w:b/>
                <w:szCs w:val="16"/>
              </w:rPr>
            </w:pPr>
            <w:r w:rsidRPr="009115C7">
              <w:rPr>
                <w:rFonts w:cs="Times New Roman"/>
                <w:b/>
                <w:szCs w:val="16"/>
              </w:rPr>
              <w:t>Unbalanced randomization</w:t>
            </w:r>
          </w:p>
        </w:tc>
        <w:tc>
          <w:tcPr>
            <w:tcW w:w="745" w:type="dxa"/>
            <w:shd w:val="clear" w:color="auto" w:fill="F2F2F2" w:themeFill="background1" w:themeFillShade="F2"/>
            <w:textDirection w:val="btLr"/>
            <w:vAlign w:val="center"/>
          </w:tcPr>
          <w:p w:rsidR="0029344B" w:rsidRPr="009115C7" w:rsidRDefault="0029344B" w:rsidP="009D4FAD">
            <w:pPr>
              <w:ind w:left="113" w:right="113"/>
              <w:jc w:val="center"/>
              <w:rPr>
                <w:rFonts w:cs="Times New Roman"/>
                <w:b/>
                <w:szCs w:val="16"/>
              </w:rPr>
            </w:pPr>
            <w:r w:rsidRPr="009115C7">
              <w:rPr>
                <w:rFonts w:cs="Times New Roman"/>
                <w:b/>
                <w:szCs w:val="16"/>
              </w:rPr>
              <w:t>Baseline severity</w:t>
            </w:r>
          </w:p>
        </w:tc>
        <w:tc>
          <w:tcPr>
            <w:tcW w:w="745" w:type="dxa"/>
            <w:shd w:val="clear" w:color="auto" w:fill="F2F2F2" w:themeFill="background1" w:themeFillShade="F2"/>
            <w:textDirection w:val="btLr"/>
            <w:vAlign w:val="center"/>
          </w:tcPr>
          <w:p w:rsidR="0029344B" w:rsidRPr="009115C7" w:rsidRDefault="0029344B" w:rsidP="009D4FAD">
            <w:pPr>
              <w:ind w:left="113" w:right="113"/>
              <w:jc w:val="center"/>
              <w:rPr>
                <w:rFonts w:cs="Times New Roman"/>
                <w:b/>
                <w:szCs w:val="16"/>
              </w:rPr>
            </w:pPr>
            <w:r w:rsidRPr="009115C7">
              <w:rPr>
                <w:rFonts w:cs="Times New Roman"/>
                <w:b/>
                <w:szCs w:val="16"/>
              </w:rPr>
              <w:t>Severity scale</w:t>
            </w:r>
          </w:p>
        </w:tc>
        <w:tc>
          <w:tcPr>
            <w:tcW w:w="684" w:type="dxa"/>
            <w:shd w:val="clear" w:color="auto" w:fill="F2F2F2" w:themeFill="background1" w:themeFillShade="F2"/>
            <w:textDirection w:val="btLr"/>
            <w:vAlign w:val="center"/>
          </w:tcPr>
          <w:p w:rsidR="0029344B" w:rsidRPr="009115C7" w:rsidRDefault="0029344B" w:rsidP="009D4FAD">
            <w:pPr>
              <w:ind w:left="113" w:right="113"/>
              <w:jc w:val="center"/>
              <w:rPr>
                <w:rFonts w:cs="Times New Roman"/>
                <w:b/>
                <w:szCs w:val="16"/>
              </w:rPr>
            </w:pPr>
            <w:r w:rsidRPr="009115C7">
              <w:rPr>
                <w:rFonts w:cs="Times New Roman"/>
                <w:b/>
                <w:szCs w:val="16"/>
              </w:rPr>
              <w:t>Author COI (Y/N)</w:t>
            </w:r>
          </w:p>
        </w:tc>
        <w:tc>
          <w:tcPr>
            <w:tcW w:w="718" w:type="dxa"/>
            <w:shd w:val="clear" w:color="auto" w:fill="F2F2F2" w:themeFill="background1" w:themeFillShade="F2"/>
          </w:tcPr>
          <w:p w:rsidR="0029344B" w:rsidRPr="009115C7" w:rsidRDefault="0029344B" w:rsidP="009D4FAD">
            <w:pPr>
              <w:jc w:val="center"/>
              <w:rPr>
                <w:rFonts w:cs="Times New Roman"/>
                <w:b/>
                <w:szCs w:val="16"/>
              </w:rPr>
            </w:pPr>
            <w:r w:rsidRPr="009115C7">
              <w:rPr>
                <w:rFonts w:cs="Times New Roman"/>
                <w:b/>
                <w:szCs w:val="16"/>
              </w:rPr>
              <w:t>Placebo run in 1 week</w:t>
            </w:r>
          </w:p>
        </w:tc>
      </w:tr>
      <w:tr w:rsidR="0029344B" w:rsidRPr="009115C7" w:rsidTr="009D4FAD">
        <w:trPr>
          <w:trHeight w:val="1161"/>
        </w:trPr>
        <w:tc>
          <w:tcPr>
            <w:tcW w:w="1063" w:type="dxa"/>
          </w:tcPr>
          <w:p w:rsidR="0029344B" w:rsidRPr="009115C7" w:rsidRDefault="0029344B" w:rsidP="009D4FAD">
            <w:pPr>
              <w:jc w:val="center"/>
              <w:rPr>
                <w:rFonts w:cs="Times New Roman"/>
                <w:b/>
                <w:szCs w:val="16"/>
              </w:rPr>
            </w:pPr>
            <w:r w:rsidRPr="009115C7">
              <w:rPr>
                <w:rFonts w:cs="Times New Roman"/>
                <w:b/>
                <w:szCs w:val="16"/>
              </w:rPr>
              <w:t>Severity (all measures)</w:t>
            </w:r>
          </w:p>
        </w:tc>
        <w:tc>
          <w:tcPr>
            <w:tcW w:w="849" w:type="dxa"/>
          </w:tcPr>
          <w:p w:rsidR="0029344B" w:rsidRPr="009115C7" w:rsidRDefault="0029344B" w:rsidP="0029344B">
            <w:pPr>
              <w:jc w:val="center"/>
              <w:rPr>
                <w:rFonts w:cs="Times New Roman"/>
                <w:szCs w:val="16"/>
              </w:rPr>
            </w:pPr>
            <w:r>
              <w:rPr>
                <w:rFonts w:cs="Times New Roman"/>
                <w:szCs w:val="16"/>
              </w:rPr>
              <w:t>*</w:t>
            </w:r>
          </w:p>
          <w:p w:rsidR="0029344B" w:rsidRPr="009115C7" w:rsidRDefault="0029344B" w:rsidP="0029344B">
            <w:pPr>
              <w:jc w:val="center"/>
              <w:rPr>
                <w:rFonts w:cs="Times New Roman"/>
                <w:szCs w:val="16"/>
              </w:rPr>
            </w:pPr>
            <w:r w:rsidRPr="009115C7">
              <w:rPr>
                <w:rFonts w:cs="Times New Roman"/>
                <w:szCs w:val="16"/>
              </w:rPr>
              <w:t>Recent higher E.S.</w:t>
            </w:r>
          </w:p>
        </w:tc>
        <w:tc>
          <w:tcPr>
            <w:tcW w:w="952" w:type="dxa"/>
          </w:tcPr>
          <w:p w:rsidR="0029344B" w:rsidRPr="009115C7" w:rsidRDefault="0029344B" w:rsidP="009D4FAD">
            <w:pPr>
              <w:jc w:val="center"/>
              <w:rPr>
                <w:rFonts w:cs="Times New Roman"/>
                <w:szCs w:val="16"/>
              </w:rPr>
            </w:pPr>
            <w:r>
              <w:rPr>
                <w:rFonts w:cs="Times New Roman"/>
                <w:szCs w:val="16"/>
              </w:rPr>
              <w:t>*</w:t>
            </w:r>
          </w:p>
          <w:p w:rsidR="0029344B" w:rsidRPr="009115C7" w:rsidRDefault="0029344B" w:rsidP="009D4FAD">
            <w:pPr>
              <w:jc w:val="center"/>
              <w:rPr>
                <w:rFonts w:cs="Times New Roman"/>
                <w:szCs w:val="16"/>
              </w:rPr>
            </w:pPr>
            <w:r w:rsidRPr="009115C7">
              <w:rPr>
                <w:rFonts w:cs="Times New Roman"/>
                <w:szCs w:val="16"/>
              </w:rPr>
              <w:t>supplement higher E.S.</w:t>
            </w:r>
          </w:p>
        </w:tc>
        <w:tc>
          <w:tcPr>
            <w:tcW w:w="900" w:type="dxa"/>
          </w:tcPr>
          <w:p w:rsidR="0029344B" w:rsidRPr="009115C7" w:rsidRDefault="0029344B"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952" w:type="dxa"/>
          </w:tcPr>
          <w:p w:rsidR="0029344B" w:rsidRPr="009115C7" w:rsidRDefault="0029344B"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14" w:type="dxa"/>
          </w:tcPr>
          <w:p w:rsidR="0029344B" w:rsidRPr="009115C7" w:rsidRDefault="0029344B"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06" w:type="dxa"/>
          </w:tcPr>
          <w:p w:rsidR="0029344B" w:rsidRPr="009115C7" w:rsidRDefault="0029344B" w:rsidP="009D4FAD">
            <w:pPr>
              <w:jc w:val="center"/>
              <w:rPr>
                <w:rFonts w:cs="Times New Roman"/>
                <w:szCs w:val="16"/>
              </w:rPr>
            </w:pPr>
            <w:proofErr w:type="spellStart"/>
            <w:r>
              <w:rPr>
                <w:rFonts w:cs="Times New Roman"/>
                <w:szCs w:val="16"/>
              </w:rPr>
              <w:t>n.s</w:t>
            </w:r>
            <w:proofErr w:type="spellEnd"/>
            <w:r>
              <w:rPr>
                <w:rFonts w:cs="Times New Roman"/>
                <w:szCs w:val="16"/>
              </w:rPr>
              <w:t>.</w:t>
            </w:r>
          </w:p>
        </w:tc>
        <w:tc>
          <w:tcPr>
            <w:tcW w:w="745" w:type="dxa"/>
          </w:tcPr>
          <w:p w:rsidR="0029344B" w:rsidRPr="009115C7" w:rsidRDefault="0029344B"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45" w:type="dxa"/>
          </w:tcPr>
          <w:p w:rsidR="0029344B" w:rsidRPr="009115C7" w:rsidRDefault="0029344B" w:rsidP="009D4FAD">
            <w:pPr>
              <w:jc w:val="center"/>
              <w:rPr>
                <w:rFonts w:cs="Times New Roman"/>
                <w:szCs w:val="16"/>
              </w:rPr>
            </w:pPr>
            <w:r w:rsidRPr="009115C7">
              <w:rPr>
                <w:rFonts w:cs="Times New Roman"/>
                <w:szCs w:val="16"/>
              </w:rPr>
              <w:t>NA</w:t>
            </w:r>
          </w:p>
        </w:tc>
        <w:tc>
          <w:tcPr>
            <w:tcW w:w="745" w:type="dxa"/>
          </w:tcPr>
          <w:p w:rsidR="0029344B" w:rsidRPr="009115C7" w:rsidRDefault="0029344B"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684" w:type="dxa"/>
          </w:tcPr>
          <w:p w:rsidR="0029344B" w:rsidRPr="009115C7" w:rsidRDefault="0029344B"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18" w:type="dxa"/>
          </w:tcPr>
          <w:p w:rsidR="0029344B" w:rsidRPr="009115C7" w:rsidRDefault="0029344B"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r>
      <w:tr w:rsidR="00503B80" w:rsidRPr="009115C7" w:rsidTr="009D4FAD">
        <w:trPr>
          <w:trHeight w:val="1161"/>
        </w:trPr>
        <w:tc>
          <w:tcPr>
            <w:tcW w:w="1063" w:type="dxa"/>
          </w:tcPr>
          <w:p w:rsidR="00503B80" w:rsidRPr="009115C7" w:rsidRDefault="00503B80" w:rsidP="00503B80">
            <w:pPr>
              <w:jc w:val="center"/>
              <w:rPr>
                <w:rFonts w:cs="Times New Roman"/>
                <w:b/>
                <w:szCs w:val="16"/>
              </w:rPr>
            </w:pPr>
            <w:proofErr w:type="spellStart"/>
            <w:r w:rsidRPr="009115C7">
              <w:rPr>
                <w:rFonts w:cs="Times New Roman"/>
                <w:b/>
                <w:szCs w:val="16"/>
              </w:rPr>
              <w:t>QoL</w:t>
            </w:r>
            <w:proofErr w:type="spellEnd"/>
          </w:p>
        </w:tc>
        <w:tc>
          <w:tcPr>
            <w:tcW w:w="849"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p>
        </w:tc>
        <w:tc>
          <w:tcPr>
            <w:tcW w:w="952" w:type="dxa"/>
          </w:tcPr>
          <w:p w:rsidR="00503B80" w:rsidRPr="009115C7" w:rsidRDefault="00503B80" w:rsidP="00503B80">
            <w:pPr>
              <w:jc w:val="center"/>
              <w:rPr>
                <w:rFonts w:cs="Times New Roman"/>
                <w:szCs w:val="16"/>
              </w:rPr>
            </w:pPr>
            <w:proofErr w:type="spellStart"/>
            <w:r>
              <w:rPr>
                <w:rFonts w:cs="Times New Roman"/>
                <w:szCs w:val="16"/>
              </w:rPr>
              <w:t>n.s</w:t>
            </w:r>
            <w:proofErr w:type="spellEnd"/>
            <w:r>
              <w:rPr>
                <w:rFonts w:cs="Times New Roman"/>
                <w:szCs w:val="16"/>
              </w:rPr>
              <w:t>.</w:t>
            </w:r>
          </w:p>
        </w:tc>
        <w:tc>
          <w:tcPr>
            <w:tcW w:w="900"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p>
        </w:tc>
        <w:tc>
          <w:tcPr>
            <w:tcW w:w="952"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p>
        </w:tc>
        <w:tc>
          <w:tcPr>
            <w:tcW w:w="814"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06"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45" w:type="dxa"/>
          </w:tcPr>
          <w:p w:rsidR="00503B80" w:rsidRPr="009115C7" w:rsidRDefault="00503B80" w:rsidP="00503B80">
            <w:pPr>
              <w:jc w:val="center"/>
              <w:rPr>
                <w:rFonts w:cs="Times New Roman"/>
                <w:szCs w:val="16"/>
              </w:rPr>
            </w:pPr>
            <w:r w:rsidRPr="009115C7">
              <w:rPr>
                <w:rFonts w:cs="Times New Roman"/>
                <w:szCs w:val="16"/>
              </w:rPr>
              <w:t>NA</w:t>
            </w:r>
          </w:p>
        </w:tc>
        <w:tc>
          <w:tcPr>
            <w:tcW w:w="745" w:type="dxa"/>
          </w:tcPr>
          <w:p w:rsidR="00503B80" w:rsidRPr="009115C7" w:rsidRDefault="00503B80" w:rsidP="00503B80">
            <w:pPr>
              <w:jc w:val="center"/>
              <w:rPr>
                <w:rFonts w:cs="Times New Roman"/>
                <w:szCs w:val="16"/>
              </w:rPr>
            </w:pPr>
            <w:r w:rsidRPr="009115C7">
              <w:rPr>
                <w:rFonts w:cs="Times New Roman"/>
                <w:szCs w:val="16"/>
              </w:rPr>
              <w:t>*</w:t>
            </w:r>
            <w:r>
              <w:rPr>
                <w:rFonts w:cs="Times New Roman"/>
                <w:szCs w:val="16"/>
              </w:rPr>
              <w:t>*</w:t>
            </w:r>
            <w:r w:rsidRPr="009115C7">
              <w:rPr>
                <w:rFonts w:cs="Times New Roman"/>
                <w:szCs w:val="16"/>
              </w:rPr>
              <w:t xml:space="preserve"> </w:t>
            </w:r>
            <w:r>
              <w:rPr>
                <w:rFonts w:cs="Times New Roman"/>
                <w:szCs w:val="16"/>
              </w:rPr>
              <w:t xml:space="preserve">lower </w:t>
            </w:r>
            <w:r w:rsidRPr="009115C7">
              <w:rPr>
                <w:rFonts w:cs="Times New Roman"/>
                <w:szCs w:val="16"/>
              </w:rPr>
              <w:t>baseline higher E.S.</w:t>
            </w:r>
          </w:p>
        </w:tc>
        <w:tc>
          <w:tcPr>
            <w:tcW w:w="745"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684" w:type="dxa"/>
          </w:tcPr>
          <w:p w:rsidR="00503B80" w:rsidRPr="009115C7" w:rsidRDefault="00503B80" w:rsidP="00503B80">
            <w:pPr>
              <w:jc w:val="center"/>
              <w:rPr>
                <w:rFonts w:cs="Times New Roman"/>
                <w:szCs w:val="16"/>
              </w:rPr>
            </w:pPr>
            <w:proofErr w:type="spellStart"/>
            <w:r>
              <w:rPr>
                <w:rFonts w:cs="Times New Roman"/>
                <w:szCs w:val="16"/>
              </w:rPr>
              <w:t>n.s</w:t>
            </w:r>
            <w:proofErr w:type="spellEnd"/>
            <w:r>
              <w:rPr>
                <w:rFonts w:cs="Times New Roman"/>
                <w:szCs w:val="16"/>
              </w:rPr>
              <w:t>.</w:t>
            </w:r>
          </w:p>
        </w:tc>
        <w:tc>
          <w:tcPr>
            <w:tcW w:w="718"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r>
      <w:tr w:rsidR="00503B80" w:rsidRPr="009115C7" w:rsidTr="009D4FAD">
        <w:trPr>
          <w:trHeight w:val="1165"/>
        </w:trPr>
        <w:tc>
          <w:tcPr>
            <w:tcW w:w="1063" w:type="dxa"/>
          </w:tcPr>
          <w:p w:rsidR="00503B80" w:rsidRPr="009115C7" w:rsidRDefault="00503B80" w:rsidP="00503B80">
            <w:pPr>
              <w:jc w:val="center"/>
              <w:rPr>
                <w:rFonts w:cs="Times New Roman"/>
                <w:b/>
                <w:szCs w:val="16"/>
              </w:rPr>
            </w:pPr>
            <w:r w:rsidRPr="009115C7">
              <w:rPr>
                <w:rFonts w:cs="Times New Roman"/>
                <w:b/>
                <w:szCs w:val="16"/>
              </w:rPr>
              <w:t>PGYBOCS</w:t>
            </w:r>
          </w:p>
        </w:tc>
        <w:tc>
          <w:tcPr>
            <w:tcW w:w="849" w:type="dxa"/>
          </w:tcPr>
          <w:p w:rsidR="00503B80" w:rsidRPr="009115C7" w:rsidRDefault="00503B80" w:rsidP="00503B80">
            <w:pPr>
              <w:jc w:val="center"/>
              <w:rPr>
                <w:rFonts w:cs="Times New Roman"/>
                <w:szCs w:val="16"/>
              </w:rPr>
            </w:pPr>
            <w:r>
              <w:rPr>
                <w:rFonts w:cs="Times New Roman"/>
                <w:szCs w:val="16"/>
              </w:rPr>
              <w:t>*</w:t>
            </w:r>
          </w:p>
          <w:p w:rsidR="00503B80" w:rsidRPr="009115C7" w:rsidRDefault="00503B80" w:rsidP="00503B80">
            <w:pPr>
              <w:jc w:val="center"/>
              <w:rPr>
                <w:rFonts w:cs="Times New Roman"/>
                <w:szCs w:val="16"/>
              </w:rPr>
            </w:pPr>
            <w:r w:rsidRPr="009115C7">
              <w:rPr>
                <w:rFonts w:cs="Times New Roman"/>
                <w:szCs w:val="16"/>
              </w:rPr>
              <w:t>Recent higher E.S.</w:t>
            </w:r>
          </w:p>
        </w:tc>
        <w:tc>
          <w:tcPr>
            <w:tcW w:w="952" w:type="dxa"/>
          </w:tcPr>
          <w:p w:rsidR="00503B80" w:rsidRPr="009115C7" w:rsidRDefault="00503B80" w:rsidP="00503B80">
            <w:pPr>
              <w:jc w:val="center"/>
              <w:rPr>
                <w:rFonts w:cs="Times New Roman"/>
                <w:szCs w:val="16"/>
              </w:rPr>
            </w:pPr>
            <w:r w:rsidRPr="009115C7">
              <w:rPr>
                <w:rFonts w:cs="Times New Roman"/>
                <w:szCs w:val="16"/>
              </w:rPr>
              <w:t>* supplement higher E.S.</w:t>
            </w:r>
          </w:p>
        </w:tc>
        <w:tc>
          <w:tcPr>
            <w:tcW w:w="900"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p>
        </w:tc>
        <w:tc>
          <w:tcPr>
            <w:tcW w:w="952"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14"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06" w:type="dxa"/>
          </w:tcPr>
          <w:p w:rsidR="00503B80" w:rsidRPr="009115C7" w:rsidRDefault="00503B80" w:rsidP="00503B80">
            <w:pPr>
              <w:jc w:val="center"/>
              <w:rPr>
                <w:rFonts w:cs="Times New Roman"/>
                <w:szCs w:val="16"/>
              </w:rPr>
            </w:pPr>
            <w:proofErr w:type="spellStart"/>
            <w:r>
              <w:rPr>
                <w:rFonts w:cs="Times New Roman"/>
                <w:szCs w:val="16"/>
              </w:rPr>
              <w:t>n.s</w:t>
            </w:r>
            <w:proofErr w:type="spellEnd"/>
            <w:r>
              <w:rPr>
                <w:rFonts w:cs="Times New Roman"/>
                <w:szCs w:val="16"/>
              </w:rPr>
              <w:t>.</w:t>
            </w:r>
          </w:p>
        </w:tc>
        <w:tc>
          <w:tcPr>
            <w:tcW w:w="745"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45" w:type="dxa"/>
          </w:tcPr>
          <w:p w:rsidR="00503B80" w:rsidRPr="009115C7" w:rsidRDefault="00503B80" w:rsidP="00503B80">
            <w:pPr>
              <w:jc w:val="center"/>
              <w:rPr>
                <w:rFonts w:cs="Times New Roman"/>
                <w:szCs w:val="16"/>
              </w:rPr>
            </w:pPr>
            <w:r>
              <w:rPr>
                <w:rFonts w:cs="Times New Roman"/>
                <w:szCs w:val="16"/>
              </w:rPr>
              <w:t>**</w:t>
            </w:r>
            <w:r w:rsidRPr="009115C7">
              <w:rPr>
                <w:rFonts w:cs="Times New Roman"/>
                <w:szCs w:val="16"/>
              </w:rPr>
              <w:t xml:space="preserve"> higher baseline higher E.S.</w:t>
            </w:r>
          </w:p>
        </w:tc>
        <w:tc>
          <w:tcPr>
            <w:tcW w:w="745" w:type="dxa"/>
          </w:tcPr>
          <w:p w:rsidR="00503B80" w:rsidRPr="009115C7" w:rsidRDefault="00503B80" w:rsidP="00503B80">
            <w:pPr>
              <w:jc w:val="center"/>
              <w:rPr>
                <w:rFonts w:cs="Times New Roman"/>
                <w:szCs w:val="16"/>
              </w:rPr>
            </w:pPr>
            <w:r w:rsidRPr="009115C7">
              <w:rPr>
                <w:rFonts w:cs="Times New Roman"/>
                <w:szCs w:val="16"/>
              </w:rPr>
              <w:t>NA</w:t>
            </w:r>
          </w:p>
        </w:tc>
        <w:tc>
          <w:tcPr>
            <w:tcW w:w="684"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18"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r>
      <w:tr w:rsidR="00503B80" w:rsidRPr="009115C7" w:rsidTr="009D4FAD">
        <w:trPr>
          <w:trHeight w:val="1629"/>
        </w:trPr>
        <w:tc>
          <w:tcPr>
            <w:tcW w:w="1063" w:type="dxa"/>
          </w:tcPr>
          <w:p w:rsidR="00503B80" w:rsidRPr="009115C7" w:rsidRDefault="00503B80" w:rsidP="00503B80">
            <w:pPr>
              <w:jc w:val="center"/>
              <w:rPr>
                <w:rFonts w:cs="Times New Roman"/>
                <w:b/>
                <w:szCs w:val="16"/>
              </w:rPr>
            </w:pPr>
            <w:r w:rsidRPr="009115C7">
              <w:rPr>
                <w:rFonts w:cs="Times New Roman"/>
                <w:b/>
                <w:szCs w:val="16"/>
              </w:rPr>
              <w:t>GSAS</w:t>
            </w:r>
          </w:p>
        </w:tc>
        <w:tc>
          <w:tcPr>
            <w:tcW w:w="849" w:type="dxa"/>
          </w:tcPr>
          <w:p w:rsidR="00503B80" w:rsidRPr="009115C7" w:rsidRDefault="00503B80" w:rsidP="00503B80">
            <w:pPr>
              <w:jc w:val="center"/>
              <w:rPr>
                <w:rFonts w:cs="Times New Roman"/>
                <w:szCs w:val="16"/>
              </w:rPr>
            </w:pPr>
            <w:proofErr w:type="spellStart"/>
            <w:r>
              <w:rPr>
                <w:rFonts w:cs="Times New Roman"/>
                <w:szCs w:val="16"/>
              </w:rPr>
              <w:t>n.s</w:t>
            </w:r>
            <w:proofErr w:type="spellEnd"/>
            <w:r>
              <w:rPr>
                <w:rFonts w:cs="Times New Roman"/>
                <w:szCs w:val="16"/>
              </w:rPr>
              <w:t>.</w:t>
            </w:r>
          </w:p>
        </w:tc>
        <w:tc>
          <w:tcPr>
            <w:tcW w:w="952" w:type="dxa"/>
          </w:tcPr>
          <w:p w:rsidR="00503B80" w:rsidRDefault="00503B80" w:rsidP="00503B80">
            <w:pPr>
              <w:jc w:val="center"/>
              <w:rPr>
                <w:rFonts w:cs="Times New Roman"/>
                <w:szCs w:val="16"/>
              </w:rPr>
            </w:pPr>
            <w:r w:rsidRPr="009115C7">
              <w:rPr>
                <w:rFonts w:cs="Times New Roman"/>
                <w:szCs w:val="16"/>
              </w:rPr>
              <w:t>*</w:t>
            </w:r>
            <w:r>
              <w:rPr>
                <w:rFonts w:cs="Times New Roman"/>
                <w:szCs w:val="16"/>
              </w:rPr>
              <w:t>*</w:t>
            </w:r>
          </w:p>
          <w:p w:rsidR="00503B80" w:rsidRPr="009115C7" w:rsidRDefault="00503B80" w:rsidP="00503B80">
            <w:pPr>
              <w:jc w:val="center"/>
              <w:rPr>
                <w:rFonts w:cs="Times New Roman"/>
                <w:szCs w:val="16"/>
              </w:rPr>
            </w:pPr>
            <w:r w:rsidRPr="009115C7">
              <w:rPr>
                <w:rFonts w:cs="Times New Roman"/>
                <w:szCs w:val="16"/>
              </w:rPr>
              <w:t xml:space="preserve"> </w:t>
            </w:r>
            <w:r>
              <w:rPr>
                <w:rFonts w:cs="Times New Roman"/>
                <w:szCs w:val="16"/>
              </w:rPr>
              <w:t>ORA</w:t>
            </w:r>
            <w:r w:rsidRPr="009115C7">
              <w:rPr>
                <w:rFonts w:cs="Times New Roman"/>
                <w:szCs w:val="16"/>
              </w:rPr>
              <w:t xml:space="preserve"> higher E.S.</w:t>
            </w:r>
          </w:p>
        </w:tc>
        <w:tc>
          <w:tcPr>
            <w:tcW w:w="900" w:type="dxa"/>
          </w:tcPr>
          <w:p w:rsidR="00503B80" w:rsidRPr="009115C7" w:rsidRDefault="00503B80" w:rsidP="00503B80">
            <w:pPr>
              <w:jc w:val="center"/>
              <w:rPr>
                <w:rFonts w:cs="Times New Roman"/>
                <w:szCs w:val="16"/>
              </w:rPr>
            </w:pPr>
            <w:r>
              <w:rPr>
                <w:rFonts w:cs="Times New Roman"/>
                <w:szCs w:val="16"/>
              </w:rPr>
              <w:t xml:space="preserve">** no sponsor higher E.S. </w:t>
            </w:r>
          </w:p>
        </w:tc>
        <w:tc>
          <w:tcPr>
            <w:tcW w:w="952"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14"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06" w:type="dxa"/>
          </w:tcPr>
          <w:p w:rsidR="00503B80" w:rsidRPr="009115C7" w:rsidRDefault="00503B80" w:rsidP="00503B80">
            <w:pPr>
              <w:jc w:val="center"/>
              <w:rPr>
                <w:rFonts w:cs="Times New Roman"/>
                <w:szCs w:val="16"/>
              </w:rPr>
            </w:pPr>
            <w:proofErr w:type="spellStart"/>
            <w:r>
              <w:rPr>
                <w:rFonts w:cs="Times New Roman"/>
                <w:szCs w:val="16"/>
              </w:rPr>
              <w:t>n.s</w:t>
            </w:r>
            <w:proofErr w:type="spellEnd"/>
            <w:r>
              <w:rPr>
                <w:rFonts w:cs="Times New Roman"/>
                <w:szCs w:val="16"/>
              </w:rPr>
              <w:t>.</w:t>
            </w:r>
          </w:p>
        </w:tc>
        <w:tc>
          <w:tcPr>
            <w:tcW w:w="745" w:type="dxa"/>
          </w:tcPr>
          <w:p w:rsidR="00503B80" w:rsidRPr="009115C7" w:rsidRDefault="00503B80" w:rsidP="00503B80">
            <w:pPr>
              <w:jc w:val="center"/>
              <w:rPr>
                <w:rFonts w:cs="Times New Roman"/>
                <w:szCs w:val="16"/>
              </w:rPr>
            </w:pPr>
            <w:r w:rsidRPr="009115C7">
              <w:rPr>
                <w:rFonts w:cs="Times New Roman"/>
                <w:szCs w:val="16"/>
              </w:rPr>
              <w:t>NA</w:t>
            </w:r>
          </w:p>
        </w:tc>
        <w:tc>
          <w:tcPr>
            <w:tcW w:w="745" w:type="dxa"/>
          </w:tcPr>
          <w:p w:rsidR="00503B80" w:rsidRPr="009115C7" w:rsidRDefault="00211982" w:rsidP="00503B80">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45" w:type="dxa"/>
          </w:tcPr>
          <w:p w:rsidR="00503B80" w:rsidRPr="009115C7" w:rsidRDefault="00503B80" w:rsidP="00503B80">
            <w:pPr>
              <w:jc w:val="center"/>
              <w:rPr>
                <w:rFonts w:cs="Times New Roman"/>
                <w:szCs w:val="16"/>
              </w:rPr>
            </w:pPr>
            <w:r w:rsidRPr="009115C7">
              <w:rPr>
                <w:rFonts w:cs="Times New Roman"/>
                <w:szCs w:val="16"/>
              </w:rPr>
              <w:t>NA</w:t>
            </w:r>
          </w:p>
        </w:tc>
        <w:tc>
          <w:tcPr>
            <w:tcW w:w="684"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18"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r>
      <w:tr w:rsidR="00503B80" w:rsidRPr="009115C7" w:rsidTr="009D4FAD">
        <w:trPr>
          <w:trHeight w:val="232"/>
        </w:trPr>
        <w:tc>
          <w:tcPr>
            <w:tcW w:w="1063" w:type="dxa"/>
          </w:tcPr>
          <w:p w:rsidR="00503B80" w:rsidRPr="009115C7" w:rsidRDefault="00503B80" w:rsidP="00503B80">
            <w:pPr>
              <w:jc w:val="center"/>
              <w:rPr>
                <w:rFonts w:cs="Times New Roman"/>
                <w:b/>
                <w:szCs w:val="16"/>
              </w:rPr>
            </w:pPr>
            <w:r w:rsidRPr="009115C7">
              <w:rPr>
                <w:rFonts w:cs="Times New Roman"/>
                <w:b/>
                <w:szCs w:val="16"/>
              </w:rPr>
              <w:t>CGI</w:t>
            </w:r>
          </w:p>
        </w:tc>
        <w:tc>
          <w:tcPr>
            <w:tcW w:w="849"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p>
        </w:tc>
        <w:tc>
          <w:tcPr>
            <w:tcW w:w="952"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900"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p>
        </w:tc>
        <w:tc>
          <w:tcPr>
            <w:tcW w:w="952"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14"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06"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45"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45"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45" w:type="dxa"/>
          </w:tcPr>
          <w:p w:rsidR="00503B80" w:rsidRPr="009115C7" w:rsidRDefault="00503B80" w:rsidP="00503B80">
            <w:pPr>
              <w:jc w:val="center"/>
              <w:rPr>
                <w:rFonts w:cs="Times New Roman"/>
                <w:szCs w:val="16"/>
              </w:rPr>
            </w:pPr>
            <w:r w:rsidRPr="009115C7">
              <w:rPr>
                <w:rFonts w:cs="Times New Roman"/>
                <w:szCs w:val="16"/>
              </w:rPr>
              <w:t>NA</w:t>
            </w:r>
          </w:p>
        </w:tc>
        <w:tc>
          <w:tcPr>
            <w:tcW w:w="684"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18" w:type="dxa"/>
          </w:tcPr>
          <w:p w:rsidR="00503B80" w:rsidRPr="009115C7" w:rsidRDefault="00503B80" w:rsidP="00503B80">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r>
    </w:tbl>
    <w:p w:rsidR="0029344B" w:rsidRDefault="00CB5080" w:rsidP="00FC6BA4">
      <w:pPr>
        <w:jc w:val="both"/>
      </w:pPr>
      <w:r w:rsidRPr="006126E4">
        <w:rPr>
          <w:b/>
        </w:rPr>
        <w:t>Legend</w:t>
      </w:r>
      <w:r>
        <w:t>: PG-YBOCS</w:t>
      </w:r>
      <w:r w:rsidRPr="00BE1862">
        <w:t xml:space="preserve"> </w:t>
      </w:r>
      <w:r>
        <w:t xml:space="preserve">= </w:t>
      </w:r>
      <w:r w:rsidRPr="00BE1862">
        <w:t>Yale-Brown Obsessive Compulsive Scale adapted for Patholo</w:t>
      </w:r>
      <w:r>
        <w:t>gical Gambling, GSAS =</w:t>
      </w:r>
      <w:r w:rsidRPr="00BE1862">
        <w:t xml:space="preserve"> Gambling Sympto</w:t>
      </w:r>
      <w:r>
        <w:t>m Assessment Scale,</w:t>
      </w:r>
      <w:r w:rsidRPr="00BE1862">
        <w:t xml:space="preserve"> CGI-I </w:t>
      </w:r>
      <w:r>
        <w:t xml:space="preserve">= </w:t>
      </w:r>
      <w:r w:rsidRPr="00BE1862">
        <w:t>Clinical Global Impression-Improvement scale</w:t>
      </w:r>
      <w:r>
        <w:t>;</w:t>
      </w:r>
      <w:r w:rsidRPr="00BE1862">
        <w:t xml:space="preserve"> </w:t>
      </w:r>
      <w:proofErr w:type="spellStart"/>
      <w:r>
        <w:t>QoL</w:t>
      </w:r>
      <w:proofErr w:type="spellEnd"/>
      <w:r>
        <w:t xml:space="preserve"> = Quality of life; E.S = effect size; </w:t>
      </w:r>
      <w:proofErr w:type="spellStart"/>
      <w:r>
        <w:t>n.s</w:t>
      </w:r>
      <w:proofErr w:type="spellEnd"/>
      <w:r>
        <w:t xml:space="preserve">.= non-significant statistically; NA = not available/not appropriate; ORAs = Opiate receptor antagonists; MS = mood stabilizers; AP = antipsychotics; AD = antidepressants; COI = Conflict of Interest (defined as the presence of any declared industry related conflict of interest by the authors in any section of the published manuscript); statistical significance: </w:t>
      </w:r>
      <w:proofErr w:type="spellStart"/>
      <w:r>
        <w:t>n.s</w:t>
      </w:r>
      <w:proofErr w:type="spellEnd"/>
      <w:r>
        <w:t>. = non-significant; ‘.’ &lt;.10 (trend); ‘*’ &lt;.05; ‘**’ &lt;0.01; ‘***’ &lt;0.001; NA = not available/not applicable;</w:t>
      </w:r>
    </w:p>
    <w:p w:rsidR="00B50D06" w:rsidRDefault="00B50D06" w:rsidP="00B50D06">
      <w:pPr>
        <w:pStyle w:val="Heading2"/>
      </w:pPr>
      <w:r>
        <w:rPr>
          <w:rFonts w:cs="Times New Roman"/>
        </w:rPr>
        <w:lastRenderedPageBreak/>
        <w:t>§S</w:t>
      </w:r>
      <w:r w:rsidR="006F1AEC">
        <w:t>7</w:t>
      </w:r>
      <w:r>
        <w:t xml:space="preserve"> Sensitivity analysis with correlation 0.75</w:t>
      </w:r>
    </w:p>
    <w:p w:rsidR="00B50D06" w:rsidRDefault="00B50D06" w:rsidP="00B50D06">
      <w:pPr>
        <w:pStyle w:val="Heading3"/>
      </w:pPr>
      <w:r>
        <w:t>Forest plots</w:t>
      </w:r>
    </w:p>
    <w:p w:rsidR="00B50D06" w:rsidRDefault="00B50D06" w:rsidP="00B50D06">
      <w:r w:rsidRPr="00B50D06">
        <w:rPr>
          <w:noProof/>
          <w:lang w:eastAsia="en-GB"/>
        </w:rPr>
        <w:drawing>
          <wp:inline distT="0" distB="0" distL="0" distR="0" wp14:anchorId="696ADACF" wp14:editId="7371F377">
            <wp:extent cx="5731510" cy="34378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437890"/>
                    </a:xfrm>
                    <a:prstGeom prst="rect">
                      <a:avLst/>
                    </a:prstGeom>
                  </pic:spPr>
                </pic:pic>
              </a:graphicData>
            </a:graphic>
          </wp:inline>
        </w:drawing>
      </w:r>
    </w:p>
    <w:p w:rsidR="00B50D06" w:rsidRDefault="00B50D06" w:rsidP="008D5F65">
      <w:pPr>
        <w:pStyle w:val="Heading3"/>
      </w:pPr>
      <w:r>
        <w:t>Funnel plots</w:t>
      </w:r>
    </w:p>
    <w:p w:rsidR="00B50D06" w:rsidRPr="00B50D06" w:rsidRDefault="008D5F65" w:rsidP="00B50D06">
      <w:r w:rsidRPr="008D5F65">
        <w:rPr>
          <w:noProof/>
          <w:lang w:eastAsia="en-GB"/>
        </w:rPr>
        <w:drawing>
          <wp:inline distT="0" distB="0" distL="0" distR="0" wp14:anchorId="3300FC84" wp14:editId="3FF8691E">
            <wp:extent cx="5731510" cy="34118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411855"/>
                    </a:xfrm>
                    <a:prstGeom prst="rect">
                      <a:avLst/>
                    </a:prstGeom>
                  </pic:spPr>
                </pic:pic>
              </a:graphicData>
            </a:graphic>
          </wp:inline>
        </w:drawing>
      </w:r>
    </w:p>
    <w:p w:rsidR="00CB5080" w:rsidRDefault="00CB5080" w:rsidP="00FC6BA4">
      <w:pPr>
        <w:jc w:val="both"/>
      </w:pPr>
      <w:r w:rsidRPr="005649D9">
        <w:rPr>
          <w:b/>
        </w:rPr>
        <w:t>Legend</w:t>
      </w:r>
      <w:r>
        <w:t xml:space="preserve"> – Funnel plots with regression for funnel plot asymmetry p-values. PG-YBOCS</w:t>
      </w:r>
      <w:r w:rsidRPr="00BE1862">
        <w:t xml:space="preserve"> </w:t>
      </w:r>
      <w:r>
        <w:t xml:space="preserve">= </w:t>
      </w:r>
      <w:r w:rsidRPr="00BE1862">
        <w:t>Yale-Brown Obsessive Compulsive Scale adapted for Patholo</w:t>
      </w:r>
      <w:r>
        <w:t>gical Gambling, GSAS =</w:t>
      </w:r>
      <w:r w:rsidRPr="00BE1862">
        <w:t xml:space="preserve"> Gambling Sympto</w:t>
      </w:r>
      <w:r>
        <w:t>m Assessment Scale,</w:t>
      </w:r>
      <w:r w:rsidRPr="00BE1862">
        <w:t xml:space="preserve"> CGI-I </w:t>
      </w:r>
      <w:r>
        <w:t xml:space="preserve">= </w:t>
      </w:r>
      <w:r w:rsidRPr="00BE1862">
        <w:t>Clinical Global Impression-Improvement scale</w:t>
      </w:r>
      <w:r>
        <w:t xml:space="preserve">. Publication bias identified in the Quality of life analysis and the trim and fill method was used to provide a new effect size estimate. </w:t>
      </w:r>
    </w:p>
    <w:p w:rsidR="00B50D06" w:rsidRDefault="00B50D06" w:rsidP="002A7071">
      <w:pPr>
        <w:jc w:val="center"/>
      </w:pPr>
    </w:p>
    <w:p w:rsidR="004B4EB9" w:rsidRPr="0029344B" w:rsidRDefault="004B4EB9" w:rsidP="004B4EB9">
      <w:pPr>
        <w:pStyle w:val="Heading3"/>
      </w:pPr>
      <w:r>
        <w:lastRenderedPageBreak/>
        <w:t>Heterogeneity placebo with r=0.75</w:t>
      </w:r>
    </w:p>
    <w:tbl>
      <w:tblPr>
        <w:tblStyle w:val="TableGrid"/>
        <w:tblW w:w="0" w:type="auto"/>
        <w:tblLook w:val="04A0" w:firstRow="1" w:lastRow="0" w:firstColumn="1" w:lastColumn="0" w:noHBand="0" w:noVBand="1"/>
      </w:tblPr>
      <w:tblGrid>
        <w:gridCol w:w="1563"/>
        <w:gridCol w:w="1508"/>
        <w:gridCol w:w="1343"/>
        <w:gridCol w:w="1582"/>
        <w:gridCol w:w="1454"/>
        <w:gridCol w:w="1455"/>
      </w:tblGrid>
      <w:tr w:rsidR="004B4EB9" w:rsidTr="009D4FAD">
        <w:trPr>
          <w:trHeight w:val="1237"/>
        </w:trPr>
        <w:tc>
          <w:tcPr>
            <w:tcW w:w="1563" w:type="dxa"/>
            <w:shd w:val="clear" w:color="auto" w:fill="DBDBDB" w:themeFill="accent3" w:themeFillTint="66"/>
            <w:vAlign w:val="center"/>
          </w:tcPr>
          <w:p w:rsidR="004B4EB9" w:rsidRPr="00D30D35" w:rsidRDefault="004B4EB9" w:rsidP="009D4FAD">
            <w:pPr>
              <w:jc w:val="center"/>
              <w:rPr>
                <w:b/>
              </w:rPr>
            </w:pPr>
          </w:p>
        </w:tc>
        <w:tc>
          <w:tcPr>
            <w:tcW w:w="1508" w:type="dxa"/>
            <w:shd w:val="clear" w:color="auto" w:fill="DBDBDB" w:themeFill="accent3" w:themeFillTint="66"/>
            <w:vAlign w:val="center"/>
          </w:tcPr>
          <w:p w:rsidR="004B4EB9" w:rsidRPr="00D30D35" w:rsidRDefault="004B4EB9" w:rsidP="009D4FAD">
            <w:pPr>
              <w:jc w:val="center"/>
              <w:rPr>
                <w:b/>
              </w:rPr>
            </w:pPr>
            <w:r w:rsidRPr="00B65020">
              <w:rPr>
                <w:b/>
              </w:rPr>
              <w:t>tau^2 (estimated amount of total heterogeneity):</w:t>
            </w:r>
          </w:p>
        </w:tc>
        <w:tc>
          <w:tcPr>
            <w:tcW w:w="1343" w:type="dxa"/>
            <w:shd w:val="clear" w:color="auto" w:fill="DBDBDB" w:themeFill="accent3" w:themeFillTint="66"/>
            <w:vAlign w:val="center"/>
          </w:tcPr>
          <w:p w:rsidR="004B4EB9" w:rsidRPr="00D30D35" w:rsidRDefault="004B4EB9" w:rsidP="009D4FAD">
            <w:pPr>
              <w:jc w:val="center"/>
              <w:rPr>
                <w:b/>
              </w:rPr>
            </w:pPr>
            <w:r w:rsidRPr="00B65020">
              <w:rPr>
                <w:b/>
              </w:rPr>
              <w:t xml:space="preserve">tau (square root of estimated tau^2 value):      </w:t>
            </w:r>
          </w:p>
        </w:tc>
        <w:tc>
          <w:tcPr>
            <w:tcW w:w="1582" w:type="dxa"/>
            <w:shd w:val="clear" w:color="auto" w:fill="DBDBDB" w:themeFill="accent3" w:themeFillTint="66"/>
            <w:vAlign w:val="center"/>
          </w:tcPr>
          <w:p w:rsidR="004B4EB9" w:rsidRPr="00D30D35" w:rsidRDefault="004B4EB9" w:rsidP="009D4FAD">
            <w:pPr>
              <w:jc w:val="center"/>
              <w:rPr>
                <w:b/>
              </w:rPr>
            </w:pPr>
            <w:r w:rsidRPr="00B65020">
              <w:rPr>
                <w:b/>
              </w:rPr>
              <w:t xml:space="preserve">I^2 (total heterogeneity / total variability):   </w:t>
            </w:r>
          </w:p>
        </w:tc>
        <w:tc>
          <w:tcPr>
            <w:tcW w:w="1454" w:type="dxa"/>
            <w:shd w:val="clear" w:color="auto" w:fill="DBDBDB" w:themeFill="accent3" w:themeFillTint="66"/>
            <w:vAlign w:val="center"/>
          </w:tcPr>
          <w:p w:rsidR="004B4EB9" w:rsidRPr="00D30D35" w:rsidRDefault="004B4EB9" w:rsidP="009D4FAD">
            <w:pPr>
              <w:jc w:val="center"/>
              <w:rPr>
                <w:b/>
              </w:rPr>
            </w:pPr>
            <w:r w:rsidRPr="00B65020">
              <w:rPr>
                <w:b/>
              </w:rPr>
              <w:t xml:space="preserve">H^2 (total variability / sampling variability):  </w:t>
            </w:r>
          </w:p>
        </w:tc>
        <w:tc>
          <w:tcPr>
            <w:tcW w:w="1455" w:type="dxa"/>
            <w:shd w:val="clear" w:color="auto" w:fill="DBDBDB" w:themeFill="accent3" w:themeFillTint="66"/>
            <w:vAlign w:val="center"/>
          </w:tcPr>
          <w:p w:rsidR="004B4EB9" w:rsidRPr="00B65020" w:rsidRDefault="004B4EB9" w:rsidP="009D4FAD">
            <w:pPr>
              <w:jc w:val="center"/>
              <w:rPr>
                <w:b/>
              </w:rPr>
            </w:pPr>
            <w:r w:rsidRPr="00B65020">
              <w:rPr>
                <w:b/>
              </w:rPr>
              <w:t>Test for Heterogeneity:</w:t>
            </w:r>
          </w:p>
          <w:p w:rsidR="004B4EB9" w:rsidRPr="00D30D35" w:rsidRDefault="004B4EB9" w:rsidP="009D4FAD">
            <w:pPr>
              <w:jc w:val="center"/>
              <w:rPr>
                <w:b/>
              </w:rPr>
            </w:pPr>
          </w:p>
        </w:tc>
      </w:tr>
      <w:tr w:rsidR="004B4EB9" w:rsidTr="009D4FAD">
        <w:trPr>
          <w:trHeight w:val="842"/>
        </w:trPr>
        <w:tc>
          <w:tcPr>
            <w:tcW w:w="1563" w:type="dxa"/>
            <w:shd w:val="clear" w:color="auto" w:fill="DBDBDB" w:themeFill="accent3" w:themeFillTint="66"/>
            <w:vAlign w:val="center"/>
          </w:tcPr>
          <w:p w:rsidR="004B4EB9" w:rsidRPr="00865875" w:rsidRDefault="004B4EB9" w:rsidP="009D4FAD">
            <w:pPr>
              <w:jc w:val="center"/>
              <w:rPr>
                <w:b/>
                <w:szCs w:val="16"/>
              </w:rPr>
            </w:pPr>
            <w:r w:rsidRPr="00865875">
              <w:rPr>
                <w:b/>
                <w:szCs w:val="16"/>
              </w:rPr>
              <w:t>Placebo gambling severity</w:t>
            </w:r>
          </w:p>
        </w:tc>
        <w:tc>
          <w:tcPr>
            <w:tcW w:w="1508" w:type="dxa"/>
            <w:shd w:val="clear" w:color="auto" w:fill="FFFFFF" w:themeFill="background1"/>
            <w:vAlign w:val="center"/>
          </w:tcPr>
          <w:p w:rsidR="004B4EB9" w:rsidRDefault="0081623C" w:rsidP="0081623C">
            <w:pPr>
              <w:jc w:val="center"/>
            </w:pPr>
            <w:r>
              <w:t>0.4269 (SE = 0.1989)</w:t>
            </w:r>
          </w:p>
        </w:tc>
        <w:tc>
          <w:tcPr>
            <w:tcW w:w="1343" w:type="dxa"/>
            <w:shd w:val="clear" w:color="auto" w:fill="FFFFFF" w:themeFill="background1"/>
            <w:vAlign w:val="center"/>
          </w:tcPr>
          <w:p w:rsidR="004B4EB9" w:rsidRDefault="0081623C" w:rsidP="009D4FAD">
            <w:pPr>
              <w:jc w:val="center"/>
            </w:pPr>
            <w:r>
              <w:t>0.6534</w:t>
            </w:r>
          </w:p>
        </w:tc>
        <w:tc>
          <w:tcPr>
            <w:tcW w:w="1582" w:type="dxa"/>
            <w:shd w:val="clear" w:color="auto" w:fill="FFFFFF" w:themeFill="background1"/>
            <w:vAlign w:val="center"/>
          </w:tcPr>
          <w:p w:rsidR="004B4EB9" w:rsidRDefault="0081623C" w:rsidP="009D4FAD">
            <w:pPr>
              <w:jc w:val="center"/>
            </w:pPr>
            <w:r>
              <w:t>82.64%</w:t>
            </w:r>
          </w:p>
        </w:tc>
        <w:tc>
          <w:tcPr>
            <w:tcW w:w="1454" w:type="dxa"/>
            <w:shd w:val="clear" w:color="auto" w:fill="FFFFFF" w:themeFill="background1"/>
            <w:vAlign w:val="center"/>
          </w:tcPr>
          <w:p w:rsidR="004B4EB9" w:rsidRDefault="0081623C" w:rsidP="009D4FAD">
            <w:pPr>
              <w:jc w:val="center"/>
            </w:pPr>
            <w:r>
              <w:t>5.76</w:t>
            </w:r>
          </w:p>
        </w:tc>
        <w:tc>
          <w:tcPr>
            <w:tcW w:w="1455" w:type="dxa"/>
            <w:shd w:val="clear" w:color="auto" w:fill="FFFFFF" w:themeFill="background1"/>
            <w:vAlign w:val="center"/>
          </w:tcPr>
          <w:p w:rsidR="004B4EB9" w:rsidRDefault="0081623C" w:rsidP="009D4FAD">
            <w:pPr>
              <w:jc w:val="center"/>
            </w:pPr>
            <w:r>
              <w:t>Q(</w:t>
            </w:r>
            <w:proofErr w:type="spellStart"/>
            <w:r>
              <w:t>df</w:t>
            </w:r>
            <w:proofErr w:type="spellEnd"/>
            <w:r>
              <w:t xml:space="preserve"> = 15) = 85.3534, p-</w:t>
            </w:r>
            <w:proofErr w:type="spellStart"/>
            <w:r>
              <w:t>val</w:t>
            </w:r>
            <w:proofErr w:type="spellEnd"/>
            <w:r>
              <w:t xml:space="preserve"> &lt; .0001</w:t>
            </w:r>
          </w:p>
        </w:tc>
      </w:tr>
      <w:tr w:rsidR="004B4EB9" w:rsidTr="009D4FAD">
        <w:trPr>
          <w:trHeight w:val="416"/>
        </w:trPr>
        <w:tc>
          <w:tcPr>
            <w:tcW w:w="1563" w:type="dxa"/>
            <w:shd w:val="clear" w:color="auto" w:fill="DBDBDB" w:themeFill="accent3" w:themeFillTint="66"/>
            <w:vAlign w:val="center"/>
          </w:tcPr>
          <w:p w:rsidR="004B4EB9" w:rsidRPr="00865875" w:rsidRDefault="004B4EB9" w:rsidP="009D4FAD">
            <w:pPr>
              <w:jc w:val="center"/>
              <w:rPr>
                <w:b/>
                <w:szCs w:val="16"/>
              </w:rPr>
            </w:pPr>
            <w:r w:rsidRPr="00865875">
              <w:rPr>
                <w:b/>
                <w:szCs w:val="16"/>
              </w:rPr>
              <w:t>Placebo QOL</w:t>
            </w:r>
          </w:p>
        </w:tc>
        <w:tc>
          <w:tcPr>
            <w:tcW w:w="1508" w:type="dxa"/>
            <w:shd w:val="clear" w:color="auto" w:fill="FFFFFF" w:themeFill="background1"/>
            <w:vAlign w:val="center"/>
          </w:tcPr>
          <w:p w:rsidR="004B4EB9" w:rsidRDefault="0081623C" w:rsidP="0081623C">
            <w:pPr>
              <w:jc w:val="center"/>
            </w:pPr>
            <w:r>
              <w:t>0.0908 (SE = 0.0797)</w:t>
            </w:r>
          </w:p>
        </w:tc>
        <w:tc>
          <w:tcPr>
            <w:tcW w:w="1343" w:type="dxa"/>
            <w:shd w:val="clear" w:color="auto" w:fill="FFFFFF" w:themeFill="background1"/>
            <w:vAlign w:val="center"/>
          </w:tcPr>
          <w:p w:rsidR="004B4EB9" w:rsidRDefault="0081623C" w:rsidP="009D4FAD">
            <w:pPr>
              <w:jc w:val="center"/>
            </w:pPr>
            <w:r>
              <w:t>0.3014</w:t>
            </w:r>
          </w:p>
        </w:tc>
        <w:tc>
          <w:tcPr>
            <w:tcW w:w="1582" w:type="dxa"/>
            <w:shd w:val="clear" w:color="auto" w:fill="FFFFFF" w:themeFill="background1"/>
            <w:vAlign w:val="center"/>
          </w:tcPr>
          <w:p w:rsidR="004B4EB9" w:rsidRDefault="0081623C" w:rsidP="009D4FAD">
            <w:pPr>
              <w:jc w:val="center"/>
            </w:pPr>
            <w:r>
              <w:t>63.37%</w:t>
            </w:r>
          </w:p>
        </w:tc>
        <w:tc>
          <w:tcPr>
            <w:tcW w:w="1454" w:type="dxa"/>
            <w:shd w:val="clear" w:color="auto" w:fill="FFFFFF" w:themeFill="background1"/>
            <w:vAlign w:val="center"/>
          </w:tcPr>
          <w:p w:rsidR="004B4EB9" w:rsidRDefault="0081623C" w:rsidP="009D4FAD">
            <w:pPr>
              <w:jc w:val="center"/>
            </w:pPr>
            <w:r>
              <w:t>2.73</w:t>
            </w:r>
          </w:p>
        </w:tc>
        <w:tc>
          <w:tcPr>
            <w:tcW w:w="1455" w:type="dxa"/>
            <w:shd w:val="clear" w:color="auto" w:fill="FFFFFF" w:themeFill="background1"/>
            <w:vAlign w:val="center"/>
          </w:tcPr>
          <w:p w:rsidR="004B4EB9" w:rsidRDefault="0081623C" w:rsidP="009D4FAD">
            <w:pPr>
              <w:jc w:val="center"/>
            </w:pPr>
            <w:r>
              <w:t>Q(</w:t>
            </w:r>
            <w:proofErr w:type="spellStart"/>
            <w:r>
              <w:t>df</w:t>
            </w:r>
            <w:proofErr w:type="spellEnd"/>
            <w:r>
              <w:t xml:space="preserve"> = 7) = 19.8945, p-</w:t>
            </w:r>
            <w:proofErr w:type="spellStart"/>
            <w:r>
              <w:t>val</w:t>
            </w:r>
            <w:proofErr w:type="spellEnd"/>
            <w:r>
              <w:t xml:space="preserve"> = 0.0058</w:t>
            </w:r>
          </w:p>
        </w:tc>
      </w:tr>
      <w:tr w:rsidR="004B4EB9" w:rsidTr="009D4FAD">
        <w:trPr>
          <w:trHeight w:val="831"/>
        </w:trPr>
        <w:tc>
          <w:tcPr>
            <w:tcW w:w="1563" w:type="dxa"/>
            <w:shd w:val="clear" w:color="auto" w:fill="DBDBDB" w:themeFill="accent3" w:themeFillTint="66"/>
            <w:vAlign w:val="center"/>
          </w:tcPr>
          <w:p w:rsidR="004B4EB9" w:rsidRPr="00865875" w:rsidRDefault="004B4EB9" w:rsidP="009D4FAD">
            <w:pPr>
              <w:jc w:val="center"/>
              <w:rPr>
                <w:b/>
                <w:szCs w:val="16"/>
              </w:rPr>
            </w:pPr>
            <w:r w:rsidRPr="00865875">
              <w:rPr>
                <w:b/>
                <w:szCs w:val="16"/>
              </w:rPr>
              <w:t>Placebo PGYBOCS</w:t>
            </w:r>
          </w:p>
        </w:tc>
        <w:tc>
          <w:tcPr>
            <w:tcW w:w="1508" w:type="dxa"/>
            <w:shd w:val="clear" w:color="auto" w:fill="FFFFFF" w:themeFill="background1"/>
            <w:vAlign w:val="center"/>
          </w:tcPr>
          <w:p w:rsidR="004B4EB9" w:rsidRDefault="00FC2950" w:rsidP="00FC2950">
            <w:pPr>
              <w:jc w:val="center"/>
            </w:pPr>
            <w:r>
              <w:t>0.4976 (SE = 0.2690)</w:t>
            </w:r>
          </w:p>
        </w:tc>
        <w:tc>
          <w:tcPr>
            <w:tcW w:w="1343" w:type="dxa"/>
            <w:shd w:val="clear" w:color="auto" w:fill="FFFFFF" w:themeFill="background1"/>
            <w:vAlign w:val="center"/>
          </w:tcPr>
          <w:p w:rsidR="004B4EB9" w:rsidRDefault="00FC2950" w:rsidP="009D4FAD">
            <w:pPr>
              <w:jc w:val="center"/>
            </w:pPr>
            <w:r>
              <w:t>0.7054</w:t>
            </w:r>
          </w:p>
        </w:tc>
        <w:tc>
          <w:tcPr>
            <w:tcW w:w="1582" w:type="dxa"/>
            <w:shd w:val="clear" w:color="auto" w:fill="FFFFFF" w:themeFill="background1"/>
            <w:vAlign w:val="center"/>
          </w:tcPr>
          <w:p w:rsidR="004B4EB9" w:rsidRDefault="00FC2950" w:rsidP="009D4FAD">
            <w:pPr>
              <w:jc w:val="center"/>
            </w:pPr>
            <w:r>
              <w:t>83.89%</w:t>
            </w:r>
          </w:p>
        </w:tc>
        <w:tc>
          <w:tcPr>
            <w:tcW w:w="1454" w:type="dxa"/>
            <w:shd w:val="clear" w:color="auto" w:fill="FFFFFF" w:themeFill="background1"/>
            <w:vAlign w:val="center"/>
          </w:tcPr>
          <w:p w:rsidR="004B4EB9" w:rsidRDefault="00FC2950" w:rsidP="009D4FAD">
            <w:pPr>
              <w:jc w:val="center"/>
            </w:pPr>
            <w:r>
              <w:t>6.21</w:t>
            </w:r>
          </w:p>
        </w:tc>
        <w:tc>
          <w:tcPr>
            <w:tcW w:w="1455" w:type="dxa"/>
            <w:shd w:val="clear" w:color="auto" w:fill="FFFFFF" w:themeFill="background1"/>
            <w:vAlign w:val="center"/>
          </w:tcPr>
          <w:p w:rsidR="004B4EB9" w:rsidRDefault="00FC2950" w:rsidP="009D4FAD">
            <w:pPr>
              <w:jc w:val="center"/>
            </w:pPr>
            <w:r>
              <w:t>Q(</w:t>
            </w:r>
            <w:proofErr w:type="spellStart"/>
            <w:r>
              <w:t>df</w:t>
            </w:r>
            <w:proofErr w:type="spellEnd"/>
            <w:r>
              <w:t xml:space="preserve"> = 11) = 68.1753, p-</w:t>
            </w:r>
            <w:proofErr w:type="spellStart"/>
            <w:r>
              <w:t>val</w:t>
            </w:r>
            <w:proofErr w:type="spellEnd"/>
            <w:r>
              <w:t xml:space="preserve"> &lt; .0001</w:t>
            </w:r>
          </w:p>
        </w:tc>
      </w:tr>
      <w:tr w:rsidR="004B4EB9" w:rsidTr="009D4FAD">
        <w:trPr>
          <w:trHeight w:val="416"/>
        </w:trPr>
        <w:tc>
          <w:tcPr>
            <w:tcW w:w="1563" w:type="dxa"/>
            <w:shd w:val="clear" w:color="auto" w:fill="DBDBDB" w:themeFill="accent3" w:themeFillTint="66"/>
            <w:vAlign w:val="center"/>
          </w:tcPr>
          <w:p w:rsidR="004B4EB9" w:rsidRPr="00865875" w:rsidRDefault="004B4EB9" w:rsidP="009D4FAD">
            <w:pPr>
              <w:jc w:val="center"/>
              <w:rPr>
                <w:b/>
                <w:szCs w:val="16"/>
              </w:rPr>
            </w:pPr>
            <w:r w:rsidRPr="00865875">
              <w:rPr>
                <w:b/>
                <w:szCs w:val="16"/>
              </w:rPr>
              <w:t>Placebo GSAS</w:t>
            </w:r>
          </w:p>
        </w:tc>
        <w:tc>
          <w:tcPr>
            <w:tcW w:w="1508" w:type="dxa"/>
            <w:shd w:val="clear" w:color="auto" w:fill="FFFFFF" w:themeFill="background1"/>
            <w:vAlign w:val="center"/>
          </w:tcPr>
          <w:p w:rsidR="004B4EB9" w:rsidRDefault="00FC2950" w:rsidP="00FC2950">
            <w:pPr>
              <w:jc w:val="center"/>
            </w:pPr>
            <w:r>
              <w:t>0.1507 (SE = 0.1185)</w:t>
            </w:r>
          </w:p>
        </w:tc>
        <w:tc>
          <w:tcPr>
            <w:tcW w:w="1343" w:type="dxa"/>
            <w:shd w:val="clear" w:color="auto" w:fill="FFFFFF" w:themeFill="background1"/>
            <w:vAlign w:val="center"/>
          </w:tcPr>
          <w:p w:rsidR="004B4EB9" w:rsidRDefault="00FC2950" w:rsidP="009D4FAD">
            <w:pPr>
              <w:jc w:val="center"/>
            </w:pPr>
            <w:r>
              <w:t>0.3882</w:t>
            </w:r>
          </w:p>
        </w:tc>
        <w:tc>
          <w:tcPr>
            <w:tcW w:w="1582" w:type="dxa"/>
            <w:shd w:val="clear" w:color="auto" w:fill="FFFFFF" w:themeFill="background1"/>
            <w:vAlign w:val="center"/>
          </w:tcPr>
          <w:p w:rsidR="004B4EB9" w:rsidRDefault="00FC2950" w:rsidP="009D4FAD">
            <w:pPr>
              <w:jc w:val="center"/>
            </w:pPr>
            <w:r>
              <w:t>65.07%</w:t>
            </w:r>
          </w:p>
        </w:tc>
        <w:tc>
          <w:tcPr>
            <w:tcW w:w="1454" w:type="dxa"/>
            <w:shd w:val="clear" w:color="auto" w:fill="FFFFFF" w:themeFill="background1"/>
            <w:vAlign w:val="center"/>
          </w:tcPr>
          <w:p w:rsidR="004B4EB9" w:rsidRDefault="00FC2950" w:rsidP="009D4FAD">
            <w:pPr>
              <w:jc w:val="center"/>
            </w:pPr>
            <w:r>
              <w:t>2.86</w:t>
            </w:r>
          </w:p>
        </w:tc>
        <w:tc>
          <w:tcPr>
            <w:tcW w:w="1455" w:type="dxa"/>
            <w:shd w:val="clear" w:color="auto" w:fill="FFFFFF" w:themeFill="background1"/>
            <w:vAlign w:val="center"/>
          </w:tcPr>
          <w:p w:rsidR="004B4EB9" w:rsidRDefault="00FC2950" w:rsidP="009D4FAD">
            <w:pPr>
              <w:jc w:val="center"/>
            </w:pPr>
            <w:r>
              <w:t>Q(</w:t>
            </w:r>
            <w:proofErr w:type="spellStart"/>
            <w:r>
              <w:t>df</w:t>
            </w:r>
            <w:proofErr w:type="spellEnd"/>
            <w:r>
              <w:t xml:space="preserve"> = 8) = 23.8891, p-</w:t>
            </w:r>
            <w:proofErr w:type="spellStart"/>
            <w:r>
              <w:t>val</w:t>
            </w:r>
            <w:proofErr w:type="spellEnd"/>
            <w:r>
              <w:t xml:space="preserve"> = 0.0024</w:t>
            </w:r>
          </w:p>
        </w:tc>
      </w:tr>
      <w:tr w:rsidR="004B4EB9" w:rsidTr="009D4FAD">
        <w:trPr>
          <w:trHeight w:val="416"/>
        </w:trPr>
        <w:tc>
          <w:tcPr>
            <w:tcW w:w="1563" w:type="dxa"/>
            <w:shd w:val="clear" w:color="auto" w:fill="DBDBDB" w:themeFill="accent3" w:themeFillTint="66"/>
            <w:vAlign w:val="center"/>
          </w:tcPr>
          <w:p w:rsidR="004B4EB9" w:rsidRPr="00865875" w:rsidRDefault="004B4EB9" w:rsidP="009D4FAD">
            <w:pPr>
              <w:jc w:val="center"/>
              <w:rPr>
                <w:b/>
                <w:szCs w:val="16"/>
              </w:rPr>
            </w:pPr>
            <w:r w:rsidRPr="00865875">
              <w:rPr>
                <w:b/>
                <w:szCs w:val="16"/>
              </w:rPr>
              <w:t>Placebo CGI</w:t>
            </w:r>
            <w:r>
              <w:rPr>
                <w:b/>
                <w:szCs w:val="16"/>
              </w:rPr>
              <w:t>-I</w:t>
            </w:r>
          </w:p>
        </w:tc>
        <w:tc>
          <w:tcPr>
            <w:tcW w:w="1508" w:type="dxa"/>
            <w:shd w:val="clear" w:color="auto" w:fill="FFFFFF" w:themeFill="background1"/>
            <w:vAlign w:val="center"/>
          </w:tcPr>
          <w:p w:rsidR="004B4EB9" w:rsidRDefault="00B10F7E" w:rsidP="00B10F7E">
            <w:pPr>
              <w:jc w:val="center"/>
            </w:pPr>
            <w:r>
              <w:t>0.1215 (SE = 0.1686)</w:t>
            </w:r>
          </w:p>
        </w:tc>
        <w:tc>
          <w:tcPr>
            <w:tcW w:w="1343" w:type="dxa"/>
            <w:shd w:val="clear" w:color="auto" w:fill="FFFFFF" w:themeFill="background1"/>
            <w:vAlign w:val="center"/>
          </w:tcPr>
          <w:p w:rsidR="004B4EB9" w:rsidRDefault="00B10F7E" w:rsidP="009D4FAD">
            <w:pPr>
              <w:jc w:val="center"/>
            </w:pPr>
            <w:r>
              <w:t>0.3486</w:t>
            </w:r>
          </w:p>
        </w:tc>
        <w:tc>
          <w:tcPr>
            <w:tcW w:w="1582" w:type="dxa"/>
            <w:shd w:val="clear" w:color="auto" w:fill="FFFFFF" w:themeFill="background1"/>
            <w:vAlign w:val="center"/>
          </w:tcPr>
          <w:p w:rsidR="004B4EB9" w:rsidRDefault="00B10F7E" w:rsidP="009D4FAD">
            <w:pPr>
              <w:jc w:val="center"/>
            </w:pPr>
            <w:r>
              <w:t>52.30%</w:t>
            </w:r>
          </w:p>
        </w:tc>
        <w:tc>
          <w:tcPr>
            <w:tcW w:w="1454" w:type="dxa"/>
            <w:shd w:val="clear" w:color="auto" w:fill="FFFFFF" w:themeFill="background1"/>
            <w:vAlign w:val="center"/>
          </w:tcPr>
          <w:p w:rsidR="004B4EB9" w:rsidRDefault="00B10F7E" w:rsidP="009D4FAD">
            <w:pPr>
              <w:jc w:val="center"/>
            </w:pPr>
            <w:r>
              <w:t>2.10</w:t>
            </w:r>
          </w:p>
        </w:tc>
        <w:tc>
          <w:tcPr>
            <w:tcW w:w="1455" w:type="dxa"/>
            <w:shd w:val="clear" w:color="auto" w:fill="FFFFFF" w:themeFill="background1"/>
            <w:vAlign w:val="center"/>
          </w:tcPr>
          <w:p w:rsidR="004B4EB9" w:rsidRDefault="00B10F7E" w:rsidP="009D4FAD">
            <w:pPr>
              <w:jc w:val="center"/>
            </w:pPr>
            <w:r>
              <w:t>Q(</w:t>
            </w:r>
            <w:proofErr w:type="spellStart"/>
            <w:r>
              <w:t>df</w:t>
            </w:r>
            <w:proofErr w:type="spellEnd"/>
            <w:r>
              <w:t xml:space="preserve"> = 4) = 7.9725, p-</w:t>
            </w:r>
            <w:proofErr w:type="spellStart"/>
            <w:r>
              <w:t>val</w:t>
            </w:r>
            <w:proofErr w:type="spellEnd"/>
            <w:r>
              <w:t xml:space="preserve"> = 0.0926</w:t>
            </w:r>
          </w:p>
        </w:tc>
      </w:tr>
    </w:tbl>
    <w:p w:rsidR="00CB5080" w:rsidRDefault="00CB5080" w:rsidP="00FC6BA4">
      <w:pPr>
        <w:jc w:val="both"/>
      </w:pPr>
      <w:r w:rsidRPr="00BE1862">
        <w:rPr>
          <w:b/>
        </w:rPr>
        <w:t>Legend</w:t>
      </w:r>
      <w:r>
        <w:t>: PG-YBOCS</w:t>
      </w:r>
      <w:r w:rsidRPr="00BE1862">
        <w:t xml:space="preserve"> </w:t>
      </w:r>
      <w:r>
        <w:t xml:space="preserve">= </w:t>
      </w:r>
      <w:r w:rsidRPr="00BE1862">
        <w:t>Yale-Brown Obsessive Compulsive Scale adapted for Patholo</w:t>
      </w:r>
      <w:r>
        <w:t>gical Gambling, GSAS =</w:t>
      </w:r>
      <w:r w:rsidRPr="00BE1862">
        <w:t xml:space="preserve"> Gambling Sympto</w:t>
      </w:r>
      <w:r>
        <w:t>m Assessment Scale,</w:t>
      </w:r>
      <w:r w:rsidRPr="00BE1862">
        <w:t xml:space="preserve"> CGI-I </w:t>
      </w:r>
      <w:r>
        <w:t xml:space="preserve">= </w:t>
      </w:r>
      <w:r w:rsidRPr="00BE1862">
        <w:t>Clinical Global Impression-Improvement scale</w:t>
      </w:r>
      <w:r>
        <w:t xml:space="preserve">; SE = standard error; </w:t>
      </w:r>
      <w:proofErr w:type="spellStart"/>
      <w:proofErr w:type="gramStart"/>
      <w:r>
        <w:t>df</w:t>
      </w:r>
      <w:proofErr w:type="spellEnd"/>
      <w:proofErr w:type="gramEnd"/>
      <w:r>
        <w:t xml:space="preserve"> = degrees of freedom</w:t>
      </w:r>
      <w:r w:rsidRPr="00BE1862">
        <w:t xml:space="preserve"> </w:t>
      </w:r>
    </w:p>
    <w:p w:rsidR="004B4EB9" w:rsidRDefault="004B4EB9" w:rsidP="004B4EB9">
      <w:pPr>
        <w:jc w:val="center"/>
      </w:pPr>
    </w:p>
    <w:p w:rsidR="004B4EB9" w:rsidRDefault="003E2172" w:rsidP="004B4EB9">
      <w:pPr>
        <w:pStyle w:val="Heading3"/>
      </w:pPr>
      <w:r>
        <w:t>Meta-regression</w:t>
      </w:r>
      <w:r w:rsidR="004B4EB9">
        <w:t>, placebo with r=0.75</w:t>
      </w:r>
    </w:p>
    <w:tbl>
      <w:tblPr>
        <w:tblStyle w:val="TableGrid"/>
        <w:tblW w:w="9973" w:type="dxa"/>
        <w:tblLayout w:type="fixed"/>
        <w:tblLook w:val="04A0" w:firstRow="1" w:lastRow="0" w:firstColumn="1" w:lastColumn="0" w:noHBand="0" w:noVBand="1"/>
      </w:tblPr>
      <w:tblGrid>
        <w:gridCol w:w="1063"/>
        <w:gridCol w:w="849"/>
        <w:gridCol w:w="952"/>
        <w:gridCol w:w="900"/>
        <w:gridCol w:w="952"/>
        <w:gridCol w:w="814"/>
        <w:gridCol w:w="806"/>
        <w:gridCol w:w="745"/>
        <w:gridCol w:w="745"/>
        <w:gridCol w:w="745"/>
        <w:gridCol w:w="684"/>
        <w:gridCol w:w="718"/>
      </w:tblGrid>
      <w:tr w:rsidR="004B4EB9" w:rsidRPr="009115C7" w:rsidTr="009D4FAD">
        <w:trPr>
          <w:cantSplit/>
          <w:trHeight w:val="1169"/>
        </w:trPr>
        <w:tc>
          <w:tcPr>
            <w:tcW w:w="1063" w:type="dxa"/>
            <w:shd w:val="clear" w:color="auto" w:fill="F2F2F2" w:themeFill="background1" w:themeFillShade="F2"/>
          </w:tcPr>
          <w:p w:rsidR="004B4EB9" w:rsidRPr="009115C7" w:rsidRDefault="004B4EB9" w:rsidP="009D4FAD">
            <w:pPr>
              <w:jc w:val="center"/>
              <w:rPr>
                <w:rFonts w:cs="Times New Roman"/>
                <w:b/>
                <w:szCs w:val="16"/>
              </w:rPr>
            </w:pPr>
            <w:r w:rsidRPr="009115C7">
              <w:rPr>
                <w:rFonts w:cs="Times New Roman"/>
                <w:b/>
                <w:szCs w:val="16"/>
              </w:rPr>
              <w:t>Analysis</w:t>
            </w:r>
          </w:p>
        </w:tc>
        <w:tc>
          <w:tcPr>
            <w:tcW w:w="849" w:type="dxa"/>
            <w:shd w:val="clear" w:color="auto" w:fill="F2F2F2" w:themeFill="background1" w:themeFillShade="F2"/>
            <w:textDirection w:val="btLr"/>
            <w:vAlign w:val="center"/>
          </w:tcPr>
          <w:p w:rsidR="004B4EB9" w:rsidRPr="009115C7" w:rsidRDefault="004B4EB9" w:rsidP="009D4FAD">
            <w:pPr>
              <w:ind w:left="113" w:right="113"/>
              <w:jc w:val="center"/>
              <w:rPr>
                <w:rFonts w:cs="Times New Roman"/>
                <w:b/>
                <w:szCs w:val="16"/>
              </w:rPr>
            </w:pPr>
            <w:r w:rsidRPr="009115C7">
              <w:rPr>
                <w:rFonts w:cs="Times New Roman"/>
                <w:b/>
                <w:szCs w:val="16"/>
              </w:rPr>
              <w:t>Publication Year</w:t>
            </w:r>
          </w:p>
        </w:tc>
        <w:tc>
          <w:tcPr>
            <w:tcW w:w="952" w:type="dxa"/>
            <w:shd w:val="clear" w:color="auto" w:fill="F2F2F2" w:themeFill="background1" w:themeFillShade="F2"/>
            <w:textDirection w:val="btLr"/>
            <w:vAlign w:val="center"/>
          </w:tcPr>
          <w:p w:rsidR="004B4EB9" w:rsidRPr="009115C7" w:rsidRDefault="004B4EB9" w:rsidP="009D4FAD">
            <w:pPr>
              <w:ind w:left="113" w:right="113"/>
              <w:jc w:val="center"/>
              <w:rPr>
                <w:rFonts w:cs="Times New Roman"/>
                <w:b/>
                <w:szCs w:val="16"/>
              </w:rPr>
            </w:pPr>
            <w:r w:rsidRPr="009115C7">
              <w:rPr>
                <w:rFonts w:cs="Times New Roman"/>
                <w:b/>
                <w:szCs w:val="16"/>
              </w:rPr>
              <w:t>Medication type (class)</w:t>
            </w:r>
          </w:p>
        </w:tc>
        <w:tc>
          <w:tcPr>
            <w:tcW w:w="900" w:type="dxa"/>
            <w:shd w:val="clear" w:color="auto" w:fill="F2F2F2" w:themeFill="background1" w:themeFillShade="F2"/>
            <w:textDirection w:val="btLr"/>
            <w:vAlign w:val="center"/>
          </w:tcPr>
          <w:p w:rsidR="004B4EB9" w:rsidRPr="009115C7" w:rsidRDefault="004B4EB9" w:rsidP="009D4FAD">
            <w:pPr>
              <w:ind w:left="113" w:right="113"/>
              <w:jc w:val="center"/>
              <w:rPr>
                <w:rFonts w:cs="Times New Roman"/>
                <w:b/>
                <w:szCs w:val="16"/>
              </w:rPr>
            </w:pPr>
            <w:r w:rsidRPr="009115C7">
              <w:rPr>
                <w:rFonts w:cs="Times New Roman"/>
                <w:b/>
                <w:szCs w:val="16"/>
              </w:rPr>
              <w:t>Sponsored study (Y/N)</w:t>
            </w:r>
          </w:p>
        </w:tc>
        <w:tc>
          <w:tcPr>
            <w:tcW w:w="952" w:type="dxa"/>
            <w:shd w:val="clear" w:color="auto" w:fill="F2F2F2" w:themeFill="background1" w:themeFillShade="F2"/>
            <w:textDirection w:val="btLr"/>
            <w:vAlign w:val="center"/>
          </w:tcPr>
          <w:p w:rsidR="004B4EB9" w:rsidRPr="009115C7" w:rsidRDefault="004B4EB9" w:rsidP="009D4FAD">
            <w:pPr>
              <w:ind w:left="113" w:right="113"/>
              <w:jc w:val="center"/>
              <w:rPr>
                <w:rFonts w:cs="Times New Roman"/>
                <w:b/>
                <w:szCs w:val="16"/>
              </w:rPr>
            </w:pPr>
            <w:r w:rsidRPr="009115C7">
              <w:rPr>
                <w:rFonts w:cs="Times New Roman"/>
                <w:b/>
                <w:szCs w:val="16"/>
              </w:rPr>
              <w:t>Participant age (mean)</w:t>
            </w:r>
          </w:p>
        </w:tc>
        <w:tc>
          <w:tcPr>
            <w:tcW w:w="814" w:type="dxa"/>
            <w:shd w:val="clear" w:color="auto" w:fill="F2F2F2" w:themeFill="background1" w:themeFillShade="F2"/>
            <w:textDirection w:val="btLr"/>
            <w:vAlign w:val="center"/>
          </w:tcPr>
          <w:p w:rsidR="004B4EB9" w:rsidRPr="009115C7" w:rsidRDefault="004B4EB9" w:rsidP="009D4FAD">
            <w:pPr>
              <w:ind w:left="113" w:right="113"/>
              <w:jc w:val="center"/>
              <w:rPr>
                <w:rFonts w:cs="Times New Roman"/>
                <w:b/>
                <w:szCs w:val="16"/>
              </w:rPr>
            </w:pPr>
            <w:r w:rsidRPr="009115C7">
              <w:rPr>
                <w:rFonts w:cs="Times New Roman"/>
                <w:b/>
                <w:szCs w:val="16"/>
              </w:rPr>
              <w:t>%gender</w:t>
            </w:r>
          </w:p>
        </w:tc>
        <w:tc>
          <w:tcPr>
            <w:tcW w:w="806" w:type="dxa"/>
            <w:shd w:val="clear" w:color="auto" w:fill="F2F2F2" w:themeFill="background1" w:themeFillShade="F2"/>
            <w:textDirection w:val="btLr"/>
            <w:vAlign w:val="center"/>
          </w:tcPr>
          <w:p w:rsidR="004B4EB9" w:rsidRPr="009115C7" w:rsidRDefault="004B4EB9" w:rsidP="009D4FAD">
            <w:pPr>
              <w:ind w:left="113" w:right="113"/>
              <w:jc w:val="center"/>
              <w:rPr>
                <w:rFonts w:cs="Times New Roman"/>
                <w:b/>
                <w:szCs w:val="16"/>
              </w:rPr>
            </w:pPr>
            <w:r w:rsidRPr="009115C7">
              <w:rPr>
                <w:rFonts w:cs="Times New Roman"/>
                <w:b/>
                <w:szCs w:val="16"/>
              </w:rPr>
              <w:t>Duration of study</w:t>
            </w:r>
          </w:p>
        </w:tc>
        <w:tc>
          <w:tcPr>
            <w:tcW w:w="745" w:type="dxa"/>
            <w:shd w:val="clear" w:color="auto" w:fill="F2F2F2" w:themeFill="background1" w:themeFillShade="F2"/>
            <w:textDirection w:val="btLr"/>
            <w:vAlign w:val="center"/>
          </w:tcPr>
          <w:p w:rsidR="004B4EB9" w:rsidRPr="009115C7" w:rsidRDefault="004B4EB9" w:rsidP="009D4FAD">
            <w:pPr>
              <w:ind w:left="113" w:right="113"/>
              <w:jc w:val="center"/>
              <w:rPr>
                <w:rFonts w:cs="Times New Roman"/>
                <w:b/>
                <w:szCs w:val="16"/>
              </w:rPr>
            </w:pPr>
            <w:r w:rsidRPr="009115C7">
              <w:rPr>
                <w:rFonts w:cs="Times New Roman"/>
                <w:b/>
                <w:szCs w:val="16"/>
              </w:rPr>
              <w:t>Unbalanced randomization</w:t>
            </w:r>
          </w:p>
        </w:tc>
        <w:tc>
          <w:tcPr>
            <w:tcW w:w="745" w:type="dxa"/>
            <w:shd w:val="clear" w:color="auto" w:fill="F2F2F2" w:themeFill="background1" w:themeFillShade="F2"/>
            <w:textDirection w:val="btLr"/>
            <w:vAlign w:val="center"/>
          </w:tcPr>
          <w:p w:rsidR="004B4EB9" w:rsidRPr="009115C7" w:rsidRDefault="004B4EB9" w:rsidP="009D4FAD">
            <w:pPr>
              <w:ind w:left="113" w:right="113"/>
              <w:jc w:val="center"/>
              <w:rPr>
                <w:rFonts w:cs="Times New Roman"/>
                <w:b/>
                <w:szCs w:val="16"/>
              </w:rPr>
            </w:pPr>
            <w:r w:rsidRPr="009115C7">
              <w:rPr>
                <w:rFonts w:cs="Times New Roman"/>
                <w:b/>
                <w:szCs w:val="16"/>
              </w:rPr>
              <w:t>Baseline severity</w:t>
            </w:r>
          </w:p>
        </w:tc>
        <w:tc>
          <w:tcPr>
            <w:tcW w:w="745" w:type="dxa"/>
            <w:shd w:val="clear" w:color="auto" w:fill="F2F2F2" w:themeFill="background1" w:themeFillShade="F2"/>
            <w:textDirection w:val="btLr"/>
            <w:vAlign w:val="center"/>
          </w:tcPr>
          <w:p w:rsidR="004B4EB9" w:rsidRPr="009115C7" w:rsidRDefault="004B4EB9" w:rsidP="009D4FAD">
            <w:pPr>
              <w:ind w:left="113" w:right="113"/>
              <w:jc w:val="center"/>
              <w:rPr>
                <w:rFonts w:cs="Times New Roman"/>
                <w:b/>
                <w:szCs w:val="16"/>
              </w:rPr>
            </w:pPr>
            <w:r w:rsidRPr="009115C7">
              <w:rPr>
                <w:rFonts w:cs="Times New Roman"/>
                <w:b/>
                <w:szCs w:val="16"/>
              </w:rPr>
              <w:t>Severity scale</w:t>
            </w:r>
          </w:p>
        </w:tc>
        <w:tc>
          <w:tcPr>
            <w:tcW w:w="684" w:type="dxa"/>
            <w:shd w:val="clear" w:color="auto" w:fill="F2F2F2" w:themeFill="background1" w:themeFillShade="F2"/>
            <w:textDirection w:val="btLr"/>
            <w:vAlign w:val="center"/>
          </w:tcPr>
          <w:p w:rsidR="004B4EB9" w:rsidRPr="009115C7" w:rsidRDefault="004B4EB9" w:rsidP="009D4FAD">
            <w:pPr>
              <w:ind w:left="113" w:right="113"/>
              <w:jc w:val="center"/>
              <w:rPr>
                <w:rFonts w:cs="Times New Roman"/>
                <w:b/>
                <w:szCs w:val="16"/>
              </w:rPr>
            </w:pPr>
            <w:r w:rsidRPr="009115C7">
              <w:rPr>
                <w:rFonts w:cs="Times New Roman"/>
                <w:b/>
                <w:szCs w:val="16"/>
              </w:rPr>
              <w:t>Author COI (Y/N)</w:t>
            </w:r>
          </w:p>
        </w:tc>
        <w:tc>
          <w:tcPr>
            <w:tcW w:w="718" w:type="dxa"/>
            <w:shd w:val="clear" w:color="auto" w:fill="F2F2F2" w:themeFill="background1" w:themeFillShade="F2"/>
          </w:tcPr>
          <w:p w:rsidR="004B4EB9" w:rsidRPr="009115C7" w:rsidRDefault="004B4EB9" w:rsidP="009D4FAD">
            <w:pPr>
              <w:jc w:val="center"/>
              <w:rPr>
                <w:rFonts w:cs="Times New Roman"/>
                <w:b/>
                <w:szCs w:val="16"/>
              </w:rPr>
            </w:pPr>
            <w:r w:rsidRPr="009115C7">
              <w:rPr>
                <w:rFonts w:cs="Times New Roman"/>
                <w:b/>
                <w:szCs w:val="16"/>
              </w:rPr>
              <w:t>Placebo run in 1 week</w:t>
            </w:r>
          </w:p>
        </w:tc>
      </w:tr>
      <w:tr w:rsidR="004B4EB9" w:rsidRPr="009115C7" w:rsidTr="009D4FAD">
        <w:trPr>
          <w:trHeight w:val="1161"/>
        </w:trPr>
        <w:tc>
          <w:tcPr>
            <w:tcW w:w="1063" w:type="dxa"/>
          </w:tcPr>
          <w:p w:rsidR="004B4EB9" w:rsidRPr="009115C7" w:rsidRDefault="004B4EB9" w:rsidP="009D4FAD">
            <w:pPr>
              <w:jc w:val="center"/>
              <w:rPr>
                <w:rFonts w:cs="Times New Roman"/>
                <w:b/>
                <w:szCs w:val="16"/>
              </w:rPr>
            </w:pPr>
            <w:r w:rsidRPr="009115C7">
              <w:rPr>
                <w:rFonts w:cs="Times New Roman"/>
                <w:b/>
                <w:szCs w:val="16"/>
              </w:rPr>
              <w:t>Severity (all measures)</w:t>
            </w:r>
          </w:p>
        </w:tc>
        <w:tc>
          <w:tcPr>
            <w:tcW w:w="849" w:type="dxa"/>
          </w:tcPr>
          <w:p w:rsidR="004B4EB9" w:rsidRPr="009115C7" w:rsidRDefault="004B4EB9" w:rsidP="009D4FAD">
            <w:pPr>
              <w:jc w:val="center"/>
              <w:rPr>
                <w:rFonts w:cs="Times New Roman"/>
                <w:szCs w:val="16"/>
              </w:rPr>
            </w:pPr>
            <w:r>
              <w:rPr>
                <w:rFonts w:cs="Times New Roman"/>
                <w:szCs w:val="16"/>
              </w:rPr>
              <w:t>*</w:t>
            </w:r>
            <w:r w:rsidR="0081623C">
              <w:rPr>
                <w:rFonts w:cs="Times New Roman"/>
                <w:szCs w:val="16"/>
              </w:rPr>
              <w:t>*</w:t>
            </w:r>
          </w:p>
          <w:p w:rsidR="004B4EB9" w:rsidRPr="009115C7" w:rsidRDefault="004B4EB9" w:rsidP="009D4FAD">
            <w:pPr>
              <w:jc w:val="center"/>
              <w:rPr>
                <w:rFonts w:cs="Times New Roman"/>
                <w:szCs w:val="16"/>
              </w:rPr>
            </w:pPr>
            <w:r w:rsidRPr="009115C7">
              <w:rPr>
                <w:rFonts w:cs="Times New Roman"/>
                <w:szCs w:val="16"/>
              </w:rPr>
              <w:t>Recent higher E.S.</w:t>
            </w:r>
          </w:p>
        </w:tc>
        <w:tc>
          <w:tcPr>
            <w:tcW w:w="952" w:type="dxa"/>
          </w:tcPr>
          <w:p w:rsidR="004B4EB9" w:rsidRPr="009115C7" w:rsidRDefault="004B4EB9" w:rsidP="009D4FAD">
            <w:pPr>
              <w:jc w:val="center"/>
              <w:rPr>
                <w:rFonts w:cs="Times New Roman"/>
                <w:szCs w:val="16"/>
              </w:rPr>
            </w:pPr>
            <w:r>
              <w:rPr>
                <w:rFonts w:cs="Times New Roman"/>
                <w:szCs w:val="16"/>
              </w:rPr>
              <w:t>*</w:t>
            </w:r>
          </w:p>
          <w:p w:rsidR="004B4EB9" w:rsidRPr="009115C7" w:rsidRDefault="004B4EB9" w:rsidP="009D4FAD">
            <w:pPr>
              <w:jc w:val="center"/>
              <w:rPr>
                <w:rFonts w:cs="Times New Roman"/>
                <w:szCs w:val="16"/>
              </w:rPr>
            </w:pPr>
            <w:r w:rsidRPr="009115C7">
              <w:rPr>
                <w:rFonts w:cs="Times New Roman"/>
                <w:szCs w:val="16"/>
              </w:rPr>
              <w:t>supplement higher E.S.</w:t>
            </w:r>
          </w:p>
        </w:tc>
        <w:tc>
          <w:tcPr>
            <w:tcW w:w="900"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952"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14"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06" w:type="dxa"/>
          </w:tcPr>
          <w:p w:rsidR="004B4EB9" w:rsidRPr="009115C7" w:rsidRDefault="004B4EB9" w:rsidP="009D4FAD">
            <w:pPr>
              <w:jc w:val="center"/>
              <w:rPr>
                <w:rFonts w:cs="Times New Roman"/>
                <w:szCs w:val="16"/>
              </w:rPr>
            </w:pPr>
            <w:proofErr w:type="spellStart"/>
            <w:r>
              <w:rPr>
                <w:rFonts w:cs="Times New Roman"/>
                <w:szCs w:val="16"/>
              </w:rPr>
              <w:t>n.s</w:t>
            </w:r>
            <w:proofErr w:type="spellEnd"/>
            <w:r>
              <w:rPr>
                <w:rFonts w:cs="Times New Roman"/>
                <w:szCs w:val="16"/>
              </w:rPr>
              <w:t>.</w:t>
            </w:r>
          </w:p>
        </w:tc>
        <w:tc>
          <w:tcPr>
            <w:tcW w:w="745"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45" w:type="dxa"/>
          </w:tcPr>
          <w:p w:rsidR="004B4EB9" w:rsidRPr="009115C7" w:rsidRDefault="004B4EB9" w:rsidP="009D4FAD">
            <w:pPr>
              <w:jc w:val="center"/>
              <w:rPr>
                <w:rFonts w:cs="Times New Roman"/>
                <w:szCs w:val="16"/>
              </w:rPr>
            </w:pPr>
            <w:r w:rsidRPr="009115C7">
              <w:rPr>
                <w:rFonts w:cs="Times New Roman"/>
                <w:szCs w:val="16"/>
              </w:rPr>
              <w:t>NA</w:t>
            </w:r>
          </w:p>
        </w:tc>
        <w:tc>
          <w:tcPr>
            <w:tcW w:w="745"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684"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18"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r>
      <w:tr w:rsidR="004B4EB9" w:rsidRPr="009115C7" w:rsidTr="009D4FAD">
        <w:trPr>
          <w:trHeight w:val="1161"/>
        </w:trPr>
        <w:tc>
          <w:tcPr>
            <w:tcW w:w="1063" w:type="dxa"/>
          </w:tcPr>
          <w:p w:rsidR="004B4EB9" w:rsidRPr="009115C7" w:rsidRDefault="004B4EB9" w:rsidP="009D4FAD">
            <w:pPr>
              <w:jc w:val="center"/>
              <w:rPr>
                <w:rFonts w:cs="Times New Roman"/>
                <w:b/>
                <w:szCs w:val="16"/>
              </w:rPr>
            </w:pPr>
            <w:proofErr w:type="spellStart"/>
            <w:r w:rsidRPr="009115C7">
              <w:rPr>
                <w:rFonts w:cs="Times New Roman"/>
                <w:b/>
                <w:szCs w:val="16"/>
              </w:rPr>
              <w:t>QoL</w:t>
            </w:r>
            <w:proofErr w:type="spellEnd"/>
          </w:p>
        </w:tc>
        <w:tc>
          <w:tcPr>
            <w:tcW w:w="849"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p>
        </w:tc>
        <w:tc>
          <w:tcPr>
            <w:tcW w:w="952" w:type="dxa"/>
          </w:tcPr>
          <w:p w:rsidR="004B4EB9" w:rsidRPr="009115C7" w:rsidRDefault="004B4EB9" w:rsidP="009D4FAD">
            <w:pPr>
              <w:jc w:val="center"/>
              <w:rPr>
                <w:rFonts w:cs="Times New Roman"/>
                <w:szCs w:val="16"/>
              </w:rPr>
            </w:pPr>
            <w:proofErr w:type="spellStart"/>
            <w:r>
              <w:rPr>
                <w:rFonts w:cs="Times New Roman"/>
                <w:szCs w:val="16"/>
              </w:rPr>
              <w:t>n.s</w:t>
            </w:r>
            <w:proofErr w:type="spellEnd"/>
            <w:r>
              <w:rPr>
                <w:rFonts w:cs="Times New Roman"/>
                <w:szCs w:val="16"/>
              </w:rPr>
              <w:t>.</w:t>
            </w:r>
          </w:p>
        </w:tc>
        <w:tc>
          <w:tcPr>
            <w:tcW w:w="900"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p>
        </w:tc>
        <w:tc>
          <w:tcPr>
            <w:tcW w:w="952"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p>
        </w:tc>
        <w:tc>
          <w:tcPr>
            <w:tcW w:w="814"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06" w:type="dxa"/>
          </w:tcPr>
          <w:p w:rsidR="00AF15E3" w:rsidRDefault="00AF15E3" w:rsidP="00AF15E3">
            <w:pPr>
              <w:jc w:val="center"/>
              <w:rPr>
                <w:rFonts w:cs="Times New Roman"/>
                <w:szCs w:val="16"/>
              </w:rPr>
            </w:pPr>
            <w:r>
              <w:rPr>
                <w:rFonts w:cs="Times New Roman"/>
                <w:szCs w:val="16"/>
              </w:rPr>
              <w:t>* 8 weeks higher E.S.</w:t>
            </w:r>
          </w:p>
          <w:p w:rsidR="004B4EB9" w:rsidRPr="009115C7" w:rsidRDefault="0081623C" w:rsidP="00AF15E3">
            <w:pPr>
              <w:jc w:val="center"/>
              <w:rPr>
                <w:rFonts w:cs="Times New Roman"/>
                <w:szCs w:val="16"/>
              </w:rPr>
            </w:pPr>
            <w:r>
              <w:rPr>
                <w:rFonts w:cs="Times New Roman"/>
                <w:szCs w:val="16"/>
              </w:rPr>
              <w:t xml:space="preserve">** 20-weeks lower E.S. </w:t>
            </w:r>
          </w:p>
        </w:tc>
        <w:tc>
          <w:tcPr>
            <w:tcW w:w="745" w:type="dxa"/>
          </w:tcPr>
          <w:p w:rsidR="004B4EB9" w:rsidRPr="009115C7" w:rsidRDefault="004B4EB9" w:rsidP="009D4FAD">
            <w:pPr>
              <w:jc w:val="center"/>
              <w:rPr>
                <w:rFonts w:cs="Times New Roman"/>
                <w:szCs w:val="16"/>
              </w:rPr>
            </w:pPr>
            <w:r w:rsidRPr="009115C7">
              <w:rPr>
                <w:rFonts w:cs="Times New Roman"/>
                <w:szCs w:val="16"/>
              </w:rPr>
              <w:t>NA</w:t>
            </w:r>
          </w:p>
        </w:tc>
        <w:tc>
          <w:tcPr>
            <w:tcW w:w="745" w:type="dxa"/>
          </w:tcPr>
          <w:p w:rsidR="004B4EB9" w:rsidRPr="009115C7" w:rsidRDefault="004B4EB9" w:rsidP="009D4FAD">
            <w:pPr>
              <w:jc w:val="center"/>
              <w:rPr>
                <w:rFonts w:cs="Times New Roman"/>
                <w:szCs w:val="16"/>
              </w:rPr>
            </w:pPr>
            <w:r w:rsidRPr="009115C7">
              <w:rPr>
                <w:rFonts w:cs="Times New Roman"/>
                <w:szCs w:val="16"/>
              </w:rPr>
              <w:t>*</w:t>
            </w:r>
            <w:r>
              <w:rPr>
                <w:rFonts w:cs="Times New Roman"/>
                <w:szCs w:val="16"/>
              </w:rPr>
              <w:t>*</w:t>
            </w:r>
            <w:r w:rsidR="0081623C">
              <w:rPr>
                <w:rFonts w:cs="Times New Roman"/>
                <w:szCs w:val="16"/>
              </w:rPr>
              <w:t>*</w:t>
            </w:r>
            <w:r w:rsidRPr="009115C7">
              <w:rPr>
                <w:rFonts w:cs="Times New Roman"/>
                <w:szCs w:val="16"/>
              </w:rPr>
              <w:t xml:space="preserve"> </w:t>
            </w:r>
            <w:r>
              <w:rPr>
                <w:rFonts w:cs="Times New Roman"/>
                <w:szCs w:val="16"/>
              </w:rPr>
              <w:t xml:space="preserve">lower </w:t>
            </w:r>
            <w:r w:rsidRPr="009115C7">
              <w:rPr>
                <w:rFonts w:cs="Times New Roman"/>
                <w:szCs w:val="16"/>
              </w:rPr>
              <w:t>baseline higher E.S.</w:t>
            </w:r>
          </w:p>
        </w:tc>
        <w:tc>
          <w:tcPr>
            <w:tcW w:w="745"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684" w:type="dxa"/>
          </w:tcPr>
          <w:p w:rsidR="004B4EB9" w:rsidRPr="009115C7" w:rsidRDefault="004B4EB9" w:rsidP="009D4FAD">
            <w:pPr>
              <w:jc w:val="center"/>
              <w:rPr>
                <w:rFonts w:cs="Times New Roman"/>
                <w:szCs w:val="16"/>
              </w:rPr>
            </w:pPr>
            <w:proofErr w:type="spellStart"/>
            <w:r>
              <w:rPr>
                <w:rFonts w:cs="Times New Roman"/>
                <w:szCs w:val="16"/>
              </w:rPr>
              <w:t>n.s</w:t>
            </w:r>
            <w:proofErr w:type="spellEnd"/>
            <w:r>
              <w:rPr>
                <w:rFonts w:cs="Times New Roman"/>
                <w:szCs w:val="16"/>
              </w:rPr>
              <w:t>.</w:t>
            </w:r>
          </w:p>
        </w:tc>
        <w:tc>
          <w:tcPr>
            <w:tcW w:w="718"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r>
      <w:tr w:rsidR="004B4EB9" w:rsidRPr="009115C7" w:rsidTr="009D4FAD">
        <w:trPr>
          <w:trHeight w:val="1165"/>
        </w:trPr>
        <w:tc>
          <w:tcPr>
            <w:tcW w:w="1063" w:type="dxa"/>
          </w:tcPr>
          <w:p w:rsidR="004B4EB9" w:rsidRPr="009115C7" w:rsidRDefault="004B4EB9" w:rsidP="009D4FAD">
            <w:pPr>
              <w:jc w:val="center"/>
              <w:rPr>
                <w:rFonts w:cs="Times New Roman"/>
                <w:b/>
                <w:szCs w:val="16"/>
              </w:rPr>
            </w:pPr>
            <w:r w:rsidRPr="009115C7">
              <w:rPr>
                <w:rFonts w:cs="Times New Roman"/>
                <w:b/>
                <w:szCs w:val="16"/>
              </w:rPr>
              <w:t>PGYBOCS</w:t>
            </w:r>
          </w:p>
        </w:tc>
        <w:tc>
          <w:tcPr>
            <w:tcW w:w="849" w:type="dxa"/>
          </w:tcPr>
          <w:p w:rsidR="004B4EB9" w:rsidRPr="009115C7" w:rsidRDefault="004B4EB9" w:rsidP="009D4FAD">
            <w:pPr>
              <w:jc w:val="center"/>
              <w:rPr>
                <w:rFonts w:cs="Times New Roman"/>
                <w:szCs w:val="16"/>
              </w:rPr>
            </w:pPr>
            <w:r>
              <w:rPr>
                <w:rFonts w:cs="Times New Roman"/>
                <w:szCs w:val="16"/>
              </w:rPr>
              <w:t>*</w:t>
            </w:r>
            <w:r w:rsidR="00FC2950">
              <w:rPr>
                <w:rFonts w:cs="Times New Roman"/>
                <w:szCs w:val="16"/>
              </w:rPr>
              <w:t>*</w:t>
            </w:r>
          </w:p>
          <w:p w:rsidR="004B4EB9" w:rsidRPr="009115C7" w:rsidRDefault="004B4EB9" w:rsidP="009D4FAD">
            <w:pPr>
              <w:jc w:val="center"/>
              <w:rPr>
                <w:rFonts w:cs="Times New Roman"/>
                <w:szCs w:val="16"/>
              </w:rPr>
            </w:pPr>
            <w:r w:rsidRPr="009115C7">
              <w:rPr>
                <w:rFonts w:cs="Times New Roman"/>
                <w:szCs w:val="16"/>
              </w:rPr>
              <w:t>Recent higher E.S.</w:t>
            </w:r>
          </w:p>
        </w:tc>
        <w:tc>
          <w:tcPr>
            <w:tcW w:w="952" w:type="dxa"/>
          </w:tcPr>
          <w:p w:rsidR="004B4EB9" w:rsidRPr="009115C7" w:rsidRDefault="004B4EB9" w:rsidP="009D4FAD">
            <w:pPr>
              <w:jc w:val="center"/>
              <w:rPr>
                <w:rFonts w:cs="Times New Roman"/>
                <w:szCs w:val="16"/>
              </w:rPr>
            </w:pPr>
            <w:r w:rsidRPr="009115C7">
              <w:rPr>
                <w:rFonts w:cs="Times New Roman"/>
                <w:szCs w:val="16"/>
              </w:rPr>
              <w:t>* supplement higher E.S.</w:t>
            </w:r>
          </w:p>
        </w:tc>
        <w:tc>
          <w:tcPr>
            <w:tcW w:w="900"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p>
        </w:tc>
        <w:tc>
          <w:tcPr>
            <w:tcW w:w="952"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14"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06" w:type="dxa"/>
          </w:tcPr>
          <w:p w:rsidR="004B4EB9" w:rsidRPr="009115C7" w:rsidRDefault="004B4EB9" w:rsidP="009D4FAD">
            <w:pPr>
              <w:jc w:val="center"/>
              <w:rPr>
                <w:rFonts w:cs="Times New Roman"/>
                <w:szCs w:val="16"/>
              </w:rPr>
            </w:pPr>
            <w:proofErr w:type="spellStart"/>
            <w:r>
              <w:rPr>
                <w:rFonts w:cs="Times New Roman"/>
                <w:szCs w:val="16"/>
              </w:rPr>
              <w:t>n.s</w:t>
            </w:r>
            <w:proofErr w:type="spellEnd"/>
            <w:r>
              <w:rPr>
                <w:rFonts w:cs="Times New Roman"/>
                <w:szCs w:val="16"/>
              </w:rPr>
              <w:t>.</w:t>
            </w:r>
          </w:p>
        </w:tc>
        <w:tc>
          <w:tcPr>
            <w:tcW w:w="745"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45" w:type="dxa"/>
          </w:tcPr>
          <w:p w:rsidR="00FC2950" w:rsidRDefault="00FC2950" w:rsidP="009D4FAD">
            <w:pPr>
              <w:jc w:val="center"/>
              <w:rPr>
                <w:rFonts w:cs="Times New Roman"/>
                <w:szCs w:val="16"/>
              </w:rPr>
            </w:pPr>
            <w:r>
              <w:rPr>
                <w:rFonts w:cs="Times New Roman"/>
                <w:szCs w:val="16"/>
              </w:rPr>
              <w:t>*</w:t>
            </w:r>
          </w:p>
          <w:p w:rsidR="004B4EB9" w:rsidRPr="009115C7" w:rsidRDefault="004B4EB9" w:rsidP="009D4FAD">
            <w:pPr>
              <w:jc w:val="center"/>
              <w:rPr>
                <w:rFonts w:cs="Times New Roman"/>
                <w:szCs w:val="16"/>
              </w:rPr>
            </w:pPr>
            <w:r w:rsidRPr="009115C7">
              <w:rPr>
                <w:rFonts w:cs="Times New Roman"/>
                <w:szCs w:val="16"/>
              </w:rPr>
              <w:t xml:space="preserve"> higher baseline higher E.S.</w:t>
            </w:r>
          </w:p>
        </w:tc>
        <w:tc>
          <w:tcPr>
            <w:tcW w:w="745" w:type="dxa"/>
          </w:tcPr>
          <w:p w:rsidR="004B4EB9" w:rsidRPr="009115C7" w:rsidRDefault="004B4EB9" w:rsidP="009D4FAD">
            <w:pPr>
              <w:jc w:val="center"/>
              <w:rPr>
                <w:rFonts w:cs="Times New Roman"/>
                <w:szCs w:val="16"/>
              </w:rPr>
            </w:pPr>
            <w:r w:rsidRPr="009115C7">
              <w:rPr>
                <w:rFonts w:cs="Times New Roman"/>
                <w:szCs w:val="16"/>
              </w:rPr>
              <w:t>NA</w:t>
            </w:r>
          </w:p>
        </w:tc>
        <w:tc>
          <w:tcPr>
            <w:tcW w:w="684"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18"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r>
      <w:tr w:rsidR="004B4EB9" w:rsidRPr="009115C7" w:rsidTr="009D4FAD">
        <w:trPr>
          <w:trHeight w:val="1629"/>
        </w:trPr>
        <w:tc>
          <w:tcPr>
            <w:tcW w:w="1063" w:type="dxa"/>
          </w:tcPr>
          <w:p w:rsidR="004B4EB9" w:rsidRPr="009115C7" w:rsidRDefault="004B4EB9" w:rsidP="009D4FAD">
            <w:pPr>
              <w:jc w:val="center"/>
              <w:rPr>
                <w:rFonts w:cs="Times New Roman"/>
                <w:b/>
                <w:szCs w:val="16"/>
              </w:rPr>
            </w:pPr>
            <w:r w:rsidRPr="009115C7">
              <w:rPr>
                <w:rFonts w:cs="Times New Roman"/>
                <w:b/>
                <w:szCs w:val="16"/>
              </w:rPr>
              <w:t>GSAS</w:t>
            </w:r>
          </w:p>
        </w:tc>
        <w:tc>
          <w:tcPr>
            <w:tcW w:w="849" w:type="dxa"/>
          </w:tcPr>
          <w:p w:rsidR="00FC2950" w:rsidRPr="009115C7" w:rsidRDefault="00FC2950" w:rsidP="00FC2950">
            <w:pPr>
              <w:jc w:val="center"/>
              <w:rPr>
                <w:rFonts w:cs="Times New Roman"/>
                <w:szCs w:val="16"/>
              </w:rPr>
            </w:pPr>
            <w:r>
              <w:rPr>
                <w:rFonts w:cs="Times New Roman"/>
                <w:szCs w:val="16"/>
              </w:rPr>
              <w:t>*</w:t>
            </w:r>
          </w:p>
          <w:p w:rsidR="004B4EB9" w:rsidRPr="009115C7" w:rsidRDefault="00FC2950" w:rsidP="00FC2950">
            <w:pPr>
              <w:jc w:val="center"/>
              <w:rPr>
                <w:rFonts w:cs="Times New Roman"/>
                <w:szCs w:val="16"/>
              </w:rPr>
            </w:pPr>
            <w:r w:rsidRPr="009115C7">
              <w:rPr>
                <w:rFonts w:cs="Times New Roman"/>
                <w:szCs w:val="16"/>
              </w:rPr>
              <w:t>Recent higher E.S.</w:t>
            </w:r>
          </w:p>
        </w:tc>
        <w:tc>
          <w:tcPr>
            <w:tcW w:w="952" w:type="dxa"/>
          </w:tcPr>
          <w:p w:rsidR="004B4EB9" w:rsidRDefault="004B4EB9" w:rsidP="009D4FAD">
            <w:pPr>
              <w:jc w:val="center"/>
              <w:rPr>
                <w:rFonts w:cs="Times New Roman"/>
                <w:szCs w:val="16"/>
              </w:rPr>
            </w:pPr>
            <w:r w:rsidRPr="009115C7">
              <w:rPr>
                <w:rFonts w:cs="Times New Roman"/>
                <w:szCs w:val="16"/>
              </w:rPr>
              <w:t>*</w:t>
            </w:r>
          </w:p>
          <w:p w:rsidR="004B4EB9" w:rsidRDefault="004B4EB9" w:rsidP="009D4FAD">
            <w:pPr>
              <w:jc w:val="center"/>
              <w:rPr>
                <w:rFonts w:cs="Times New Roman"/>
                <w:szCs w:val="16"/>
              </w:rPr>
            </w:pPr>
            <w:r w:rsidRPr="009115C7">
              <w:rPr>
                <w:rFonts w:cs="Times New Roman"/>
                <w:szCs w:val="16"/>
              </w:rPr>
              <w:t xml:space="preserve"> </w:t>
            </w:r>
            <w:r>
              <w:rPr>
                <w:rFonts w:cs="Times New Roman"/>
                <w:szCs w:val="16"/>
              </w:rPr>
              <w:t>ORA</w:t>
            </w:r>
            <w:r w:rsidRPr="009115C7">
              <w:rPr>
                <w:rFonts w:cs="Times New Roman"/>
                <w:szCs w:val="16"/>
              </w:rPr>
              <w:t xml:space="preserve"> higher E.S.</w:t>
            </w:r>
          </w:p>
          <w:p w:rsidR="00B10F7E" w:rsidRPr="009115C7" w:rsidRDefault="00B10F7E" w:rsidP="009D4FAD">
            <w:pPr>
              <w:jc w:val="center"/>
              <w:rPr>
                <w:rFonts w:cs="Times New Roman"/>
                <w:szCs w:val="16"/>
              </w:rPr>
            </w:pPr>
            <w:r w:rsidRPr="009115C7">
              <w:rPr>
                <w:rFonts w:cs="Times New Roman"/>
                <w:szCs w:val="16"/>
              </w:rPr>
              <w:t>* supplement higher E.S.</w:t>
            </w:r>
          </w:p>
        </w:tc>
        <w:tc>
          <w:tcPr>
            <w:tcW w:w="900" w:type="dxa"/>
          </w:tcPr>
          <w:p w:rsidR="00B10F7E" w:rsidRDefault="004B4EB9" w:rsidP="009D4FAD">
            <w:pPr>
              <w:jc w:val="center"/>
              <w:rPr>
                <w:rFonts w:cs="Times New Roman"/>
                <w:szCs w:val="16"/>
              </w:rPr>
            </w:pPr>
            <w:r>
              <w:rPr>
                <w:rFonts w:cs="Times New Roman"/>
                <w:szCs w:val="16"/>
              </w:rPr>
              <w:t xml:space="preserve">** </w:t>
            </w:r>
          </w:p>
          <w:p w:rsidR="004B4EB9" w:rsidRPr="009115C7" w:rsidRDefault="004B4EB9" w:rsidP="009D4FAD">
            <w:pPr>
              <w:jc w:val="center"/>
              <w:rPr>
                <w:rFonts w:cs="Times New Roman"/>
                <w:szCs w:val="16"/>
              </w:rPr>
            </w:pPr>
            <w:r>
              <w:rPr>
                <w:rFonts w:cs="Times New Roman"/>
                <w:szCs w:val="16"/>
              </w:rPr>
              <w:t xml:space="preserve">no sponsor higher E.S. </w:t>
            </w:r>
          </w:p>
        </w:tc>
        <w:tc>
          <w:tcPr>
            <w:tcW w:w="952"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14"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06" w:type="dxa"/>
          </w:tcPr>
          <w:p w:rsidR="004B4EB9" w:rsidRPr="009115C7" w:rsidRDefault="004B4EB9" w:rsidP="009D4FAD">
            <w:pPr>
              <w:jc w:val="center"/>
              <w:rPr>
                <w:rFonts w:cs="Times New Roman"/>
                <w:szCs w:val="16"/>
              </w:rPr>
            </w:pPr>
            <w:proofErr w:type="spellStart"/>
            <w:r>
              <w:rPr>
                <w:rFonts w:cs="Times New Roman"/>
                <w:szCs w:val="16"/>
              </w:rPr>
              <w:t>n.s</w:t>
            </w:r>
            <w:proofErr w:type="spellEnd"/>
            <w:r>
              <w:rPr>
                <w:rFonts w:cs="Times New Roman"/>
                <w:szCs w:val="16"/>
              </w:rPr>
              <w:t>.</w:t>
            </w:r>
          </w:p>
        </w:tc>
        <w:tc>
          <w:tcPr>
            <w:tcW w:w="745" w:type="dxa"/>
          </w:tcPr>
          <w:p w:rsidR="004B4EB9" w:rsidRPr="009115C7" w:rsidRDefault="004B4EB9" w:rsidP="009D4FAD">
            <w:pPr>
              <w:jc w:val="center"/>
              <w:rPr>
                <w:rFonts w:cs="Times New Roman"/>
                <w:szCs w:val="16"/>
              </w:rPr>
            </w:pPr>
            <w:r w:rsidRPr="009115C7">
              <w:rPr>
                <w:rFonts w:cs="Times New Roman"/>
                <w:szCs w:val="16"/>
              </w:rPr>
              <w:t>NA</w:t>
            </w:r>
          </w:p>
        </w:tc>
        <w:tc>
          <w:tcPr>
            <w:tcW w:w="745" w:type="dxa"/>
          </w:tcPr>
          <w:p w:rsidR="004B4EB9" w:rsidRPr="009115C7" w:rsidRDefault="00211982"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45" w:type="dxa"/>
          </w:tcPr>
          <w:p w:rsidR="004B4EB9" w:rsidRPr="009115C7" w:rsidRDefault="004B4EB9" w:rsidP="009D4FAD">
            <w:pPr>
              <w:jc w:val="center"/>
              <w:rPr>
                <w:rFonts w:cs="Times New Roman"/>
                <w:szCs w:val="16"/>
              </w:rPr>
            </w:pPr>
            <w:r w:rsidRPr="009115C7">
              <w:rPr>
                <w:rFonts w:cs="Times New Roman"/>
                <w:szCs w:val="16"/>
              </w:rPr>
              <w:t>NA</w:t>
            </w:r>
          </w:p>
        </w:tc>
        <w:tc>
          <w:tcPr>
            <w:tcW w:w="684" w:type="dxa"/>
          </w:tcPr>
          <w:p w:rsidR="004B4EB9" w:rsidRPr="009115C7" w:rsidRDefault="00B10F7E" w:rsidP="009D4FAD">
            <w:pPr>
              <w:jc w:val="center"/>
              <w:rPr>
                <w:rFonts w:cs="Times New Roman"/>
                <w:szCs w:val="16"/>
              </w:rPr>
            </w:pPr>
            <w:r>
              <w:rPr>
                <w:rFonts w:cs="Times New Roman"/>
                <w:szCs w:val="16"/>
              </w:rPr>
              <w:t>* absence of COI higher E.S.</w:t>
            </w:r>
          </w:p>
        </w:tc>
        <w:tc>
          <w:tcPr>
            <w:tcW w:w="718"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r>
      <w:tr w:rsidR="004B4EB9" w:rsidRPr="009115C7" w:rsidTr="009D4FAD">
        <w:trPr>
          <w:trHeight w:val="232"/>
        </w:trPr>
        <w:tc>
          <w:tcPr>
            <w:tcW w:w="1063" w:type="dxa"/>
          </w:tcPr>
          <w:p w:rsidR="004B4EB9" w:rsidRPr="009115C7" w:rsidRDefault="004B4EB9" w:rsidP="009D4FAD">
            <w:pPr>
              <w:jc w:val="center"/>
              <w:rPr>
                <w:rFonts w:cs="Times New Roman"/>
                <w:b/>
                <w:szCs w:val="16"/>
              </w:rPr>
            </w:pPr>
            <w:r w:rsidRPr="009115C7">
              <w:rPr>
                <w:rFonts w:cs="Times New Roman"/>
                <w:b/>
                <w:szCs w:val="16"/>
              </w:rPr>
              <w:t>CGI</w:t>
            </w:r>
          </w:p>
        </w:tc>
        <w:tc>
          <w:tcPr>
            <w:tcW w:w="849"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p>
        </w:tc>
        <w:tc>
          <w:tcPr>
            <w:tcW w:w="952" w:type="dxa"/>
          </w:tcPr>
          <w:p w:rsidR="006123B4" w:rsidRDefault="006123B4" w:rsidP="006123B4">
            <w:pPr>
              <w:jc w:val="center"/>
              <w:rPr>
                <w:rFonts w:cs="Times New Roman"/>
                <w:szCs w:val="16"/>
              </w:rPr>
            </w:pPr>
            <w:r w:rsidRPr="009115C7">
              <w:rPr>
                <w:rFonts w:cs="Times New Roman"/>
                <w:szCs w:val="16"/>
              </w:rPr>
              <w:t>*</w:t>
            </w:r>
          </w:p>
          <w:p w:rsidR="006123B4" w:rsidRDefault="006123B4" w:rsidP="006123B4">
            <w:pPr>
              <w:jc w:val="center"/>
              <w:rPr>
                <w:rFonts w:cs="Times New Roman"/>
                <w:szCs w:val="16"/>
              </w:rPr>
            </w:pPr>
            <w:r w:rsidRPr="009115C7">
              <w:rPr>
                <w:rFonts w:cs="Times New Roman"/>
                <w:szCs w:val="16"/>
              </w:rPr>
              <w:t xml:space="preserve"> </w:t>
            </w:r>
            <w:r>
              <w:rPr>
                <w:rFonts w:cs="Times New Roman"/>
                <w:szCs w:val="16"/>
              </w:rPr>
              <w:t>AP</w:t>
            </w:r>
            <w:r w:rsidRPr="009115C7">
              <w:rPr>
                <w:rFonts w:cs="Times New Roman"/>
                <w:szCs w:val="16"/>
              </w:rPr>
              <w:t xml:space="preserve"> </w:t>
            </w:r>
            <w:r>
              <w:rPr>
                <w:rFonts w:cs="Times New Roman"/>
                <w:szCs w:val="16"/>
              </w:rPr>
              <w:t>lower</w:t>
            </w:r>
            <w:r w:rsidRPr="009115C7">
              <w:rPr>
                <w:rFonts w:cs="Times New Roman"/>
                <w:szCs w:val="16"/>
              </w:rPr>
              <w:t xml:space="preserve"> E.S.</w:t>
            </w:r>
          </w:p>
          <w:p w:rsidR="004B4EB9" w:rsidRPr="009115C7" w:rsidRDefault="006123B4" w:rsidP="006123B4">
            <w:pPr>
              <w:jc w:val="center"/>
              <w:rPr>
                <w:rFonts w:cs="Times New Roman"/>
                <w:szCs w:val="16"/>
              </w:rPr>
            </w:pPr>
            <w:r w:rsidRPr="009115C7">
              <w:rPr>
                <w:rFonts w:cs="Times New Roman"/>
                <w:szCs w:val="16"/>
              </w:rPr>
              <w:lastRenderedPageBreak/>
              <w:t xml:space="preserve">* supplement </w:t>
            </w:r>
            <w:r>
              <w:rPr>
                <w:rFonts w:cs="Times New Roman"/>
                <w:szCs w:val="16"/>
              </w:rPr>
              <w:t xml:space="preserve">lower </w:t>
            </w:r>
            <w:r w:rsidRPr="009115C7">
              <w:rPr>
                <w:rFonts w:cs="Times New Roman"/>
                <w:szCs w:val="16"/>
              </w:rPr>
              <w:t>E.S.</w:t>
            </w:r>
          </w:p>
        </w:tc>
        <w:tc>
          <w:tcPr>
            <w:tcW w:w="900" w:type="dxa"/>
          </w:tcPr>
          <w:p w:rsidR="004B4EB9" w:rsidRPr="009115C7" w:rsidRDefault="004B4EB9" w:rsidP="009D4FAD">
            <w:pPr>
              <w:jc w:val="center"/>
              <w:rPr>
                <w:rFonts w:cs="Times New Roman"/>
                <w:szCs w:val="16"/>
              </w:rPr>
            </w:pPr>
            <w:proofErr w:type="spellStart"/>
            <w:r w:rsidRPr="009115C7">
              <w:rPr>
                <w:rFonts w:cs="Times New Roman"/>
                <w:szCs w:val="16"/>
              </w:rPr>
              <w:lastRenderedPageBreak/>
              <w:t>n.s</w:t>
            </w:r>
            <w:proofErr w:type="spellEnd"/>
          </w:p>
        </w:tc>
        <w:tc>
          <w:tcPr>
            <w:tcW w:w="952"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14"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806" w:type="dxa"/>
          </w:tcPr>
          <w:p w:rsidR="004B4EB9" w:rsidRPr="009115C7" w:rsidRDefault="00B50D06" w:rsidP="00B50D06">
            <w:pPr>
              <w:jc w:val="center"/>
              <w:rPr>
                <w:rFonts w:cs="Times New Roman"/>
                <w:szCs w:val="16"/>
              </w:rPr>
            </w:pPr>
            <w:r>
              <w:rPr>
                <w:rFonts w:cs="Times New Roman"/>
                <w:szCs w:val="16"/>
              </w:rPr>
              <w:t>** 6-weeks, *8-</w:t>
            </w:r>
            <w:r>
              <w:rPr>
                <w:rFonts w:cs="Times New Roman"/>
                <w:szCs w:val="16"/>
              </w:rPr>
              <w:lastRenderedPageBreak/>
              <w:t>weeks lower E.S.</w:t>
            </w:r>
          </w:p>
        </w:tc>
        <w:tc>
          <w:tcPr>
            <w:tcW w:w="745" w:type="dxa"/>
          </w:tcPr>
          <w:p w:rsidR="004B4EB9" w:rsidRPr="009115C7" w:rsidRDefault="004B4EB9" w:rsidP="009D4FAD">
            <w:pPr>
              <w:jc w:val="center"/>
              <w:rPr>
                <w:rFonts w:cs="Times New Roman"/>
                <w:szCs w:val="16"/>
              </w:rPr>
            </w:pPr>
            <w:proofErr w:type="spellStart"/>
            <w:r w:rsidRPr="009115C7">
              <w:rPr>
                <w:rFonts w:cs="Times New Roman"/>
                <w:szCs w:val="16"/>
              </w:rPr>
              <w:lastRenderedPageBreak/>
              <w:t>n.s</w:t>
            </w:r>
            <w:proofErr w:type="spellEnd"/>
            <w:r w:rsidRPr="009115C7">
              <w:rPr>
                <w:rFonts w:cs="Times New Roman"/>
                <w:szCs w:val="16"/>
              </w:rPr>
              <w:t>.</w:t>
            </w:r>
          </w:p>
        </w:tc>
        <w:tc>
          <w:tcPr>
            <w:tcW w:w="745" w:type="dxa"/>
          </w:tcPr>
          <w:p w:rsidR="004B4EB9" w:rsidRPr="009115C7" w:rsidRDefault="004B4EB9" w:rsidP="009D4FAD">
            <w:pPr>
              <w:jc w:val="center"/>
              <w:rPr>
                <w:rFonts w:cs="Times New Roman"/>
                <w:szCs w:val="16"/>
              </w:rPr>
            </w:pPr>
            <w:proofErr w:type="spellStart"/>
            <w:r w:rsidRPr="009115C7">
              <w:rPr>
                <w:rFonts w:cs="Times New Roman"/>
                <w:szCs w:val="16"/>
              </w:rPr>
              <w:t>n.s</w:t>
            </w:r>
            <w:proofErr w:type="spellEnd"/>
            <w:r w:rsidRPr="009115C7">
              <w:rPr>
                <w:rFonts w:cs="Times New Roman"/>
                <w:szCs w:val="16"/>
              </w:rPr>
              <w:t>.</w:t>
            </w:r>
          </w:p>
        </w:tc>
        <w:tc>
          <w:tcPr>
            <w:tcW w:w="745" w:type="dxa"/>
          </w:tcPr>
          <w:p w:rsidR="004B4EB9" w:rsidRPr="009115C7" w:rsidRDefault="004B4EB9" w:rsidP="009D4FAD">
            <w:pPr>
              <w:jc w:val="center"/>
              <w:rPr>
                <w:rFonts w:cs="Times New Roman"/>
                <w:szCs w:val="16"/>
              </w:rPr>
            </w:pPr>
            <w:r w:rsidRPr="009115C7">
              <w:rPr>
                <w:rFonts w:cs="Times New Roman"/>
                <w:szCs w:val="16"/>
              </w:rPr>
              <w:t>NA</w:t>
            </w:r>
          </w:p>
        </w:tc>
        <w:tc>
          <w:tcPr>
            <w:tcW w:w="684" w:type="dxa"/>
          </w:tcPr>
          <w:p w:rsidR="004B4EB9" w:rsidRPr="009115C7" w:rsidRDefault="00B50D06" w:rsidP="009D4FAD">
            <w:pPr>
              <w:jc w:val="center"/>
              <w:rPr>
                <w:rFonts w:cs="Times New Roman"/>
                <w:szCs w:val="16"/>
              </w:rPr>
            </w:pPr>
            <w:r>
              <w:rPr>
                <w:rFonts w:cs="Times New Roman"/>
                <w:szCs w:val="16"/>
              </w:rPr>
              <w:t xml:space="preserve">* absence of </w:t>
            </w:r>
            <w:r>
              <w:rPr>
                <w:rFonts w:cs="Times New Roman"/>
                <w:szCs w:val="16"/>
              </w:rPr>
              <w:lastRenderedPageBreak/>
              <w:t>COI higher E.S.</w:t>
            </w:r>
          </w:p>
        </w:tc>
        <w:tc>
          <w:tcPr>
            <w:tcW w:w="718" w:type="dxa"/>
          </w:tcPr>
          <w:p w:rsidR="004B4EB9" w:rsidRPr="009115C7" w:rsidRDefault="004B4EB9" w:rsidP="009D4FAD">
            <w:pPr>
              <w:jc w:val="center"/>
              <w:rPr>
                <w:rFonts w:cs="Times New Roman"/>
                <w:szCs w:val="16"/>
              </w:rPr>
            </w:pPr>
            <w:proofErr w:type="spellStart"/>
            <w:r w:rsidRPr="009115C7">
              <w:rPr>
                <w:rFonts w:cs="Times New Roman"/>
                <w:szCs w:val="16"/>
              </w:rPr>
              <w:lastRenderedPageBreak/>
              <w:t>n.s</w:t>
            </w:r>
            <w:proofErr w:type="spellEnd"/>
            <w:r w:rsidRPr="009115C7">
              <w:rPr>
                <w:rFonts w:cs="Times New Roman"/>
                <w:szCs w:val="16"/>
              </w:rPr>
              <w:t>.</w:t>
            </w:r>
          </w:p>
        </w:tc>
      </w:tr>
    </w:tbl>
    <w:p w:rsidR="000C225B" w:rsidRDefault="00CB5080" w:rsidP="00FC6BA4">
      <w:pPr>
        <w:jc w:val="both"/>
      </w:pPr>
      <w:r w:rsidRPr="006126E4">
        <w:rPr>
          <w:b/>
        </w:rPr>
        <w:lastRenderedPageBreak/>
        <w:t>Legend</w:t>
      </w:r>
      <w:r>
        <w:t>: PG-YBOCS</w:t>
      </w:r>
      <w:r w:rsidRPr="00BE1862">
        <w:t xml:space="preserve"> </w:t>
      </w:r>
      <w:r>
        <w:t xml:space="preserve">= </w:t>
      </w:r>
      <w:r w:rsidRPr="00BE1862">
        <w:t>Yale-Brown Obsessive Compulsive Scale adapted for Patholo</w:t>
      </w:r>
      <w:r>
        <w:t>gical Gambling, GSAS =</w:t>
      </w:r>
      <w:r w:rsidRPr="00BE1862">
        <w:t xml:space="preserve"> Gambling Sympto</w:t>
      </w:r>
      <w:r>
        <w:t>m Assessment Scale,</w:t>
      </w:r>
      <w:r w:rsidRPr="00BE1862">
        <w:t xml:space="preserve"> CGI-I </w:t>
      </w:r>
      <w:r>
        <w:t xml:space="preserve">= </w:t>
      </w:r>
      <w:r w:rsidRPr="00BE1862">
        <w:t>Clinical Global Impression-Improvement scale</w:t>
      </w:r>
      <w:r>
        <w:t>;</w:t>
      </w:r>
      <w:r w:rsidRPr="00BE1862">
        <w:t xml:space="preserve"> </w:t>
      </w:r>
      <w:proofErr w:type="spellStart"/>
      <w:r>
        <w:t>QoL</w:t>
      </w:r>
      <w:proofErr w:type="spellEnd"/>
      <w:r>
        <w:t xml:space="preserve"> = Quality of life; E.S = effect size; </w:t>
      </w:r>
      <w:proofErr w:type="spellStart"/>
      <w:r>
        <w:t>n.s</w:t>
      </w:r>
      <w:proofErr w:type="spellEnd"/>
      <w:r>
        <w:t xml:space="preserve">.= non-significant statistically; NA = not available/not appropriate; ORAs = Opiate receptor antagonists; MS = mood stabilizers; AP = antipsychotics; AD = antidepressants; COI = Conflict of Interest (defined as the presence of any declared industry related conflict of interest by the authors in any section of the published manuscript); statistical significance: </w:t>
      </w:r>
      <w:proofErr w:type="spellStart"/>
      <w:r>
        <w:t>n.s</w:t>
      </w:r>
      <w:proofErr w:type="spellEnd"/>
      <w:r>
        <w:t>. = non-significant; ‘.’ &lt;.10 (trend); ‘*’ &lt;.05; ‘**’ &lt;0.01; ‘***’ &lt;0.001; NA = not available/not applicable;</w:t>
      </w:r>
    </w:p>
    <w:p w:rsidR="000C225B" w:rsidRDefault="000C225B" w:rsidP="000C225B"/>
    <w:p w:rsidR="000C225B" w:rsidRDefault="000C225B" w:rsidP="000C225B"/>
    <w:p w:rsidR="006F1AEC" w:rsidRDefault="006F1AEC" w:rsidP="006F1AEC">
      <w:pPr>
        <w:pStyle w:val="Heading2"/>
      </w:pPr>
      <w:r>
        <w:rPr>
          <w:rFonts w:cs="Times New Roman"/>
        </w:rPr>
        <w:t>§S8</w:t>
      </w:r>
      <w:r>
        <w:t xml:space="preserve"> N</w:t>
      </w:r>
      <w:r w:rsidR="00AF15E3">
        <w:t>ocebo</w:t>
      </w:r>
      <w:r>
        <w:t xml:space="preserve"> effects</w:t>
      </w:r>
    </w:p>
    <w:tbl>
      <w:tblPr>
        <w:tblStyle w:val="PlainTable3"/>
        <w:tblW w:w="6233" w:type="dxa"/>
        <w:tblLook w:val="04A0" w:firstRow="1" w:lastRow="0" w:firstColumn="1" w:lastColumn="0" w:noHBand="0" w:noVBand="1"/>
      </w:tblPr>
      <w:tblGrid>
        <w:gridCol w:w="542"/>
        <w:gridCol w:w="2290"/>
        <w:gridCol w:w="500"/>
        <w:gridCol w:w="1678"/>
        <w:gridCol w:w="1223"/>
      </w:tblGrid>
      <w:tr w:rsidR="006F1AEC" w:rsidRPr="00F53F1B" w:rsidTr="009D4F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2" w:type="dxa"/>
            <w:hideMark/>
          </w:tcPr>
          <w:p w:rsidR="006F1AEC" w:rsidRPr="00F53F1B" w:rsidRDefault="006F1AEC" w:rsidP="009D4FAD">
            <w:pPr>
              <w:jc w:val="center"/>
            </w:pPr>
          </w:p>
        </w:tc>
        <w:tc>
          <w:tcPr>
            <w:tcW w:w="2290" w:type="dxa"/>
            <w:hideMark/>
          </w:tcPr>
          <w:p w:rsidR="006F1AEC" w:rsidRPr="00F53F1B" w:rsidRDefault="006F1AEC" w:rsidP="009D4FAD">
            <w:pPr>
              <w:jc w:val="center"/>
              <w:cnfStyle w:val="100000000000" w:firstRow="1" w:lastRow="0" w:firstColumn="0" w:lastColumn="0" w:oddVBand="0" w:evenVBand="0" w:oddHBand="0" w:evenHBand="0" w:firstRowFirstColumn="0" w:firstRowLastColumn="0" w:lastRowFirstColumn="0" w:lastRowLastColumn="0"/>
              <w:rPr>
                <w:b w:val="0"/>
                <w:bCs w:val="0"/>
              </w:rPr>
            </w:pPr>
            <w:r w:rsidRPr="00F53F1B">
              <w:br/>
              <w:t>type</w:t>
            </w:r>
          </w:p>
        </w:tc>
        <w:tc>
          <w:tcPr>
            <w:tcW w:w="500" w:type="dxa"/>
            <w:hideMark/>
          </w:tcPr>
          <w:p w:rsidR="006F1AEC" w:rsidRPr="00F53F1B" w:rsidRDefault="006F1AEC" w:rsidP="009D4FAD">
            <w:pPr>
              <w:jc w:val="center"/>
              <w:cnfStyle w:val="100000000000" w:firstRow="1" w:lastRow="0" w:firstColumn="0" w:lastColumn="0" w:oddVBand="0" w:evenVBand="0" w:oddHBand="0" w:evenHBand="0" w:firstRowFirstColumn="0" w:firstRowLastColumn="0" w:lastRowFirstColumn="0" w:lastRowLastColumn="0"/>
              <w:rPr>
                <w:b w:val="0"/>
                <w:bCs w:val="0"/>
              </w:rPr>
            </w:pPr>
            <w:r>
              <w:t>n</w:t>
            </w:r>
          </w:p>
        </w:tc>
        <w:tc>
          <w:tcPr>
            <w:tcW w:w="1678" w:type="dxa"/>
            <w:hideMark/>
          </w:tcPr>
          <w:p w:rsidR="006F1AEC" w:rsidRPr="00F53F1B" w:rsidRDefault="006F1AEC" w:rsidP="009D4FAD">
            <w:pPr>
              <w:jc w:val="center"/>
              <w:cnfStyle w:val="100000000000" w:firstRow="1" w:lastRow="0" w:firstColumn="0" w:lastColumn="0" w:oddVBand="0" w:evenVBand="0" w:oddHBand="0" w:evenHBand="0" w:firstRowFirstColumn="0" w:firstRowLastColumn="0" w:lastRowFirstColumn="0" w:lastRowLastColumn="0"/>
              <w:rPr>
                <w:b w:val="0"/>
                <w:bCs w:val="0"/>
              </w:rPr>
            </w:pPr>
            <w:r>
              <w:t>drop outs from ‘medication’ attributed side effects</w:t>
            </w:r>
          </w:p>
        </w:tc>
        <w:tc>
          <w:tcPr>
            <w:tcW w:w="1223" w:type="dxa"/>
            <w:hideMark/>
          </w:tcPr>
          <w:p w:rsidR="006F1AEC" w:rsidRPr="00F53F1B" w:rsidRDefault="006F1AEC" w:rsidP="009D4FAD">
            <w:pPr>
              <w:jc w:val="center"/>
              <w:cnfStyle w:val="100000000000" w:firstRow="1" w:lastRow="0" w:firstColumn="0" w:lastColumn="0" w:oddVBand="0" w:evenVBand="0" w:oddHBand="0" w:evenHBand="0" w:firstRowFirstColumn="0" w:firstRowLastColumn="0" w:lastRowFirstColumn="0" w:lastRowLastColumn="0"/>
              <w:rPr>
                <w:b w:val="0"/>
                <w:bCs w:val="0"/>
              </w:rPr>
            </w:pPr>
            <w:r>
              <w:t xml:space="preserve">% </w:t>
            </w:r>
            <w:r w:rsidRPr="00F53F1B">
              <w:t>nocebo</w:t>
            </w:r>
            <w:r>
              <w:t xml:space="preserve"> for drop out outcomes</w:t>
            </w:r>
          </w:p>
        </w:tc>
      </w:tr>
      <w:tr w:rsidR="006F1AEC" w:rsidRPr="00F53F1B" w:rsidTr="009D4FA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rsidR="006F1AEC" w:rsidRPr="00F53F1B" w:rsidRDefault="006F1AEC" w:rsidP="009D4FAD">
            <w:pPr>
              <w:jc w:val="center"/>
              <w:rPr>
                <w:b w:val="0"/>
                <w:bCs w:val="0"/>
              </w:rPr>
            </w:pPr>
            <w:r w:rsidRPr="00F53F1B">
              <w:t>1</w:t>
            </w:r>
          </w:p>
        </w:tc>
        <w:tc>
          <w:tcPr>
            <w:tcW w:w="2290" w:type="dxa"/>
            <w:noWrap/>
            <w:hideMark/>
          </w:tcPr>
          <w:p w:rsidR="006F1AEC" w:rsidRPr="00F53F1B" w:rsidRDefault="006F1AEC" w:rsidP="009D4FAD">
            <w:pPr>
              <w:jc w:val="center"/>
              <w:cnfStyle w:val="000000100000" w:firstRow="0" w:lastRow="0" w:firstColumn="0" w:lastColumn="0" w:oddVBand="0" w:evenVBand="0" w:oddHBand="1" w:evenHBand="0" w:firstRowFirstColumn="0" w:firstRowLastColumn="0" w:lastRowFirstColumn="0" w:lastRowLastColumn="0"/>
            </w:pPr>
            <w:r w:rsidRPr="00F53F1B">
              <w:t>AD</w:t>
            </w:r>
          </w:p>
        </w:tc>
        <w:tc>
          <w:tcPr>
            <w:tcW w:w="500" w:type="dxa"/>
            <w:noWrap/>
            <w:hideMark/>
          </w:tcPr>
          <w:p w:rsidR="006F1AEC" w:rsidRPr="00F53F1B" w:rsidRDefault="006F1AEC" w:rsidP="009D4FAD">
            <w:pPr>
              <w:jc w:val="center"/>
              <w:cnfStyle w:val="000000100000" w:firstRow="0" w:lastRow="0" w:firstColumn="0" w:lastColumn="0" w:oddVBand="0" w:evenVBand="0" w:oddHBand="1" w:evenHBand="0" w:firstRowFirstColumn="0" w:firstRowLastColumn="0" w:lastRowFirstColumn="0" w:lastRowLastColumn="0"/>
            </w:pPr>
            <w:r w:rsidRPr="00F53F1B">
              <w:t>83</w:t>
            </w:r>
          </w:p>
        </w:tc>
        <w:tc>
          <w:tcPr>
            <w:tcW w:w="0" w:type="auto"/>
            <w:noWrap/>
            <w:hideMark/>
          </w:tcPr>
          <w:p w:rsidR="006F1AEC" w:rsidRPr="00F53F1B" w:rsidRDefault="006F1AEC" w:rsidP="009D4FAD">
            <w:pPr>
              <w:jc w:val="center"/>
              <w:cnfStyle w:val="000000100000" w:firstRow="0" w:lastRow="0" w:firstColumn="0" w:lastColumn="0" w:oddVBand="0" w:evenVBand="0" w:oddHBand="1" w:evenHBand="0" w:firstRowFirstColumn="0" w:firstRowLastColumn="0" w:lastRowFirstColumn="0" w:lastRowLastColumn="0"/>
            </w:pPr>
            <w:r w:rsidRPr="00F53F1B">
              <w:t>2</w:t>
            </w:r>
          </w:p>
        </w:tc>
        <w:tc>
          <w:tcPr>
            <w:tcW w:w="0" w:type="auto"/>
            <w:noWrap/>
            <w:hideMark/>
          </w:tcPr>
          <w:p w:rsidR="006F1AEC" w:rsidRPr="00F53F1B" w:rsidRDefault="006F1AEC" w:rsidP="009D4FAD">
            <w:pPr>
              <w:jc w:val="center"/>
              <w:cnfStyle w:val="000000100000" w:firstRow="0" w:lastRow="0" w:firstColumn="0" w:lastColumn="0" w:oddVBand="0" w:evenVBand="0" w:oddHBand="1" w:evenHBand="0" w:firstRowFirstColumn="0" w:firstRowLastColumn="0" w:lastRowFirstColumn="0" w:lastRowLastColumn="0"/>
            </w:pPr>
            <w:r w:rsidRPr="00F53F1B">
              <w:t>0.02409639</w:t>
            </w:r>
          </w:p>
        </w:tc>
      </w:tr>
      <w:tr w:rsidR="006F1AEC" w:rsidRPr="00F53F1B" w:rsidTr="009D4FAD">
        <w:trPr>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rsidR="006F1AEC" w:rsidRPr="00F53F1B" w:rsidRDefault="006F1AEC" w:rsidP="009D4FAD">
            <w:pPr>
              <w:jc w:val="center"/>
              <w:rPr>
                <w:b w:val="0"/>
                <w:bCs w:val="0"/>
              </w:rPr>
            </w:pPr>
            <w:r w:rsidRPr="00F53F1B">
              <w:t>2</w:t>
            </w:r>
          </w:p>
        </w:tc>
        <w:tc>
          <w:tcPr>
            <w:tcW w:w="2290" w:type="dxa"/>
            <w:noWrap/>
            <w:hideMark/>
          </w:tcPr>
          <w:p w:rsidR="006F1AEC" w:rsidRPr="00F53F1B" w:rsidRDefault="006F1AEC" w:rsidP="009D4FAD">
            <w:pPr>
              <w:jc w:val="center"/>
              <w:cnfStyle w:val="000000000000" w:firstRow="0" w:lastRow="0" w:firstColumn="0" w:lastColumn="0" w:oddVBand="0" w:evenVBand="0" w:oddHBand="0" w:evenHBand="0" w:firstRowFirstColumn="0" w:firstRowLastColumn="0" w:lastRowFirstColumn="0" w:lastRowLastColumn="0"/>
            </w:pPr>
            <w:r w:rsidRPr="00F53F1B">
              <w:t>AP</w:t>
            </w:r>
          </w:p>
        </w:tc>
        <w:tc>
          <w:tcPr>
            <w:tcW w:w="500" w:type="dxa"/>
            <w:noWrap/>
            <w:hideMark/>
          </w:tcPr>
          <w:p w:rsidR="006F1AEC" w:rsidRPr="00F53F1B" w:rsidRDefault="006F1AEC" w:rsidP="009D4FAD">
            <w:pPr>
              <w:jc w:val="center"/>
              <w:cnfStyle w:val="000000000000" w:firstRow="0" w:lastRow="0" w:firstColumn="0" w:lastColumn="0" w:oddVBand="0" w:evenVBand="0" w:oddHBand="0" w:evenHBand="0" w:firstRowFirstColumn="0" w:firstRowLastColumn="0" w:lastRowFirstColumn="0" w:lastRowLastColumn="0"/>
            </w:pPr>
            <w:r w:rsidRPr="00F53F1B">
              <w:t>33</w:t>
            </w:r>
          </w:p>
        </w:tc>
        <w:tc>
          <w:tcPr>
            <w:tcW w:w="0" w:type="auto"/>
            <w:noWrap/>
            <w:hideMark/>
          </w:tcPr>
          <w:p w:rsidR="006F1AEC" w:rsidRPr="00F53F1B" w:rsidRDefault="006F1AEC" w:rsidP="009D4FAD">
            <w:pPr>
              <w:jc w:val="center"/>
              <w:cnfStyle w:val="000000000000" w:firstRow="0" w:lastRow="0" w:firstColumn="0" w:lastColumn="0" w:oddVBand="0" w:evenVBand="0" w:oddHBand="0" w:evenHBand="0" w:firstRowFirstColumn="0" w:firstRowLastColumn="0" w:lastRowFirstColumn="0" w:lastRowLastColumn="0"/>
            </w:pPr>
            <w:r w:rsidRPr="00F53F1B">
              <w:t>2</w:t>
            </w:r>
          </w:p>
        </w:tc>
        <w:tc>
          <w:tcPr>
            <w:tcW w:w="0" w:type="auto"/>
            <w:noWrap/>
            <w:hideMark/>
          </w:tcPr>
          <w:p w:rsidR="006F1AEC" w:rsidRPr="00F53F1B" w:rsidRDefault="006F1AEC" w:rsidP="009D4FAD">
            <w:pPr>
              <w:jc w:val="center"/>
              <w:cnfStyle w:val="000000000000" w:firstRow="0" w:lastRow="0" w:firstColumn="0" w:lastColumn="0" w:oddVBand="0" w:evenVBand="0" w:oddHBand="0" w:evenHBand="0" w:firstRowFirstColumn="0" w:firstRowLastColumn="0" w:lastRowFirstColumn="0" w:lastRowLastColumn="0"/>
            </w:pPr>
            <w:r w:rsidRPr="00F53F1B">
              <w:t>0.06060606</w:t>
            </w:r>
          </w:p>
        </w:tc>
      </w:tr>
      <w:tr w:rsidR="006F1AEC" w:rsidRPr="00F53F1B" w:rsidTr="009D4FA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rsidR="006F1AEC" w:rsidRPr="00F53F1B" w:rsidRDefault="006F1AEC" w:rsidP="009D4FAD">
            <w:pPr>
              <w:jc w:val="center"/>
              <w:rPr>
                <w:b w:val="0"/>
                <w:bCs w:val="0"/>
              </w:rPr>
            </w:pPr>
            <w:r w:rsidRPr="00F53F1B">
              <w:t>3</w:t>
            </w:r>
          </w:p>
        </w:tc>
        <w:tc>
          <w:tcPr>
            <w:tcW w:w="2290" w:type="dxa"/>
            <w:noWrap/>
            <w:hideMark/>
          </w:tcPr>
          <w:p w:rsidR="006F1AEC" w:rsidRPr="00F53F1B" w:rsidRDefault="006F1AEC" w:rsidP="009D4FAD">
            <w:pPr>
              <w:jc w:val="center"/>
              <w:cnfStyle w:val="000000100000" w:firstRow="0" w:lastRow="0" w:firstColumn="0" w:lastColumn="0" w:oddVBand="0" w:evenVBand="0" w:oddHBand="1" w:evenHBand="0" w:firstRowFirstColumn="0" w:firstRowLastColumn="0" w:lastRowFirstColumn="0" w:lastRowLastColumn="0"/>
            </w:pPr>
            <w:r w:rsidRPr="00F53F1B">
              <w:t>MS</w:t>
            </w:r>
          </w:p>
        </w:tc>
        <w:tc>
          <w:tcPr>
            <w:tcW w:w="500" w:type="dxa"/>
            <w:noWrap/>
            <w:hideMark/>
          </w:tcPr>
          <w:p w:rsidR="006F1AEC" w:rsidRPr="00F53F1B" w:rsidRDefault="006F1AEC" w:rsidP="009D4FAD">
            <w:pPr>
              <w:jc w:val="center"/>
              <w:cnfStyle w:val="000000100000" w:firstRow="0" w:lastRow="0" w:firstColumn="0" w:lastColumn="0" w:oddVBand="0" w:evenVBand="0" w:oddHBand="1" w:evenHBand="0" w:firstRowFirstColumn="0" w:firstRowLastColumn="0" w:lastRowFirstColumn="0" w:lastRowLastColumn="0"/>
            </w:pPr>
            <w:r w:rsidRPr="00F53F1B">
              <w:t>59</w:t>
            </w:r>
          </w:p>
        </w:tc>
        <w:tc>
          <w:tcPr>
            <w:tcW w:w="0" w:type="auto"/>
            <w:noWrap/>
            <w:hideMark/>
          </w:tcPr>
          <w:p w:rsidR="006F1AEC" w:rsidRPr="00F53F1B" w:rsidRDefault="006F1AEC" w:rsidP="009D4FAD">
            <w:pPr>
              <w:jc w:val="center"/>
              <w:cnfStyle w:val="000000100000" w:firstRow="0" w:lastRow="0" w:firstColumn="0" w:lastColumn="0" w:oddVBand="0" w:evenVBand="0" w:oddHBand="1" w:evenHBand="0" w:firstRowFirstColumn="0" w:firstRowLastColumn="0" w:lastRowFirstColumn="0" w:lastRowLastColumn="0"/>
            </w:pPr>
            <w:r w:rsidRPr="00F53F1B">
              <w:t>1</w:t>
            </w:r>
          </w:p>
        </w:tc>
        <w:tc>
          <w:tcPr>
            <w:tcW w:w="0" w:type="auto"/>
            <w:noWrap/>
            <w:hideMark/>
          </w:tcPr>
          <w:p w:rsidR="006F1AEC" w:rsidRPr="00F53F1B" w:rsidRDefault="006F1AEC" w:rsidP="009D4FAD">
            <w:pPr>
              <w:jc w:val="center"/>
              <w:cnfStyle w:val="000000100000" w:firstRow="0" w:lastRow="0" w:firstColumn="0" w:lastColumn="0" w:oddVBand="0" w:evenVBand="0" w:oddHBand="1" w:evenHBand="0" w:firstRowFirstColumn="0" w:firstRowLastColumn="0" w:lastRowFirstColumn="0" w:lastRowLastColumn="0"/>
            </w:pPr>
            <w:r w:rsidRPr="00F53F1B">
              <w:t>0.01694915</w:t>
            </w:r>
          </w:p>
        </w:tc>
      </w:tr>
      <w:tr w:rsidR="006F1AEC" w:rsidRPr="00F53F1B" w:rsidTr="009D4FAD">
        <w:trPr>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rsidR="006F1AEC" w:rsidRPr="00F53F1B" w:rsidRDefault="006F1AEC" w:rsidP="009D4FAD">
            <w:pPr>
              <w:jc w:val="center"/>
              <w:rPr>
                <w:b w:val="0"/>
                <w:bCs w:val="0"/>
              </w:rPr>
            </w:pPr>
            <w:r w:rsidRPr="00F53F1B">
              <w:t>4</w:t>
            </w:r>
          </w:p>
        </w:tc>
        <w:tc>
          <w:tcPr>
            <w:tcW w:w="2290" w:type="dxa"/>
            <w:noWrap/>
            <w:hideMark/>
          </w:tcPr>
          <w:p w:rsidR="006F1AEC" w:rsidRPr="00F53F1B" w:rsidRDefault="006F1AEC" w:rsidP="009D4FAD">
            <w:pPr>
              <w:jc w:val="center"/>
              <w:cnfStyle w:val="000000000000" w:firstRow="0" w:lastRow="0" w:firstColumn="0" w:lastColumn="0" w:oddVBand="0" w:evenVBand="0" w:oddHBand="0" w:evenHBand="0" w:firstRowFirstColumn="0" w:firstRowLastColumn="0" w:lastRowFirstColumn="0" w:lastRowLastColumn="0"/>
            </w:pPr>
            <w:r w:rsidRPr="00F53F1B">
              <w:t>ORA</w:t>
            </w:r>
          </w:p>
        </w:tc>
        <w:tc>
          <w:tcPr>
            <w:tcW w:w="500" w:type="dxa"/>
            <w:noWrap/>
            <w:hideMark/>
          </w:tcPr>
          <w:p w:rsidR="006F1AEC" w:rsidRPr="00F53F1B" w:rsidRDefault="006F1AEC" w:rsidP="009D4FAD">
            <w:pPr>
              <w:jc w:val="center"/>
              <w:cnfStyle w:val="000000000000" w:firstRow="0" w:lastRow="0" w:firstColumn="0" w:lastColumn="0" w:oddVBand="0" w:evenVBand="0" w:oddHBand="0" w:evenHBand="0" w:firstRowFirstColumn="0" w:firstRowLastColumn="0" w:lastRowFirstColumn="0" w:lastRowLastColumn="0"/>
            </w:pPr>
            <w:r w:rsidRPr="00F53F1B">
              <w:t>152</w:t>
            </w:r>
          </w:p>
        </w:tc>
        <w:tc>
          <w:tcPr>
            <w:tcW w:w="0" w:type="auto"/>
            <w:noWrap/>
            <w:hideMark/>
          </w:tcPr>
          <w:p w:rsidR="006F1AEC" w:rsidRPr="00F53F1B" w:rsidRDefault="006F1AEC" w:rsidP="009D4FAD">
            <w:pPr>
              <w:jc w:val="center"/>
              <w:cnfStyle w:val="000000000000" w:firstRow="0" w:lastRow="0" w:firstColumn="0" w:lastColumn="0" w:oddVBand="0" w:evenVBand="0" w:oddHBand="0" w:evenHBand="0" w:firstRowFirstColumn="0" w:firstRowLastColumn="0" w:lastRowFirstColumn="0" w:lastRowLastColumn="0"/>
            </w:pPr>
            <w:r w:rsidRPr="00F53F1B">
              <w:t>3</w:t>
            </w:r>
          </w:p>
        </w:tc>
        <w:tc>
          <w:tcPr>
            <w:tcW w:w="0" w:type="auto"/>
            <w:noWrap/>
            <w:hideMark/>
          </w:tcPr>
          <w:p w:rsidR="006F1AEC" w:rsidRPr="00F53F1B" w:rsidRDefault="006F1AEC" w:rsidP="009D4FAD">
            <w:pPr>
              <w:jc w:val="center"/>
              <w:cnfStyle w:val="000000000000" w:firstRow="0" w:lastRow="0" w:firstColumn="0" w:lastColumn="0" w:oddVBand="0" w:evenVBand="0" w:oddHBand="0" w:evenHBand="0" w:firstRowFirstColumn="0" w:firstRowLastColumn="0" w:lastRowFirstColumn="0" w:lastRowLastColumn="0"/>
            </w:pPr>
            <w:r w:rsidRPr="00F53F1B">
              <w:t>0.01973684</w:t>
            </w:r>
          </w:p>
        </w:tc>
      </w:tr>
      <w:tr w:rsidR="006F1AEC" w:rsidRPr="00F53F1B" w:rsidTr="009D4FA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rsidR="006F1AEC" w:rsidRPr="00F53F1B" w:rsidRDefault="006F1AEC" w:rsidP="009D4FAD">
            <w:pPr>
              <w:jc w:val="center"/>
              <w:rPr>
                <w:b w:val="0"/>
                <w:bCs w:val="0"/>
              </w:rPr>
            </w:pPr>
            <w:r w:rsidRPr="00F53F1B">
              <w:t>5</w:t>
            </w:r>
          </w:p>
        </w:tc>
        <w:tc>
          <w:tcPr>
            <w:tcW w:w="2290" w:type="dxa"/>
            <w:noWrap/>
            <w:hideMark/>
          </w:tcPr>
          <w:p w:rsidR="006F1AEC" w:rsidRPr="00F53F1B" w:rsidRDefault="006F1AEC" w:rsidP="009D4FAD">
            <w:pPr>
              <w:jc w:val="center"/>
              <w:cnfStyle w:val="000000100000" w:firstRow="0" w:lastRow="0" w:firstColumn="0" w:lastColumn="0" w:oddVBand="0" w:evenVBand="0" w:oddHBand="1" w:evenHBand="0" w:firstRowFirstColumn="0" w:firstRowLastColumn="0" w:lastRowFirstColumn="0" w:lastRowLastColumn="0"/>
            </w:pPr>
            <w:r w:rsidRPr="00F53F1B">
              <w:t>Supplement</w:t>
            </w:r>
          </w:p>
        </w:tc>
        <w:tc>
          <w:tcPr>
            <w:tcW w:w="500" w:type="dxa"/>
            <w:noWrap/>
            <w:hideMark/>
          </w:tcPr>
          <w:p w:rsidR="006F1AEC" w:rsidRPr="00F53F1B" w:rsidRDefault="006F1AEC" w:rsidP="009D4FAD">
            <w:pPr>
              <w:jc w:val="center"/>
              <w:cnfStyle w:val="000000100000" w:firstRow="0" w:lastRow="0" w:firstColumn="0" w:lastColumn="0" w:oddVBand="0" w:evenVBand="0" w:oddHBand="1" w:evenHBand="0" w:firstRowFirstColumn="0" w:firstRowLastColumn="0" w:lastRowFirstColumn="0" w:lastRowLastColumn="0"/>
            </w:pPr>
            <w:r w:rsidRPr="00F53F1B">
              <w:t>21</w:t>
            </w:r>
          </w:p>
        </w:tc>
        <w:tc>
          <w:tcPr>
            <w:tcW w:w="0" w:type="auto"/>
            <w:noWrap/>
            <w:hideMark/>
          </w:tcPr>
          <w:p w:rsidR="006F1AEC" w:rsidRPr="00F53F1B" w:rsidRDefault="006F1AEC" w:rsidP="009D4FAD">
            <w:pPr>
              <w:jc w:val="center"/>
              <w:cnfStyle w:val="000000100000" w:firstRow="0" w:lastRow="0" w:firstColumn="0" w:lastColumn="0" w:oddVBand="0" w:evenVBand="0" w:oddHBand="1" w:evenHBand="0" w:firstRowFirstColumn="0" w:firstRowLastColumn="0" w:lastRowFirstColumn="0" w:lastRowLastColumn="0"/>
            </w:pPr>
            <w:r w:rsidRPr="00F53F1B">
              <w:t>0</w:t>
            </w:r>
          </w:p>
        </w:tc>
        <w:tc>
          <w:tcPr>
            <w:tcW w:w="0" w:type="auto"/>
            <w:noWrap/>
            <w:hideMark/>
          </w:tcPr>
          <w:p w:rsidR="006F1AEC" w:rsidRPr="00F53F1B" w:rsidRDefault="006F1AEC" w:rsidP="009D4FAD">
            <w:pPr>
              <w:jc w:val="center"/>
              <w:cnfStyle w:val="000000100000" w:firstRow="0" w:lastRow="0" w:firstColumn="0" w:lastColumn="0" w:oddVBand="0" w:evenVBand="0" w:oddHBand="1" w:evenHBand="0" w:firstRowFirstColumn="0" w:firstRowLastColumn="0" w:lastRowFirstColumn="0" w:lastRowLastColumn="0"/>
            </w:pPr>
            <w:r w:rsidRPr="00F53F1B">
              <w:t>0.00000000</w:t>
            </w:r>
          </w:p>
        </w:tc>
      </w:tr>
    </w:tbl>
    <w:p w:rsidR="006F1AEC" w:rsidRDefault="006F1AEC" w:rsidP="006F1AEC">
      <w:pPr>
        <w:jc w:val="center"/>
      </w:pPr>
    </w:p>
    <w:p w:rsidR="006F1AEC" w:rsidRDefault="006F1AEC" w:rsidP="006F1AEC">
      <w:pPr>
        <w:jc w:val="center"/>
      </w:pPr>
    </w:p>
    <w:p w:rsidR="003D7B8B" w:rsidRDefault="003D7B8B" w:rsidP="003D7B8B">
      <w:pPr>
        <w:pStyle w:val="Heading2"/>
      </w:pPr>
      <w:r>
        <w:rPr>
          <w:rFonts w:cs="Times New Roman"/>
        </w:rPr>
        <w:t>§</w:t>
      </w:r>
      <w:r>
        <w:t>S9 Quality assessment (Risk of bias)</w:t>
      </w:r>
    </w:p>
    <w:p w:rsidR="003D7B8B" w:rsidRDefault="003D7B8B" w:rsidP="006F1AEC">
      <w:pPr>
        <w:rPr>
          <w:rFonts w:cs="Times New Roman"/>
        </w:rPr>
      </w:pPr>
      <w:r>
        <w:rPr>
          <w:rFonts w:cs="Times New Roman"/>
          <w:noProof/>
          <w:lang w:eastAsia="en-GB"/>
        </w:rPr>
        <w:drawing>
          <wp:inline distT="0" distB="0" distL="0" distR="0">
            <wp:extent cx="5731510" cy="172656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B2_summar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726565"/>
                    </a:xfrm>
                    <a:prstGeom prst="rect">
                      <a:avLst/>
                    </a:prstGeom>
                  </pic:spPr>
                </pic:pic>
              </a:graphicData>
            </a:graphic>
          </wp:inline>
        </w:drawing>
      </w:r>
    </w:p>
    <w:p w:rsidR="003D7B8B" w:rsidRDefault="003D7B8B" w:rsidP="006F1AEC">
      <w:pPr>
        <w:rPr>
          <w:rFonts w:cs="Times New Roman"/>
        </w:rPr>
      </w:pPr>
    </w:p>
    <w:p w:rsidR="003D7B8B" w:rsidRDefault="003D7B8B">
      <w:pPr>
        <w:rPr>
          <w:rFonts w:cs="Times New Roman"/>
        </w:rPr>
      </w:pPr>
      <w:r>
        <w:rPr>
          <w:rFonts w:cs="Times New Roman"/>
        </w:rPr>
        <w:br w:type="page"/>
      </w:r>
    </w:p>
    <w:p w:rsidR="006F1AEC" w:rsidRDefault="003D7B8B" w:rsidP="006F1AEC">
      <w:pPr>
        <w:rPr>
          <w:rFonts w:cs="Times New Roman"/>
        </w:rPr>
      </w:pPr>
      <w:r>
        <w:rPr>
          <w:rFonts w:cs="Times New Roman"/>
          <w:noProof/>
          <w:lang w:eastAsia="en-GB"/>
        </w:rPr>
        <w:lastRenderedPageBreak/>
        <w:drawing>
          <wp:inline distT="0" distB="0" distL="0" distR="0">
            <wp:extent cx="5731510" cy="78695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B2_overal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869555"/>
                    </a:xfrm>
                    <a:prstGeom prst="rect">
                      <a:avLst/>
                    </a:prstGeom>
                  </pic:spPr>
                </pic:pic>
              </a:graphicData>
            </a:graphic>
          </wp:inline>
        </w:drawing>
      </w:r>
      <w:r w:rsidR="006F1AEC">
        <w:rPr>
          <w:rFonts w:cs="Times New Roman"/>
        </w:rPr>
        <w:br w:type="page"/>
      </w:r>
    </w:p>
    <w:p w:rsidR="004B4EB9" w:rsidRDefault="00091E80" w:rsidP="00FD03CC">
      <w:pPr>
        <w:pStyle w:val="Heading2"/>
      </w:pPr>
      <w:r>
        <w:rPr>
          <w:rFonts w:cs="Times New Roman"/>
        </w:rPr>
        <w:lastRenderedPageBreak/>
        <w:t>§</w:t>
      </w:r>
      <w:r w:rsidR="003D7B8B">
        <w:t>S10</w:t>
      </w:r>
      <w:r>
        <w:t xml:space="preserve"> </w:t>
      </w:r>
      <w:r w:rsidR="00FD03CC">
        <w:t>R code</w:t>
      </w:r>
    </w:p>
    <w:p w:rsidR="00FD03CC" w:rsidRPr="00FD03CC" w:rsidRDefault="00FD03CC" w:rsidP="00FD03CC">
      <w:pPr>
        <w:rPr>
          <w:bdr w:val="none" w:sz="0" w:space="0" w:color="auto" w:frame="1"/>
          <w:lang w:eastAsia="en-GB"/>
        </w:rPr>
      </w:pPr>
      <w:r w:rsidRPr="00FD03CC">
        <w:rPr>
          <w:bdr w:val="none" w:sz="0" w:space="0" w:color="auto" w:frame="1"/>
          <w:lang w:eastAsia="en-GB"/>
        </w:rPr>
        <w:t xml:space="preserve">R version 4.2.1 (2022-06-23 </w:t>
      </w:r>
      <w:proofErr w:type="spellStart"/>
      <w:r w:rsidRPr="00FD03CC">
        <w:rPr>
          <w:bdr w:val="none" w:sz="0" w:space="0" w:color="auto" w:frame="1"/>
          <w:lang w:eastAsia="en-GB"/>
        </w:rPr>
        <w:t>ucrt</w:t>
      </w:r>
      <w:proofErr w:type="spellEnd"/>
      <w:r w:rsidRPr="00FD03CC">
        <w:rPr>
          <w:bdr w:val="none" w:sz="0" w:space="0" w:color="auto" w:frame="1"/>
          <w:lang w:eastAsia="en-GB"/>
        </w:rPr>
        <w:t>)</w:t>
      </w:r>
      <w:r>
        <w:rPr>
          <w:bdr w:val="none" w:sz="0" w:space="0" w:color="auto" w:frame="1"/>
          <w:lang w:eastAsia="en-GB"/>
        </w:rPr>
        <w:t xml:space="preserve"> </w:t>
      </w:r>
      <w:r w:rsidRPr="00FD03CC">
        <w:rPr>
          <w:bdr w:val="none" w:sz="0" w:space="0" w:color="auto" w:frame="1"/>
          <w:lang w:eastAsia="en-GB"/>
        </w:rPr>
        <w:t xml:space="preserve">Platform: </w:t>
      </w:r>
      <w:r>
        <w:rPr>
          <w:bdr w:val="none" w:sz="0" w:space="0" w:color="auto" w:frame="1"/>
          <w:lang w:eastAsia="en-GB"/>
        </w:rPr>
        <w:t xml:space="preserve">x86_64-w64-mingw32/x64 (64-bit) </w:t>
      </w:r>
      <w:r w:rsidRPr="00FD03CC">
        <w:rPr>
          <w:bdr w:val="none" w:sz="0" w:space="0" w:color="auto" w:frame="1"/>
          <w:lang w:eastAsia="en-GB"/>
        </w:rPr>
        <w:t>Running under: Windows 10 x64 (build 22631)</w:t>
      </w:r>
    </w:p>
    <w:p w:rsidR="00FD03CC" w:rsidRDefault="00FD03CC" w:rsidP="00FD03CC">
      <w:proofErr w:type="gramStart"/>
      <w:r>
        <w:t>library(</w:t>
      </w:r>
      <w:proofErr w:type="spellStart"/>
      <w:proofErr w:type="gramEnd"/>
      <w:r>
        <w:t>data.table</w:t>
      </w:r>
      <w:proofErr w:type="spellEnd"/>
      <w:r>
        <w:t>)</w:t>
      </w:r>
    </w:p>
    <w:p w:rsidR="00FD03CC" w:rsidRDefault="00FD03CC" w:rsidP="00FD03CC">
      <w:proofErr w:type="gramStart"/>
      <w:r>
        <w:t>library(</w:t>
      </w:r>
      <w:proofErr w:type="spellStart"/>
      <w:proofErr w:type="gramEnd"/>
      <w:r>
        <w:t>metafor</w:t>
      </w:r>
      <w:proofErr w:type="spellEnd"/>
      <w:r>
        <w:t>)</w:t>
      </w:r>
    </w:p>
    <w:p w:rsidR="00FD03CC" w:rsidRDefault="00FD03CC" w:rsidP="00FD03CC">
      <w:proofErr w:type="gramStart"/>
      <w:r>
        <w:t>library(</w:t>
      </w:r>
      <w:proofErr w:type="spellStart"/>
      <w:proofErr w:type="gramEnd"/>
      <w:r>
        <w:t>readxl</w:t>
      </w:r>
      <w:proofErr w:type="spellEnd"/>
      <w:r>
        <w:t>)</w:t>
      </w:r>
    </w:p>
    <w:p w:rsidR="00FD03CC" w:rsidRDefault="00FD03CC" w:rsidP="00FD03CC">
      <w:proofErr w:type="gramStart"/>
      <w:r>
        <w:t>library(</w:t>
      </w:r>
      <w:proofErr w:type="gramEnd"/>
      <w:r>
        <w:t xml:space="preserve">meta) </w:t>
      </w:r>
    </w:p>
    <w:p w:rsidR="00FD03CC" w:rsidRDefault="00FD03CC" w:rsidP="00FD03CC">
      <w:proofErr w:type="gramStart"/>
      <w:r>
        <w:t>library(</w:t>
      </w:r>
      <w:proofErr w:type="spellStart"/>
      <w:proofErr w:type="gramEnd"/>
      <w:r>
        <w:t>robumeta</w:t>
      </w:r>
      <w:proofErr w:type="spellEnd"/>
      <w:r>
        <w:t>)</w:t>
      </w:r>
    </w:p>
    <w:p w:rsidR="00FD03CC" w:rsidRDefault="00FD03CC" w:rsidP="00FD03CC">
      <w:proofErr w:type="gramStart"/>
      <w:r>
        <w:t>library(</w:t>
      </w:r>
      <w:proofErr w:type="spellStart"/>
      <w:proofErr w:type="gramEnd"/>
      <w:r>
        <w:t>dplyr</w:t>
      </w:r>
      <w:proofErr w:type="spellEnd"/>
      <w:r>
        <w:t>)</w:t>
      </w:r>
    </w:p>
    <w:p w:rsidR="00FD03CC" w:rsidRDefault="00FD03CC" w:rsidP="00FD03CC">
      <w:proofErr w:type="spellStart"/>
      <w:proofErr w:type="gramStart"/>
      <w:r>
        <w:t>df</w:t>
      </w:r>
      <w:proofErr w:type="spellEnd"/>
      <w:proofErr w:type="gramEnd"/>
      <w:r>
        <w:t xml:space="preserve">&lt;- read.csv("~/Dataset.csv", head = TRUE, </w:t>
      </w:r>
      <w:proofErr w:type="spellStart"/>
      <w:r>
        <w:t>stringsAsFactors</w:t>
      </w:r>
      <w:proofErr w:type="spellEnd"/>
      <w:r>
        <w:t xml:space="preserve"> = FALSE)</w:t>
      </w:r>
    </w:p>
    <w:p w:rsidR="00FD03CC" w:rsidRDefault="00FD03CC" w:rsidP="00FD03CC">
      <w:proofErr w:type="spellStart"/>
      <w:proofErr w:type="gramStart"/>
      <w:r>
        <w:t>df</w:t>
      </w:r>
      <w:proofErr w:type="spellEnd"/>
      <w:proofErr w:type="gramEnd"/>
      <w:r>
        <w:t xml:space="preserve"> &lt;- </w:t>
      </w:r>
      <w:proofErr w:type="spellStart"/>
      <w:r>
        <w:t>as.data.table</w:t>
      </w:r>
      <w:proofErr w:type="spellEnd"/>
      <w:r>
        <w:t>(</w:t>
      </w:r>
      <w:proofErr w:type="spellStart"/>
      <w:r>
        <w:t>df</w:t>
      </w:r>
      <w:proofErr w:type="spellEnd"/>
      <w:r>
        <w:t xml:space="preserve">); </w:t>
      </w:r>
      <w:proofErr w:type="spellStart"/>
      <w:r>
        <w:t>df</w:t>
      </w:r>
      <w:proofErr w:type="spellEnd"/>
      <w:r>
        <w:t xml:space="preserve"> &lt;- </w:t>
      </w:r>
      <w:proofErr w:type="spellStart"/>
      <w:r>
        <w:t>df</w:t>
      </w:r>
      <w:proofErr w:type="spellEnd"/>
      <w:r>
        <w:t xml:space="preserve"> %&gt;% filter(</w:t>
      </w:r>
      <w:proofErr w:type="spellStart"/>
      <w:r>
        <w:t>to.be.included</w:t>
      </w:r>
      <w:proofErr w:type="spellEnd"/>
      <w:r>
        <w:t xml:space="preserve"> == "1")</w:t>
      </w:r>
    </w:p>
    <w:p w:rsidR="00FD03CC" w:rsidRDefault="00FD03CC" w:rsidP="00FD03CC">
      <w:r>
        <w:t>#placebo response of mixed severity of gambling results</w:t>
      </w:r>
      <w:r w:rsidR="00DD7C5C">
        <w:t>; follow similar for other domains/analyses.</w:t>
      </w:r>
    </w:p>
    <w:p w:rsidR="00FD03CC" w:rsidRDefault="00FD03CC" w:rsidP="00FD03CC">
      <w:proofErr w:type="spellStart"/>
      <w:r>
        <w:t>placebo_meta</w:t>
      </w:r>
      <w:proofErr w:type="spellEnd"/>
      <w:r>
        <w:t xml:space="preserve"> &lt;- </w:t>
      </w:r>
      <w:proofErr w:type="spellStart"/>
      <w:r>
        <w:t>df</w:t>
      </w:r>
      <w:proofErr w:type="spellEnd"/>
      <w:r>
        <w:t xml:space="preserve"> %</w:t>
      </w:r>
      <w:proofErr w:type="gramStart"/>
      <w:r>
        <w:t>&gt;%</w:t>
      </w:r>
      <w:proofErr w:type="gramEnd"/>
      <w:r>
        <w:t xml:space="preserve"> filter(arm=="Placebo") %&gt;% filter(symptom_sd_t0 != 0) %&gt;%</w:t>
      </w:r>
    </w:p>
    <w:p w:rsidR="00FD03CC" w:rsidRDefault="00FD03CC" w:rsidP="00FD03CC">
      <w:r>
        <w:t xml:space="preserve">  </w:t>
      </w:r>
      <w:proofErr w:type="spellStart"/>
      <w:r>
        <w:t>dplyr</w:t>
      </w:r>
      <w:proofErr w:type="spellEnd"/>
      <w:r>
        <w:t>::</w:t>
      </w:r>
      <w:proofErr w:type="gramStart"/>
      <w:r>
        <w:t>select(</w:t>
      </w:r>
      <w:proofErr w:type="spellStart"/>
      <w:proofErr w:type="gramEnd"/>
      <w:r>
        <w:t>study_id</w:t>
      </w:r>
      <w:proofErr w:type="spellEnd"/>
      <w:r>
        <w:t xml:space="preserve">, RCT_design_1, </w:t>
      </w:r>
      <w:proofErr w:type="spellStart"/>
      <w:r>
        <w:t>Publication.Year</w:t>
      </w:r>
      <w:proofErr w:type="spellEnd"/>
      <w:r>
        <w:t xml:space="preserve">, type, sponsor, </w:t>
      </w:r>
      <w:proofErr w:type="spellStart"/>
      <w:r>
        <w:t>age_mean</w:t>
      </w:r>
      <w:proofErr w:type="spellEnd"/>
      <w:r>
        <w:t xml:space="preserve">, </w:t>
      </w:r>
      <w:proofErr w:type="spellStart"/>
      <w:r>
        <w:t>perc_male</w:t>
      </w:r>
      <w:proofErr w:type="spellEnd"/>
      <w:r>
        <w:t xml:space="preserve">, duration, scale, </w:t>
      </w:r>
      <w:proofErr w:type="spellStart"/>
      <w:r>
        <w:t>authors_COI</w:t>
      </w:r>
      <w:proofErr w:type="spellEnd"/>
      <w:r>
        <w:t xml:space="preserve">, </w:t>
      </w:r>
      <w:proofErr w:type="spellStart"/>
      <w:r>
        <w:t>run_in</w:t>
      </w:r>
      <w:proofErr w:type="spellEnd"/>
      <w:r>
        <w:t xml:space="preserve">, </w:t>
      </w:r>
      <w:proofErr w:type="spellStart"/>
      <w:r>
        <w:t>first_author</w:t>
      </w:r>
      <w:proofErr w:type="spellEnd"/>
      <w:r>
        <w:t xml:space="preserve">, </w:t>
      </w:r>
      <w:proofErr w:type="spellStart"/>
      <w:r>
        <w:t>n_itt</w:t>
      </w:r>
      <w:proofErr w:type="spellEnd"/>
      <w:r>
        <w:t>, symptom_mean_t0:sd_change..t1.t0.)</w:t>
      </w:r>
    </w:p>
    <w:p w:rsidR="00FD03CC" w:rsidRDefault="00FD03CC" w:rsidP="00FD03CC">
      <w:proofErr w:type="spellStart"/>
      <w:proofErr w:type="gramStart"/>
      <w:r>
        <w:t>dat</w:t>
      </w:r>
      <w:proofErr w:type="spellEnd"/>
      <w:proofErr w:type="gramEnd"/>
      <w:r>
        <w:t xml:space="preserve"> &lt;- </w:t>
      </w:r>
      <w:proofErr w:type="spellStart"/>
      <w:r>
        <w:t>escalc</w:t>
      </w:r>
      <w:proofErr w:type="spellEnd"/>
      <w:r>
        <w:t>(measure="SMCC", m1i=symptom_mean_t0, sd1i=symptom_sd_t0, m2i=symptom_mean_</w:t>
      </w:r>
      <w:r w:rsidR="00DD7C5C">
        <w:t xml:space="preserve">t1, sd2i=symptom_sd_t1, </w:t>
      </w:r>
      <w:proofErr w:type="spellStart"/>
      <w:r w:rsidR="00DD7C5C">
        <w:t>ni</w:t>
      </w:r>
      <w:proofErr w:type="spellEnd"/>
      <w:r w:rsidR="00DD7C5C">
        <w:t>=n</w:t>
      </w:r>
      <w:r>
        <w:t xml:space="preserve">, </w:t>
      </w:r>
      <w:proofErr w:type="spellStart"/>
      <w:r>
        <w:t>ri</w:t>
      </w:r>
      <w:proofErr w:type="spellEnd"/>
      <w:r>
        <w:t>=c(rep(0.50, 16)), data=</w:t>
      </w:r>
      <w:proofErr w:type="spellStart"/>
      <w:r>
        <w:t>placebo_meta</w:t>
      </w:r>
      <w:proofErr w:type="spellEnd"/>
      <w:r>
        <w:t>, slab=paste(</w:t>
      </w:r>
      <w:proofErr w:type="spellStart"/>
      <w:r>
        <w:t>first_author</w:t>
      </w:r>
      <w:proofErr w:type="spellEnd"/>
      <w:r>
        <w:t xml:space="preserve">, </w:t>
      </w:r>
      <w:proofErr w:type="spellStart"/>
      <w:r>
        <w:t>Publication.Year</w:t>
      </w:r>
      <w:proofErr w:type="spellEnd"/>
      <w:r>
        <w:t xml:space="preserve">, </w:t>
      </w:r>
      <w:proofErr w:type="spellStart"/>
      <w:r>
        <w:t>sep</w:t>
      </w:r>
      <w:proofErr w:type="spellEnd"/>
      <w:r>
        <w:t>=",    ")) #impute correlation for sensitivity analyses</w:t>
      </w:r>
    </w:p>
    <w:p w:rsidR="00FD03CC" w:rsidRDefault="00FD03CC" w:rsidP="00FD03CC">
      <w:proofErr w:type="gramStart"/>
      <w:r>
        <w:t>res</w:t>
      </w:r>
      <w:proofErr w:type="gramEnd"/>
      <w:r>
        <w:t xml:space="preserve"> &lt;- </w:t>
      </w:r>
      <w:proofErr w:type="spellStart"/>
      <w:r>
        <w:t>rma</w:t>
      </w:r>
      <w:proofErr w:type="spellEnd"/>
      <w:r>
        <w:t>(</w:t>
      </w:r>
      <w:proofErr w:type="spellStart"/>
      <w:r>
        <w:t>yi</w:t>
      </w:r>
      <w:proofErr w:type="spellEnd"/>
      <w:r>
        <w:t>, vi, data=</w:t>
      </w:r>
      <w:proofErr w:type="spellStart"/>
      <w:r>
        <w:t>dat</w:t>
      </w:r>
      <w:proofErr w:type="spellEnd"/>
      <w:r>
        <w:t xml:space="preserve">) ; predict(res, digits=3); </w:t>
      </w:r>
      <w:proofErr w:type="spellStart"/>
      <w:r>
        <w:t>confint</w:t>
      </w:r>
      <w:proofErr w:type="spellEnd"/>
      <w:r>
        <w:t>(res)</w:t>
      </w:r>
    </w:p>
    <w:p w:rsidR="00FD03CC" w:rsidRDefault="00FD03CC" w:rsidP="00FD03CC">
      <w:proofErr w:type="gramStart"/>
      <w:r>
        <w:t>forest(</w:t>
      </w:r>
      <w:proofErr w:type="gramEnd"/>
      <w:r>
        <w:t xml:space="preserve">res, </w:t>
      </w:r>
      <w:proofErr w:type="spellStart"/>
      <w:r>
        <w:t>xlim</w:t>
      </w:r>
      <w:proofErr w:type="spellEnd"/>
      <w:r>
        <w:t xml:space="preserve">=c(-2.6,4.6), </w:t>
      </w:r>
    </w:p>
    <w:p w:rsidR="00FD03CC" w:rsidRDefault="00FD03CC" w:rsidP="00FD03CC">
      <w:r>
        <w:t xml:space="preserve">       </w:t>
      </w:r>
      <w:proofErr w:type="gramStart"/>
      <w:r>
        <w:t>at</w:t>
      </w:r>
      <w:proofErr w:type="gramEnd"/>
      <w:r>
        <w:t xml:space="preserve">=(c(-.4,-.2,0,.2,.6,.9, 1.5, 3)), digits=c(2,1), </w:t>
      </w:r>
      <w:proofErr w:type="spellStart"/>
      <w:r>
        <w:t>cex</w:t>
      </w:r>
      <w:proofErr w:type="spellEnd"/>
      <w:r>
        <w:t>=.8)</w:t>
      </w:r>
    </w:p>
    <w:p w:rsidR="00FD03CC" w:rsidRDefault="00FD03CC" w:rsidP="00FD03CC">
      <w:proofErr w:type="gramStart"/>
      <w:r>
        <w:t>text(</w:t>
      </w:r>
      <w:proofErr w:type="gramEnd"/>
      <w:r>
        <w:t xml:space="preserve">-2.6, 17.5, "Author(s), Year", </w:t>
      </w:r>
      <w:proofErr w:type="spellStart"/>
      <w:r>
        <w:t>pos</w:t>
      </w:r>
      <w:proofErr w:type="spellEnd"/>
      <w:r>
        <w:t xml:space="preserve">=4, </w:t>
      </w:r>
      <w:proofErr w:type="spellStart"/>
      <w:r>
        <w:t>cex</w:t>
      </w:r>
      <w:proofErr w:type="spellEnd"/>
      <w:r>
        <w:t>=.9)</w:t>
      </w:r>
    </w:p>
    <w:p w:rsidR="00FD03CC" w:rsidRDefault="00FD03CC" w:rsidP="00FD03CC">
      <w:proofErr w:type="gramStart"/>
      <w:r>
        <w:t>text(</w:t>
      </w:r>
      <w:proofErr w:type="gramEnd"/>
      <w:r>
        <w:t xml:space="preserve">-0.6, 17.5, "Placebo response", </w:t>
      </w:r>
      <w:proofErr w:type="spellStart"/>
      <w:r>
        <w:t>pos</w:t>
      </w:r>
      <w:proofErr w:type="spellEnd"/>
      <w:r>
        <w:t xml:space="preserve">=4, </w:t>
      </w:r>
      <w:proofErr w:type="spellStart"/>
      <w:r>
        <w:t>cex</w:t>
      </w:r>
      <w:proofErr w:type="spellEnd"/>
      <w:r>
        <w:t>=.9)</w:t>
      </w:r>
    </w:p>
    <w:p w:rsidR="00FD03CC" w:rsidRDefault="00FD03CC" w:rsidP="00FD03CC">
      <w:proofErr w:type="gramStart"/>
      <w:r>
        <w:t>text(</w:t>
      </w:r>
      <w:proofErr w:type="gramEnd"/>
      <w:r>
        <w:t xml:space="preserve"> 4.6, 17.5, "Effect size [95% CI]", </w:t>
      </w:r>
      <w:proofErr w:type="spellStart"/>
      <w:r>
        <w:t>pos</w:t>
      </w:r>
      <w:proofErr w:type="spellEnd"/>
      <w:r>
        <w:t xml:space="preserve">=2, </w:t>
      </w:r>
      <w:proofErr w:type="spellStart"/>
      <w:r>
        <w:t>cex</w:t>
      </w:r>
      <w:proofErr w:type="spellEnd"/>
      <w:r>
        <w:t>=.9)</w:t>
      </w:r>
    </w:p>
    <w:p w:rsidR="00FD03CC" w:rsidRDefault="00FD03CC" w:rsidP="00FD03CC">
      <w:r>
        <w:t xml:space="preserve">plb1.yi &lt;- </w:t>
      </w:r>
      <w:proofErr w:type="spellStart"/>
      <w:r>
        <w:t>res$yi</w:t>
      </w:r>
      <w:proofErr w:type="spellEnd"/>
      <w:r>
        <w:t xml:space="preserve">; plb1.slab &lt;- </w:t>
      </w:r>
      <w:proofErr w:type="spellStart"/>
      <w:r>
        <w:t>res$slab</w:t>
      </w:r>
      <w:proofErr w:type="spellEnd"/>
      <w:r>
        <w:t xml:space="preserve">; </w:t>
      </w:r>
      <w:proofErr w:type="spellStart"/>
      <w:r>
        <w:t>b_res</w:t>
      </w:r>
      <w:proofErr w:type="spellEnd"/>
      <w:r>
        <w:t xml:space="preserve"> &lt;- </w:t>
      </w:r>
      <w:proofErr w:type="spellStart"/>
      <w:proofErr w:type="gramStart"/>
      <w:r>
        <w:t>rma</w:t>
      </w:r>
      <w:proofErr w:type="spellEnd"/>
      <w:r>
        <w:t>(</w:t>
      </w:r>
      <w:proofErr w:type="spellStart"/>
      <w:proofErr w:type="gramEnd"/>
      <w:r>
        <w:t>yi</w:t>
      </w:r>
      <w:proofErr w:type="spellEnd"/>
      <w:r>
        <w:t xml:space="preserve">, </w:t>
      </w:r>
      <w:proofErr w:type="spellStart"/>
      <w:r>
        <w:t>vi,data</w:t>
      </w:r>
      <w:proofErr w:type="spellEnd"/>
      <w:r>
        <w:t>=</w:t>
      </w:r>
      <w:proofErr w:type="spellStart"/>
      <w:r>
        <w:t>dat</w:t>
      </w:r>
      <w:proofErr w:type="spellEnd"/>
      <w:r>
        <w:t>, slab=</w:t>
      </w:r>
      <w:proofErr w:type="spellStart"/>
      <w:r>
        <w:t>study_id</w:t>
      </w:r>
      <w:proofErr w:type="spellEnd"/>
      <w:r>
        <w:t>) #save results for further comparisons</w:t>
      </w:r>
    </w:p>
    <w:p w:rsidR="00FD03CC" w:rsidRDefault="00FD03CC" w:rsidP="00FD03CC">
      <w:r>
        <w:t>#</w:t>
      </w:r>
      <w:proofErr w:type="spellStart"/>
      <w:proofErr w:type="gramStart"/>
      <w:r>
        <w:t>baujat</w:t>
      </w:r>
      <w:proofErr w:type="spellEnd"/>
      <w:r>
        <w:t>(</w:t>
      </w:r>
      <w:proofErr w:type="spellStart"/>
      <w:proofErr w:type="gramEnd"/>
      <w:r>
        <w:t>b_res</w:t>
      </w:r>
      <w:proofErr w:type="spellEnd"/>
      <w:r>
        <w:t xml:space="preserve">); </w:t>
      </w:r>
      <w:proofErr w:type="spellStart"/>
      <w:r>
        <w:t>inf</w:t>
      </w:r>
      <w:proofErr w:type="spellEnd"/>
      <w:r>
        <w:t xml:space="preserve"> &lt;- influence(res); print(</w:t>
      </w:r>
      <w:proofErr w:type="spellStart"/>
      <w:r>
        <w:t>inf</w:t>
      </w:r>
      <w:proofErr w:type="spellEnd"/>
      <w:r>
        <w:t>); plot(</w:t>
      </w:r>
      <w:proofErr w:type="spellStart"/>
      <w:r>
        <w:t>inf</w:t>
      </w:r>
      <w:proofErr w:type="spellEnd"/>
      <w:r>
        <w:t>) # influence diagnostics</w:t>
      </w:r>
    </w:p>
    <w:p w:rsidR="00FD03CC" w:rsidRDefault="00FD03CC" w:rsidP="00FD03CC">
      <w:r>
        <w:t>### funnel plot</w:t>
      </w:r>
    </w:p>
    <w:p w:rsidR="00FD03CC" w:rsidRDefault="00FD03CC" w:rsidP="00FD03CC">
      <w:proofErr w:type="gramStart"/>
      <w:r>
        <w:t>funnel(</w:t>
      </w:r>
      <w:proofErr w:type="gramEnd"/>
      <w:r>
        <w:t xml:space="preserve">res, </w:t>
      </w:r>
      <w:proofErr w:type="spellStart"/>
      <w:r>
        <w:t>xlab</w:t>
      </w:r>
      <w:proofErr w:type="spellEnd"/>
      <w:r>
        <w:t xml:space="preserve"> = "Severity Placebo SMCC \</w:t>
      </w:r>
      <w:proofErr w:type="spellStart"/>
      <w:r>
        <w:t>nRank</w:t>
      </w:r>
      <w:proofErr w:type="spellEnd"/>
      <w:r>
        <w:t xml:space="preserve"> Test for Funnel Plot Asymmetry, p=XXX") #Tests for bias</w:t>
      </w:r>
    </w:p>
    <w:p w:rsidR="00FD03CC" w:rsidRDefault="00FD03CC" w:rsidP="00FD03CC">
      <w:proofErr w:type="spellStart"/>
      <w:proofErr w:type="gramStart"/>
      <w:r>
        <w:t>regtest</w:t>
      </w:r>
      <w:proofErr w:type="spellEnd"/>
      <w:r>
        <w:t>(</w:t>
      </w:r>
      <w:proofErr w:type="gramEnd"/>
      <w:r>
        <w:t xml:space="preserve">res); </w:t>
      </w:r>
      <w:proofErr w:type="spellStart"/>
      <w:r>
        <w:t>ranktest</w:t>
      </w:r>
      <w:proofErr w:type="spellEnd"/>
      <w:r>
        <w:t>(res); #for trim and fill if necessary</w:t>
      </w:r>
    </w:p>
    <w:p w:rsidR="00FD03CC" w:rsidRDefault="00FD03CC" w:rsidP="00FD03CC">
      <w:r>
        <w:t xml:space="preserve">res.tf &lt;- </w:t>
      </w:r>
      <w:proofErr w:type="spellStart"/>
      <w:proofErr w:type="gramStart"/>
      <w:r>
        <w:t>trimfill</w:t>
      </w:r>
      <w:proofErr w:type="spellEnd"/>
      <w:r>
        <w:t>(</w:t>
      </w:r>
      <w:proofErr w:type="gramEnd"/>
      <w:r>
        <w:t>res); res.tf</w:t>
      </w:r>
    </w:p>
    <w:p w:rsidR="00FD03CC" w:rsidRDefault="00FD03CC" w:rsidP="00FD03CC">
      <w:proofErr w:type="gramStart"/>
      <w:r>
        <w:t>funnel(</w:t>
      </w:r>
      <w:proofErr w:type="gramEnd"/>
      <w:r>
        <w:t xml:space="preserve">res.tf, </w:t>
      </w:r>
      <w:proofErr w:type="spellStart"/>
      <w:r>
        <w:t>xlab</w:t>
      </w:r>
      <w:proofErr w:type="spellEnd"/>
      <w:r>
        <w:t xml:space="preserve"> = "Severity Placebo SMCC \</w:t>
      </w:r>
      <w:proofErr w:type="spellStart"/>
      <w:r>
        <w:t>nRank</w:t>
      </w:r>
      <w:proofErr w:type="spellEnd"/>
      <w:r>
        <w:t xml:space="preserve"> Test for Funnel Plot Asymmetry, p=.XXX") </w:t>
      </w:r>
    </w:p>
    <w:p w:rsidR="00FD03CC" w:rsidRDefault="00FD03CC" w:rsidP="00FD03CC">
      <w:proofErr w:type="spellStart"/>
      <w:proofErr w:type="gramStart"/>
      <w:r>
        <w:t>abline</w:t>
      </w:r>
      <w:proofErr w:type="spellEnd"/>
      <w:r>
        <w:t>(</w:t>
      </w:r>
      <w:proofErr w:type="gramEnd"/>
      <w:r>
        <w:t xml:space="preserve">v=1.54, col="blue", </w:t>
      </w:r>
      <w:proofErr w:type="spellStart"/>
      <w:r>
        <w:t>lwd</w:t>
      </w:r>
      <w:proofErr w:type="spellEnd"/>
      <w:r>
        <w:t xml:space="preserve">=1, </w:t>
      </w:r>
      <w:proofErr w:type="spellStart"/>
      <w:r>
        <w:t>lty</w:t>
      </w:r>
      <w:proofErr w:type="spellEnd"/>
      <w:r>
        <w:t xml:space="preserve"> = 2) </w:t>
      </w:r>
    </w:p>
    <w:p w:rsidR="00FD03CC" w:rsidRDefault="00FD03CC" w:rsidP="00FD03CC">
      <w:r>
        <w:t>#</w:t>
      </w:r>
      <w:r w:rsidR="003E2172">
        <w:t>Meta-regression</w:t>
      </w:r>
      <w:r>
        <w:t xml:space="preserve"> analysis for publication year, type, sponsor, </w:t>
      </w:r>
      <w:proofErr w:type="spellStart"/>
      <w:r>
        <w:t>age_mean</w:t>
      </w:r>
      <w:proofErr w:type="spellEnd"/>
      <w:r>
        <w:t xml:space="preserve">, </w:t>
      </w:r>
      <w:proofErr w:type="spellStart"/>
      <w:r>
        <w:t>perc_male</w:t>
      </w:r>
      <w:proofErr w:type="spellEnd"/>
      <w:r>
        <w:t xml:space="preserve">, duration, scale, </w:t>
      </w:r>
      <w:proofErr w:type="spellStart"/>
      <w:r>
        <w:t>authors_COI</w:t>
      </w:r>
      <w:proofErr w:type="spellEnd"/>
      <w:r>
        <w:t xml:space="preserve"> </w:t>
      </w:r>
    </w:p>
    <w:p w:rsidR="00FD03CC" w:rsidRDefault="00FD03CC" w:rsidP="00FD03CC">
      <w:proofErr w:type="spellStart"/>
      <w:r>
        <w:t>res.modage</w:t>
      </w:r>
      <w:proofErr w:type="spellEnd"/>
      <w:r>
        <w:t xml:space="preserve"> &lt;- </w:t>
      </w:r>
      <w:proofErr w:type="spellStart"/>
      <w:proofErr w:type="gramStart"/>
      <w:r>
        <w:t>rma</w:t>
      </w:r>
      <w:proofErr w:type="spellEnd"/>
      <w:r>
        <w:t>(</w:t>
      </w:r>
      <w:proofErr w:type="spellStart"/>
      <w:proofErr w:type="gramEnd"/>
      <w:r>
        <w:t>yi</w:t>
      </w:r>
      <w:proofErr w:type="spellEnd"/>
      <w:r>
        <w:t xml:space="preserve">, vi, mods = ~ </w:t>
      </w:r>
      <w:proofErr w:type="spellStart"/>
      <w:r>
        <w:t>Publication.Year</w:t>
      </w:r>
      <w:proofErr w:type="spellEnd"/>
      <w:r>
        <w:t>, data=</w:t>
      </w:r>
      <w:proofErr w:type="spellStart"/>
      <w:r>
        <w:t>dat</w:t>
      </w:r>
      <w:proofErr w:type="spellEnd"/>
      <w:r>
        <w:t xml:space="preserve">) </w:t>
      </w:r>
    </w:p>
    <w:p w:rsidR="00FD03CC" w:rsidRDefault="00FD03CC" w:rsidP="00FD03CC">
      <w:proofErr w:type="spellStart"/>
      <w:r>
        <w:t>res.modage</w:t>
      </w:r>
      <w:proofErr w:type="spellEnd"/>
    </w:p>
    <w:p w:rsidR="009D4FAD" w:rsidRDefault="009D4FAD" w:rsidP="00FD03CC"/>
    <w:p w:rsidR="009D4FAD" w:rsidRDefault="009D4FAD" w:rsidP="00FD03CC"/>
    <w:p w:rsidR="009D4FAD" w:rsidRDefault="009D4FAD">
      <w:pPr>
        <w:rPr>
          <w:rFonts w:eastAsiaTheme="majorEastAsia" w:cstheme="majorBidi"/>
          <w:b/>
          <w:sz w:val="26"/>
          <w:szCs w:val="26"/>
        </w:rPr>
      </w:pPr>
      <w:r>
        <w:br w:type="page"/>
      </w:r>
    </w:p>
    <w:p w:rsidR="009D4FAD" w:rsidRDefault="009D4FAD" w:rsidP="009D4FAD">
      <w:pPr>
        <w:pStyle w:val="Heading2"/>
      </w:pPr>
      <w:r>
        <w:lastRenderedPageBreak/>
        <w:t>List of papers included in the meta-analysis</w:t>
      </w:r>
    </w:p>
    <w:tbl>
      <w:tblPr>
        <w:tblStyle w:val="TableGrid"/>
        <w:tblW w:w="9492" w:type="dxa"/>
        <w:tblLayout w:type="fixed"/>
        <w:tblLook w:val="04A0" w:firstRow="1" w:lastRow="0" w:firstColumn="1" w:lastColumn="0" w:noHBand="0" w:noVBand="1"/>
      </w:tblPr>
      <w:tblGrid>
        <w:gridCol w:w="421"/>
        <w:gridCol w:w="853"/>
        <w:gridCol w:w="503"/>
        <w:gridCol w:w="692"/>
        <w:gridCol w:w="1088"/>
        <w:gridCol w:w="989"/>
        <w:gridCol w:w="593"/>
        <w:gridCol w:w="594"/>
        <w:gridCol w:w="594"/>
        <w:gridCol w:w="594"/>
        <w:gridCol w:w="593"/>
        <w:gridCol w:w="593"/>
        <w:gridCol w:w="792"/>
        <w:gridCol w:w="593"/>
      </w:tblGrid>
      <w:tr w:rsidR="00855E93" w:rsidRPr="00A97BAE" w:rsidTr="00855E93">
        <w:trPr>
          <w:trHeight w:val="592"/>
        </w:trPr>
        <w:tc>
          <w:tcPr>
            <w:tcW w:w="421" w:type="dxa"/>
            <w:shd w:val="clear" w:color="auto" w:fill="E7E6E6" w:themeFill="background2"/>
            <w:vAlign w:val="center"/>
          </w:tcPr>
          <w:p w:rsidR="00855E93" w:rsidRPr="00A97BAE" w:rsidRDefault="00855E93" w:rsidP="009D4FAD">
            <w:pPr>
              <w:jc w:val="center"/>
              <w:rPr>
                <w:rFonts w:cs="Times New Roman"/>
                <w:b/>
                <w:szCs w:val="16"/>
              </w:rPr>
            </w:pPr>
            <w:r w:rsidRPr="00A97BAE">
              <w:rPr>
                <w:rFonts w:cs="Times New Roman"/>
                <w:b/>
                <w:szCs w:val="16"/>
              </w:rPr>
              <w:t>#</w:t>
            </w:r>
          </w:p>
        </w:tc>
        <w:tc>
          <w:tcPr>
            <w:tcW w:w="853" w:type="dxa"/>
            <w:shd w:val="clear" w:color="auto" w:fill="E7E6E6" w:themeFill="background2"/>
            <w:vAlign w:val="center"/>
          </w:tcPr>
          <w:p w:rsidR="00855E93" w:rsidRPr="00A97BAE" w:rsidRDefault="00855E93" w:rsidP="009D4FAD">
            <w:pPr>
              <w:jc w:val="center"/>
              <w:rPr>
                <w:rFonts w:cs="Times New Roman"/>
                <w:b/>
                <w:szCs w:val="16"/>
              </w:rPr>
            </w:pPr>
            <w:r w:rsidRPr="00A97BAE">
              <w:rPr>
                <w:rFonts w:cs="Times New Roman"/>
                <w:b/>
                <w:szCs w:val="16"/>
              </w:rPr>
              <w:t>First Author</w:t>
            </w:r>
          </w:p>
        </w:tc>
        <w:tc>
          <w:tcPr>
            <w:tcW w:w="503" w:type="dxa"/>
            <w:shd w:val="clear" w:color="auto" w:fill="E7E6E6" w:themeFill="background2"/>
            <w:vAlign w:val="center"/>
          </w:tcPr>
          <w:p w:rsidR="00855E93" w:rsidRPr="00A97BAE" w:rsidRDefault="00855E93" w:rsidP="009D4FAD">
            <w:pPr>
              <w:jc w:val="center"/>
              <w:rPr>
                <w:rFonts w:cs="Times New Roman"/>
                <w:b/>
                <w:szCs w:val="16"/>
              </w:rPr>
            </w:pPr>
            <w:r w:rsidRPr="00A97BAE">
              <w:rPr>
                <w:rFonts w:cs="Times New Roman"/>
                <w:b/>
                <w:szCs w:val="16"/>
              </w:rPr>
              <w:t>Year</w:t>
            </w:r>
          </w:p>
        </w:tc>
        <w:tc>
          <w:tcPr>
            <w:tcW w:w="692" w:type="dxa"/>
            <w:shd w:val="clear" w:color="auto" w:fill="E7E6E6" w:themeFill="background2"/>
            <w:vAlign w:val="center"/>
          </w:tcPr>
          <w:p w:rsidR="00855E93" w:rsidRPr="00A97BAE" w:rsidRDefault="00855E93" w:rsidP="009D4FAD">
            <w:pPr>
              <w:jc w:val="center"/>
              <w:rPr>
                <w:rFonts w:cs="Times New Roman"/>
                <w:b/>
                <w:szCs w:val="16"/>
              </w:rPr>
            </w:pPr>
            <w:r w:rsidRPr="00A97BAE">
              <w:rPr>
                <w:rFonts w:cs="Times New Roman"/>
                <w:b/>
                <w:szCs w:val="16"/>
              </w:rPr>
              <w:t>Journal</w:t>
            </w:r>
          </w:p>
        </w:tc>
        <w:tc>
          <w:tcPr>
            <w:tcW w:w="1088" w:type="dxa"/>
            <w:shd w:val="clear" w:color="auto" w:fill="E7E6E6" w:themeFill="background2"/>
            <w:vAlign w:val="center"/>
          </w:tcPr>
          <w:p w:rsidR="00855E93" w:rsidRPr="00A97BAE" w:rsidRDefault="00855E93" w:rsidP="009D4FAD">
            <w:pPr>
              <w:jc w:val="center"/>
              <w:rPr>
                <w:rFonts w:cs="Times New Roman"/>
                <w:b/>
                <w:szCs w:val="16"/>
              </w:rPr>
            </w:pPr>
            <w:r w:rsidRPr="00A97BAE">
              <w:rPr>
                <w:rFonts w:cs="Times New Roman"/>
                <w:b/>
                <w:szCs w:val="16"/>
              </w:rPr>
              <w:t>Study Type and Design</w:t>
            </w:r>
          </w:p>
        </w:tc>
        <w:tc>
          <w:tcPr>
            <w:tcW w:w="989" w:type="dxa"/>
            <w:shd w:val="clear" w:color="auto" w:fill="E7E6E6" w:themeFill="background2"/>
            <w:vAlign w:val="center"/>
          </w:tcPr>
          <w:p w:rsidR="00855E93" w:rsidRPr="00A97BAE" w:rsidRDefault="00855E93" w:rsidP="009D4FAD">
            <w:pPr>
              <w:jc w:val="center"/>
              <w:rPr>
                <w:rFonts w:cs="Times New Roman"/>
                <w:b/>
                <w:szCs w:val="16"/>
              </w:rPr>
            </w:pPr>
            <w:r w:rsidRPr="00A97BAE">
              <w:rPr>
                <w:rFonts w:cs="Times New Roman"/>
                <w:b/>
                <w:szCs w:val="16"/>
              </w:rPr>
              <w:t>Arms</w:t>
            </w:r>
          </w:p>
        </w:tc>
        <w:tc>
          <w:tcPr>
            <w:tcW w:w="593" w:type="dxa"/>
            <w:shd w:val="clear" w:color="auto" w:fill="E7E6E6" w:themeFill="background2"/>
            <w:vAlign w:val="center"/>
          </w:tcPr>
          <w:p w:rsidR="00855E93" w:rsidRPr="00A97BAE" w:rsidRDefault="00855E93" w:rsidP="009D4FAD">
            <w:pPr>
              <w:jc w:val="center"/>
              <w:rPr>
                <w:rFonts w:cs="Times New Roman"/>
                <w:b/>
                <w:szCs w:val="16"/>
              </w:rPr>
            </w:pPr>
            <w:r w:rsidRPr="00A97BAE">
              <w:rPr>
                <w:rFonts w:cs="Times New Roman"/>
                <w:b/>
                <w:szCs w:val="16"/>
              </w:rPr>
              <w:t>N randomized</w:t>
            </w:r>
          </w:p>
        </w:tc>
        <w:tc>
          <w:tcPr>
            <w:tcW w:w="594" w:type="dxa"/>
            <w:shd w:val="clear" w:color="auto" w:fill="E7E6E6" w:themeFill="background2"/>
            <w:vAlign w:val="center"/>
          </w:tcPr>
          <w:p w:rsidR="00855E93" w:rsidRPr="00A97BAE" w:rsidRDefault="00855E93" w:rsidP="009D4FAD">
            <w:pPr>
              <w:jc w:val="center"/>
              <w:rPr>
                <w:rFonts w:cs="Times New Roman"/>
                <w:b/>
                <w:szCs w:val="16"/>
              </w:rPr>
            </w:pPr>
            <w:r w:rsidRPr="00A97BAE">
              <w:rPr>
                <w:rFonts w:cs="Times New Roman"/>
                <w:b/>
                <w:szCs w:val="16"/>
              </w:rPr>
              <w:t>Age (mean) /arm</w:t>
            </w:r>
          </w:p>
        </w:tc>
        <w:tc>
          <w:tcPr>
            <w:tcW w:w="594" w:type="dxa"/>
            <w:shd w:val="clear" w:color="auto" w:fill="E7E6E6" w:themeFill="background2"/>
            <w:vAlign w:val="center"/>
          </w:tcPr>
          <w:p w:rsidR="00855E93" w:rsidRPr="00A97BAE" w:rsidRDefault="00855E93" w:rsidP="009D4FAD">
            <w:pPr>
              <w:jc w:val="center"/>
              <w:rPr>
                <w:rFonts w:cs="Times New Roman"/>
                <w:b/>
                <w:szCs w:val="16"/>
              </w:rPr>
            </w:pPr>
            <w:r w:rsidRPr="00A97BAE">
              <w:rPr>
                <w:rFonts w:cs="Times New Roman"/>
                <w:b/>
                <w:szCs w:val="16"/>
              </w:rPr>
              <w:t>%Male /arm</w:t>
            </w:r>
          </w:p>
        </w:tc>
        <w:tc>
          <w:tcPr>
            <w:tcW w:w="594" w:type="dxa"/>
            <w:shd w:val="clear" w:color="auto" w:fill="E7E6E6" w:themeFill="background2"/>
            <w:vAlign w:val="center"/>
          </w:tcPr>
          <w:p w:rsidR="00855E93" w:rsidRPr="00A97BAE" w:rsidRDefault="00855E93" w:rsidP="009D4FAD">
            <w:pPr>
              <w:jc w:val="center"/>
              <w:rPr>
                <w:rFonts w:cs="Times New Roman"/>
                <w:b/>
                <w:szCs w:val="16"/>
              </w:rPr>
            </w:pPr>
            <w:r w:rsidRPr="00A97BAE">
              <w:rPr>
                <w:rFonts w:cs="Times New Roman"/>
                <w:b/>
                <w:szCs w:val="16"/>
              </w:rPr>
              <w:t>Route/ dosing scheme</w:t>
            </w:r>
          </w:p>
        </w:tc>
        <w:tc>
          <w:tcPr>
            <w:tcW w:w="593" w:type="dxa"/>
            <w:shd w:val="clear" w:color="auto" w:fill="E7E6E6" w:themeFill="background2"/>
            <w:vAlign w:val="center"/>
          </w:tcPr>
          <w:p w:rsidR="00855E93" w:rsidRPr="00A97BAE" w:rsidRDefault="00855E93" w:rsidP="009D4FAD">
            <w:pPr>
              <w:jc w:val="center"/>
              <w:rPr>
                <w:rFonts w:cs="Times New Roman"/>
                <w:b/>
                <w:szCs w:val="16"/>
              </w:rPr>
            </w:pPr>
            <w:r w:rsidRPr="00A97BAE">
              <w:rPr>
                <w:rFonts w:cs="Times New Roman"/>
                <w:b/>
                <w:szCs w:val="16"/>
              </w:rPr>
              <w:t>Min. dose†</w:t>
            </w:r>
          </w:p>
        </w:tc>
        <w:tc>
          <w:tcPr>
            <w:tcW w:w="593" w:type="dxa"/>
            <w:shd w:val="clear" w:color="auto" w:fill="E7E6E6" w:themeFill="background2"/>
            <w:vAlign w:val="center"/>
          </w:tcPr>
          <w:p w:rsidR="00855E93" w:rsidRPr="00A97BAE" w:rsidRDefault="00855E93" w:rsidP="009D4FAD">
            <w:pPr>
              <w:jc w:val="center"/>
              <w:rPr>
                <w:rFonts w:cs="Times New Roman"/>
                <w:b/>
                <w:szCs w:val="16"/>
              </w:rPr>
            </w:pPr>
            <w:r w:rsidRPr="00A97BAE">
              <w:rPr>
                <w:rFonts w:cs="Times New Roman"/>
                <w:b/>
                <w:szCs w:val="16"/>
              </w:rPr>
              <w:t>Max. dose†</w:t>
            </w:r>
          </w:p>
        </w:tc>
        <w:tc>
          <w:tcPr>
            <w:tcW w:w="792" w:type="dxa"/>
            <w:shd w:val="clear" w:color="auto" w:fill="E7E6E6" w:themeFill="background2"/>
            <w:vAlign w:val="center"/>
          </w:tcPr>
          <w:p w:rsidR="00855E93" w:rsidRPr="00A97BAE" w:rsidRDefault="00855E93" w:rsidP="009D4FAD">
            <w:pPr>
              <w:jc w:val="center"/>
              <w:rPr>
                <w:rFonts w:cs="Times New Roman"/>
                <w:b/>
                <w:szCs w:val="16"/>
              </w:rPr>
            </w:pPr>
            <w:r w:rsidRPr="00A97BAE">
              <w:rPr>
                <w:rFonts w:cs="Times New Roman"/>
                <w:b/>
                <w:szCs w:val="16"/>
              </w:rPr>
              <w:t>Duration</w:t>
            </w:r>
          </w:p>
        </w:tc>
        <w:tc>
          <w:tcPr>
            <w:tcW w:w="593" w:type="dxa"/>
            <w:shd w:val="clear" w:color="auto" w:fill="E7E6E6" w:themeFill="background2"/>
            <w:vAlign w:val="center"/>
          </w:tcPr>
          <w:p w:rsidR="00855E93" w:rsidRPr="00A97BAE" w:rsidRDefault="00855E93" w:rsidP="009D4FAD">
            <w:pPr>
              <w:jc w:val="center"/>
              <w:rPr>
                <w:rFonts w:cs="Times New Roman"/>
                <w:b/>
                <w:szCs w:val="16"/>
              </w:rPr>
            </w:pPr>
            <w:r w:rsidRPr="00A97BAE">
              <w:rPr>
                <w:rFonts w:cs="Times New Roman"/>
                <w:b/>
                <w:szCs w:val="16"/>
              </w:rPr>
              <w:t>Sponsorship</w:t>
            </w:r>
          </w:p>
        </w:tc>
      </w:tr>
      <w:tr w:rsidR="00855E93" w:rsidRPr="00A97BAE" w:rsidTr="00855E93">
        <w:trPr>
          <w:trHeight w:val="586"/>
        </w:trPr>
        <w:tc>
          <w:tcPr>
            <w:tcW w:w="421" w:type="dxa"/>
            <w:vAlign w:val="center"/>
          </w:tcPr>
          <w:p w:rsidR="00855E93" w:rsidRPr="00A97BAE" w:rsidRDefault="00855E93" w:rsidP="009D4FAD">
            <w:pPr>
              <w:jc w:val="center"/>
              <w:rPr>
                <w:rFonts w:cs="Times New Roman"/>
                <w:b/>
                <w:szCs w:val="16"/>
              </w:rPr>
            </w:pPr>
            <w:r w:rsidRPr="00A97BAE">
              <w:rPr>
                <w:rFonts w:cs="Times New Roman"/>
                <w:b/>
                <w:szCs w:val="16"/>
              </w:rPr>
              <w:t>1</w:t>
            </w:r>
          </w:p>
        </w:tc>
        <w:tc>
          <w:tcPr>
            <w:tcW w:w="853" w:type="dxa"/>
            <w:vAlign w:val="center"/>
          </w:tcPr>
          <w:p w:rsidR="00855E93" w:rsidRPr="00A97BAE" w:rsidRDefault="00855E93" w:rsidP="009D4FAD">
            <w:pPr>
              <w:jc w:val="center"/>
              <w:rPr>
                <w:rFonts w:cs="Times New Roman"/>
                <w:szCs w:val="16"/>
              </w:rPr>
            </w:pPr>
            <w:proofErr w:type="spellStart"/>
            <w:r w:rsidRPr="00A97BAE">
              <w:rPr>
                <w:rFonts w:cs="Times New Roman"/>
                <w:szCs w:val="16"/>
              </w:rPr>
              <w:t>Alho</w:t>
            </w:r>
            <w:proofErr w:type="spellEnd"/>
            <w:r w:rsidRPr="00A97BAE">
              <w:rPr>
                <w:rFonts w:cs="Times New Roman"/>
                <w:szCs w:val="16"/>
              </w:rPr>
              <w:t xml:space="preserve"> et al.</w:t>
            </w:r>
            <w:r w:rsidRPr="00A97BAE">
              <w:rPr>
                <w:rFonts w:cs="Times New Roman"/>
                <w:szCs w:val="16"/>
              </w:rPr>
              <w:fldChar w:fldCharType="begin" w:fldLock="1"/>
            </w:r>
            <w:r>
              <w:rPr>
                <w:rFonts w:cs="Times New Roman"/>
                <w:szCs w:val="16"/>
              </w:rPr>
              <w:instrText>ADDIN CSL_CITATION {"citationItems":[{"id":"ITEM-1","itemData":{"DOI":"10.1016/J.ADDBEH.2021.107127","ISSN":"1873-6327","PMID":"34634640","abstract":"Background: Gambling disorder (GD) is a global phenomenon affecting millions of people. GD can result in severe social and financial difficulties and efficacious treatments are warranted. Psychosocial treatments form the basis of treatment. Opioid antagonists (OAs) have however shown promise in previous studies. In a recent imaging study intranasal naloxone was found to rapidly and fully occupy brain μ-opioid receptors. This trial investigates the effect and safety of as needed naloxone in the treatment of gambling disorder. Methods: This was a 12-week double blind, randomised control trial comparing intranasal naloxone to placebo. The primary endpoint was gambling urge measured by the Gambling symptom Assessment Scale (G-SAS). Secondary outcome measures were gambling severity measures (PGSI) as well as quality of life (WHO:EUROHIS-8), alcohol consumption (AUDIT), depression (MARDS) and internet use (IDS-9SF). In addition, safety of treatment was assessed. Both treatment groups received psychosocial support. Results: 126 participants were randomised to treatment groups in a 1:1 ratio. 106 patients completed the study. Gambling urge (GSAS) and other gambling related measured improved in both groups, but no statistically significant difference could be found. Intranasal naloxone was well tolerated, no subjects discontinued the study due to adverse events. No serious adverse drug reactions were observed. Conclusions: This study found no difference between the as-needed administration of intranasal naloxone and placebo in reducing gambling urge in persons with GD. Intranasal naloxone was safe and well tolerated.","author":[{"dropping-particle":"","family":"Alho","given":"Hannu","non-dropping-particle":"","parse-names":false,"suffix":""},{"dropping-particle":"","family":"Mäkelä","given":"Niklas","non-dropping-particle":"","parse-names":false,"suffix":""},{"dropping-particle":"","family":"Isotalo","given":"Jarkko","non-dropping-particle":"","parse-names":false,"suffix":""},{"dropping-particle":"","family":"Toivonen","given":"Lilianne","non-dropping-particle":"","parse-names":false,"suffix":""},{"dropping-particle":"","family":"Ollikainen","given":"Jyrki","non-dropping-particle":"","parse-names":false,"suffix":""},{"dropping-particle":"","family":"Castrén","given":"Sari","non-dropping-particle":"","parse-names":false,"suffix":""}],"container-title":"Addictive behaviors","id":"ITEM-1","issued":{"date-parts":[["2022","2","1"]]},"publisher":"Addict Behav","title":"Intranasal as needed naloxone in the treatment of gambling disorder: A randomised controlled trial","type":"article-journal","volume":"125"},"uris":["http://www.mendeley.com/documents/?uuid=458ea919-9dcc-3ad6-952c-420173f31662"]}],"mendeley":{"formattedCitation":"(Alho et al., 2022)","plainTextFormattedCitation":"(Alho et al., 2022)","previouslyFormattedCitation":"(Alho et al. 2022)"},"properties":{"noteIndex":0},"schema":"https://github.com/citation-style-language/schema/raw/master/csl-citation.json"}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w:t>
            </w:r>
            <w:proofErr w:type="spellStart"/>
            <w:r w:rsidRPr="007626CA">
              <w:rPr>
                <w:rFonts w:cs="Times New Roman"/>
                <w:noProof/>
                <w:szCs w:val="16"/>
              </w:rPr>
              <w:t>Alho</w:t>
            </w:r>
            <w:proofErr w:type="spellEnd"/>
            <w:r w:rsidRPr="007626CA">
              <w:rPr>
                <w:rFonts w:cs="Times New Roman"/>
                <w:noProof/>
                <w:szCs w:val="16"/>
              </w:rPr>
              <w:t xml:space="preserve"> et al., 2022)</w:t>
            </w:r>
            <w:r w:rsidRPr="00A97BAE">
              <w:rPr>
                <w:rFonts w:cs="Times New Roman"/>
                <w:szCs w:val="16"/>
              </w:rPr>
              <w:fldChar w:fldCharType="end"/>
            </w:r>
          </w:p>
        </w:tc>
        <w:tc>
          <w:tcPr>
            <w:tcW w:w="503" w:type="dxa"/>
            <w:vAlign w:val="center"/>
          </w:tcPr>
          <w:p w:rsidR="00855E93" w:rsidRPr="00A97BAE" w:rsidRDefault="00855E93" w:rsidP="009D4FAD">
            <w:pPr>
              <w:jc w:val="center"/>
              <w:rPr>
                <w:rFonts w:cs="Times New Roman"/>
                <w:szCs w:val="16"/>
              </w:rPr>
            </w:pPr>
            <w:r w:rsidRPr="00A97BAE">
              <w:rPr>
                <w:rFonts w:cs="Times New Roman"/>
                <w:szCs w:val="16"/>
              </w:rPr>
              <w:t>2022</w:t>
            </w:r>
          </w:p>
        </w:tc>
        <w:tc>
          <w:tcPr>
            <w:tcW w:w="692" w:type="dxa"/>
            <w:vAlign w:val="center"/>
          </w:tcPr>
          <w:p w:rsidR="00855E93" w:rsidRPr="00A97BAE" w:rsidRDefault="00855E93" w:rsidP="009D4FAD">
            <w:pPr>
              <w:jc w:val="center"/>
              <w:rPr>
                <w:rFonts w:cs="Times New Roman"/>
                <w:szCs w:val="16"/>
              </w:rPr>
            </w:pPr>
            <w:r w:rsidRPr="00A97BAE">
              <w:rPr>
                <w:rFonts w:cs="Times New Roman"/>
                <w:szCs w:val="16"/>
              </w:rPr>
              <w:t xml:space="preserve">Add </w:t>
            </w:r>
            <w:proofErr w:type="spellStart"/>
            <w:r w:rsidRPr="00A97BAE">
              <w:rPr>
                <w:rFonts w:cs="Times New Roman"/>
                <w:szCs w:val="16"/>
              </w:rPr>
              <w:t>Behav</w:t>
            </w:r>
            <w:proofErr w:type="spellEnd"/>
          </w:p>
        </w:tc>
        <w:tc>
          <w:tcPr>
            <w:tcW w:w="1088" w:type="dxa"/>
            <w:vAlign w:val="center"/>
          </w:tcPr>
          <w:p w:rsidR="00855E93" w:rsidRPr="00A97BAE" w:rsidRDefault="00855E93" w:rsidP="009D4FAD">
            <w:pPr>
              <w:jc w:val="center"/>
              <w:rPr>
                <w:rFonts w:cs="Times New Roman"/>
                <w:szCs w:val="16"/>
              </w:rPr>
            </w:pPr>
            <w:r w:rsidRPr="00A97BAE">
              <w:rPr>
                <w:rFonts w:cs="Times New Roman"/>
                <w:szCs w:val="16"/>
              </w:rPr>
              <w:t>Double Blind RCT Parallel design, 2 arms</w:t>
            </w:r>
          </w:p>
        </w:tc>
        <w:tc>
          <w:tcPr>
            <w:tcW w:w="989" w:type="dxa"/>
            <w:vAlign w:val="center"/>
          </w:tcPr>
          <w:p w:rsidR="00855E93" w:rsidRPr="00A97BAE" w:rsidRDefault="00855E93" w:rsidP="009D4FAD">
            <w:pPr>
              <w:jc w:val="center"/>
              <w:rPr>
                <w:rFonts w:cs="Times New Roman"/>
                <w:szCs w:val="16"/>
              </w:rPr>
            </w:pPr>
            <w:r w:rsidRPr="00A97BAE">
              <w:rPr>
                <w:rFonts w:cs="Times New Roman"/>
                <w:szCs w:val="16"/>
              </w:rPr>
              <w:t>naloxone vs. placebo</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62/64</w:t>
            </w:r>
          </w:p>
        </w:tc>
        <w:tc>
          <w:tcPr>
            <w:tcW w:w="594" w:type="dxa"/>
            <w:vAlign w:val="center"/>
          </w:tcPr>
          <w:p w:rsidR="00855E93" w:rsidRPr="00A97BAE" w:rsidRDefault="00855E93" w:rsidP="009D4FAD">
            <w:pPr>
              <w:jc w:val="center"/>
              <w:rPr>
                <w:rFonts w:cs="Times New Roman"/>
                <w:szCs w:val="16"/>
              </w:rPr>
            </w:pPr>
            <w:r w:rsidRPr="00A97BAE">
              <w:rPr>
                <w:rFonts w:cs="Times New Roman"/>
                <w:szCs w:val="16"/>
              </w:rPr>
              <w:t>44</w:t>
            </w:r>
            <w:r>
              <w:rPr>
                <w:rFonts w:cs="Times New Roman"/>
                <w:szCs w:val="16"/>
              </w:rPr>
              <w:t>.</w:t>
            </w:r>
            <w:r w:rsidRPr="00A97BAE">
              <w:rPr>
                <w:rFonts w:cs="Times New Roman"/>
                <w:szCs w:val="16"/>
              </w:rPr>
              <w:t>0 /</w:t>
            </w:r>
          </w:p>
          <w:p w:rsidR="00855E93" w:rsidRPr="00A97BAE" w:rsidRDefault="00855E93" w:rsidP="009D4FAD">
            <w:pPr>
              <w:jc w:val="center"/>
              <w:rPr>
                <w:rFonts w:cs="Times New Roman"/>
                <w:szCs w:val="16"/>
              </w:rPr>
            </w:pPr>
            <w:r w:rsidRPr="00A97BAE">
              <w:rPr>
                <w:rFonts w:cs="Times New Roman"/>
                <w:szCs w:val="16"/>
              </w:rPr>
              <w:t>45</w:t>
            </w:r>
            <w:r>
              <w:rPr>
                <w:rFonts w:cs="Times New Roman"/>
                <w:szCs w:val="16"/>
              </w:rPr>
              <w:t>.</w:t>
            </w:r>
            <w:r w:rsidRPr="00A97BAE">
              <w:rPr>
                <w:rFonts w:cs="Times New Roman"/>
                <w:szCs w:val="16"/>
              </w:rPr>
              <w:t>2</w:t>
            </w:r>
          </w:p>
        </w:tc>
        <w:tc>
          <w:tcPr>
            <w:tcW w:w="594" w:type="dxa"/>
            <w:vAlign w:val="center"/>
          </w:tcPr>
          <w:p w:rsidR="00855E93" w:rsidRPr="00A97BAE" w:rsidRDefault="00855E93" w:rsidP="009D4FAD">
            <w:pPr>
              <w:jc w:val="center"/>
              <w:rPr>
                <w:rFonts w:cs="Times New Roman"/>
                <w:szCs w:val="16"/>
              </w:rPr>
            </w:pPr>
            <w:r w:rsidRPr="00A97BAE">
              <w:rPr>
                <w:rFonts w:cs="Times New Roman"/>
                <w:szCs w:val="16"/>
              </w:rPr>
              <w:t>72% / 67%</w:t>
            </w:r>
          </w:p>
        </w:tc>
        <w:tc>
          <w:tcPr>
            <w:tcW w:w="594" w:type="dxa"/>
            <w:vAlign w:val="center"/>
          </w:tcPr>
          <w:p w:rsidR="00855E93" w:rsidRPr="00A97BAE" w:rsidRDefault="00855E93" w:rsidP="009D4FAD">
            <w:pPr>
              <w:jc w:val="center"/>
              <w:rPr>
                <w:rFonts w:cs="Times New Roman"/>
                <w:szCs w:val="16"/>
              </w:rPr>
            </w:pPr>
            <w:r w:rsidRPr="00A97BAE">
              <w:rPr>
                <w:rFonts w:cs="Times New Roman"/>
                <w:szCs w:val="16"/>
              </w:rPr>
              <w:t>Intranasal QDS/PRN</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4mg</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16mg</w:t>
            </w:r>
          </w:p>
        </w:tc>
        <w:tc>
          <w:tcPr>
            <w:tcW w:w="792" w:type="dxa"/>
            <w:vAlign w:val="center"/>
          </w:tcPr>
          <w:p w:rsidR="00855E93" w:rsidRPr="00A97BAE" w:rsidRDefault="00855E93" w:rsidP="009D4FAD">
            <w:pPr>
              <w:jc w:val="center"/>
              <w:rPr>
                <w:rFonts w:cs="Times New Roman"/>
                <w:szCs w:val="16"/>
              </w:rPr>
            </w:pPr>
            <w:r w:rsidRPr="00A97BAE">
              <w:rPr>
                <w:rFonts w:cs="Times New Roman"/>
                <w:szCs w:val="16"/>
              </w:rPr>
              <w:t>12-weeks</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No</w:t>
            </w:r>
          </w:p>
        </w:tc>
      </w:tr>
      <w:tr w:rsidR="00855E93" w:rsidRPr="00A97BAE" w:rsidTr="00855E93">
        <w:trPr>
          <w:trHeight w:val="586"/>
        </w:trPr>
        <w:tc>
          <w:tcPr>
            <w:tcW w:w="421" w:type="dxa"/>
            <w:vAlign w:val="center"/>
          </w:tcPr>
          <w:p w:rsidR="00855E93" w:rsidRPr="00A97BAE" w:rsidRDefault="00855E93" w:rsidP="009D4FAD">
            <w:pPr>
              <w:jc w:val="center"/>
              <w:rPr>
                <w:rFonts w:cs="Times New Roman"/>
                <w:b/>
                <w:szCs w:val="16"/>
              </w:rPr>
            </w:pPr>
            <w:r w:rsidRPr="00A97BAE">
              <w:rPr>
                <w:rFonts w:cs="Times New Roman"/>
                <w:b/>
                <w:szCs w:val="16"/>
              </w:rPr>
              <w:t>2</w:t>
            </w:r>
          </w:p>
        </w:tc>
        <w:tc>
          <w:tcPr>
            <w:tcW w:w="853" w:type="dxa"/>
            <w:vAlign w:val="center"/>
          </w:tcPr>
          <w:p w:rsidR="00855E93" w:rsidRPr="00A97BAE" w:rsidRDefault="00855E93" w:rsidP="009D4FAD">
            <w:pPr>
              <w:jc w:val="center"/>
              <w:rPr>
                <w:rFonts w:cs="Times New Roman"/>
                <w:szCs w:val="16"/>
              </w:rPr>
            </w:pPr>
            <w:r w:rsidRPr="00A97BAE">
              <w:rPr>
                <w:rFonts w:cs="Times New Roman"/>
                <w:szCs w:val="16"/>
              </w:rPr>
              <w:t xml:space="preserve">De </w:t>
            </w:r>
            <w:proofErr w:type="spellStart"/>
            <w:r w:rsidRPr="00A97BAE">
              <w:rPr>
                <w:rFonts w:cs="Times New Roman"/>
                <w:szCs w:val="16"/>
              </w:rPr>
              <w:t>Brito</w:t>
            </w:r>
            <w:proofErr w:type="spellEnd"/>
            <w:r w:rsidRPr="00A97BAE">
              <w:rPr>
                <w:rFonts w:cs="Times New Roman"/>
                <w:szCs w:val="16"/>
              </w:rPr>
              <w:t xml:space="preserve"> et al.</w:t>
            </w:r>
            <w:r w:rsidRPr="00A97BAE">
              <w:rPr>
                <w:rFonts w:cs="Times New Roman"/>
                <w:szCs w:val="16"/>
              </w:rPr>
              <w:fldChar w:fldCharType="begin" w:fldLock="1"/>
            </w:r>
            <w:r>
              <w:rPr>
                <w:rFonts w:cs="Times New Roman"/>
                <w:szCs w:val="16"/>
              </w:rPr>
              <w:instrText>ADDIN CSL_CITATION {"citationItems":[{"id":"ITEM-1","itemData":{"DOI":"10.1007/S10899-016-9620-Z/METRICS","ISSN":"10505350","PMID":"27256372","abstract":"Gambling disorder (GD) is a prevalent condition for which no pharmacological treatment has yet been approved, although there is evidence that topiramate can reduce impulsivity in GD and craving in various addictive behaviors. The goal of this study was to investigate the effectiveness of topiramate combined with cognitive restructuring for GD in a two-center, randomized, double-blind clinical trial. Participants were individuals seeking outpatient treatment for GD (n = 30), treated with either topiramate or placebo combined with a brief cognitive intervention, over a 12-week period, the dose of topiramate being tapered up during the first 8 weeks. The main outcome measures were gambling craving, behavior, and cognitive distortions; impulsivity; depression and social adjustment. Topiramate proved superior to placebo in reducing gambling craving (P = 0.017); time and money spent gambling (P = 0.007 and P = 0.047, respectively); cognitive distortions related to gambling (P = 0.003); and social adjustment (P = 0.040). We found no significant effects on impulsivity or depression. These findings are in contrast with data from a previous clinical trial with topiramate for GD. In the current study, we found that topiramate affects features specifically related to gambling addiction and had no significant effect on associated phenomena such as impulsiveness and depression. We believe that this response could be due to synergistic interaction between topiramate and the cognitive intervention.","author":[{"dropping-particle":"","family":"Brito","given":"Antonio Marcelo Cabrita","non-dropping-particle":"de","parse-names":false,"suffix":""},{"dropping-particle":"","family":"Almeida Pinto","given":"Moema Galindo","non-dropping-particle":"de","parse-names":false,"suffix":""},{"dropping-particle":"","family":"Bronstein","given":"Gabriel","non-dropping-particle":"","parse-names":false,"suffix":""},{"dropping-particle":"","family":"Carneiro","given":"Elizabeth","non-dropping-particle":"","parse-names":false,"suffix":""},{"dropping-particle":"","family":"Faertes","given":"Daniela","non-dropping-particle":"","parse-names":false,"suffix":""},{"dropping-particle":"","family":"Fukugawa","given":"Viviane","non-dropping-particle":"","parse-names":false,"suffix":""},{"dropping-particle":"","family":"Duque","given":"Angela","non-dropping-particle":"","parse-names":false,"suffix":""},{"dropping-particle":"","family":"Vasconcellos","given":"Fatima","non-dropping-particle":"","parse-names":false,"suffix":""},{"dropping-particle":"","family":"Tavares","given":"Hermano","non-dropping-particle":"","parse-names":false,"suffix":""}],"container-title":"Journal of Gambling Studies","id":"ITEM-1","issue":"1","issued":{"date-parts":[["2017","3","1"]]},"page":"249-263","publisher":"Springer New York LLC","title":"Topiramate Combined with Cognitive Restructuring for the Treatment of Gambling Disorder: A Two-Center, Randomized, Double-Blind Clinical Trial","type":"article-journal","volume":"33"},"uris":["http://www.mendeley.com/documents/?uuid=f82ad110-3fee-34b9-aaa8-f14e0d5e475b"]}],"mendeley":{"formattedCitation":"(de Brito et al., 2017)","plainTextFormattedCitation":"(de Brito et al., 2017)","previouslyFormattedCitation":"(de Brito et al. 2017)"},"properties":{"noteIndex":0},"schema":"https://github.com/citation-style-language/schema/raw/master/csl-citation.json"}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(de Brito et al., 2017)</w:t>
            </w:r>
            <w:r w:rsidRPr="00A97BAE">
              <w:rPr>
                <w:rFonts w:cs="Times New Roman"/>
                <w:szCs w:val="16"/>
              </w:rPr>
              <w:fldChar w:fldCharType="end"/>
            </w:r>
          </w:p>
        </w:tc>
        <w:tc>
          <w:tcPr>
            <w:tcW w:w="503" w:type="dxa"/>
            <w:vAlign w:val="center"/>
          </w:tcPr>
          <w:p w:rsidR="00855E93" w:rsidRPr="00A97BAE" w:rsidRDefault="00855E93" w:rsidP="009D4FAD">
            <w:pPr>
              <w:jc w:val="center"/>
              <w:rPr>
                <w:rFonts w:cs="Times New Roman"/>
                <w:szCs w:val="16"/>
              </w:rPr>
            </w:pPr>
            <w:r w:rsidRPr="00A97BAE">
              <w:rPr>
                <w:rFonts w:cs="Times New Roman"/>
                <w:szCs w:val="16"/>
              </w:rPr>
              <w:t>2017</w:t>
            </w:r>
          </w:p>
        </w:tc>
        <w:tc>
          <w:tcPr>
            <w:tcW w:w="692" w:type="dxa"/>
            <w:vAlign w:val="center"/>
          </w:tcPr>
          <w:p w:rsidR="00855E93" w:rsidRPr="00A97BAE" w:rsidRDefault="00855E93" w:rsidP="009D4FAD">
            <w:pPr>
              <w:jc w:val="center"/>
              <w:rPr>
                <w:rFonts w:cs="Times New Roman"/>
                <w:szCs w:val="16"/>
              </w:rPr>
            </w:pPr>
            <w:r w:rsidRPr="00A97BAE">
              <w:rPr>
                <w:rFonts w:cs="Times New Roman"/>
                <w:szCs w:val="16"/>
              </w:rPr>
              <w:t xml:space="preserve">J </w:t>
            </w:r>
            <w:proofErr w:type="spellStart"/>
            <w:r w:rsidRPr="00A97BAE">
              <w:rPr>
                <w:rFonts w:cs="Times New Roman"/>
                <w:szCs w:val="16"/>
              </w:rPr>
              <w:t>Gambl</w:t>
            </w:r>
            <w:proofErr w:type="spellEnd"/>
            <w:r w:rsidRPr="00A97BAE">
              <w:rPr>
                <w:rFonts w:cs="Times New Roman"/>
                <w:szCs w:val="16"/>
              </w:rPr>
              <w:t xml:space="preserve"> Studies</w:t>
            </w:r>
          </w:p>
        </w:tc>
        <w:tc>
          <w:tcPr>
            <w:tcW w:w="1088" w:type="dxa"/>
            <w:vAlign w:val="center"/>
          </w:tcPr>
          <w:p w:rsidR="00855E93" w:rsidRPr="00A97BAE" w:rsidRDefault="00855E93" w:rsidP="009D4FAD">
            <w:pPr>
              <w:jc w:val="center"/>
              <w:rPr>
                <w:rFonts w:cs="Times New Roman"/>
                <w:szCs w:val="16"/>
              </w:rPr>
            </w:pPr>
            <w:r w:rsidRPr="00A97BAE">
              <w:rPr>
                <w:rFonts w:cs="Times New Roman"/>
                <w:szCs w:val="16"/>
              </w:rPr>
              <w:t>Double Blind RCT Parallel design, 2 arms</w:t>
            </w:r>
          </w:p>
        </w:tc>
        <w:tc>
          <w:tcPr>
            <w:tcW w:w="989" w:type="dxa"/>
            <w:vAlign w:val="center"/>
          </w:tcPr>
          <w:p w:rsidR="00855E93" w:rsidRPr="00A97BAE" w:rsidRDefault="00855E93" w:rsidP="009D4FAD">
            <w:pPr>
              <w:jc w:val="center"/>
              <w:rPr>
                <w:rFonts w:cs="Times New Roman"/>
                <w:szCs w:val="16"/>
              </w:rPr>
            </w:pPr>
            <w:r w:rsidRPr="00A97BAE">
              <w:rPr>
                <w:rFonts w:cs="Times New Roman"/>
                <w:szCs w:val="16"/>
              </w:rPr>
              <w:t>topiramate vs. placebo</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18/20</w:t>
            </w:r>
          </w:p>
        </w:tc>
        <w:tc>
          <w:tcPr>
            <w:tcW w:w="594" w:type="dxa"/>
            <w:vAlign w:val="center"/>
          </w:tcPr>
          <w:p w:rsidR="00855E93" w:rsidRPr="00A97BAE" w:rsidRDefault="00855E93" w:rsidP="009D4FAD">
            <w:pPr>
              <w:jc w:val="center"/>
              <w:rPr>
                <w:rFonts w:cs="Times New Roman"/>
                <w:szCs w:val="16"/>
              </w:rPr>
            </w:pPr>
            <w:r w:rsidRPr="00A97BAE">
              <w:rPr>
                <w:rFonts w:cs="Times New Roman"/>
                <w:szCs w:val="16"/>
              </w:rPr>
              <w:t>50</w:t>
            </w:r>
            <w:r>
              <w:rPr>
                <w:rFonts w:cs="Times New Roman"/>
                <w:szCs w:val="16"/>
              </w:rPr>
              <w:t>.</w:t>
            </w:r>
            <w:r w:rsidRPr="00A97BAE">
              <w:rPr>
                <w:rFonts w:cs="Times New Roman"/>
                <w:szCs w:val="16"/>
              </w:rPr>
              <w:t>6 /</w:t>
            </w:r>
          </w:p>
          <w:p w:rsidR="00855E93" w:rsidRPr="00A97BAE" w:rsidRDefault="00855E93" w:rsidP="009D4FAD">
            <w:pPr>
              <w:jc w:val="center"/>
              <w:rPr>
                <w:rFonts w:cs="Times New Roman"/>
                <w:szCs w:val="16"/>
              </w:rPr>
            </w:pPr>
            <w:r w:rsidRPr="00A97BAE">
              <w:rPr>
                <w:rFonts w:cs="Times New Roman"/>
                <w:szCs w:val="16"/>
              </w:rPr>
              <w:t>45</w:t>
            </w:r>
            <w:r>
              <w:rPr>
                <w:rFonts w:cs="Times New Roman"/>
                <w:szCs w:val="16"/>
              </w:rPr>
              <w:t>.</w:t>
            </w:r>
            <w:r w:rsidRPr="00A97BAE">
              <w:rPr>
                <w:rFonts w:cs="Times New Roman"/>
                <w:szCs w:val="16"/>
              </w:rPr>
              <w:t>8</w:t>
            </w:r>
          </w:p>
        </w:tc>
        <w:tc>
          <w:tcPr>
            <w:tcW w:w="594" w:type="dxa"/>
            <w:vAlign w:val="center"/>
          </w:tcPr>
          <w:p w:rsidR="00855E93" w:rsidRPr="00A97BAE" w:rsidRDefault="00855E93" w:rsidP="009D4FAD">
            <w:pPr>
              <w:jc w:val="center"/>
              <w:rPr>
                <w:rFonts w:cs="Times New Roman"/>
                <w:szCs w:val="16"/>
              </w:rPr>
            </w:pPr>
            <w:r w:rsidRPr="00A97BAE">
              <w:rPr>
                <w:rFonts w:cs="Times New Roman"/>
                <w:szCs w:val="16"/>
              </w:rPr>
              <w:t>53% / 53%</w:t>
            </w:r>
          </w:p>
        </w:tc>
        <w:tc>
          <w:tcPr>
            <w:tcW w:w="594" w:type="dxa"/>
            <w:vAlign w:val="center"/>
          </w:tcPr>
          <w:p w:rsidR="00855E93" w:rsidRPr="00A97BAE" w:rsidRDefault="00855E93" w:rsidP="009D4FAD">
            <w:pPr>
              <w:jc w:val="center"/>
              <w:rPr>
                <w:rFonts w:cs="Times New Roman"/>
                <w:szCs w:val="16"/>
              </w:rPr>
            </w:pPr>
            <w:r w:rsidRPr="00A97BAE">
              <w:rPr>
                <w:rFonts w:cs="Times New Roman"/>
                <w:szCs w:val="16"/>
              </w:rPr>
              <w:t>Oral BD</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25mg</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300mg</w:t>
            </w:r>
          </w:p>
        </w:tc>
        <w:tc>
          <w:tcPr>
            <w:tcW w:w="792" w:type="dxa"/>
            <w:vAlign w:val="center"/>
          </w:tcPr>
          <w:p w:rsidR="00855E93" w:rsidRPr="00A97BAE" w:rsidRDefault="00855E93" w:rsidP="009D4FAD">
            <w:pPr>
              <w:jc w:val="center"/>
              <w:rPr>
                <w:rFonts w:cs="Times New Roman"/>
                <w:szCs w:val="16"/>
              </w:rPr>
            </w:pPr>
            <w:r w:rsidRPr="00A97BAE">
              <w:rPr>
                <w:rFonts w:cs="Times New Roman"/>
                <w:szCs w:val="16"/>
              </w:rPr>
              <w:t>12-weeks</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Yes</w:t>
            </w:r>
          </w:p>
        </w:tc>
      </w:tr>
      <w:tr w:rsidR="00855E93" w:rsidRPr="00A97BAE" w:rsidTr="00855E93">
        <w:trPr>
          <w:trHeight w:val="580"/>
        </w:trPr>
        <w:tc>
          <w:tcPr>
            <w:tcW w:w="421" w:type="dxa"/>
            <w:vAlign w:val="center"/>
          </w:tcPr>
          <w:p w:rsidR="00855E93" w:rsidRPr="00A97BAE" w:rsidRDefault="00855E93" w:rsidP="009D4FAD">
            <w:pPr>
              <w:jc w:val="center"/>
              <w:rPr>
                <w:rFonts w:cs="Times New Roman"/>
                <w:b/>
                <w:szCs w:val="16"/>
              </w:rPr>
            </w:pPr>
            <w:r w:rsidRPr="00A97BAE">
              <w:rPr>
                <w:rFonts w:cs="Times New Roman"/>
                <w:b/>
                <w:szCs w:val="16"/>
              </w:rPr>
              <w:t>3</w:t>
            </w:r>
          </w:p>
        </w:tc>
        <w:tc>
          <w:tcPr>
            <w:tcW w:w="853" w:type="dxa"/>
            <w:vAlign w:val="center"/>
          </w:tcPr>
          <w:p w:rsidR="00855E93" w:rsidRPr="00A97BAE" w:rsidRDefault="00855E93" w:rsidP="009D4FAD">
            <w:pPr>
              <w:jc w:val="center"/>
              <w:rPr>
                <w:rFonts w:cs="Times New Roman"/>
                <w:szCs w:val="16"/>
              </w:rPr>
            </w:pPr>
            <w:proofErr w:type="spellStart"/>
            <w:r w:rsidRPr="00A97BAE">
              <w:rPr>
                <w:rFonts w:cs="Times New Roman"/>
                <w:szCs w:val="16"/>
              </w:rPr>
              <w:t>Kovanen</w:t>
            </w:r>
            <w:proofErr w:type="spellEnd"/>
            <w:r w:rsidRPr="00A97BAE">
              <w:rPr>
                <w:rFonts w:cs="Times New Roman"/>
                <w:szCs w:val="16"/>
              </w:rPr>
              <w:t xml:space="preserve"> et al.</w:t>
            </w:r>
            <w:r w:rsidRPr="00A97BAE">
              <w:rPr>
                <w:rFonts w:cs="Times New Roman"/>
                <w:szCs w:val="16"/>
              </w:rPr>
              <w:fldChar w:fldCharType="begin" w:fldLock="1"/>
            </w:r>
            <w:r>
              <w:rPr>
                <w:rFonts w:cs="Times New Roman"/>
                <w:szCs w:val="16"/>
              </w:rPr>
              <w:instrText>ADDIN CSL_CITATION {"citationItems":[{"id":"ITEM-1","itemData":{"DOI":"10.1159/000435876","ISSN":"1421-9891","PMID":"26339899","abstract":"Background/Aims: Effective treatment strategies are needed for the treatment of pathological gambling (PG). The efficacy of as-needed naltrexone was assessed in a single-centre, randomised, double-blind, placebo-controlled trial. Methods: The participants (n = 101) received either as-needed placebo or naltrexone (50 mg) and psychosocial support for 20 weeks. The primary outcome measure was the severity of PG assessed by the Yale-Brown Obsessive Compulsive Scale adapted for PG (PG-YBOCS). Secondary gambling-related outcome measures included thoughts/urges and behaviour subscales of PG-YBOCS as well as the highest daily expenditure and gambling frequency. In addition, RAND-36 scales of emotional well-being and social functioning were used as outcomes. The results were analysed using the intention-to-treat principle and linear random effects modelling. Results: No significant treatment group differences were found. In an exploratory analysis, emotional well-being increased in a subgroup of participants with AA genotype of opioid receptor, mu 1 (OPRM1) A118G polymorphism (p = 0.02). Conclusion: Overall, the as-needed naltrexone may not provide substantial additional benefit for PG patients receiving psychosocial support. Replication by larger scale studies is warranted to further evaluate naltrexone administration schedules for the treatment of PG and the role of OPRM1.","author":[{"dropping-particle":"","family":"Kovanen","given":"Leena","non-dropping-particle":"","parse-names":false,"suffix":""},{"dropping-particle":"","family":"Basnet","given":"Syaron","non-dropping-particle":"","parse-names":false,"suffix":""},{"dropping-particle":"","family":"Castrén","given":"Sari","non-dropping-particle":"","parse-names":false,"suffix":""},{"dropping-particle":"","family":"Pankakoski","given":"Maiju","non-dropping-particle":"","parse-names":false,"suffix":""},{"dropping-particle":"","family":"Saarikoski","given":"Sirkku T.","non-dropping-particle":"","parse-names":false,"suffix":""},{"dropping-particle":"","family":"Partonen","given":"Timo","non-dropping-particle":"","parse-names":false,"suffix":""},{"dropping-particle":"","family":"Alho","given":"Hannu","non-dropping-particle":"","parse-names":false,"suffix":""},{"dropping-particle":"","family":"Lahti","given":"Tuuli","non-dropping-particle":"","parse-names":false,"suffix":""}],"container-title":"European addiction research","id":"ITEM-1","issue":"2","issued":{"date-parts":[["2016","1","1"]]},"page":"70-79","publisher":"Eur Addict Res","title":"A Randomised, Double-Blind, Placebo-Controlled Trial of As-Needed Naltrexone in the Treatment of Pathological Gambling","type":"article-journal","volume":"22"},"uris":["http://www.mendeley.com/documents/?uuid=76d9aaa4-b74b-3192-815f-74206e8534a0"]}],"mendeley":{"formattedCitation":"(Kovanen et al., 2016)","plainTextFormattedCitation":"(Kovanen et al., 2016)","previouslyFormattedCitation":"(Kovanen et al. 2016)"},"properties":{"noteIndex":0},"schema":"https://github.com/citation-style-language/schema/raw/master/csl-citation.json"}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w:t>
            </w:r>
            <w:proofErr w:type="spellStart"/>
            <w:r w:rsidRPr="007626CA">
              <w:rPr>
                <w:rFonts w:cs="Times New Roman"/>
                <w:noProof/>
                <w:szCs w:val="16"/>
              </w:rPr>
              <w:t>Kovanen</w:t>
            </w:r>
            <w:proofErr w:type="spellEnd"/>
            <w:r w:rsidRPr="007626CA">
              <w:rPr>
                <w:rFonts w:cs="Times New Roman"/>
                <w:noProof/>
                <w:szCs w:val="16"/>
              </w:rPr>
              <w:t xml:space="preserve"> et al., 2016)</w:t>
            </w:r>
            <w:r w:rsidRPr="00A97BAE">
              <w:rPr>
                <w:rFonts w:cs="Times New Roman"/>
                <w:szCs w:val="16"/>
              </w:rPr>
              <w:fldChar w:fldCharType="end"/>
            </w:r>
          </w:p>
        </w:tc>
        <w:tc>
          <w:tcPr>
            <w:tcW w:w="503" w:type="dxa"/>
            <w:vAlign w:val="center"/>
          </w:tcPr>
          <w:p w:rsidR="00855E93" w:rsidRPr="00A97BAE" w:rsidRDefault="00855E93" w:rsidP="009D4FAD">
            <w:pPr>
              <w:jc w:val="center"/>
              <w:rPr>
                <w:rFonts w:cs="Times New Roman"/>
                <w:szCs w:val="16"/>
              </w:rPr>
            </w:pPr>
            <w:r w:rsidRPr="00A97BAE">
              <w:rPr>
                <w:rFonts w:cs="Times New Roman"/>
                <w:szCs w:val="16"/>
              </w:rPr>
              <w:t>2016</w:t>
            </w:r>
          </w:p>
        </w:tc>
        <w:tc>
          <w:tcPr>
            <w:tcW w:w="692" w:type="dxa"/>
            <w:vAlign w:val="center"/>
          </w:tcPr>
          <w:p w:rsidR="00855E93" w:rsidRPr="00A97BAE" w:rsidRDefault="00855E93" w:rsidP="009D4FAD">
            <w:pPr>
              <w:jc w:val="center"/>
              <w:rPr>
                <w:rFonts w:cs="Times New Roman"/>
                <w:szCs w:val="16"/>
              </w:rPr>
            </w:pPr>
            <w:proofErr w:type="spellStart"/>
            <w:r w:rsidRPr="00A97BAE">
              <w:rPr>
                <w:rFonts w:cs="Times New Roman"/>
                <w:szCs w:val="16"/>
              </w:rPr>
              <w:t>Eur</w:t>
            </w:r>
            <w:proofErr w:type="spellEnd"/>
            <w:r w:rsidRPr="00A97BAE">
              <w:rPr>
                <w:rFonts w:cs="Times New Roman"/>
                <w:szCs w:val="16"/>
              </w:rPr>
              <w:t xml:space="preserve"> Addict Res</w:t>
            </w:r>
          </w:p>
        </w:tc>
        <w:tc>
          <w:tcPr>
            <w:tcW w:w="1088" w:type="dxa"/>
            <w:vAlign w:val="center"/>
          </w:tcPr>
          <w:p w:rsidR="00855E93" w:rsidRPr="00A97BAE" w:rsidRDefault="00855E93" w:rsidP="009D4FAD">
            <w:pPr>
              <w:jc w:val="center"/>
              <w:rPr>
                <w:rFonts w:cs="Times New Roman"/>
                <w:szCs w:val="16"/>
              </w:rPr>
            </w:pPr>
            <w:r w:rsidRPr="00A97BAE">
              <w:rPr>
                <w:rFonts w:cs="Times New Roman"/>
                <w:szCs w:val="16"/>
              </w:rPr>
              <w:t>Double Blind RCT Parallel design, 2 arms</w:t>
            </w:r>
          </w:p>
        </w:tc>
        <w:tc>
          <w:tcPr>
            <w:tcW w:w="989" w:type="dxa"/>
            <w:vAlign w:val="center"/>
          </w:tcPr>
          <w:p w:rsidR="00855E93" w:rsidRPr="00A97BAE" w:rsidRDefault="00855E93" w:rsidP="009D4FAD">
            <w:pPr>
              <w:jc w:val="center"/>
              <w:rPr>
                <w:rFonts w:cs="Times New Roman"/>
                <w:szCs w:val="16"/>
              </w:rPr>
            </w:pPr>
            <w:r w:rsidRPr="00A97BAE">
              <w:rPr>
                <w:rFonts w:cs="Times New Roman"/>
                <w:szCs w:val="16"/>
              </w:rPr>
              <w:t>naltrexone vs. placebo</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50/51</w:t>
            </w:r>
          </w:p>
        </w:tc>
        <w:tc>
          <w:tcPr>
            <w:tcW w:w="594" w:type="dxa"/>
            <w:vAlign w:val="center"/>
          </w:tcPr>
          <w:p w:rsidR="00855E93" w:rsidRPr="00A97BAE" w:rsidRDefault="00855E93" w:rsidP="009D4FAD">
            <w:pPr>
              <w:jc w:val="center"/>
              <w:rPr>
                <w:rFonts w:cs="Times New Roman"/>
                <w:szCs w:val="16"/>
              </w:rPr>
            </w:pPr>
            <w:r w:rsidRPr="00A97BAE">
              <w:rPr>
                <w:rFonts w:cs="Times New Roman"/>
                <w:szCs w:val="16"/>
              </w:rPr>
              <w:t>47</w:t>
            </w:r>
            <w:r>
              <w:rPr>
                <w:rFonts w:cs="Times New Roman"/>
                <w:szCs w:val="16"/>
              </w:rPr>
              <w:t>.</w:t>
            </w:r>
            <w:r w:rsidRPr="00A97BAE">
              <w:rPr>
                <w:rFonts w:cs="Times New Roman"/>
                <w:szCs w:val="16"/>
              </w:rPr>
              <w:t>4 /</w:t>
            </w:r>
          </w:p>
          <w:p w:rsidR="00855E93" w:rsidRPr="00A97BAE" w:rsidRDefault="00855E93" w:rsidP="009D4FAD">
            <w:pPr>
              <w:jc w:val="center"/>
              <w:rPr>
                <w:rFonts w:cs="Times New Roman"/>
                <w:szCs w:val="16"/>
              </w:rPr>
            </w:pPr>
            <w:r w:rsidRPr="00A97BAE">
              <w:rPr>
                <w:rFonts w:cs="Times New Roman"/>
                <w:szCs w:val="16"/>
              </w:rPr>
              <w:t>44</w:t>
            </w:r>
            <w:r>
              <w:rPr>
                <w:rFonts w:cs="Times New Roman"/>
                <w:szCs w:val="16"/>
              </w:rPr>
              <w:t>.</w:t>
            </w:r>
            <w:r w:rsidRPr="00A97BAE">
              <w:rPr>
                <w:rFonts w:cs="Times New Roman"/>
                <w:szCs w:val="16"/>
              </w:rPr>
              <w:t>5</w:t>
            </w:r>
          </w:p>
        </w:tc>
        <w:tc>
          <w:tcPr>
            <w:tcW w:w="594" w:type="dxa"/>
            <w:vAlign w:val="center"/>
          </w:tcPr>
          <w:p w:rsidR="00855E93" w:rsidRPr="00A97BAE" w:rsidRDefault="00855E93" w:rsidP="009D4FAD">
            <w:pPr>
              <w:jc w:val="center"/>
              <w:rPr>
                <w:rFonts w:cs="Times New Roman"/>
                <w:szCs w:val="16"/>
              </w:rPr>
            </w:pPr>
            <w:r w:rsidRPr="00A97BAE">
              <w:rPr>
                <w:rFonts w:cs="Times New Roman"/>
                <w:szCs w:val="16"/>
              </w:rPr>
              <w:t>66% / 71%</w:t>
            </w:r>
          </w:p>
        </w:tc>
        <w:tc>
          <w:tcPr>
            <w:tcW w:w="594" w:type="dxa"/>
            <w:vAlign w:val="center"/>
          </w:tcPr>
          <w:p w:rsidR="00855E93" w:rsidRPr="00A97BAE" w:rsidRDefault="00855E93" w:rsidP="009D4FAD">
            <w:pPr>
              <w:jc w:val="center"/>
              <w:rPr>
                <w:rFonts w:cs="Times New Roman"/>
                <w:szCs w:val="16"/>
              </w:rPr>
            </w:pPr>
            <w:r w:rsidRPr="00A97BAE">
              <w:rPr>
                <w:rFonts w:cs="Times New Roman"/>
                <w:szCs w:val="16"/>
              </w:rPr>
              <w:t>Oral OD/PRN</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50mg</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50mg</w:t>
            </w:r>
          </w:p>
        </w:tc>
        <w:tc>
          <w:tcPr>
            <w:tcW w:w="792" w:type="dxa"/>
            <w:vAlign w:val="center"/>
          </w:tcPr>
          <w:p w:rsidR="00855E93" w:rsidRPr="00A97BAE" w:rsidRDefault="00855E93" w:rsidP="009D4FAD">
            <w:pPr>
              <w:jc w:val="center"/>
              <w:rPr>
                <w:rFonts w:cs="Times New Roman"/>
                <w:szCs w:val="16"/>
              </w:rPr>
            </w:pPr>
            <w:r w:rsidRPr="00A97BAE">
              <w:rPr>
                <w:rFonts w:cs="Times New Roman"/>
                <w:szCs w:val="16"/>
              </w:rPr>
              <w:t>20-weeks</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Yes</w:t>
            </w:r>
          </w:p>
        </w:tc>
      </w:tr>
      <w:tr w:rsidR="00855E93" w:rsidRPr="00A97BAE" w:rsidTr="00855E93">
        <w:trPr>
          <w:trHeight w:val="586"/>
        </w:trPr>
        <w:tc>
          <w:tcPr>
            <w:tcW w:w="421" w:type="dxa"/>
            <w:vAlign w:val="center"/>
          </w:tcPr>
          <w:p w:rsidR="00855E93" w:rsidRPr="00A97BAE" w:rsidRDefault="00855E93" w:rsidP="009D4FAD">
            <w:pPr>
              <w:jc w:val="center"/>
              <w:rPr>
                <w:rFonts w:cs="Times New Roman"/>
                <w:b/>
                <w:szCs w:val="16"/>
              </w:rPr>
            </w:pPr>
            <w:r w:rsidRPr="00A97BAE">
              <w:rPr>
                <w:rFonts w:cs="Times New Roman"/>
                <w:b/>
                <w:szCs w:val="16"/>
              </w:rPr>
              <w:t>4</w:t>
            </w:r>
          </w:p>
        </w:tc>
        <w:tc>
          <w:tcPr>
            <w:tcW w:w="853" w:type="dxa"/>
            <w:vAlign w:val="center"/>
          </w:tcPr>
          <w:p w:rsidR="00855E93" w:rsidRPr="00A97BAE" w:rsidRDefault="00855E93" w:rsidP="009D4FAD">
            <w:pPr>
              <w:jc w:val="center"/>
              <w:rPr>
                <w:rFonts w:cs="Times New Roman"/>
                <w:szCs w:val="16"/>
              </w:rPr>
            </w:pPr>
            <w:r w:rsidRPr="00A97BAE">
              <w:rPr>
                <w:rFonts w:cs="Times New Roman"/>
                <w:szCs w:val="16"/>
              </w:rPr>
              <w:t>McElroy et al.</w:t>
            </w:r>
            <w:r w:rsidRPr="00A97BAE">
              <w:rPr>
                <w:rFonts w:cs="Times New Roman"/>
                <w:szCs w:val="16"/>
              </w:rPr>
              <w:fldChar w:fldCharType="begin" w:fldLock="1"/>
            </w:r>
            <w:r>
              <w:rPr>
                <w:rFonts w:cs="Times New Roman"/>
                <w:szCs w:val="16"/>
              </w:rPr>
              <w:instrText>ADDIN CSL_CITATION {"citationItems":[{"id":"ITEM-1","itemData":{"DOI":"10.4088/JCP.V69N0314","ISSN":"1555-2101","PMID":"18251624","abstract":"Objective: Pathological gambling is associated with bipolar disorder and dopamine dysfunction. Olanzapine is a second-generation antipsychotic with mood-stabilizing properties and antagonistic activity at several dopamine receptors. The purpose of this study was to evaluate olanzapine in the treatment of pathological gambling. Method: In this 12-week, single-center, randomized, double-blind, placebo-controlled, flexible-dose (2.5-15 mg/day) trial, 42 outpatients with pathological gambling by DSM-IV-TR criteria received olanzapine (N = 21) or placebo (N = 21). The primary outcome measure was the Pathological Gambling Adaptation of the Yale-Brown Obsessive Compulsive Scale (PG-YBOCS). The primary analysis of efficacy was a longitudinal analysis of the intent-to-treat sample, with treatment-by-time interaction as the effect measure. Subjects were enrolled from June 2, 2000, through November 28, 2005. Results: Compared with placebo, olanzapine was associated with a similar rate of reduction in total scores on the PG-YBOCS scale, as well as in gambling episodes/week, hours gambled/week, and Clinical Global Impressions-Severity of Illness scale scores. The mean (SD) olanzapine daily dose at endpoint evaluation was 8.9 (5.2) mg/day. Eleven subjects (52%) receiving olanzapine and 6 (29%) receiving placebo discontinued prematurely; 3 subjects receiving olanzapine and 2 receiving placebo discontinued because of adverse events. Events causing olanzapine discontinuation were pneumonia, sedation, and hypomania. Conclusion: Olanzapine was not superior to placebo in the short-term treatment of pathological gambling. It was also associated with a high discontinuation rate. Trial Registration: ClinicalTrials.gov identifier NCT00438776 (http://www. clinicaltrials.gov).","author":[{"dropping-particle":"","family":"McElroy","given":"Susan L.","non-dropping-particle":"","parse-names":false,"suffix":""},{"dropping-particle":"","family":"Nelson","given":"Erik B.","non-dropping-particle":"","parse-names":false,"suffix":""},{"dropping-particle":"","family":"Welge","given":"Jeffrey A.","non-dropping-particle":"","parse-names":false,"suffix":""},{"dropping-particle":"","family":"Kaehler","given":"Laura","non-dropping-particle":"","parse-names":false,"suffix":""},{"dropping-particle":"","family":"Keck","given":"Paul E.","non-dropping-particle":"","parse-names":false,"suffix":""}],"container-title":"The Journal of clinical psychiatry","id":"ITEM-1","issue":"3","issued":{"date-parts":[["2008"]]},"page":"433-440","publisher":"J Clin Psychiatry","title":"Olanzapine in the treatment of pathological gambling: a negative randomized placebo-controlled trial","type":"article-journal","volume":"69"},"uris":["http://www.mendeley.com/documents/?uuid=bbd74f52-fb34-3f6a-8a80-9db29e154be0"]}],"mendeley":{"formattedCitation":"(McElroy, Nelson, Welge, Kaehler, &amp; Keck, 2008)","plainTextFormattedCitation":"(McElroy, Nelson, Welge, Kaehler, &amp; Keck, 2008)","previouslyFormattedCitation":"(McElroy et al. 2008)"},"properties":{"noteIndex":0},"schema":"https://github.com/citation-style-language/schema/raw/master/csl-citation.json"}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(McElroy, Nelson, Welge, Kaehler, &amp; Keck, 2008)</w:t>
            </w:r>
            <w:r w:rsidRPr="00A97BAE">
              <w:rPr>
                <w:rFonts w:cs="Times New Roman"/>
                <w:szCs w:val="16"/>
              </w:rPr>
              <w:fldChar w:fldCharType="end"/>
            </w:r>
          </w:p>
        </w:tc>
        <w:tc>
          <w:tcPr>
            <w:tcW w:w="503" w:type="dxa"/>
            <w:vAlign w:val="center"/>
          </w:tcPr>
          <w:p w:rsidR="00855E93" w:rsidRPr="00A97BAE" w:rsidRDefault="00855E93" w:rsidP="009D4FAD">
            <w:pPr>
              <w:jc w:val="center"/>
              <w:rPr>
                <w:rFonts w:cs="Times New Roman"/>
                <w:szCs w:val="16"/>
              </w:rPr>
            </w:pPr>
            <w:r w:rsidRPr="00A97BAE">
              <w:rPr>
                <w:rFonts w:cs="Times New Roman"/>
                <w:szCs w:val="16"/>
              </w:rPr>
              <w:t>2008</w:t>
            </w:r>
          </w:p>
        </w:tc>
        <w:tc>
          <w:tcPr>
            <w:tcW w:w="692" w:type="dxa"/>
            <w:vAlign w:val="center"/>
          </w:tcPr>
          <w:p w:rsidR="00855E93" w:rsidRPr="00A97BAE" w:rsidRDefault="00855E93" w:rsidP="009D4FAD">
            <w:pPr>
              <w:jc w:val="center"/>
              <w:rPr>
                <w:rFonts w:cs="Times New Roman"/>
                <w:szCs w:val="16"/>
              </w:rPr>
            </w:pPr>
            <w:r w:rsidRPr="00A97BAE">
              <w:rPr>
                <w:rFonts w:cs="Times New Roman"/>
                <w:szCs w:val="16"/>
              </w:rPr>
              <w:t xml:space="preserve">J </w:t>
            </w:r>
            <w:proofErr w:type="spellStart"/>
            <w:r w:rsidRPr="00A97BAE">
              <w:rPr>
                <w:rFonts w:cs="Times New Roman"/>
                <w:szCs w:val="16"/>
              </w:rPr>
              <w:t>Clin</w:t>
            </w:r>
            <w:proofErr w:type="spellEnd"/>
            <w:r w:rsidRPr="00A97BAE">
              <w:rPr>
                <w:rFonts w:cs="Times New Roman"/>
                <w:szCs w:val="16"/>
              </w:rPr>
              <w:t xml:space="preserve"> Psychiatry</w:t>
            </w:r>
          </w:p>
        </w:tc>
        <w:tc>
          <w:tcPr>
            <w:tcW w:w="1088" w:type="dxa"/>
            <w:vAlign w:val="center"/>
          </w:tcPr>
          <w:p w:rsidR="00855E93" w:rsidRPr="00A97BAE" w:rsidRDefault="00855E93" w:rsidP="009D4FAD">
            <w:pPr>
              <w:jc w:val="center"/>
              <w:rPr>
                <w:rFonts w:cs="Times New Roman"/>
                <w:szCs w:val="16"/>
              </w:rPr>
            </w:pPr>
            <w:r w:rsidRPr="00A97BAE">
              <w:rPr>
                <w:rFonts w:cs="Times New Roman"/>
                <w:szCs w:val="16"/>
              </w:rPr>
              <w:t>Double Blind RCT Parallel design, 2 arms</w:t>
            </w:r>
          </w:p>
        </w:tc>
        <w:tc>
          <w:tcPr>
            <w:tcW w:w="989" w:type="dxa"/>
            <w:vAlign w:val="center"/>
          </w:tcPr>
          <w:p w:rsidR="00855E93" w:rsidRPr="00A97BAE" w:rsidRDefault="00855E93" w:rsidP="009D4FAD">
            <w:pPr>
              <w:jc w:val="center"/>
              <w:rPr>
                <w:rFonts w:cs="Times New Roman"/>
                <w:szCs w:val="16"/>
              </w:rPr>
            </w:pPr>
            <w:r w:rsidRPr="00A97BAE">
              <w:rPr>
                <w:rFonts w:cs="Times New Roman"/>
                <w:szCs w:val="16"/>
              </w:rPr>
              <w:t>olanzapine vs. placebo</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21/21</w:t>
            </w:r>
          </w:p>
        </w:tc>
        <w:tc>
          <w:tcPr>
            <w:tcW w:w="594" w:type="dxa"/>
            <w:vAlign w:val="center"/>
          </w:tcPr>
          <w:p w:rsidR="00855E93" w:rsidRPr="00A97BAE" w:rsidRDefault="00855E93" w:rsidP="009D4FAD">
            <w:pPr>
              <w:jc w:val="center"/>
              <w:rPr>
                <w:rFonts w:cs="Times New Roman"/>
                <w:szCs w:val="16"/>
              </w:rPr>
            </w:pPr>
            <w:r w:rsidRPr="00A97BAE">
              <w:rPr>
                <w:rFonts w:cs="Times New Roman"/>
                <w:szCs w:val="16"/>
              </w:rPr>
              <w:t>51</w:t>
            </w:r>
            <w:r>
              <w:rPr>
                <w:rFonts w:cs="Times New Roman"/>
                <w:szCs w:val="16"/>
              </w:rPr>
              <w:t>.</w:t>
            </w:r>
            <w:r w:rsidRPr="00A97BAE">
              <w:rPr>
                <w:rFonts w:cs="Times New Roman"/>
                <w:szCs w:val="16"/>
              </w:rPr>
              <w:t>5 /</w:t>
            </w:r>
          </w:p>
          <w:p w:rsidR="00855E93" w:rsidRPr="00A97BAE" w:rsidRDefault="00855E93" w:rsidP="009D4FAD">
            <w:pPr>
              <w:jc w:val="center"/>
              <w:rPr>
                <w:rFonts w:cs="Times New Roman"/>
                <w:szCs w:val="16"/>
              </w:rPr>
            </w:pPr>
            <w:r w:rsidRPr="00A97BAE">
              <w:rPr>
                <w:rFonts w:cs="Times New Roman"/>
                <w:szCs w:val="16"/>
              </w:rPr>
              <w:t>46</w:t>
            </w:r>
            <w:r>
              <w:rPr>
                <w:rFonts w:cs="Times New Roman"/>
                <w:szCs w:val="16"/>
              </w:rPr>
              <w:t>.</w:t>
            </w:r>
            <w:r w:rsidRPr="00A97BAE">
              <w:rPr>
                <w:rFonts w:cs="Times New Roman"/>
                <w:szCs w:val="16"/>
              </w:rPr>
              <w:t>8</w:t>
            </w:r>
          </w:p>
        </w:tc>
        <w:tc>
          <w:tcPr>
            <w:tcW w:w="594" w:type="dxa"/>
            <w:vAlign w:val="center"/>
          </w:tcPr>
          <w:p w:rsidR="00855E93" w:rsidRPr="00A97BAE" w:rsidRDefault="00855E93" w:rsidP="009D4FAD">
            <w:pPr>
              <w:jc w:val="center"/>
              <w:rPr>
                <w:rFonts w:cs="Times New Roman"/>
                <w:szCs w:val="16"/>
              </w:rPr>
            </w:pPr>
            <w:r w:rsidRPr="00A97BAE">
              <w:rPr>
                <w:rFonts w:cs="Times New Roman"/>
                <w:szCs w:val="16"/>
              </w:rPr>
              <w:t>38% / 48%</w:t>
            </w:r>
          </w:p>
        </w:tc>
        <w:tc>
          <w:tcPr>
            <w:tcW w:w="594" w:type="dxa"/>
            <w:vAlign w:val="center"/>
          </w:tcPr>
          <w:p w:rsidR="00855E93" w:rsidRPr="00A97BAE" w:rsidRDefault="00855E93" w:rsidP="009D4FAD">
            <w:pPr>
              <w:jc w:val="center"/>
              <w:rPr>
                <w:rFonts w:cs="Times New Roman"/>
                <w:szCs w:val="16"/>
              </w:rPr>
            </w:pPr>
            <w:r w:rsidRPr="00A97BAE">
              <w:rPr>
                <w:rFonts w:cs="Times New Roman"/>
                <w:szCs w:val="16"/>
              </w:rPr>
              <w:t>Oral, flexible</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2.5mg</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15mg</w:t>
            </w:r>
          </w:p>
        </w:tc>
        <w:tc>
          <w:tcPr>
            <w:tcW w:w="792" w:type="dxa"/>
            <w:vAlign w:val="center"/>
          </w:tcPr>
          <w:p w:rsidR="00855E93" w:rsidRPr="00A97BAE" w:rsidRDefault="00855E93" w:rsidP="009D4FAD">
            <w:pPr>
              <w:jc w:val="center"/>
              <w:rPr>
                <w:rFonts w:cs="Times New Roman"/>
                <w:szCs w:val="16"/>
              </w:rPr>
            </w:pPr>
            <w:r w:rsidRPr="00A97BAE">
              <w:rPr>
                <w:rFonts w:cs="Times New Roman"/>
                <w:szCs w:val="16"/>
              </w:rPr>
              <w:t>12-weeks</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Yes</w:t>
            </w:r>
          </w:p>
        </w:tc>
      </w:tr>
      <w:tr w:rsidR="00855E93" w:rsidRPr="00A97BAE" w:rsidTr="00855E93">
        <w:trPr>
          <w:trHeight w:val="586"/>
        </w:trPr>
        <w:tc>
          <w:tcPr>
            <w:tcW w:w="421" w:type="dxa"/>
            <w:vAlign w:val="center"/>
          </w:tcPr>
          <w:p w:rsidR="00855E93" w:rsidRPr="00A97BAE" w:rsidRDefault="00855E93" w:rsidP="009D4FAD">
            <w:pPr>
              <w:jc w:val="center"/>
              <w:rPr>
                <w:rFonts w:cs="Times New Roman"/>
                <w:b/>
                <w:szCs w:val="16"/>
              </w:rPr>
            </w:pPr>
            <w:r w:rsidRPr="00A97BAE">
              <w:rPr>
                <w:rFonts w:cs="Times New Roman"/>
                <w:b/>
                <w:szCs w:val="16"/>
              </w:rPr>
              <w:t>5</w:t>
            </w:r>
          </w:p>
        </w:tc>
        <w:tc>
          <w:tcPr>
            <w:tcW w:w="853" w:type="dxa"/>
            <w:vAlign w:val="center"/>
          </w:tcPr>
          <w:p w:rsidR="00855E93" w:rsidRPr="00A97BAE" w:rsidRDefault="00855E93" w:rsidP="009D4FAD">
            <w:pPr>
              <w:jc w:val="center"/>
              <w:rPr>
                <w:rFonts w:cs="Times New Roman"/>
                <w:szCs w:val="16"/>
              </w:rPr>
            </w:pPr>
            <w:r w:rsidRPr="00A97BAE">
              <w:rPr>
                <w:rFonts w:cs="Times New Roman"/>
                <w:szCs w:val="16"/>
              </w:rPr>
              <w:t>Berlin et al.</w:t>
            </w:r>
            <w:r w:rsidRPr="00A97BAE">
              <w:rPr>
                <w:rFonts w:cs="Times New Roman"/>
                <w:szCs w:val="16"/>
              </w:rPr>
              <w:fldChar w:fldCharType="begin" w:fldLock="1"/>
            </w:r>
            <w:r>
              <w:rPr>
                <w:rFonts w:cs="Times New Roman"/>
                <w:szCs w:val="16"/>
              </w:rPr>
              <w:instrText>ADDIN CSL_CITATION {"citationItems":[{"id":"ITEM-1","itemData":{"DOI":"10.3109/15622975.2011.560964","ISSN":"1814-1412","PMID":"21486110","abstract":"Objectives. Pathological gambling (PG) is an impulse control disorder characterized by recurrent gambling thoughts and behaviours that impair social functioning. Earlier studies suggested that topiramate may be effective in treating some impulse control disorders. We conducted the first randomized, controlled trial of topiramate in PG. Methods. PG patients were randomized to topiramate (N = 20) or placebo (N = 22) in this 14-week, double-blind, placebo-controlled, parallel-group trial. The primary outcome measure was change in the obsessions subscale of the Yale-Brown Obsessive-Compulsive Scale Modified for Pathological Gambling. Results. Mixed regression models (time [weeks] × treatment) revealed no significant treatment effect of topiramate on the primary or secondary outcome measures. The most statistically robust findings involved reducing the Barratt Impulsiveness Scale (BIS) total score and Motor and Non-Planning subscale scores, for which topiramate outperformed placebo at merely a trend level (P &lt; 0.1). Conclusions. The observed trend in BIS score reductions may warrant further investigation to study whether topiramate reduces clinically important impulsivity in PG. Treatment studies with larger samples and less stringent exclusion criteria are needed to produce results that can be generalized to pathological gamblers in the community. © 2013 Informa Healthcare.","author":[{"dropping-particle":"","family":"Berlin","given":"Heather A.","non-dropping-particle":"","parse-names":false,"suffix":""},{"dropping-particle":"","family":"Braun","given":"Ashley","non-dropping-particle":"","parse-names":false,"suffix":""},{"dropping-particle":"","family":"Simeon","given":"Daphne","non-dropping-particle":"","parse-names":false,"suffix":""},{"dropping-particle":"","family":"Koran","given":"Lorrin M.","non-dropping-particle":"","parse-names":false,"suffix":""},{"dropping-particle":"","family":"Potenza","given":"Marc N.","non-dropping-particle":"","parse-names":false,"suffix":""},{"dropping-particle":"","family":"McElroy","given":"Susan L.","non-dropping-particle":"","parse-names":false,"suffix":""},{"dropping-particle":"","family":"Fong","given":"Timothy","non-dropping-particle":"","parse-names":false,"suffix":""},{"dropping-particle":"","family":"Pallanti","given":"Stefano","non-dropping-particle":"","parse-names":false,"suffix":""},{"dropping-particle":"","family":"Hollander","given":"Eric","non-dropping-particle":"","parse-names":false,"suffix":""}],"container-title":"The world journal of biological psychiatry : the official journal of the World Federation of Societies of Biological Psychiatry","id":"ITEM-1","issue":"2","issued":{"date-parts":[["2013","3"]]},"page":"121-128","publisher":"World J Biol Psychiatry","title":"A double-blind, placebo-controlled trial of topiramate for pathological gambling","type":"article-journal","volume":"14"},"uris":["http://www.mendeley.com/documents/?uuid=fe8e65e4-0fee-31dc-ac80-e22f287b282f"]}],"mendeley":{"formattedCitation":"(Berlin et al., 2013)","plainTextFormattedCitation":"(Berlin et al., 2013)","previouslyFormattedCitation":"(Berlin et al. 2013)"},"properties":{"noteIndex":0},"schema":"https://github.com/citation-style-language/schema/raw/master/csl-citation.json"}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(Berlin et al., 2013)</w:t>
            </w:r>
            <w:r w:rsidRPr="00A97BAE">
              <w:rPr>
                <w:rFonts w:cs="Times New Roman"/>
                <w:szCs w:val="16"/>
              </w:rPr>
              <w:fldChar w:fldCharType="end"/>
            </w:r>
          </w:p>
        </w:tc>
        <w:tc>
          <w:tcPr>
            <w:tcW w:w="503" w:type="dxa"/>
            <w:vAlign w:val="center"/>
          </w:tcPr>
          <w:p w:rsidR="00855E93" w:rsidRPr="00A97BAE" w:rsidRDefault="00855E93" w:rsidP="009D4FAD">
            <w:pPr>
              <w:jc w:val="center"/>
              <w:rPr>
                <w:rFonts w:cs="Times New Roman"/>
                <w:szCs w:val="16"/>
              </w:rPr>
            </w:pPr>
            <w:r w:rsidRPr="00A97BAE">
              <w:rPr>
                <w:rFonts w:cs="Times New Roman"/>
                <w:szCs w:val="16"/>
              </w:rPr>
              <w:t>2013</w:t>
            </w:r>
          </w:p>
        </w:tc>
        <w:tc>
          <w:tcPr>
            <w:tcW w:w="692" w:type="dxa"/>
            <w:vAlign w:val="center"/>
          </w:tcPr>
          <w:p w:rsidR="00855E93" w:rsidRPr="00A97BAE" w:rsidRDefault="00855E93" w:rsidP="009D4FAD">
            <w:pPr>
              <w:jc w:val="center"/>
              <w:rPr>
                <w:rFonts w:cs="Times New Roman"/>
                <w:szCs w:val="16"/>
              </w:rPr>
            </w:pPr>
            <w:r w:rsidRPr="00A97BAE">
              <w:rPr>
                <w:rFonts w:cs="Times New Roman"/>
                <w:szCs w:val="16"/>
              </w:rPr>
              <w:t>WJBP</w:t>
            </w:r>
          </w:p>
        </w:tc>
        <w:tc>
          <w:tcPr>
            <w:tcW w:w="1088" w:type="dxa"/>
            <w:vAlign w:val="center"/>
          </w:tcPr>
          <w:p w:rsidR="00855E93" w:rsidRPr="00A97BAE" w:rsidRDefault="00855E93" w:rsidP="009D4FAD">
            <w:pPr>
              <w:jc w:val="center"/>
              <w:rPr>
                <w:rFonts w:cs="Times New Roman"/>
                <w:szCs w:val="16"/>
              </w:rPr>
            </w:pPr>
            <w:r w:rsidRPr="00A97BAE">
              <w:rPr>
                <w:rFonts w:cs="Times New Roman"/>
                <w:szCs w:val="16"/>
              </w:rPr>
              <w:t>Double Blind RCT Parallel design, 2 arms</w:t>
            </w:r>
          </w:p>
        </w:tc>
        <w:tc>
          <w:tcPr>
            <w:tcW w:w="989" w:type="dxa"/>
            <w:vAlign w:val="center"/>
          </w:tcPr>
          <w:p w:rsidR="00855E93" w:rsidRPr="00A97BAE" w:rsidRDefault="00855E93" w:rsidP="009D4FAD">
            <w:pPr>
              <w:jc w:val="center"/>
              <w:rPr>
                <w:rFonts w:cs="Times New Roman"/>
                <w:szCs w:val="16"/>
              </w:rPr>
            </w:pPr>
            <w:r w:rsidRPr="00A97BAE">
              <w:rPr>
                <w:rFonts w:cs="Times New Roman"/>
                <w:szCs w:val="16"/>
              </w:rPr>
              <w:t>topiramate vs. placebo</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20/22</w:t>
            </w:r>
          </w:p>
        </w:tc>
        <w:tc>
          <w:tcPr>
            <w:tcW w:w="594" w:type="dxa"/>
            <w:vAlign w:val="center"/>
          </w:tcPr>
          <w:p w:rsidR="00855E93" w:rsidRPr="00A97BAE" w:rsidRDefault="00855E93" w:rsidP="009D4FAD">
            <w:pPr>
              <w:jc w:val="center"/>
              <w:rPr>
                <w:rFonts w:cs="Times New Roman"/>
                <w:szCs w:val="16"/>
              </w:rPr>
            </w:pPr>
            <w:r w:rsidRPr="00A97BAE">
              <w:rPr>
                <w:rFonts w:cs="Times New Roman"/>
                <w:szCs w:val="16"/>
              </w:rPr>
              <w:t>50</w:t>
            </w:r>
            <w:r>
              <w:rPr>
                <w:rFonts w:cs="Times New Roman"/>
                <w:szCs w:val="16"/>
              </w:rPr>
              <w:t>.</w:t>
            </w:r>
            <w:r w:rsidRPr="00A97BAE">
              <w:rPr>
                <w:rFonts w:cs="Times New Roman"/>
                <w:szCs w:val="16"/>
              </w:rPr>
              <w:t>5 /</w:t>
            </w:r>
          </w:p>
          <w:p w:rsidR="00855E93" w:rsidRPr="00A97BAE" w:rsidRDefault="00855E93" w:rsidP="009D4FAD">
            <w:pPr>
              <w:jc w:val="center"/>
              <w:rPr>
                <w:rFonts w:cs="Times New Roman"/>
                <w:szCs w:val="16"/>
              </w:rPr>
            </w:pPr>
            <w:r w:rsidRPr="00A97BAE">
              <w:rPr>
                <w:rFonts w:cs="Times New Roman"/>
                <w:szCs w:val="16"/>
              </w:rPr>
              <w:t>44</w:t>
            </w:r>
            <w:r>
              <w:rPr>
                <w:rFonts w:cs="Times New Roman"/>
                <w:szCs w:val="16"/>
              </w:rPr>
              <w:t>.</w:t>
            </w:r>
            <w:r w:rsidRPr="00A97BAE">
              <w:rPr>
                <w:rFonts w:cs="Times New Roman"/>
                <w:szCs w:val="16"/>
              </w:rPr>
              <w:t>9</w:t>
            </w:r>
          </w:p>
        </w:tc>
        <w:tc>
          <w:tcPr>
            <w:tcW w:w="594" w:type="dxa"/>
            <w:vAlign w:val="center"/>
          </w:tcPr>
          <w:p w:rsidR="00855E93" w:rsidRPr="00A97BAE" w:rsidRDefault="00855E93" w:rsidP="009D4FAD">
            <w:pPr>
              <w:jc w:val="center"/>
              <w:rPr>
                <w:rFonts w:cs="Times New Roman"/>
                <w:szCs w:val="16"/>
              </w:rPr>
            </w:pPr>
            <w:r w:rsidRPr="00A97BAE">
              <w:rPr>
                <w:rFonts w:cs="Times New Roman"/>
                <w:szCs w:val="16"/>
              </w:rPr>
              <w:t>50% / 45%</w:t>
            </w:r>
          </w:p>
        </w:tc>
        <w:tc>
          <w:tcPr>
            <w:tcW w:w="594" w:type="dxa"/>
            <w:vAlign w:val="center"/>
          </w:tcPr>
          <w:p w:rsidR="00855E93" w:rsidRPr="00A97BAE" w:rsidRDefault="00855E93" w:rsidP="009D4FAD">
            <w:pPr>
              <w:jc w:val="center"/>
              <w:rPr>
                <w:rFonts w:cs="Times New Roman"/>
                <w:szCs w:val="16"/>
              </w:rPr>
            </w:pPr>
            <w:r w:rsidRPr="00A97BAE">
              <w:rPr>
                <w:rFonts w:cs="Times New Roman"/>
                <w:szCs w:val="16"/>
              </w:rPr>
              <w:t>Oral, flexible</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25mg</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300mg</w:t>
            </w:r>
          </w:p>
        </w:tc>
        <w:tc>
          <w:tcPr>
            <w:tcW w:w="792" w:type="dxa"/>
            <w:vAlign w:val="center"/>
          </w:tcPr>
          <w:p w:rsidR="00855E93" w:rsidRPr="00A97BAE" w:rsidRDefault="00855E93" w:rsidP="009D4FAD">
            <w:pPr>
              <w:jc w:val="center"/>
              <w:rPr>
                <w:rFonts w:cs="Times New Roman"/>
                <w:szCs w:val="16"/>
              </w:rPr>
            </w:pPr>
            <w:r w:rsidRPr="00A97BAE">
              <w:rPr>
                <w:rFonts w:cs="Times New Roman"/>
                <w:szCs w:val="16"/>
              </w:rPr>
              <w:t>14-weeks</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Yes</w:t>
            </w:r>
          </w:p>
        </w:tc>
      </w:tr>
      <w:tr w:rsidR="00855E93" w:rsidRPr="00A97BAE" w:rsidTr="00855E93">
        <w:trPr>
          <w:trHeight w:val="580"/>
        </w:trPr>
        <w:tc>
          <w:tcPr>
            <w:tcW w:w="421" w:type="dxa"/>
            <w:vAlign w:val="center"/>
          </w:tcPr>
          <w:p w:rsidR="00855E93" w:rsidRPr="00A97BAE" w:rsidRDefault="00855E93" w:rsidP="009D4FAD">
            <w:pPr>
              <w:jc w:val="center"/>
              <w:rPr>
                <w:rFonts w:cs="Times New Roman"/>
                <w:b/>
                <w:szCs w:val="16"/>
              </w:rPr>
            </w:pPr>
            <w:r>
              <w:rPr>
                <w:rFonts w:cs="Times New Roman"/>
                <w:b/>
                <w:szCs w:val="16"/>
              </w:rPr>
              <w:t>6</w:t>
            </w:r>
          </w:p>
        </w:tc>
        <w:tc>
          <w:tcPr>
            <w:tcW w:w="853" w:type="dxa"/>
            <w:vAlign w:val="center"/>
          </w:tcPr>
          <w:p w:rsidR="00855E93" w:rsidRPr="00A97BAE" w:rsidRDefault="00855E93" w:rsidP="004E06FA">
            <w:pPr>
              <w:jc w:val="center"/>
              <w:rPr>
                <w:rFonts w:cs="Times New Roman"/>
                <w:szCs w:val="16"/>
              </w:rPr>
            </w:pPr>
            <w:r w:rsidRPr="00A97BAE">
              <w:rPr>
                <w:rFonts w:cs="Times New Roman"/>
                <w:szCs w:val="16"/>
              </w:rPr>
              <w:t>Grant et al.</w:t>
            </w:r>
            <w:r w:rsidRPr="00A97BAE">
              <w:rPr>
                <w:rFonts w:cs="Times New Roman"/>
                <w:szCs w:val="16"/>
              </w:rPr>
              <w:fldChar w:fldCharType="begin" w:fldLock="1"/>
            </w:r>
            <w:r>
              <w:rPr>
                <w:rFonts w:cs="Times New Roman"/>
                <w:szCs w:val="16"/>
              </w:rPr>
              <w:instrText>ADDIN CSL_CITATION {"citationItems":[{"id":"ITEM-1","itemData":{"DOI":"10.1007/s00213-008-1235-3","ISSN":"00333158","PMID":"18581096","abstract":"Rationale: Although opiate antagonists have shown promise in the treatment of pathological gambling (PG), individual responses vary. No studies have systematically examined predictors of medication treatment outcome in PG. Understanding clinical variables related to treatment outcome should help generate treatment algorithms for PG. Objective: We sought to identify clinical variables associated with treatment outcome in PG subjects receiving opiate antagonists. Materials and methods: Two hundred eighty-four subjects [137 (48.2%) women] with DSM-IV PG were treated in one of two double-blind placebo-controlled trials (16 weeks of nalmefene or 18 weeks of naltrexone). Gambling severity was assessed with the Yale Brown Obsessive Compulsive Scale Modified for Pathological Gambling (PG-YBOCS) with positive response defined as ≥35% reduction in PG-YBOCS score for at least 1 month by study endpoint. Depression, anxiety, and psychosocial functioning were included in stepwise logistic regression analyses designed to identify clinical factors independently associated with treatment response. Results: The clinical variable most strongly associated with a positive response to an opiate antagonist was a positive family history of alcoholism (p=0.006). Among individuals receiving higher doses of opiate antagonists (i.e., nalmefene 50 or 100 mg/day or naltrexone 100 or 150 mg/day), intensity of gambling urges (PG-YBOCS urge subscale) was associated with a positive response on a trend level (p=0.036). Among individuals receiving placebo, younger age was associated, on a trend level, with positive treatment outcome (p=0.012). Conclusions: A family history of alcoholism appears to predict response to an opiate antagonist in PG. Future research is needed to identify specific factors (e.g., genetic) mediating favorable responses. © 2008 Springer-Verlag.","author":[{"dropping-particle":"","family":"Grant","given":"Jon E.","non-dropping-particle":"","parse-names":false,"suffix":""},{"dropping-particle":"","family":"Kim","given":"Suck Won","non-dropping-particle":"","parse-names":false,"suffix":""},{"dropping-particle":"","family":"Hollander","given":"Eric","non-dropping-particle":"","parse-names":false,"suffix":""},{"dropping-particle":"","family":"Potenza","given":"Marc N.","non-dropping-particle":"","parse-names":false,"suffix":""}],"container-title":"Psychopharmacology","id":"ITEM-1","issue":"4","issued":{"date-parts":[["2008","11"]]},"page":"521-527","title":"Predicting response to opiate antagonists and placebo in the treatment of pathological gambling","type":"article-journal","volume":"200"},"uris":["http://www.mendeley.com/documents/?uuid=09545033-03df-3352-9e9d-721d82d3f3b8"]}],"mendeley":{"formattedCitation":"(Grant, Kim, Hollander, &amp; Potenza, 2008)","plainTextFormattedCitation":"(Grant, Kim, Hollander, &amp; Potenza, 2008)","previouslyFormattedCitation":"(Grant et al. 2008)"},"properties":{"noteIndex":0},"schema":"https://github.com/citation-style-language/schema/raw/master/csl-citation.json"}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(Grant, Kim, Hollander, &amp; Potenza, 2008)</w:t>
            </w:r>
            <w:r w:rsidRPr="00A97BAE">
              <w:rPr>
                <w:rFonts w:cs="Times New Roman"/>
                <w:szCs w:val="16"/>
              </w:rPr>
              <w:fldChar w:fldCharType="end"/>
            </w:r>
          </w:p>
        </w:tc>
        <w:tc>
          <w:tcPr>
            <w:tcW w:w="503" w:type="dxa"/>
            <w:vAlign w:val="center"/>
          </w:tcPr>
          <w:p w:rsidR="00855E93" w:rsidRPr="00A97BAE" w:rsidRDefault="00855E93" w:rsidP="009D4FAD">
            <w:pPr>
              <w:jc w:val="center"/>
              <w:rPr>
                <w:rFonts w:cs="Times New Roman"/>
                <w:szCs w:val="16"/>
              </w:rPr>
            </w:pPr>
            <w:r w:rsidRPr="00A97BAE">
              <w:rPr>
                <w:rFonts w:cs="Times New Roman"/>
                <w:szCs w:val="16"/>
              </w:rPr>
              <w:t>2008</w:t>
            </w:r>
          </w:p>
        </w:tc>
        <w:tc>
          <w:tcPr>
            <w:tcW w:w="692" w:type="dxa"/>
            <w:vAlign w:val="center"/>
          </w:tcPr>
          <w:p w:rsidR="00855E93" w:rsidRPr="00A97BAE" w:rsidRDefault="00855E93" w:rsidP="009D4FAD">
            <w:pPr>
              <w:jc w:val="center"/>
              <w:rPr>
                <w:rFonts w:cs="Times New Roman"/>
                <w:szCs w:val="16"/>
              </w:rPr>
            </w:pPr>
            <w:r w:rsidRPr="00A97BAE">
              <w:rPr>
                <w:rFonts w:cs="Times New Roman"/>
                <w:szCs w:val="16"/>
              </w:rPr>
              <w:t xml:space="preserve">J </w:t>
            </w:r>
            <w:proofErr w:type="spellStart"/>
            <w:r w:rsidRPr="00A97BAE">
              <w:rPr>
                <w:rFonts w:cs="Times New Roman"/>
                <w:szCs w:val="16"/>
              </w:rPr>
              <w:t>Clin</w:t>
            </w:r>
            <w:proofErr w:type="spellEnd"/>
            <w:r w:rsidRPr="00A97BAE">
              <w:rPr>
                <w:rFonts w:cs="Times New Roman"/>
                <w:szCs w:val="16"/>
              </w:rPr>
              <w:t xml:space="preserve"> Psychiatry</w:t>
            </w:r>
          </w:p>
        </w:tc>
        <w:tc>
          <w:tcPr>
            <w:tcW w:w="1088" w:type="dxa"/>
            <w:vAlign w:val="center"/>
          </w:tcPr>
          <w:p w:rsidR="00855E93" w:rsidRPr="00A97BAE" w:rsidRDefault="00855E93" w:rsidP="009D4FAD">
            <w:pPr>
              <w:jc w:val="center"/>
              <w:rPr>
                <w:rFonts w:cs="Times New Roman"/>
                <w:szCs w:val="16"/>
              </w:rPr>
            </w:pPr>
            <w:r w:rsidRPr="00A97BAE">
              <w:rPr>
                <w:rFonts w:cs="Times New Roman"/>
                <w:szCs w:val="16"/>
              </w:rPr>
              <w:t>Double Blind RCT Parallel design, 2 arms</w:t>
            </w:r>
          </w:p>
        </w:tc>
        <w:tc>
          <w:tcPr>
            <w:tcW w:w="989" w:type="dxa"/>
            <w:vAlign w:val="center"/>
          </w:tcPr>
          <w:p w:rsidR="00855E93" w:rsidRPr="00A97BAE" w:rsidRDefault="00855E93" w:rsidP="009D4FAD">
            <w:pPr>
              <w:jc w:val="center"/>
              <w:rPr>
                <w:rFonts w:cs="Times New Roman"/>
                <w:szCs w:val="16"/>
              </w:rPr>
            </w:pPr>
            <w:r w:rsidRPr="00A97BAE">
              <w:rPr>
                <w:rFonts w:cs="Times New Roman"/>
                <w:szCs w:val="16"/>
              </w:rPr>
              <w:t>naltrexone vs. placebo</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58/19</w:t>
            </w:r>
          </w:p>
        </w:tc>
        <w:tc>
          <w:tcPr>
            <w:tcW w:w="594" w:type="dxa"/>
            <w:vAlign w:val="center"/>
          </w:tcPr>
          <w:p w:rsidR="00855E93" w:rsidRPr="00A97BAE" w:rsidRDefault="00855E93" w:rsidP="009D4FAD">
            <w:pPr>
              <w:jc w:val="center"/>
              <w:rPr>
                <w:rFonts w:cs="Times New Roman"/>
                <w:szCs w:val="16"/>
              </w:rPr>
            </w:pPr>
            <w:r w:rsidRPr="00A97BAE">
              <w:rPr>
                <w:rFonts w:cs="Times New Roman"/>
                <w:szCs w:val="16"/>
              </w:rPr>
              <w:t>47</w:t>
            </w:r>
            <w:r>
              <w:rPr>
                <w:rFonts w:cs="Times New Roman"/>
                <w:szCs w:val="16"/>
              </w:rPr>
              <w:t>.</w:t>
            </w:r>
            <w:r w:rsidRPr="00A97BAE">
              <w:rPr>
                <w:rFonts w:cs="Times New Roman"/>
                <w:szCs w:val="16"/>
              </w:rPr>
              <w:t>8 /</w:t>
            </w:r>
          </w:p>
          <w:p w:rsidR="00855E93" w:rsidRPr="00A97BAE" w:rsidRDefault="00855E93" w:rsidP="009D4FAD">
            <w:pPr>
              <w:jc w:val="center"/>
              <w:rPr>
                <w:rFonts w:cs="Times New Roman"/>
                <w:szCs w:val="16"/>
              </w:rPr>
            </w:pPr>
            <w:r w:rsidRPr="00A97BAE">
              <w:rPr>
                <w:rFonts w:cs="Times New Roman"/>
                <w:szCs w:val="16"/>
              </w:rPr>
              <w:t>44</w:t>
            </w:r>
            <w:r>
              <w:rPr>
                <w:rFonts w:cs="Times New Roman"/>
                <w:szCs w:val="16"/>
              </w:rPr>
              <w:t>.</w:t>
            </w:r>
            <w:r w:rsidRPr="00A97BAE">
              <w:rPr>
                <w:rFonts w:cs="Times New Roman"/>
                <w:szCs w:val="16"/>
              </w:rPr>
              <w:t>7</w:t>
            </w:r>
          </w:p>
        </w:tc>
        <w:tc>
          <w:tcPr>
            <w:tcW w:w="594" w:type="dxa"/>
            <w:vAlign w:val="center"/>
          </w:tcPr>
          <w:p w:rsidR="00855E93" w:rsidRPr="00A97BAE" w:rsidRDefault="00855E93" w:rsidP="009D4FAD">
            <w:pPr>
              <w:jc w:val="center"/>
              <w:rPr>
                <w:rFonts w:cs="Times New Roman"/>
                <w:szCs w:val="16"/>
              </w:rPr>
            </w:pPr>
            <w:r w:rsidRPr="00A97BAE">
              <w:rPr>
                <w:rFonts w:cs="Times New Roman"/>
                <w:szCs w:val="16"/>
              </w:rPr>
              <w:t>36% / 47%</w:t>
            </w:r>
          </w:p>
        </w:tc>
        <w:tc>
          <w:tcPr>
            <w:tcW w:w="594" w:type="dxa"/>
            <w:vAlign w:val="center"/>
          </w:tcPr>
          <w:p w:rsidR="00855E93" w:rsidRPr="00A97BAE" w:rsidRDefault="00855E93" w:rsidP="009D4FAD">
            <w:pPr>
              <w:jc w:val="center"/>
              <w:rPr>
                <w:rFonts w:cs="Times New Roman"/>
                <w:szCs w:val="16"/>
              </w:rPr>
            </w:pPr>
            <w:r w:rsidRPr="00A97BAE">
              <w:rPr>
                <w:rFonts w:cs="Times New Roman"/>
                <w:szCs w:val="16"/>
              </w:rPr>
              <w:t>Oral, titration</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25mg</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150mg</w:t>
            </w:r>
          </w:p>
        </w:tc>
        <w:tc>
          <w:tcPr>
            <w:tcW w:w="792" w:type="dxa"/>
            <w:vAlign w:val="center"/>
          </w:tcPr>
          <w:p w:rsidR="00855E93" w:rsidRPr="00A97BAE" w:rsidRDefault="00855E93" w:rsidP="009D4FAD">
            <w:pPr>
              <w:jc w:val="center"/>
              <w:rPr>
                <w:rFonts w:cs="Times New Roman"/>
                <w:szCs w:val="16"/>
              </w:rPr>
            </w:pPr>
            <w:r w:rsidRPr="00A97BAE">
              <w:rPr>
                <w:rFonts w:cs="Times New Roman"/>
                <w:szCs w:val="16"/>
              </w:rPr>
              <w:t>17-weeks</w:t>
            </w:r>
          </w:p>
        </w:tc>
        <w:tc>
          <w:tcPr>
            <w:tcW w:w="593" w:type="dxa"/>
            <w:vAlign w:val="center"/>
          </w:tcPr>
          <w:p w:rsidR="00855E93" w:rsidRPr="00A97BAE" w:rsidRDefault="00855E93" w:rsidP="009D4FAD">
            <w:pPr>
              <w:jc w:val="center"/>
              <w:rPr>
                <w:rFonts w:cs="Times New Roman"/>
                <w:szCs w:val="16"/>
              </w:rPr>
            </w:pPr>
            <w:r w:rsidRPr="00A97BAE">
              <w:rPr>
                <w:rFonts w:cs="Times New Roman"/>
                <w:szCs w:val="16"/>
              </w:rPr>
              <w:t>No</w:t>
            </w:r>
          </w:p>
        </w:tc>
      </w:tr>
      <w:tr w:rsidR="00855E93" w:rsidRPr="00A97BAE" w:rsidTr="00855E93">
        <w:trPr>
          <w:trHeight w:val="586"/>
        </w:trPr>
        <w:tc>
          <w:tcPr>
            <w:tcW w:w="421" w:type="dxa"/>
            <w:vAlign w:val="center"/>
          </w:tcPr>
          <w:p w:rsidR="00855E93" w:rsidRPr="00A97BAE" w:rsidRDefault="00855E93" w:rsidP="004E06FA">
            <w:pPr>
              <w:jc w:val="center"/>
              <w:rPr>
                <w:rFonts w:cs="Times New Roman"/>
                <w:b/>
                <w:szCs w:val="16"/>
              </w:rPr>
            </w:pPr>
            <w:r w:rsidRPr="00A97BAE">
              <w:rPr>
                <w:rFonts w:cs="Times New Roman"/>
                <w:b/>
                <w:szCs w:val="16"/>
              </w:rPr>
              <w:t>7</w:t>
            </w:r>
          </w:p>
        </w:tc>
        <w:tc>
          <w:tcPr>
            <w:tcW w:w="853" w:type="dxa"/>
            <w:vAlign w:val="center"/>
          </w:tcPr>
          <w:p w:rsidR="00855E93" w:rsidRPr="00A97BAE" w:rsidRDefault="00855E93" w:rsidP="004E06FA">
            <w:pPr>
              <w:jc w:val="center"/>
              <w:rPr>
                <w:rFonts w:cs="Times New Roman"/>
                <w:szCs w:val="16"/>
              </w:rPr>
            </w:pPr>
            <w:r w:rsidRPr="00A97BAE">
              <w:rPr>
                <w:rFonts w:cs="Times New Roman"/>
                <w:szCs w:val="16"/>
              </w:rPr>
              <w:t>Fong et al.</w:t>
            </w:r>
            <w:r w:rsidRPr="00A97BAE">
              <w:rPr>
                <w:rFonts w:cs="Times New Roman"/>
                <w:szCs w:val="16"/>
              </w:rPr>
              <w:fldChar w:fldCharType="begin" w:fldLock="1"/>
            </w:r>
            <w:r>
              <w:rPr>
                <w:rFonts w:cs="Times New Roman"/>
                <w:szCs w:val="16"/>
              </w:rPr>
              <w:instrText>ADDIN CSL_CITATION {"citationItems":[{"id":"ITEM-1","itemData":{"DOI":"10.1016/J.PBB.2007.12.025","ISSN":"0091-3057","PMID":"18261787","abstract":"Emerging evidence suggests that dopaminergic and serotonergic functioning are altered in pathological gamblers; yet, there are no FDA-approved medications for pathological gambling and there have only been a limited number of clinical trials that have been conducted. Olanzapine was identified as a candidate medication for pathological gamblers because it modifies both dopaminergic and serotonergic function. Moreover, preliminary studies have shown that olanzapine effectively reduces impulsivity in other psychiatric disorders, a pharmacological target of interest for pathological gamblers. In this study, 21 pathological gamblers, whose primary gambling activity was video poker, were enrolled in a seven-week, double-blind, placebo-controlled trial. Outcome measures included self-reported urges for gambling, frequency of gambling behavior, and self-reported mood and anxiety levels. The results revealed that all study participants reported reduced levels of gambling urges, gambling behavior, and mood and anxiety symptoms. Olanzapine administration was not associated with an incremental effect versus placebo. While these findings suggest that olanzapine is not an efficacious treatment for video poker pathological gamblers, olanzapine may still be an effective treatment for a specific subset of pathological gamblers, including those with a co-occurring psychiatric disorder.","author":[{"dropping-particle":"","family":"Fong","given":"Timothy","non-dropping-particle":"","parse-names":false,"suffix":""},{"dropping-particle":"","family":"Kalechstein","given":"Ari","non-dropping-particle":"","parse-names":false,"suffix":""},{"dropping-particle":"","family":"Bernhard","given":"Bo","non-dropping-particle":"","parse-names":false,"suffix":""},{"dropping-particle":"","family":"Rosenthal","given":"Richard","non-dropping-particle":"","parse-names":false,"suffix":""},{"dropping-particle":"","family":"Rugle","given":"Lori","non-dropping-particle":"","parse-names":false,"suffix":""}],"container-title":"Pharmacology, biochemistry, and behavior","id":"ITEM-1","issue":"3","issued":{"date-parts":[["2008","5"]]},"page":"298-303","publisher":"Pharmacol Biochem Behav","title":"A double-blind, placebo-controlled trial of olanzapine for the treatment of video poker pathological gamblers","type":"article-journal","volume":"89"},"uris":["http://www.mendeley.com/documents/?uuid=a278ee97-8c12-3773-95a0-667697d78046"]}],"mendeley":{"formattedCitation":"(Fong, Kalechstein, Bernhard, Rosenthal, &amp; Rugle, 2008)","plainTextFormattedCitation":"(Fong, Kalechstein, Bernhard, Rosenthal, &amp; Rugle, 2008)","previouslyFormattedCitation":"(Fong et al. 2008)"},"properties":{"noteIndex":0},"schema":"https://github.com/citation-style-language/schema/raw/master/csl-citation.json"}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(Fong, Kalechstein, Bernhard, Rosenthal, &amp; Rugle, 2008)</w:t>
            </w:r>
            <w:r w:rsidRPr="00A97BAE">
              <w:rPr>
                <w:rFonts w:cs="Times New Roman"/>
                <w:szCs w:val="16"/>
              </w:rPr>
              <w:fldChar w:fldCharType="end"/>
            </w:r>
          </w:p>
        </w:tc>
        <w:tc>
          <w:tcPr>
            <w:tcW w:w="503" w:type="dxa"/>
            <w:vAlign w:val="center"/>
          </w:tcPr>
          <w:p w:rsidR="00855E93" w:rsidRPr="00A97BAE" w:rsidRDefault="00855E93" w:rsidP="004E06FA">
            <w:pPr>
              <w:jc w:val="center"/>
              <w:rPr>
                <w:rFonts w:cs="Times New Roman"/>
                <w:szCs w:val="16"/>
              </w:rPr>
            </w:pPr>
            <w:r w:rsidRPr="00A97BAE">
              <w:rPr>
                <w:rFonts w:cs="Times New Roman"/>
                <w:szCs w:val="16"/>
              </w:rPr>
              <w:t>2008</w:t>
            </w:r>
          </w:p>
        </w:tc>
        <w:tc>
          <w:tcPr>
            <w:tcW w:w="692" w:type="dxa"/>
            <w:vAlign w:val="center"/>
          </w:tcPr>
          <w:p w:rsidR="00855E93" w:rsidRPr="00A97BAE" w:rsidRDefault="00855E93" w:rsidP="004E06FA">
            <w:pPr>
              <w:jc w:val="center"/>
              <w:rPr>
                <w:rFonts w:cs="Times New Roman"/>
                <w:szCs w:val="16"/>
              </w:rPr>
            </w:pPr>
            <w:r w:rsidRPr="00A97BAE">
              <w:rPr>
                <w:rFonts w:cs="Times New Roman"/>
                <w:szCs w:val="16"/>
              </w:rPr>
              <w:t xml:space="preserve">Pharm Bio </w:t>
            </w:r>
            <w:proofErr w:type="spellStart"/>
            <w:r w:rsidRPr="00A97BAE">
              <w:rPr>
                <w:rFonts w:cs="Times New Roman"/>
                <w:szCs w:val="16"/>
              </w:rPr>
              <w:t>Beh</w:t>
            </w:r>
            <w:proofErr w:type="spellEnd"/>
          </w:p>
        </w:tc>
        <w:tc>
          <w:tcPr>
            <w:tcW w:w="1088" w:type="dxa"/>
            <w:vAlign w:val="center"/>
          </w:tcPr>
          <w:p w:rsidR="00855E93" w:rsidRPr="00A97BAE" w:rsidRDefault="00855E93" w:rsidP="004E06FA">
            <w:pPr>
              <w:jc w:val="center"/>
              <w:rPr>
                <w:rFonts w:cs="Times New Roman"/>
                <w:szCs w:val="16"/>
              </w:rPr>
            </w:pPr>
            <w:r w:rsidRPr="00A97BAE">
              <w:rPr>
                <w:rFonts w:cs="Times New Roman"/>
                <w:szCs w:val="16"/>
              </w:rPr>
              <w:t>Double Blind RCT Parallel design, 2 arms</w:t>
            </w:r>
          </w:p>
        </w:tc>
        <w:tc>
          <w:tcPr>
            <w:tcW w:w="989" w:type="dxa"/>
            <w:vAlign w:val="center"/>
          </w:tcPr>
          <w:p w:rsidR="00855E93" w:rsidRPr="00A97BAE" w:rsidRDefault="00855E93" w:rsidP="004E06FA">
            <w:pPr>
              <w:jc w:val="center"/>
              <w:rPr>
                <w:rFonts w:cs="Times New Roman"/>
                <w:szCs w:val="16"/>
              </w:rPr>
            </w:pPr>
            <w:r w:rsidRPr="00A97BAE">
              <w:rPr>
                <w:rFonts w:cs="Times New Roman"/>
                <w:szCs w:val="16"/>
              </w:rPr>
              <w:t>olanzapine vs. placebo</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11/12</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46</w:t>
            </w:r>
            <w:r>
              <w:rPr>
                <w:rFonts w:cs="Times New Roman"/>
                <w:szCs w:val="16"/>
              </w:rPr>
              <w:t>.</w:t>
            </w:r>
            <w:r w:rsidRPr="00A97BAE">
              <w:rPr>
                <w:rFonts w:cs="Times New Roman"/>
                <w:szCs w:val="16"/>
              </w:rPr>
              <w:t>6</w:t>
            </w:r>
          </w:p>
          <w:p w:rsidR="00855E93" w:rsidRPr="00A97BAE" w:rsidRDefault="00855E93" w:rsidP="004E06FA">
            <w:pPr>
              <w:jc w:val="center"/>
              <w:rPr>
                <w:rFonts w:cs="Times New Roman"/>
                <w:szCs w:val="16"/>
              </w:rPr>
            </w:pPr>
            <w:r w:rsidRPr="00A97BAE">
              <w:rPr>
                <w:rFonts w:cs="Times New Roman"/>
                <w:szCs w:val="16"/>
              </w:rPr>
              <w:t>43</w:t>
            </w:r>
            <w:r>
              <w:rPr>
                <w:rFonts w:cs="Times New Roman"/>
                <w:szCs w:val="16"/>
              </w:rPr>
              <w:t>.</w:t>
            </w:r>
            <w:r w:rsidRPr="00A97BAE">
              <w:rPr>
                <w:rFonts w:cs="Times New Roman"/>
                <w:szCs w:val="16"/>
              </w:rPr>
              <w:t>6</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55% / 50%</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Oral, titration</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2.5mg</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10mg</w:t>
            </w:r>
          </w:p>
        </w:tc>
        <w:tc>
          <w:tcPr>
            <w:tcW w:w="792" w:type="dxa"/>
            <w:vAlign w:val="center"/>
          </w:tcPr>
          <w:p w:rsidR="00855E93" w:rsidRPr="00A97BAE" w:rsidRDefault="00855E93" w:rsidP="004E06FA">
            <w:pPr>
              <w:jc w:val="center"/>
              <w:rPr>
                <w:rFonts w:cs="Times New Roman"/>
                <w:szCs w:val="16"/>
              </w:rPr>
            </w:pPr>
            <w:r w:rsidRPr="00A97BAE">
              <w:rPr>
                <w:rFonts w:cs="Times New Roman"/>
                <w:szCs w:val="16"/>
              </w:rPr>
              <w:t>6-weeks</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Yes</w:t>
            </w:r>
          </w:p>
        </w:tc>
      </w:tr>
      <w:tr w:rsidR="00855E93" w:rsidRPr="00A97BAE" w:rsidTr="00855E93">
        <w:trPr>
          <w:trHeight w:val="586"/>
        </w:trPr>
        <w:tc>
          <w:tcPr>
            <w:tcW w:w="421" w:type="dxa"/>
            <w:vAlign w:val="center"/>
          </w:tcPr>
          <w:p w:rsidR="00855E93" w:rsidRPr="00A97BAE" w:rsidRDefault="00855E93" w:rsidP="004E06FA">
            <w:pPr>
              <w:jc w:val="center"/>
              <w:rPr>
                <w:rFonts w:cs="Times New Roman"/>
                <w:b/>
                <w:szCs w:val="16"/>
              </w:rPr>
            </w:pPr>
            <w:r w:rsidRPr="00A97BAE">
              <w:rPr>
                <w:rFonts w:cs="Times New Roman"/>
                <w:b/>
                <w:szCs w:val="16"/>
              </w:rPr>
              <w:t>8</w:t>
            </w:r>
          </w:p>
        </w:tc>
        <w:tc>
          <w:tcPr>
            <w:tcW w:w="853" w:type="dxa"/>
            <w:vAlign w:val="center"/>
          </w:tcPr>
          <w:p w:rsidR="00855E93" w:rsidRPr="00A97BAE" w:rsidRDefault="00855E93" w:rsidP="004E06FA">
            <w:pPr>
              <w:jc w:val="center"/>
              <w:rPr>
                <w:rFonts w:cs="Times New Roman"/>
                <w:szCs w:val="16"/>
              </w:rPr>
            </w:pPr>
            <w:r w:rsidRPr="00A97BAE">
              <w:rPr>
                <w:rFonts w:cs="Times New Roman"/>
                <w:szCs w:val="16"/>
              </w:rPr>
              <w:t xml:space="preserve">Black et al. </w:t>
            </w:r>
            <w:r w:rsidRPr="00A97BAE">
              <w:rPr>
                <w:rFonts w:cs="Times New Roman"/>
                <w:szCs w:val="16"/>
              </w:rPr>
              <w:fldChar w:fldCharType="begin" w:fldLock="1"/>
            </w:r>
            <w:r>
              <w:rPr>
                <w:rFonts w:cs="Times New Roman"/>
                <w:szCs w:val="16"/>
              </w:rPr>
              <w:instrText>ADDIN CSL_CITATION {"citationItems":[{"id":"ITEM-1","itemData":{"DOI":"10.1097/01.JCP.0000264985.25109.25","ISSN":"0271-0749","PMID":"17414236","abstract":"We tested the efficacy of bupropion in the treatment of persons with pathological gambling (PG). Nondepressed, healthy subjects with Diagnostic and Statistical Manual of Mental Disorders, Fourth Edition PG were randomly assigned to placebo or flexibly dosed bupropion in a 12-week double-blind trial. Outcome measures included the Yale-Brown Obsessive-Compulsive Scale modified for PG, the Gambling Severity Assessment Scale, the Clinical Global Impression Improvement and Severity Scales, the Global Assessment Scale, the Timeline Follow Back, the Attention-Deficit/Hyperactivity Disorder Rating Scale, and the Sheehan Disability Scale. Thirty-nine subjects (28 men, 11 women) were randomized to bupropion (n = 18) or placebo (n = 21). The 2 groups were similar on demographic and clinical measures. There were few differences between the treatment groups on any primary or secondary outcome measure, although subjects in each cell experienced significant improvement. Of subjects with at least 1 postrandomization visit, 35.7% of bupropion and 47.1% of placebo recipients experienced \"much\" or \"very much\" improvement on the Clinical Global Impression Improvement Scale. The trial was complicated by a high noncompletion rate (43.6%). Bupropion was well tolerated. Bupropion and placebo recipients did equally well in a short-term trial, with improvement seen as early as the first week of treatment. The high placebo response rate and the high noncompletion rate each reflect the challenge inherent in treating persons with PG. © 2007 Lippincott Williams &amp; Wilkins, Inc.","author":[{"dropping-particle":"","family":"Black","given":"Donald W.","non-dropping-particle":"","parse-names":false,"suffix":""},{"dropping-particle":"","family":"Arndt","given":"Stephan","non-dropping-particle":"","parse-names":false,"suffix":""},{"dropping-particle":"","family":"Coryell","given":"William H.","non-dropping-particle":"","parse-names":false,"suffix":""},{"dropping-particle":"","family":"Argo","given":"Tami","non-dropping-particle":"","parse-names":false,"suffix":""},{"dropping-particle":"","family":"Forbush","given":"Kelsie T.","non-dropping-particle":"","parse-names":false,"suffix":""},{"dropping-particle":"","family":"Shaw","given":"Martha C.","non-dropping-particle":"","parse-names":false,"suffix":""},{"dropping-particle":"","family":"Perry","given":"Paul","non-dropping-particle":"","parse-names":false,"suffix":""},{"dropping-particle":"","family":"Allen","given":"Jeff","non-dropping-particle":"","parse-names":false,"suffix":""}],"container-title":"Journal of clinical psychopharmacology","id":"ITEM-1","issue":"2","issued":{"date-parts":[["2007","4"]]},"page":"143-150","publisher":"J Clin Psychopharmacol","title":"Bupropion in the treatment of pathological gambling: a randomized, double-blind, placebo-controlled, flexible-dose study","type":"article-journal","volume":"27"},"uris":["http://www.mendeley.com/documents/?uuid=058c66b7-c758-342d-98bb-f7fc9f86b55c"]}],"mendeley":{"formattedCitation":"(Black et al., 2007)","plainTextFormattedCitation":"(Black et al., 2007)","previouslyFormattedCitation":"(Black et al. 2007)"},"properties":{"noteIndex":0},"schema":"https://github.com/citation-style-language/schema/raw/master/csl-citation.json"}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(Black et al., 2007)</w:t>
            </w:r>
            <w:r w:rsidRPr="00A97BAE">
              <w:rPr>
                <w:rFonts w:cs="Times New Roman"/>
                <w:szCs w:val="16"/>
              </w:rPr>
              <w:fldChar w:fldCharType="end"/>
            </w:r>
          </w:p>
        </w:tc>
        <w:tc>
          <w:tcPr>
            <w:tcW w:w="503" w:type="dxa"/>
            <w:vAlign w:val="center"/>
          </w:tcPr>
          <w:p w:rsidR="00855E93" w:rsidRPr="00A97BAE" w:rsidRDefault="00855E93" w:rsidP="004E06FA">
            <w:pPr>
              <w:jc w:val="center"/>
              <w:rPr>
                <w:rFonts w:cs="Times New Roman"/>
                <w:szCs w:val="16"/>
              </w:rPr>
            </w:pPr>
            <w:r w:rsidRPr="00A97BAE">
              <w:rPr>
                <w:rFonts w:cs="Times New Roman"/>
                <w:szCs w:val="16"/>
              </w:rPr>
              <w:t>2007</w:t>
            </w:r>
          </w:p>
        </w:tc>
        <w:tc>
          <w:tcPr>
            <w:tcW w:w="692" w:type="dxa"/>
            <w:vAlign w:val="center"/>
          </w:tcPr>
          <w:p w:rsidR="00855E93" w:rsidRPr="00A97BAE" w:rsidRDefault="00855E93" w:rsidP="004E06FA">
            <w:pPr>
              <w:jc w:val="center"/>
              <w:rPr>
                <w:rFonts w:cs="Times New Roman"/>
                <w:szCs w:val="16"/>
              </w:rPr>
            </w:pPr>
            <w:r w:rsidRPr="00A97BAE">
              <w:rPr>
                <w:rFonts w:cs="Times New Roman"/>
                <w:szCs w:val="16"/>
              </w:rPr>
              <w:t xml:space="preserve">J </w:t>
            </w:r>
            <w:proofErr w:type="spellStart"/>
            <w:r w:rsidRPr="00A97BAE">
              <w:rPr>
                <w:rFonts w:cs="Times New Roman"/>
                <w:szCs w:val="16"/>
              </w:rPr>
              <w:t>Clin</w:t>
            </w:r>
            <w:proofErr w:type="spellEnd"/>
            <w:r w:rsidRPr="00A97BAE">
              <w:rPr>
                <w:rFonts w:cs="Times New Roman"/>
                <w:szCs w:val="16"/>
              </w:rPr>
              <w:t xml:space="preserve"> </w:t>
            </w:r>
            <w:proofErr w:type="spellStart"/>
            <w:r w:rsidRPr="00A97BAE">
              <w:rPr>
                <w:rFonts w:cs="Times New Roman"/>
                <w:szCs w:val="16"/>
              </w:rPr>
              <w:t>Pharmacol</w:t>
            </w:r>
            <w:proofErr w:type="spellEnd"/>
          </w:p>
        </w:tc>
        <w:tc>
          <w:tcPr>
            <w:tcW w:w="1088" w:type="dxa"/>
            <w:vAlign w:val="center"/>
          </w:tcPr>
          <w:p w:rsidR="00855E93" w:rsidRPr="00A97BAE" w:rsidRDefault="00855E93" w:rsidP="004E06FA">
            <w:pPr>
              <w:jc w:val="center"/>
              <w:rPr>
                <w:rFonts w:cs="Times New Roman"/>
                <w:szCs w:val="16"/>
              </w:rPr>
            </w:pPr>
            <w:r w:rsidRPr="00A97BAE">
              <w:rPr>
                <w:rFonts w:cs="Times New Roman"/>
                <w:szCs w:val="16"/>
              </w:rPr>
              <w:t>Double Blind RCT Parallel design, 2 arms</w:t>
            </w:r>
          </w:p>
        </w:tc>
        <w:tc>
          <w:tcPr>
            <w:tcW w:w="989" w:type="dxa"/>
            <w:vAlign w:val="center"/>
          </w:tcPr>
          <w:p w:rsidR="00855E93" w:rsidRPr="00A97BAE" w:rsidRDefault="00855E93" w:rsidP="004E06FA">
            <w:pPr>
              <w:jc w:val="center"/>
              <w:rPr>
                <w:rFonts w:cs="Times New Roman"/>
                <w:szCs w:val="16"/>
              </w:rPr>
            </w:pPr>
            <w:r w:rsidRPr="00A97BAE">
              <w:rPr>
                <w:rFonts w:cs="Times New Roman"/>
                <w:szCs w:val="16"/>
              </w:rPr>
              <w:t>bupropion vs. placebo</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18/21</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42</w:t>
            </w:r>
            <w:r>
              <w:rPr>
                <w:rFonts w:cs="Times New Roman"/>
                <w:szCs w:val="16"/>
              </w:rPr>
              <w:t>.</w:t>
            </w:r>
            <w:r w:rsidRPr="00A97BAE">
              <w:rPr>
                <w:rFonts w:cs="Times New Roman"/>
                <w:szCs w:val="16"/>
              </w:rPr>
              <w:t>8</w:t>
            </w:r>
          </w:p>
          <w:p w:rsidR="00855E93" w:rsidRPr="00A97BAE" w:rsidRDefault="00855E93" w:rsidP="004E06FA">
            <w:pPr>
              <w:jc w:val="center"/>
              <w:rPr>
                <w:rFonts w:cs="Times New Roman"/>
                <w:szCs w:val="16"/>
              </w:rPr>
            </w:pPr>
            <w:r w:rsidRPr="00A97BAE">
              <w:rPr>
                <w:rFonts w:cs="Times New Roman"/>
                <w:szCs w:val="16"/>
              </w:rPr>
              <w:t>43</w:t>
            </w:r>
            <w:r>
              <w:rPr>
                <w:rFonts w:cs="Times New Roman"/>
                <w:szCs w:val="16"/>
              </w:rPr>
              <w:t>.</w:t>
            </w:r>
            <w:r w:rsidRPr="00A97BAE">
              <w:rPr>
                <w:rFonts w:cs="Times New Roman"/>
                <w:szCs w:val="16"/>
              </w:rPr>
              <w:t>5</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61% / 81%</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Oral, flexible</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150mg</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375mg</w:t>
            </w:r>
          </w:p>
        </w:tc>
        <w:tc>
          <w:tcPr>
            <w:tcW w:w="792" w:type="dxa"/>
            <w:vAlign w:val="center"/>
          </w:tcPr>
          <w:p w:rsidR="00855E93" w:rsidRPr="00A97BAE" w:rsidRDefault="00855E93" w:rsidP="004E06FA">
            <w:pPr>
              <w:jc w:val="center"/>
              <w:rPr>
                <w:rFonts w:cs="Times New Roman"/>
                <w:szCs w:val="16"/>
              </w:rPr>
            </w:pPr>
            <w:r w:rsidRPr="00A97BAE">
              <w:rPr>
                <w:rFonts w:cs="Times New Roman"/>
                <w:szCs w:val="16"/>
              </w:rPr>
              <w:t>12-weeks</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No</w:t>
            </w:r>
          </w:p>
        </w:tc>
      </w:tr>
      <w:tr w:rsidR="00855E93" w:rsidRPr="00A97BAE" w:rsidTr="00855E93">
        <w:trPr>
          <w:trHeight w:val="972"/>
        </w:trPr>
        <w:tc>
          <w:tcPr>
            <w:tcW w:w="421" w:type="dxa"/>
            <w:vAlign w:val="center"/>
          </w:tcPr>
          <w:p w:rsidR="00855E93" w:rsidRPr="00A97BAE" w:rsidRDefault="00855E93" w:rsidP="004E06FA">
            <w:pPr>
              <w:jc w:val="center"/>
              <w:rPr>
                <w:rFonts w:cs="Times New Roman"/>
                <w:b/>
                <w:szCs w:val="16"/>
              </w:rPr>
            </w:pPr>
            <w:r w:rsidRPr="00A97BAE">
              <w:rPr>
                <w:rFonts w:cs="Times New Roman"/>
                <w:b/>
                <w:szCs w:val="16"/>
              </w:rPr>
              <w:t>9</w:t>
            </w:r>
          </w:p>
        </w:tc>
        <w:tc>
          <w:tcPr>
            <w:tcW w:w="853" w:type="dxa"/>
            <w:vAlign w:val="center"/>
          </w:tcPr>
          <w:p w:rsidR="00855E93" w:rsidRPr="00A97BAE" w:rsidRDefault="00855E93" w:rsidP="004E06FA">
            <w:pPr>
              <w:jc w:val="center"/>
              <w:rPr>
                <w:rFonts w:cs="Times New Roman"/>
                <w:szCs w:val="16"/>
              </w:rPr>
            </w:pPr>
            <w:r w:rsidRPr="00A97BAE">
              <w:rPr>
                <w:rFonts w:cs="Times New Roman"/>
                <w:szCs w:val="16"/>
              </w:rPr>
              <w:t>Grant et al.</w:t>
            </w:r>
            <w:r w:rsidRPr="00A97BAE">
              <w:rPr>
                <w:rFonts w:cs="Times New Roman"/>
                <w:szCs w:val="16"/>
              </w:rPr>
              <w:fldChar w:fldCharType="begin" w:fldLock="1"/>
            </w:r>
            <w:r>
              <w:rPr>
                <w:rFonts w:cs="Times New Roman"/>
                <w:szCs w:val="16"/>
              </w:rPr>
              <w:instrText>ADDIN CSL_CITATION {"citationItems":[{"id":"ITEM-1","itemData":{"DOI":"10.1176/APPI.AJP.163.2.303","ISSN":"0002-953X","PMID":"16449486","abstract":"Objective: Pathological gambling is a disabling disorder experienced by approximately 1%-2% of adults and for which there are few empirically validated treatments. The authors examined the efficacy and tolerability of the opioid antagonist nalmefene in the treatment of adults with pathological gambling. Method: A 16-week, randomized, dose-ranging, double-blind, placebo-controlled trial was conducted at 15 outpatient treatment centers across the United States between March 2002 and April 2003. Two hundred seven persons with DSM-IV pathological gambling were randomly assigned to receive nalmefene (25 mg/day, 50 mg/day, or 100 mg/day) or placebo. Scores on the primary outcome measure (Yale-Brown Obsessive Compulsive Scale Modified for Pathological Gambling) were analyzed by using a linear mixed-effects model. Results: Estimated regression coefficients showed that the 25 mg/day and 50 mg/day nalmefene groups had significantly different scores on the Yale-Brown Obsessive Compulsive Scale Modified for Pathological Gambling, compared to the placebo group. A total of 59.2% of the subjects who received 25 mg/day of nalmefene were rated as \"much improved\" or \"very much improved\" at the last evaluation, compared to 34.0% of those who received placebo. Adverse experiences included nausea, dizziness, and insomnia. Conclusions: Subjects who received nalmefene had a statistically significant reduction in seventy of pathological gambling. Low-dose nalmefene (25 mg/day) appeared efficacious and was associated with few adverse events. Higher doses (50 mg/day and 100 mg/day) resulted in intolerable side effects.","author":[{"dropping-particle":"","family":"Grant","given":"Jon E.","non-dropping-particle":"","parse-names":false,"suffix":""},{"dropping-particle":"","family":"Potenza","given":"Marc N.","non-dropping-particle":"","parse-names":false,"suffix":""},{"dropping-particle":"","family":"Hollander","given":"Eric","non-dropping-particle":"","parse-names":false,"suffix":""},{"dropping-particle":"","family":"Cynningham-Williams","given":"Renee","non-dropping-particle":"","parse-names":false,"suffix":""},{"dropping-particle":"","family":"Nurminen","given":"Tommi","non-dropping-particle":"","parse-names":false,"suffix":""},{"dropping-particle":"","family":"Smits","given":"Gerard","non-dropping-particle":"","parse-names":false,"suffix":""},{"dropping-particle":"","family":"Kallio","given":"Antero","non-dropping-particle":"","parse-names":false,"suffix":""}],"container-title":"The American journal of psychiatry","id":"ITEM-1","issue":"2","issued":{"date-parts":[["2006","2"]]},"page":"303-312","publisher":"Am J Psychiatry","title":"Multicenter investigation of the opioid antagonist nalmefene in the treatment of pathological gambling","type":"article-journal","volume":"163"},"uris":["http://www.mendeley.com/documents/?uuid=c8d41872-6556-39e4-a277-cecd5de3aca2"]}],"mendeley":{"formattedCitation":"(Grant et al., 2006)","plainTextFormattedCitation":"(Grant et al., 2006)","previouslyFormattedCitation":"(Grant et al. 2006)"},"properties":{"noteIndex":0},"schema":"https://github.com/citation-style-language/schema/raw/master/csl-citation.json"}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(Grant et al., 2006)</w:t>
            </w:r>
            <w:r w:rsidRPr="00A97BAE">
              <w:rPr>
                <w:rFonts w:cs="Times New Roman"/>
                <w:szCs w:val="16"/>
              </w:rPr>
              <w:fldChar w:fldCharType="end"/>
            </w:r>
          </w:p>
        </w:tc>
        <w:tc>
          <w:tcPr>
            <w:tcW w:w="503" w:type="dxa"/>
            <w:vAlign w:val="center"/>
          </w:tcPr>
          <w:p w:rsidR="00855E93" w:rsidRPr="00A97BAE" w:rsidRDefault="00855E93" w:rsidP="004E06FA">
            <w:pPr>
              <w:jc w:val="center"/>
              <w:rPr>
                <w:rFonts w:cs="Times New Roman"/>
                <w:szCs w:val="16"/>
              </w:rPr>
            </w:pPr>
            <w:r w:rsidRPr="00A97BAE">
              <w:rPr>
                <w:rFonts w:cs="Times New Roman"/>
                <w:szCs w:val="16"/>
              </w:rPr>
              <w:t>2006</w:t>
            </w:r>
          </w:p>
        </w:tc>
        <w:tc>
          <w:tcPr>
            <w:tcW w:w="692" w:type="dxa"/>
            <w:vAlign w:val="center"/>
          </w:tcPr>
          <w:p w:rsidR="00855E93" w:rsidRPr="00A97BAE" w:rsidRDefault="00855E93" w:rsidP="004E06FA">
            <w:pPr>
              <w:jc w:val="center"/>
              <w:rPr>
                <w:rFonts w:cs="Times New Roman"/>
                <w:szCs w:val="16"/>
              </w:rPr>
            </w:pPr>
            <w:r w:rsidRPr="00A97BAE">
              <w:rPr>
                <w:rFonts w:cs="Times New Roman"/>
                <w:szCs w:val="16"/>
              </w:rPr>
              <w:t>Am J Psychiatry</w:t>
            </w:r>
          </w:p>
        </w:tc>
        <w:tc>
          <w:tcPr>
            <w:tcW w:w="1088" w:type="dxa"/>
            <w:vAlign w:val="center"/>
          </w:tcPr>
          <w:p w:rsidR="00855E93" w:rsidRPr="00A97BAE" w:rsidRDefault="00855E93" w:rsidP="004E06FA">
            <w:pPr>
              <w:jc w:val="center"/>
              <w:rPr>
                <w:rFonts w:cs="Times New Roman"/>
                <w:szCs w:val="16"/>
              </w:rPr>
            </w:pPr>
            <w:r w:rsidRPr="00A97BAE">
              <w:rPr>
                <w:rFonts w:cs="Times New Roman"/>
                <w:szCs w:val="16"/>
              </w:rPr>
              <w:t>Double Blind RCT Parallel design, 4 arms</w:t>
            </w:r>
          </w:p>
        </w:tc>
        <w:tc>
          <w:tcPr>
            <w:tcW w:w="989" w:type="dxa"/>
            <w:vAlign w:val="center"/>
          </w:tcPr>
          <w:p w:rsidR="00855E93" w:rsidRPr="00A97BAE" w:rsidRDefault="00855E93" w:rsidP="004E06FA">
            <w:pPr>
              <w:jc w:val="center"/>
              <w:rPr>
                <w:rFonts w:cs="Times New Roman"/>
                <w:szCs w:val="16"/>
              </w:rPr>
            </w:pPr>
            <w:r w:rsidRPr="00A97BAE">
              <w:rPr>
                <w:rFonts w:cs="Times New Roman"/>
                <w:szCs w:val="16"/>
              </w:rPr>
              <w:t>nalmefene vs. placebo</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156/51</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47</w:t>
            </w:r>
            <w:r>
              <w:rPr>
                <w:rFonts w:cs="Times New Roman"/>
                <w:szCs w:val="16"/>
              </w:rPr>
              <w:t>.</w:t>
            </w:r>
            <w:r w:rsidRPr="00A97BAE">
              <w:rPr>
                <w:rFonts w:cs="Times New Roman"/>
                <w:szCs w:val="16"/>
              </w:rPr>
              <w:t>0 /</w:t>
            </w:r>
          </w:p>
          <w:p w:rsidR="00855E93" w:rsidRPr="00A97BAE" w:rsidRDefault="00855E93" w:rsidP="004E06FA">
            <w:pPr>
              <w:jc w:val="center"/>
              <w:rPr>
                <w:rFonts w:cs="Times New Roman"/>
                <w:szCs w:val="16"/>
              </w:rPr>
            </w:pPr>
            <w:r w:rsidRPr="00A97BAE">
              <w:rPr>
                <w:rFonts w:cs="Times New Roman"/>
                <w:szCs w:val="16"/>
              </w:rPr>
              <w:t>45</w:t>
            </w:r>
            <w:r>
              <w:rPr>
                <w:rFonts w:cs="Times New Roman"/>
                <w:szCs w:val="16"/>
              </w:rPr>
              <w:t>.</w:t>
            </w:r>
            <w:r w:rsidRPr="00A97BAE">
              <w:rPr>
                <w:rFonts w:cs="Times New Roman"/>
                <w:szCs w:val="16"/>
              </w:rPr>
              <w:t>3 /</w:t>
            </w:r>
          </w:p>
          <w:p w:rsidR="00855E93" w:rsidRPr="00A97BAE" w:rsidRDefault="00855E93" w:rsidP="004E06FA">
            <w:pPr>
              <w:jc w:val="center"/>
              <w:rPr>
                <w:rFonts w:cs="Times New Roman"/>
                <w:szCs w:val="16"/>
              </w:rPr>
            </w:pPr>
            <w:r w:rsidRPr="00A97BAE">
              <w:rPr>
                <w:rFonts w:cs="Times New Roman"/>
                <w:szCs w:val="16"/>
              </w:rPr>
              <w:t>44</w:t>
            </w:r>
            <w:r>
              <w:rPr>
                <w:rFonts w:cs="Times New Roman"/>
                <w:szCs w:val="16"/>
              </w:rPr>
              <w:t>.</w:t>
            </w:r>
            <w:r w:rsidRPr="00A97BAE">
              <w:rPr>
                <w:rFonts w:cs="Times New Roman"/>
                <w:szCs w:val="16"/>
              </w:rPr>
              <w:t>9 /</w:t>
            </w:r>
          </w:p>
          <w:p w:rsidR="00855E93" w:rsidRPr="00A97BAE" w:rsidRDefault="00855E93" w:rsidP="004E06FA">
            <w:pPr>
              <w:jc w:val="center"/>
              <w:rPr>
                <w:rFonts w:cs="Times New Roman"/>
                <w:szCs w:val="16"/>
              </w:rPr>
            </w:pPr>
            <w:r w:rsidRPr="00A97BAE">
              <w:rPr>
                <w:rFonts w:cs="Times New Roman"/>
                <w:szCs w:val="16"/>
              </w:rPr>
              <w:t>45</w:t>
            </w:r>
            <w:r>
              <w:rPr>
                <w:rFonts w:cs="Times New Roman"/>
                <w:szCs w:val="16"/>
              </w:rPr>
              <w:t>.</w:t>
            </w:r>
            <w:r w:rsidRPr="00A97BAE">
              <w:rPr>
                <w:rFonts w:cs="Times New Roman"/>
                <w:szCs w:val="16"/>
              </w:rPr>
              <w:t>7/</w:t>
            </w:r>
          </w:p>
          <w:p w:rsidR="00855E93" w:rsidRPr="00A97BAE" w:rsidRDefault="00855E93" w:rsidP="004E06FA">
            <w:pPr>
              <w:jc w:val="center"/>
              <w:rPr>
                <w:rFonts w:cs="Times New Roman"/>
                <w:szCs w:val="16"/>
              </w:rPr>
            </w:pPr>
            <w:r w:rsidRPr="00A97BAE">
              <w:rPr>
                <w:rFonts w:cs="Times New Roman"/>
                <w:szCs w:val="16"/>
              </w:rPr>
              <w:t>46</w:t>
            </w:r>
            <w:r>
              <w:rPr>
                <w:rFonts w:cs="Times New Roman"/>
                <w:szCs w:val="16"/>
              </w:rPr>
              <w:t>.</w:t>
            </w:r>
            <w:r w:rsidRPr="00A97BAE">
              <w:rPr>
                <w:rFonts w:cs="Times New Roman"/>
                <w:szCs w:val="16"/>
              </w:rPr>
              <w:t>3</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54% / 56% / 50% / 67%</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Oral, OD</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25mg</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100mg</w:t>
            </w:r>
          </w:p>
        </w:tc>
        <w:tc>
          <w:tcPr>
            <w:tcW w:w="792" w:type="dxa"/>
            <w:vAlign w:val="center"/>
          </w:tcPr>
          <w:p w:rsidR="00855E93" w:rsidRPr="00A97BAE" w:rsidRDefault="00855E93" w:rsidP="004E06FA">
            <w:pPr>
              <w:jc w:val="center"/>
              <w:rPr>
                <w:rFonts w:cs="Times New Roman"/>
                <w:szCs w:val="16"/>
              </w:rPr>
            </w:pPr>
            <w:r w:rsidRPr="00A97BAE">
              <w:rPr>
                <w:rFonts w:cs="Times New Roman"/>
                <w:szCs w:val="16"/>
              </w:rPr>
              <w:t>16-weeks</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Yes</w:t>
            </w:r>
          </w:p>
        </w:tc>
      </w:tr>
      <w:tr w:rsidR="00855E93" w:rsidRPr="00A97BAE" w:rsidTr="00855E93">
        <w:trPr>
          <w:trHeight w:val="586"/>
        </w:trPr>
        <w:tc>
          <w:tcPr>
            <w:tcW w:w="421" w:type="dxa"/>
            <w:vAlign w:val="center"/>
          </w:tcPr>
          <w:p w:rsidR="00855E93" w:rsidRPr="00A97BAE" w:rsidRDefault="00855E93" w:rsidP="004E06FA">
            <w:pPr>
              <w:jc w:val="center"/>
              <w:rPr>
                <w:rFonts w:cs="Times New Roman"/>
                <w:b/>
                <w:szCs w:val="16"/>
              </w:rPr>
            </w:pPr>
            <w:r w:rsidRPr="00A97BAE">
              <w:rPr>
                <w:rFonts w:cs="Times New Roman"/>
                <w:b/>
                <w:szCs w:val="16"/>
              </w:rPr>
              <w:t>10</w:t>
            </w:r>
          </w:p>
        </w:tc>
        <w:tc>
          <w:tcPr>
            <w:tcW w:w="853" w:type="dxa"/>
            <w:vAlign w:val="center"/>
          </w:tcPr>
          <w:p w:rsidR="00855E93" w:rsidRPr="00A97BAE" w:rsidRDefault="00855E93" w:rsidP="004E06FA">
            <w:pPr>
              <w:jc w:val="center"/>
              <w:rPr>
                <w:rFonts w:cs="Times New Roman"/>
                <w:szCs w:val="16"/>
              </w:rPr>
            </w:pPr>
            <w:r w:rsidRPr="00A97BAE">
              <w:rPr>
                <w:rFonts w:cs="Times New Roman"/>
                <w:szCs w:val="16"/>
              </w:rPr>
              <w:t>Kim et al.</w:t>
            </w:r>
            <w:r w:rsidRPr="00A97BAE">
              <w:rPr>
                <w:rFonts w:cs="Times New Roman"/>
                <w:szCs w:val="16"/>
              </w:rPr>
              <w:fldChar w:fldCharType="begin" w:fldLock="1"/>
            </w:r>
            <w:r>
              <w:rPr>
                <w:rFonts w:cs="Times New Roman"/>
                <w:szCs w:val="16"/>
              </w:rPr>
              <w:instrText>ADDIN CSL_CITATION {"citationItems":[{"id":"ITEM-1","itemData":{"ISSN":"0160-6689","author":[{"dropping-particle":"","family":"Kim","given":"Suck Won","non-dropping-particle":"","parse-names":false,"suffix":""},{"dropping-particle":"","family":"Grant","given":"Jon E.","non-dropping-particle":"","parse-names":false,"suffix":""},{"dropping-particle":"","family":"Adson","given":"David E.","non-dropping-particle":"","parse-names":false,"suffix":""},{"dropping-particle":"","family":"Zaninelli","given":"Rocco","non-dropping-particle":"","parse-names":false,"suffix":""}],"container-title":"The Journal of Clinical Psychiatry","id":"ITEM-1","issue":"6","issued":{"date-parts":[["2002","6","18"]]},"page":"4776","publisher":"Physicians Postgraduate Press, Inc.","title":"A Double-Blind Placebo-Controlled Study of the Efficacy and Safety of Paroxetine in the Treatment of Pathological Gambling","type":"article-journal","volume":"63"},"uris":["http://www.mendeley.com/documents/?uuid=9ffa0283-8731-35dc-961e-2fa1d6b22057"]}],"mendeley":{"formattedCitation":"(Kim, Grant, Adson, &amp; Zaninelli, 2002)","plainTextFormattedCitation":"(Kim, Grant, Adson, &amp; Zaninelli, 2002)","previouslyFormattedCitation":"(Kim et al. 2002)"},"properties":{"noteIndex":0},"schema":"https://github.com/citation-style-language/schema/raw/master/csl-citation.json"}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(Kim, Grant, Adson, &amp; Zaninelli, 2002)</w:t>
            </w:r>
            <w:r w:rsidRPr="00A97BAE">
              <w:rPr>
                <w:rFonts w:cs="Times New Roman"/>
                <w:szCs w:val="16"/>
              </w:rPr>
              <w:fldChar w:fldCharType="end"/>
            </w:r>
          </w:p>
        </w:tc>
        <w:tc>
          <w:tcPr>
            <w:tcW w:w="503" w:type="dxa"/>
            <w:vAlign w:val="center"/>
          </w:tcPr>
          <w:p w:rsidR="00855E93" w:rsidRPr="00A97BAE" w:rsidRDefault="00855E93" w:rsidP="004E06FA">
            <w:pPr>
              <w:jc w:val="center"/>
              <w:rPr>
                <w:rFonts w:cs="Times New Roman"/>
                <w:szCs w:val="16"/>
              </w:rPr>
            </w:pPr>
            <w:r w:rsidRPr="00A97BAE">
              <w:rPr>
                <w:rFonts w:cs="Times New Roman"/>
                <w:szCs w:val="16"/>
              </w:rPr>
              <w:t>2002</w:t>
            </w:r>
          </w:p>
        </w:tc>
        <w:tc>
          <w:tcPr>
            <w:tcW w:w="692" w:type="dxa"/>
            <w:vAlign w:val="center"/>
          </w:tcPr>
          <w:p w:rsidR="00855E93" w:rsidRPr="00A97BAE" w:rsidRDefault="00855E93" w:rsidP="004E06FA">
            <w:pPr>
              <w:jc w:val="center"/>
              <w:rPr>
                <w:rFonts w:cs="Times New Roman"/>
                <w:szCs w:val="16"/>
              </w:rPr>
            </w:pPr>
            <w:r w:rsidRPr="00A97BAE">
              <w:rPr>
                <w:rFonts w:cs="Times New Roman"/>
                <w:szCs w:val="16"/>
              </w:rPr>
              <w:t xml:space="preserve">J </w:t>
            </w:r>
            <w:proofErr w:type="spellStart"/>
            <w:r w:rsidRPr="00A97BAE">
              <w:rPr>
                <w:rFonts w:cs="Times New Roman"/>
                <w:szCs w:val="16"/>
              </w:rPr>
              <w:t>Clin</w:t>
            </w:r>
            <w:proofErr w:type="spellEnd"/>
            <w:r w:rsidRPr="00A97BAE">
              <w:rPr>
                <w:rFonts w:cs="Times New Roman"/>
                <w:szCs w:val="16"/>
              </w:rPr>
              <w:t xml:space="preserve"> Psychiatry</w:t>
            </w:r>
          </w:p>
        </w:tc>
        <w:tc>
          <w:tcPr>
            <w:tcW w:w="1088" w:type="dxa"/>
            <w:vAlign w:val="center"/>
          </w:tcPr>
          <w:p w:rsidR="00855E93" w:rsidRPr="00A97BAE" w:rsidRDefault="00855E93" w:rsidP="004E06FA">
            <w:pPr>
              <w:jc w:val="center"/>
              <w:rPr>
                <w:rFonts w:cs="Times New Roman"/>
                <w:szCs w:val="16"/>
              </w:rPr>
            </w:pPr>
            <w:r w:rsidRPr="00A97BAE">
              <w:rPr>
                <w:rFonts w:cs="Times New Roman"/>
                <w:szCs w:val="16"/>
              </w:rPr>
              <w:t>Double Blind RCT Parallel design, 2 arms</w:t>
            </w:r>
          </w:p>
        </w:tc>
        <w:tc>
          <w:tcPr>
            <w:tcW w:w="989" w:type="dxa"/>
            <w:vAlign w:val="center"/>
          </w:tcPr>
          <w:p w:rsidR="00855E93" w:rsidRPr="00A97BAE" w:rsidRDefault="00855E93" w:rsidP="004E06FA">
            <w:pPr>
              <w:jc w:val="center"/>
              <w:rPr>
                <w:rFonts w:cs="Times New Roman"/>
                <w:szCs w:val="16"/>
              </w:rPr>
            </w:pPr>
            <w:r w:rsidRPr="00A97BAE">
              <w:rPr>
                <w:rFonts w:cs="Times New Roman"/>
                <w:szCs w:val="16"/>
              </w:rPr>
              <w:t>paroxetine vs. placebo</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23/22</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49</w:t>
            </w:r>
            <w:r>
              <w:rPr>
                <w:rFonts w:cs="Times New Roman"/>
                <w:szCs w:val="16"/>
              </w:rPr>
              <w:t>.</w:t>
            </w:r>
            <w:r w:rsidRPr="00A97BAE">
              <w:rPr>
                <w:rFonts w:cs="Times New Roman"/>
                <w:szCs w:val="16"/>
              </w:rPr>
              <w:t>3 /</w:t>
            </w:r>
          </w:p>
          <w:p w:rsidR="00855E93" w:rsidRPr="00A97BAE" w:rsidRDefault="00855E93" w:rsidP="004E06FA">
            <w:pPr>
              <w:jc w:val="center"/>
              <w:rPr>
                <w:rFonts w:cs="Times New Roman"/>
                <w:szCs w:val="16"/>
              </w:rPr>
            </w:pPr>
            <w:r w:rsidRPr="00A97BAE">
              <w:rPr>
                <w:rFonts w:cs="Times New Roman"/>
                <w:szCs w:val="16"/>
              </w:rPr>
              <w:t>49</w:t>
            </w:r>
            <w:r>
              <w:rPr>
                <w:rFonts w:cs="Times New Roman"/>
                <w:szCs w:val="16"/>
              </w:rPr>
              <w:t>.</w:t>
            </w:r>
            <w:r w:rsidRPr="00A97BAE">
              <w:rPr>
                <w:rFonts w:cs="Times New Roman"/>
                <w:szCs w:val="16"/>
              </w:rPr>
              <w:t>3</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43% / 28%</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Oral, flexible</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20mg</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60mg</w:t>
            </w:r>
          </w:p>
        </w:tc>
        <w:tc>
          <w:tcPr>
            <w:tcW w:w="792" w:type="dxa"/>
            <w:vAlign w:val="center"/>
          </w:tcPr>
          <w:p w:rsidR="00855E93" w:rsidRPr="00A97BAE" w:rsidRDefault="00855E93" w:rsidP="004E06FA">
            <w:pPr>
              <w:jc w:val="center"/>
              <w:rPr>
                <w:rFonts w:cs="Times New Roman"/>
                <w:szCs w:val="16"/>
              </w:rPr>
            </w:pPr>
            <w:r w:rsidRPr="00A97BAE">
              <w:rPr>
                <w:rFonts w:cs="Times New Roman"/>
                <w:szCs w:val="16"/>
              </w:rPr>
              <w:t>8-weeks</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Yes</w:t>
            </w:r>
          </w:p>
        </w:tc>
      </w:tr>
      <w:tr w:rsidR="00855E93" w:rsidRPr="00A97BAE" w:rsidTr="00855E93">
        <w:trPr>
          <w:trHeight w:val="586"/>
        </w:trPr>
        <w:tc>
          <w:tcPr>
            <w:tcW w:w="421" w:type="dxa"/>
            <w:vAlign w:val="center"/>
          </w:tcPr>
          <w:p w:rsidR="00855E93" w:rsidRPr="00A97BAE" w:rsidRDefault="00855E93" w:rsidP="004E06FA">
            <w:pPr>
              <w:jc w:val="center"/>
              <w:rPr>
                <w:rFonts w:cs="Times New Roman"/>
                <w:b/>
                <w:szCs w:val="16"/>
              </w:rPr>
            </w:pPr>
            <w:r>
              <w:rPr>
                <w:rFonts w:cs="Times New Roman"/>
                <w:b/>
                <w:szCs w:val="16"/>
              </w:rPr>
              <w:t>11</w:t>
            </w:r>
          </w:p>
        </w:tc>
        <w:tc>
          <w:tcPr>
            <w:tcW w:w="853" w:type="dxa"/>
            <w:vAlign w:val="center"/>
          </w:tcPr>
          <w:p w:rsidR="00855E93" w:rsidRPr="00A97BAE" w:rsidRDefault="00855E93" w:rsidP="004E06FA">
            <w:pPr>
              <w:jc w:val="center"/>
              <w:rPr>
                <w:rFonts w:cs="Times New Roman"/>
                <w:szCs w:val="16"/>
              </w:rPr>
            </w:pPr>
            <w:r w:rsidRPr="00A97BAE">
              <w:rPr>
                <w:rFonts w:cs="Times New Roman"/>
                <w:szCs w:val="16"/>
              </w:rPr>
              <w:t xml:space="preserve">Grant et al. </w:t>
            </w:r>
            <w:r w:rsidRPr="00A97BAE">
              <w:rPr>
                <w:rFonts w:cs="Times New Roman"/>
                <w:szCs w:val="16"/>
              </w:rPr>
              <w:fldChar w:fldCharType="begin" w:fldLock="1"/>
            </w:r>
            <w:r>
              <w:rPr>
                <w:rFonts w:cs="Times New Roman"/>
                <w:szCs w:val="16"/>
              </w:rPr>
              <w:instrText>ADDIN CSL_CITATION {"citationItems":[{"id":"ITEM-1","itemData":{"DOI":"10.1097/00004850-200307000-00007","ISSN":"0268-1315","PMID":"12817159","abstract":"Previous studies have suggested the efficacy of serotonergic agents in the treatment of pathological gambling. The aim of the present study was to determine whether treatment with paroxetine in a large sample of subjects with pathological gambling would effectively diminish the severity of gambling symptoms. A 16-week, double-blind, placebo-controlled trial was conducted at five outpatient academic research centres in two countries (USA and Spain). Seventy-six outpatients (mean age 45.4 ± 10.6 years; 30 women, 46 men) with pathological gambling were randomized to acute treatment with paroxetine in flexible daily dosages of 10-60 mg/day (n=36) or placebo (n=40). The primary outcome measure was the Clinical Global Impressions scale. Both the paroxetine- and the placebo-treated groups demonstrated comparable improvement at 16 weeks (59% response rate in the paroxetine group, 49% rate in the placebo group; chi squared=0.737; d.f.=1; P=0.390). Paroxetine consistently resulted in a greater percentage of responders at each study visit compared to placebo but failed to demonstrate statistical superiority to placebo on scores on the Clinical Global Impressions scale, the Yale-Brown Obsessive-Compulsive Scale Modified for Pathological Gambling, or the Gambling Symptom Assessment Scale. High rates of symptom improvement were observed in pathological gamblers receiving either paroxetine or placebo after 16 weeks. Paroxetine consistently demonstrated an advantage over placebo on the Clinical Global Impressions scale; however, a larger sample size may have registered significant differences. © 2003 Lippincott Williams &amp; Wilkins.","author":[{"dropping-particle":"","family":"Grant","given":"Jon E.","non-dropping-particle":"","parse-names":false,"suffix":""},{"dropping-particle":"","family":"Kim","given":"Suck Won","non-dropping-particle":"","parse-names":false,"suffix":""},{"dropping-particle":"","family":"Potenza","given":"Marc N.","non-dropping-particle":"","parse-names":false,"suffix":""},{"dropping-particle":"","family":"Blanco","given":"Carlos","non-dropping-particle":"","parse-names":false,"suffix":""},{"dropping-particle":"","family":"Ibanez","given":"Angela","non-dropping-particle":"","parse-names":false,"suffix":""},{"dropping-particle":"","family":"Stevens","given":"Lee","non-dropping-particle":"","parse-names":false,"suffix":""},{"dropping-particle":"","family":"Hektner","given":"Joel M.","non-dropping-particle":"","parse-names":false,"suffix":""},{"dropping-particle":"","family":"Zaninelli","given":"Rocco","non-dropping-particle":"","parse-names":false,"suffix":""}],"container-title":"International clinical psychopharmacology","id":"ITEM-1","issue":"4","issued":{"date-parts":[["2003"]]},"page":"243-249","publisher":"Int Clin Psychopharmacol","title":"Paroxetine treatment of pathological gambling: a multi-centre randomized controlled trial","type":"article-journal","volume":"18"},"uris":["http://www.mendeley.com/documents/?uuid=e7b9eb78-94fd-350f-a2d4-559807855d42"]}],"mendeley":{"formattedCitation":"(Grant et al., 2003)","plainTextFormattedCitation":"(Grant et al., 2003)","previouslyFormattedCitation":"(Grant et al. 2003)"},"properties":{"noteIndex":0},"schema":"https://github.com/citation-style-language/schema/raw/master/csl-citation.json"}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(Grant et al., 2003)</w:t>
            </w:r>
            <w:r w:rsidRPr="00A97BAE">
              <w:rPr>
                <w:rFonts w:cs="Times New Roman"/>
                <w:szCs w:val="16"/>
              </w:rPr>
              <w:fldChar w:fldCharType="end"/>
            </w:r>
          </w:p>
        </w:tc>
        <w:tc>
          <w:tcPr>
            <w:tcW w:w="503" w:type="dxa"/>
            <w:vAlign w:val="center"/>
          </w:tcPr>
          <w:p w:rsidR="00855E93" w:rsidRPr="00A97BAE" w:rsidRDefault="00855E93" w:rsidP="004E06FA">
            <w:pPr>
              <w:jc w:val="center"/>
              <w:rPr>
                <w:rFonts w:cs="Times New Roman"/>
                <w:szCs w:val="16"/>
              </w:rPr>
            </w:pPr>
            <w:r w:rsidRPr="00A97BAE">
              <w:rPr>
                <w:rFonts w:cs="Times New Roman"/>
                <w:szCs w:val="16"/>
              </w:rPr>
              <w:t>2003</w:t>
            </w:r>
          </w:p>
        </w:tc>
        <w:tc>
          <w:tcPr>
            <w:tcW w:w="692" w:type="dxa"/>
            <w:vAlign w:val="center"/>
          </w:tcPr>
          <w:p w:rsidR="00855E93" w:rsidRPr="00A97BAE" w:rsidRDefault="00855E93" w:rsidP="004E06FA">
            <w:pPr>
              <w:jc w:val="center"/>
              <w:rPr>
                <w:rFonts w:cs="Times New Roman"/>
                <w:szCs w:val="16"/>
              </w:rPr>
            </w:pPr>
            <w:proofErr w:type="spellStart"/>
            <w:r w:rsidRPr="00A97BAE">
              <w:rPr>
                <w:rFonts w:cs="Times New Roman"/>
                <w:szCs w:val="16"/>
              </w:rPr>
              <w:t>Int</w:t>
            </w:r>
            <w:proofErr w:type="spellEnd"/>
            <w:r w:rsidRPr="00A97BAE">
              <w:rPr>
                <w:rFonts w:cs="Times New Roman"/>
                <w:szCs w:val="16"/>
              </w:rPr>
              <w:t xml:space="preserve"> </w:t>
            </w:r>
            <w:proofErr w:type="spellStart"/>
            <w:r w:rsidRPr="00A97BAE">
              <w:rPr>
                <w:rFonts w:cs="Times New Roman"/>
                <w:szCs w:val="16"/>
              </w:rPr>
              <w:t>Clin</w:t>
            </w:r>
            <w:proofErr w:type="spellEnd"/>
            <w:r w:rsidRPr="00A97BAE">
              <w:rPr>
                <w:rFonts w:cs="Times New Roman"/>
                <w:szCs w:val="16"/>
              </w:rPr>
              <w:t xml:space="preserve"> </w:t>
            </w:r>
            <w:proofErr w:type="spellStart"/>
            <w:r w:rsidRPr="00A97BAE">
              <w:rPr>
                <w:rFonts w:cs="Times New Roman"/>
                <w:szCs w:val="16"/>
              </w:rPr>
              <w:t>Psychopharmacol</w:t>
            </w:r>
            <w:proofErr w:type="spellEnd"/>
          </w:p>
        </w:tc>
        <w:tc>
          <w:tcPr>
            <w:tcW w:w="1088" w:type="dxa"/>
            <w:vAlign w:val="center"/>
          </w:tcPr>
          <w:p w:rsidR="00855E93" w:rsidRPr="00A97BAE" w:rsidRDefault="00855E93" w:rsidP="004E06FA">
            <w:pPr>
              <w:jc w:val="center"/>
              <w:rPr>
                <w:rFonts w:cs="Times New Roman"/>
                <w:szCs w:val="16"/>
              </w:rPr>
            </w:pPr>
            <w:r w:rsidRPr="00A97BAE">
              <w:rPr>
                <w:rFonts w:cs="Times New Roman"/>
                <w:szCs w:val="16"/>
              </w:rPr>
              <w:t>Double Blind RCT Parallel design, 2 arms</w:t>
            </w:r>
          </w:p>
        </w:tc>
        <w:tc>
          <w:tcPr>
            <w:tcW w:w="989" w:type="dxa"/>
            <w:vAlign w:val="center"/>
          </w:tcPr>
          <w:p w:rsidR="00855E93" w:rsidRPr="00A97BAE" w:rsidRDefault="00855E93" w:rsidP="004E06FA">
            <w:pPr>
              <w:jc w:val="center"/>
              <w:rPr>
                <w:rFonts w:cs="Times New Roman"/>
                <w:szCs w:val="16"/>
              </w:rPr>
            </w:pPr>
            <w:r w:rsidRPr="00A97BAE">
              <w:rPr>
                <w:rFonts w:cs="Times New Roman"/>
                <w:szCs w:val="16"/>
              </w:rPr>
              <w:t>paroxetine vs. placebo</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36/40</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47</w:t>
            </w:r>
            <w:r>
              <w:rPr>
                <w:rFonts w:cs="Times New Roman"/>
                <w:szCs w:val="16"/>
              </w:rPr>
              <w:t>.</w:t>
            </w:r>
            <w:r w:rsidRPr="00A97BAE">
              <w:rPr>
                <w:rFonts w:cs="Times New Roman"/>
                <w:szCs w:val="16"/>
              </w:rPr>
              <w:t>0 /</w:t>
            </w:r>
          </w:p>
          <w:p w:rsidR="00855E93" w:rsidRPr="00A97BAE" w:rsidRDefault="00855E93" w:rsidP="004E06FA">
            <w:pPr>
              <w:jc w:val="center"/>
              <w:rPr>
                <w:rFonts w:cs="Times New Roman"/>
                <w:szCs w:val="16"/>
              </w:rPr>
            </w:pPr>
            <w:r w:rsidRPr="00A97BAE">
              <w:rPr>
                <w:rFonts w:cs="Times New Roman"/>
                <w:szCs w:val="16"/>
              </w:rPr>
              <w:t>42</w:t>
            </w:r>
            <w:r>
              <w:rPr>
                <w:rFonts w:cs="Times New Roman"/>
                <w:szCs w:val="16"/>
              </w:rPr>
              <w:t>.</w:t>
            </w:r>
            <w:r w:rsidRPr="00A97BAE">
              <w:rPr>
                <w:rFonts w:cs="Times New Roman"/>
                <w:szCs w:val="16"/>
              </w:rPr>
              <w:t>0</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44% / 75%</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Oral, flexible</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10mg</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60mg</w:t>
            </w:r>
          </w:p>
        </w:tc>
        <w:tc>
          <w:tcPr>
            <w:tcW w:w="792" w:type="dxa"/>
            <w:vAlign w:val="center"/>
          </w:tcPr>
          <w:p w:rsidR="00855E93" w:rsidRPr="00A97BAE" w:rsidRDefault="00855E93" w:rsidP="004E06FA">
            <w:pPr>
              <w:jc w:val="center"/>
              <w:rPr>
                <w:rFonts w:cs="Times New Roman"/>
                <w:szCs w:val="16"/>
              </w:rPr>
            </w:pPr>
            <w:r w:rsidRPr="00A97BAE">
              <w:rPr>
                <w:rFonts w:cs="Times New Roman"/>
                <w:szCs w:val="16"/>
              </w:rPr>
              <w:t>16-weeks</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Yes</w:t>
            </w:r>
          </w:p>
        </w:tc>
      </w:tr>
      <w:tr w:rsidR="00855E93" w:rsidRPr="00A97BAE" w:rsidTr="00855E93">
        <w:trPr>
          <w:trHeight w:val="586"/>
        </w:trPr>
        <w:tc>
          <w:tcPr>
            <w:tcW w:w="421" w:type="dxa"/>
            <w:vAlign w:val="center"/>
          </w:tcPr>
          <w:p w:rsidR="00855E93" w:rsidRPr="00A97BAE" w:rsidRDefault="00855E93" w:rsidP="004E06FA">
            <w:pPr>
              <w:jc w:val="center"/>
              <w:rPr>
                <w:rFonts w:cs="Times New Roman"/>
                <w:b/>
                <w:szCs w:val="16"/>
              </w:rPr>
            </w:pPr>
            <w:r>
              <w:rPr>
                <w:rFonts w:cs="Times New Roman"/>
                <w:b/>
                <w:szCs w:val="16"/>
              </w:rPr>
              <w:t>12</w:t>
            </w:r>
          </w:p>
        </w:tc>
        <w:tc>
          <w:tcPr>
            <w:tcW w:w="853" w:type="dxa"/>
            <w:vAlign w:val="center"/>
          </w:tcPr>
          <w:p w:rsidR="00855E93" w:rsidRPr="00A97BAE" w:rsidRDefault="00855E93" w:rsidP="004E06FA">
            <w:pPr>
              <w:jc w:val="center"/>
              <w:rPr>
                <w:rFonts w:cs="Times New Roman"/>
                <w:szCs w:val="16"/>
              </w:rPr>
            </w:pPr>
            <w:r w:rsidRPr="00A97BAE">
              <w:rPr>
                <w:rFonts w:cs="Times New Roman"/>
                <w:szCs w:val="16"/>
              </w:rPr>
              <w:t>Kim et al.</w:t>
            </w:r>
            <w:r w:rsidRPr="00A97BAE">
              <w:rPr>
                <w:rFonts w:cs="Times New Roman"/>
                <w:szCs w:val="16"/>
              </w:rPr>
              <w:fldChar w:fldCharType="begin" w:fldLock="1"/>
            </w:r>
            <w:r>
              <w:rPr>
                <w:rFonts w:cs="Times New Roman"/>
                <w:szCs w:val="16"/>
              </w:rPr>
              <w:instrText>ADDIN CSL_CITATION {"citationItems":[{"id":"ITEM-1","itemData":{"DOI":"10.1016/S0006-3223(01)01079-4","ISSN":"0006-3223","PMID":"11377409","abstract":"Background: The authors' goal was to assess the efficacy and tolerability of naltrexone in the treatment of pathologic gambling disorder. Methods: Eighty-three subjects who met criteria for DSM-IV pathologic gambling disorder were enrolled in a 1-week single-blind placebo lead-in followed by an 11-week double-blind naltrexone or placebo trial. Naltrexone was started at 25 mg/day and titrated upward until maximum symptom improvement or 250 mg/day was achieved. Gambling symptom change was assessed with the patient-rated Clinical Global Impression (PG-CGI-PT), clinician-rated CGI (PG-CGI-MD), and the Gambling Symptom Rating Scale (G-SAS). Side effects were monitored weekly and liver function tests biweekly. Results: Data from 45 patients were analyzed. Using random regression analysis, significant improvement was noted in all three gambling symptom measures: patient-rated Clinical Global Impression, p &lt; .001; clinician-rated CGI, p &lt; .001; Gambling Symptom Rating Scale, p &lt; .019. At study end, 75% of subjects taking naltrexone were much or very much improved on both the PE-CEI PT and the PG-CGI-MD, compared with only 24% of those on placebo. Elevated liver enzymes occurred in four subjects who were taking analgesics concurrently. Nausea was common during the first week of treatment. Conclusions: Results suggest that naltrexone is effective in reducing the symptoms of pathologic gambling. Until further studies corroborate the present findings, our report should be interpreted cautiously. © 2001 Society of Biological Psychiatry.","author":[{"dropping-particle":"","family":"Kim","given":"Suck Won","non-dropping-particle":"","parse-names":false,"suffix":""},{"dropping-particle":"","family":"Grant","given":"Jon E.","non-dropping-particle":"","parse-names":false,"suffix":""},{"dropping-particle":"","family":"Adson","given":"David E.","non-dropping-particle":"","parse-names":false,"suffix":""},{"dropping-particle":"","family":"Shin","given":"Young Chul","non-dropping-particle":"","parse-names":false,"suffix":""}],"container-title":"Biological psychiatry","id":"ITEM-1","issue":"11","issued":{"date-parts":[["2001","6","1"]]},"page":"914-921","publisher":"Biol Psychiatry","title":"Double-blind naltrexone and placebo comparison study in the treatment of pathological gambling","type":"article-journal","volume":"49"},"uris":["http://www.mendeley.com/documents/?uuid=13b2f173-5486-302e-b394-79c228750fa4"]}],"mendeley":{"formattedCitation":"(Kim, Grant, Adson, &amp; Shin, 2001)","plainTextFormattedCitation":"(Kim, Grant, Adson, &amp; Shin, 2001)","previouslyFormattedCitation":"(Kim et al. 2001)"},"properties":{"noteIndex":0},"schema":"https://github.com/citation-style-language/schema/raw/master/csl-citation.json"}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 xml:space="preserve">(Kim, Grant, </w:t>
            </w:r>
            <w:r w:rsidRPr="007626CA">
              <w:rPr>
                <w:rFonts w:cs="Times New Roman"/>
                <w:noProof/>
                <w:szCs w:val="16"/>
              </w:rPr>
              <w:lastRenderedPageBreak/>
              <w:t>Adson, &amp; Shin, 2001)</w:t>
            </w:r>
            <w:r w:rsidRPr="00A97BAE">
              <w:rPr>
                <w:rFonts w:cs="Times New Roman"/>
                <w:szCs w:val="16"/>
              </w:rPr>
              <w:fldChar w:fldCharType="end"/>
            </w:r>
          </w:p>
        </w:tc>
        <w:tc>
          <w:tcPr>
            <w:tcW w:w="503" w:type="dxa"/>
            <w:vAlign w:val="center"/>
          </w:tcPr>
          <w:p w:rsidR="00855E93" w:rsidRPr="00A97BAE" w:rsidRDefault="00855E93" w:rsidP="004E06FA">
            <w:pPr>
              <w:jc w:val="center"/>
              <w:rPr>
                <w:rFonts w:cs="Times New Roman"/>
                <w:szCs w:val="16"/>
              </w:rPr>
            </w:pPr>
            <w:r w:rsidRPr="00A97BAE">
              <w:rPr>
                <w:rFonts w:cs="Times New Roman"/>
                <w:szCs w:val="16"/>
              </w:rPr>
              <w:lastRenderedPageBreak/>
              <w:t>2001</w:t>
            </w:r>
          </w:p>
        </w:tc>
        <w:tc>
          <w:tcPr>
            <w:tcW w:w="692" w:type="dxa"/>
            <w:vAlign w:val="center"/>
          </w:tcPr>
          <w:p w:rsidR="00855E93" w:rsidRPr="00A97BAE" w:rsidRDefault="00855E93" w:rsidP="004E06FA">
            <w:pPr>
              <w:jc w:val="center"/>
              <w:rPr>
                <w:rFonts w:cs="Times New Roman"/>
                <w:szCs w:val="16"/>
              </w:rPr>
            </w:pPr>
            <w:proofErr w:type="spellStart"/>
            <w:r w:rsidRPr="00A97BAE">
              <w:rPr>
                <w:rFonts w:cs="Times New Roman"/>
                <w:szCs w:val="16"/>
              </w:rPr>
              <w:t>Biol</w:t>
            </w:r>
            <w:proofErr w:type="spellEnd"/>
            <w:r w:rsidRPr="00A97BAE">
              <w:rPr>
                <w:rFonts w:cs="Times New Roman"/>
                <w:szCs w:val="16"/>
              </w:rPr>
              <w:t xml:space="preserve"> Psychiatry</w:t>
            </w:r>
          </w:p>
        </w:tc>
        <w:tc>
          <w:tcPr>
            <w:tcW w:w="1088" w:type="dxa"/>
            <w:vAlign w:val="center"/>
          </w:tcPr>
          <w:p w:rsidR="00855E93" w:rsidRPr="00A97BAE" w:rsidRDefault="00855E93" w:rsidP="004E06FA">
            <w:pPr>
              <w:jc w:val="center"/>
              <w:rPr>
                <w:rFonts w:cs="Times New Roman"/>
                <w:szCs w:val="16"/>
              </w:rPr>
            </w:pPr>
            <w:r w:rsidRPr="00A97BAE">
              <w:rPr>
                <w:rFonts w:cs="Times New Roman"/>
                <w:szCs w:val="16"/>
              </w:rPr>
              <w:t xml:space="preserve">Double Blind RCT Parallel </w:t>
            </w:r>
            <w:r w:rsidRPr="00A97BAE">
              <w:rPr>
                <w:rFonts w:cs="Times New Roman"/>
                <w:szCs w:val="16"/>
              </w:rPr>
              <w:lastRenderedPageBreak/>
              <w:t>design, 2 arms</w:t>
            </w:r>
          </w:p>
        </w:tc>
        <w:tc>
          <w:tcPr>
            <w:tcW w:w="989" w:type="dxa"/>
            <w:vAlign w:val="center"/>
          </w:tcPr>
          <w:p w:rsidR="00855E93" w:rsidRPr="00A97BAE" w:rsidRDefault="00855E93" w:rsidP="004E06FA">
            <w:pPr>
              <w:jc w:val="center"/>
              <w:rPr>
                <w:rFonts w:cs="Times New Roman"/>
                <w:szCs w:val="16"/>
              </w:rPr>
            </w:pPr>
            <w:r w:rsidRPr="00A97BAE">
              <w:rPr>
                <w:rFonts w:cs="Times New Roman"/>
                <w:szCs w:val="16"/>
              </w:rPr>
              <w:lastRenderedPageBreak/>
              <w:t>naltrexone vs. placebo</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20/25</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48</w:t>
            </w:r>
            <w:r>
              <w:rPr>
                <w:rFonts w:cs="Times New Roman"/>
                <w:szCs w:val="16"/>
              </w:rPr>
              <w:t>.</w:t>
            </w:r>
            <w:r w:rsidRPr="00A97BAE">
              <w:rPr>
                <w:rFonts w:cs="Times New Roman"/>
                <w:szCs w:val="16"/>
              </w:rPr>
              <w:t>0 /</w:t>
            </w:r>
          </w:p>
          <w:p w:rsidR="00855E93" w:rsidRPr="00A97BAE" w:rsidRDefault="00855E93" w:rsidP="004E06FA">
            <w:pPr>
              <w:jc w:val="center"/>
              <w:rPr>
                <w:rFonts w:cs="Times New Roman"/>
                <w:szCs w:val="16"/>
              </w:rPr>
            </w:pPr>
            <w:r w:rsidRPr="00A97BAE">
              <w:rPr>
                <w:rFonts w:cs="Times New Roman"/>
                <w:szCs w:val="16"/>
              </w:rPr>
              <w:t>49</w:t>
            </w:r>
            <w:r>
              <w:rPr>
                <w:rFonts w:cs="Times New Roman"/>
                <w:szCs w:val="16"/>
              </w:rPr>
              <w:t>.</w:t>
            </w:r>
            <w:r w:rsidRPr="00A97BAE">
              <w:rPr>
                <w:rFonts w:cs="Times New Roman"/>
                <w:szCs w:val="16"/>
              </w:rPr>
              <w:t>0</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30% / 40%</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Oral, flexible</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25mg</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250mg</w:t>
            </w:r>
          </w:p>
        </w:tc>
        <w:tc>
          <w:tcPr>
            <w:tcW w:w="792" w:type="dxa"/>
            <w:vAlign w:val="center"/>
          </w:tcPr>
          <w:p w:rsidR="00855E93" w:rsidRPr="00A97BAE" w:rsidRDefault="00855E93" w:rsidP="004E06FA">
            <w:pPr>
              <w:jc w:val="center"/>
              <w:rPr>
                <w:rFonts w:cs="Times New Roman"/>
                <w:szCs w:val="16"/>
              </w:rPr>
            </w:pPr>
            <w:r w:rsidRPr="00A97BAE">
              <w:rPr>
                <w:rFonts w:cs="Times New Roman"/>
                <w:szCs w:val="16"/>
              </w:rPr>
              <w:t>11-weeks</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No</w:t>
            </w:r>
          </w:p>
        </w:tc>
      </w:tr>
      <w:tr w:rsidR="00855E93" w:rsidRPr="00A97BAE" w:rsidTr="00855E93">
        <w:trPr>
          <w:trHeight w:val="780"/>
        </w:trPr>
        <w:tc>
          <w:tcPr>
            <w:tcW w:w="421" w:type="dxa"/>
            <w:vAlign w:val="center"/>
          </w:tcPr>
          <w:p w:rsidR="00855E93" w:rsidRPr="00A97BAE" w:rsidRDefault="00855E93" w:rsidP="004E06FA">
            <w:pPr>
              <w:jc w:val="center"/>
              <w:rPr>
                <w:rFonts w:cs="Times New Roman"/>
                <w:b/>
                <w:szCs w:val="16"/>
              </w:rPr>
            </w:pPr>
            <w:r>
              <w:rPr>
                <w:rFonts w:cs="Times New Roman"/>
                <w:b/>
                <w:szCs w:val="16"/>
              </w:rPr>
              <w:lastRenderedPageBreak/>
              <w:t>13</w:t>
            </w:r>
          </w:p>
        </w:tc>
        <w:tc>
          <w:tcPr>
            <w:tcW w:w="853" w:type="dxa"/>
            <w:vAlign w:val="center"/>
          </w:tcPr>
          <w:p w:rsidR="00855E93" w:rsidRPr="00A97BAE" w:rsidRDefault="00855E93" w:rsidP="004E06FA">
            <w:pPr>
              <w:jc w:val="center"/>
              <w:rPr>
                <w:rFonts w:cs="Times New Roman"/>
                <w:szCs w:val="16"/>
              </w:rPr>
            </w:pPr>
            <w:r w:rsidRPr="00A97BAE">
              <w:rPr>
                <w:rFonts w:cs="Times New Roman"/>
                <w:szCs w:val="16"/>
              </w:rPr>
              <w:t xml:space="preserve">Hollander et al. </w:t>
            </w:r>
            <w:r w:rsidRPr="00A97BAE">
              <w:rPr>
                <w:rFonts w:cs="Times New Roman"/>
                <w:szCs w:val="16"/>
              </w:rPr>
              <w:fldChar w:fldCharType="begin" w:fldLock="1"/>
            </w:r>
            <w:r>
              <w:rPr>
                <w:rFonts w:cs="Times New Roman"/>
                <w:szCs w:val="16"/>
              </w:rPr>
              <w:instrText>ADDIN CSL_CITATION {"citationItems":[{"id":"ITEM-1","itemData":{"DOI":"10.1016/S0006-3223(00)00241-9","ISSN":"0006-3223","PMID":"10812040","abstract":"Background: The study assessed the efficacy and tolerability of the selective serotonin reuptake inhibitor (SSRI) fluvoxamine in the treatment of pathologic gambling (PG). Methods: A 16-week randomized double-blind crossover design insured that each subject received 8 weeks of fluvoxamine and 8 weeks of a placebo. Fifteen patients entered and 10 subjects, all male, completed the study. Results: Fluvoxamine resulted in a significantly greater percent improvement in overall gambling severity on the PG Clinical Global Impression (PG-CGI) scale. There was a significant drug effect on gambling urge and behavior as measured by the PG modification of the Yale-Brown Obsessive Compulsive Scale and PG-CGI scale improvement scores; however, there was a significant interaction of drug effect with the order of administration of drug and placebo. Post hoc analysis, treating each phase as a separate trial, demonstrated a significant difference between fluvoxamine and the placebo in the second phase of the trial but not in the first. Fluvoxamine side effects were of only mild intensity and consistent with SSRI treatment and were not associated with early withdrawal from the study. Conclusions: These findings suggest that fluvoxamine is well tolerated and may be effective in the treatment of PG in an acute trial, and that an early placebo effect in PG treatment appears to diminish over time. To confirm this finding and to determine whether improvement persists over an extended period of time, a longer duration parallel-design trial with long-term maintenance follow-up should be conducted in a larger and more diverse PG population. (C) 2000 Society of Biological Psychiatry.","author":[{"dropping-particle":"","family":"Hollander","given":"Eric","non-dropping-particle":"","parse-names":false,"suffix":""},{"dropping-particle":"","family":"Decaria","given":"Concetta M.","non-dropping-particle":"","parse-names":false,"suffix":""},{"dropping-particle":"","family":"Finkell","given":"Jared N.","non-dropping-particle":"","parse-names":false,"suffix":""},{"dropping-particle":"","family":"Begaz","given":"Tomer","non-dropping-particle":"","parse-names":false,"suffix":""},{"dropping-particle":"","family":"Wong","given":"Cheryl M.","non-dropping-particle":"","parse-names":false,"suffix":""},{"dropping-particle":"","family":"Cartwright","given":"Charles","non-dropping-particle":"","parse-names":false,"suffix":""}],"container-title":"Biological psychiatry","id":"ITEM-1","issue":"9","issued":{"date-parts":[["2000","5","1"]]},"page":"813-817","publisher":"Biol Psychiatry","title":"A randomized double-blind fluvoxamine/placebo crossover trial in pathologic gambling","type":"article-journal","volume":"47"},"uris":["http://www.mendeley.com/documents/?uuid=21f63e36-301a-3218-9986-0bf840a03743"]}],"mendeley":{"formattedCitation":"(Eric Hollander et al., 2000)","plainTextFormattedCitation":"(Eric Hollander et al., 2000)","previouslyFormattedCitation":"(Eric Hollander et al. 2000)"},"properties":{"noteIndex":0},"schema":"https://github.com/citation-style-language/schema/raw/master/csl-citation.json"}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(Eric Hollander et al., 2000)</w:t>
            </w:r>
            <w:r w:rsidRPr="00A97BAE">
              <w:rPr>
                <w:rFonts w:cs="Times New Roman"/>
                <w:szCs w:val="16"/>
              </w:rPr>
              <w:fldChar w:fldCharType="end"/>
            </w:r>
          </w:p>
        </w:tc>
        <w:tc>
          <w:tcPr>
            <w:tcW w:w="503" w:type="dxa"/>
            <w:vAlign w:val="center"/>
          </w:tcPr>
          <w:p w:rsidR="00855E93" w:rsidRPr="00A97BAE" w:rsidRDefault="00855E93" w:rsidP="004E06FA">
            <w:pPr>
              <w:jc w:val="center"/>
              <w:rPr>
                <w:rFonts w:cs="Times New Roman"/>
                <w:szCs w:val="16"/>
              </w:rPr>
            </w:pPr>
            <w:r w:rsidRPr="00A97BAE">
              <w:rPr>
                <w:rFonts w:cs="Times New Roman"/>
                <w:szCs w:val="16"/>
              </w:rPr>
              <w:t>2000</w:t>
            </w:r>
          </w:p>
        </w:tc>
        <w:tc>
          <w:tcPr>
            <w:tcW w:w="692" w:type="dxa"/>
            <w:vAlign w:val="center"/>
          </w:tcPr>
          <w:p w:rsidR="00855E93" w:rsidRPr="00A97BAE" w:rsidRDefault="00855E93" w:rsidP="004E06FA">
            <w:pPr>
              <w:jc w:val="center"/>
              <w:rPr>
                <w:rFonts w:cs="Times New Roman"/>
                <w:szCs w:val="16"/>
              </w:rPr>
            </w:pPr>
            <w:proofErr w:type="spellStart"/>
            <w:r w:rsidRPr="00A97BAE">
              <w:rPr>
                <w:rFonts w:cs="Times New Roman"/>
                <w:szCs w:val="16"/>
              </w:rPr>
              <w:t>Biol</w:t>
            </w:r>
            <w:proofErr w:type="spellEnd"/>
            <w:r w:rsidRPr="00A97BAE">
              <w:rPr>
                <w:rFonts w:cs="Times New Roman"/>
                <w:szCs w:val="16"/>
              </w:rPr>
              <w:t xml:space="preserve"> Psychiatry</w:t>
            </w:r>
          </w:p>
        </w:tc>
        <w:tc>
          <w:tcPr>
            <w:tcW w:w="1088" w:type="dxa"/>
            <w:vAlign w:val="center"/>
          </w:tcPr>
          <w:p w:rsidR="00855E93" w:rsidRPr="00A97BAE" w:rsidRDefault="00855E93" w:rsidP="004E06FA">
            <w:pPr>
              <w:jc w:val="center"/>
              <w:rPr>
                <w:rFonts w:cs="Times New Roman"/>
                <w:szCs w:val="16"/>
              </w:rPr>
            </w:pPr>
            <w:r w:rsidRPr="00A97BAE">
              <w:rPr>
                <w:rFonts w:cs="Times New Roman"/>
                <w:szCs w:val="16"/>
              </w:rPr>
              <w:t>Double Blind RCT Cross-over design, 2 arms</w:t>
            </w:r>
          </w:p>
        </w:tc>
        <w:tc>
          <w:tcPr>
            <w:tcW w:w="989" w:type="dxa"/>
            <w:vAlign w:val="center"/>
          </w:tcPr>
          <w:p w:rsidR="00855E93" w:rsidRPr="00A97BAE" w:rsidRDefault="00855E93" w:rsidP="004E06FA">
            <w:pPr>
              <w:jc w:val="center"/>
              <w:rPr>
                <w:rFonts w:cs="Times New Roman"/>
                <w:szCs w:val="16"/>
              </w:rPr>
            </w:pPr>
            <w:r w:rsidRPr="00A97BAE">
              <w:rPr>
                <w:rFonts w:cs="Times New Roman"/>
                <w:szCs w:val="16"/>
              </w:rPr>
              <w:t>fluvoxamine vs. placebo</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6/7</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43</w:t>
            </w:r>
            <w:r>
              <w:rPr>
                <w:rFonts w:cs="Times New Roman"/>
                <w:szCs w:val="16"/>
              </w:rPr>
              <w:t>.</w:t>
            </w:r>
            <w:r w:rsidRPr="00A97BAE">
              <w:rPr>
                <w:rFonts w:cs="Times New Roman"/>
                <w:szCs w:val="16"/>
              </w:rPr>
              <w:t>0 /</w:t>
            </w:r>
          </w:p>
          <w:p w:rsidR="00855E93" w:rsidRPr="00A97BAE" w:rsidRDefault="00855E93" w:rsidP="004E06FA">
            <w:pPr>
              <w:jc w:val="center"/>
              <w:rPr>
                <w:rFonts w:cs="Times New Roman"/>
                <w:szCs w:val="16"/>
              </w:rPr>
            </w:pPr>
            <w:r w:rsidRPr="00A97BAE">
              <w:rPr>
                <w:rFonts w:cs="Times New Roman"/>
                <w:szCs w:val="16"/>
              </w:rPr>
              <w:t>36</w:t>
            </w:r>
            <w:r>
              <w:rPr>
                <w:rFonts w:cs="Times New Roman"/>
                <w:szCs w:val="16"/>
              </w:rPr>
              <w:t>.2</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100% / 100%</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Oral, fixed &amp; cross-over</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50mg</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250mg</w:t>
            </w:r>
          </w:p>
        </w:tc>
        <w:tc>
          <w:tcPr>
            <w:tcW w:w="792" w:type="dxa"/>
            <w:vAlign w:val="center"/>
          </w:tcPr>
          <w:p w:rsidR="00855E93" w:rsidRPr="00A97BAE" w:rsidRDefault="00855E93" w:rsidP="004E06FA">
            <w:pPr>
              <w:jc w:val="center"/>
              <w:rPr>
                <w:rFonts w:cs="Times New Roman"/>
                <w:szCs w:val="16"/>
              </w:rPr>
            </w:pPr>
            <w:r w:rsidRPr="00A97BAE">
              <w:rPr>
                <w:rFonts w:cs="Times New Roman"/>
                <w:szCs w:val="16"/>
              </w:rPr>
              <w:t>8-weeks</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Yes</w:t>
            </w:r>
          </w:p>
        </w:tc>
      </w:tr>
      <w:tr w:rsidR="00855E93" w:rsidRPr="00A97BAE" w:rsidTr="00855E93">
        <w:trPr>
          <w:trHeight w:val="780"/>
        </w:trPr>
        <w:tc>
          <w:tcPr>
            <w:tcW w:w="421" w:type="dxa"/>
            <w:vAlign w:val="center"/>
          </w:tcPr>
          <w:p w:rsidR="00855E93" w:rsidRPr="00A97BAE" w:rsidRDefault="00855E93" w:rsidP="004E06FA">
            <w:pPr>
              <w:jc w:val="center"/>
              <w:rPr>
                <w:rFonts w:cs="Times New Roman"/>
                <w:b/>
                <w:szCs w:val="16"/>
              </w:rPr>
            </w:pPr>
            <w:r>
              <w:rPr>
                <w:rFonts w:cs="Times New Roman"/>
                <w:b/>
                <w:szCs w:val="16"/>
              </w:rPr>
              <w:t>14</w:t>
            </w:r>
          </w:p>
        </w:tc>
        <w:tc>
          <w:tcPr>
            <w:tcW w:w="853" w:type="dxa"/>
            <w:vAlign w:val="center"/>
          </w:tcPr>
          <w:p w:rsidR="00855E93" w:rsidRPr="00A97BAE" w:rsidRDefault="00855E93" w:rsidP="004E06FA">
            <w:pPr>
              <w:jc w:val="center"/>
              <w:rPr>
                <w:rFonts w:cs="Times New Roman"/>
                <w:szCs w:val="16"/>
              </w:rPr>
            </w:pPr>
            <w:r w:rsidRPr="00A97BAE">
              <w:rPr>
                <w:rFonts w:cs="Times New Roman"/>
                <w:szCs w:val="16"/>
              </w:rPr>
              <w:t>Grant et al.</w:t>
            </w:r>
            <w:r w:rsidRPr="00A97BAE">
              <w:rPr>
                <w:rFonts w:cs="Times New Roman"/>
                <w:szCs w:val="16"/>
              </w:rPr>
              <w:fldChar w:fldCharType="begin" w:fldLock="1"/>
            </w:r>
            <w:r>
              <w:rPr>
                <w:rFonts w:cs="Times New Roman"/>
                <w:szCs w:val="16"/>
              </w:rPr>
              <w:instrText>ADDIN CSL_CITATION {"citationItems":[{"id":"ITEM-1","itemData":{"DOI":"10.4088/JCP.13M08411","ISSN":"1555-2101","PMID":"24345329","abstract":"Objective: Pathological gambling is associated with elevated proportions of nicotine dependence, and tobacco smoking in pathological gamblers has been associated with increased problem-gambling severity. This study examined the addition of N-acetylcysteine to imaginal desensitization in adults with co-occurring nicotine dependence and pathological gambling. Method: Twenty-eight individuals with cooccurring DSM-IV nicotine dependence and pathological gambling who were receiving behavioral therapy were recruited from December 2009 to February 2012 and randomized to augmentation with N-acetylcysteine or placebo in an 12-week, double-blind trial. Subjects were assessed with measures of nicotine and gambling severity and followed for 3 months after treatment. The primary outcomes were the Fagerström Test for Nicotine Dependence and the pathological gambling adaptation of the Yale- Brown Obsessive-Compulsive Scale. Results: During the first 6 weeks, there was a significant benefit of N-acetylcysteine treatment versus placebo on Fagerström Test for Nicotine Dependence total scores (t = -2.224; P = .031). After the initial 6 weeks, all subjects significantly (P &lt; .001) benefited from imaginal desensitization. During the 3-month follow-up, there was a significant additional benefit for N-acetylcysteine versus placebo on measures of problem-gambling severity (t = 2.069; P = .043). Conclusions: N-acetylcysteine treatment during therapy facilitates long-term application of behavioral therapy techniques once patients are in the community after therapy has been completed. © Copyright 2013 Physicians Postgraduate Press, Inc.","author":[{"dropping-particle":"","family":"Grant","given":"Jon E.","non-dropping-particle":"","parse-names":false,"suffix":""},{"dropping-particle":"","family":"Odlaug","given":"Brian L.","non-dropping-particle":"","parse-names":false,"suffix":""},{"dropping-particle":"","family":"Chamberlain","given":"Samuel R.","non-dropping-particle":"","parse-names":false,"suffix":""},{"dropping-particle":"","family":"Potenza","given":"Marc N.","non-dropping-particle":"","parse-names":false,"suffix":""},{"dropping-particle":"","family":"Schreiber","given":"Liana R.N.","non-dropping-particle":"","parse-names":false,"suffix":""},{"dropping-particle":"","family":"Donahue","given":"Christopher B.","non-dropping-particle":"","parse-names":false,"suffix":""},{"dropping-particle":"","family":"Kim","given":"Suck Won","non-dropping-particle":"","parse-names":false,"suffix":""}],"container-title":"The Journal of clinical psychiatry","id":"ITEM-1","issue":"1","issued":{"date-parts":[["2014"]]},"page":"39-45","publisher":"J Clin Psychiatry","title":"A randomized, placebo-controlled trial of N-acetylcysteine plus imaginal desensitization for nicotine-dependent pathological gamblers","type":"article-journal","volume":"75"},"uris":["http://www.mendeley.com/documents/?uuid=9d032611-5940-3ea6-a695-6958e07d89b0"]}],"mendeley":{"formattedCitation":"(Grant et al., 2014)","plainTextFormattedCitation":"(Grant et al., 2014)","previouslyFormattedCitation":"(Grant et al. 2014)"},"properties":{"noteIndex":0},"schema":"https://github.com/citation-style-language/schema/raw/master/csl-citation.json"}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(Grant et al., 2014)</w:t>
            </w:r>
            <w:r w:rsidRPr="00A97BAE">
              <w:rPr>
                <w:rFonts w:cs="Times New Roman"/>
                <w:szCs w:val="16"/>
              </w:rPr>
              <w:fldChar w:fldCharType="end"/>
            </w:r>
          </w:p>
        </w:tc>
        <w:tc>
          <w:tcPr>
            <w:tcW w:w="503" w:type="dxa"/>
            <w:vAlign w:val="center"/>
          </w:tcPr>
          <w:p w:rsidR="00855E93" w:rsidRPr="00A97BAE" w:rsidRDefault="00855E93" w:rsidP="004E06FA">
            <w:pPr>
              <w:jc w:val="center"/>
              <w:rPr>
                <w:rFonts w:cs="Times New Roman"/>
                <w:szCs w:val="16"/>
              </w:rPr>
            </w:pPr>
            <w:r w:rsidRPr="00A97BAE">
              <w:rPr>
                <w:rFonts w:cs="Times New Roman"/>
                <w:szCs w:val="16"/>
              </w:rPr>
              <w:t>2014</w:t>
            </w:r>
          </w:p>
        </w:tc>
        <w:tc>
          <w:tcPr>
            <w:tcW w:w="692" w:type="dxa"/>
            <w:vAlign w:val="center"/>
          </w:tcPr>
          <w:p w:rsidR="00855E93" w:rsidRPr="00A97BAE" w:rsidRDefault="00855E93" w:rsidP="004E06FA">
            <w:pPr>
              <w:jc w:val="center"/>
              <w:rPr>
                <w:rFonts w:cs="Times New Roman"/>
                <w:szCs w:val="16"/>
              </w:rPr>
            </w:pPr>
            <w:r w:rsidRPr="00A97BAE">
              <w:rPr>
                <w:rFonts w:cs="Times New Roman"/>
                <w:szCs w:val="16"/>
              </w:rPr>
              <w:t xml:space="preserve">J </w:t>
            </w:r>
            <w:proofErr w:type="spellStart"/>
            <w:r w:rsidRPr="00A97BAE">
              <w:rPr>
                <w:rFonts w:cs="Times New Roman"/>
                <w:szCs w:val="16"/>
              </w:rPr>
              <w:t>Clin</w:t>
            </w:r>
            <w:proofErr w:type="spellEnd"/>
            <w:r w:rsidRPr="00A97BAE">
              <w:rPr>
                <w:rFonts w:cs="Times New Roman"/>
                <w:szCs w:val="16"/>
              </w:rPr>
              <w:t xml:space="preserve"> Psychiatry</w:t>
            </w:r>
          </w:p>
        </w:tc>
        <w:tc>
          <w:tcPr>
            <w:tcW w:w="1088" w:type="dxa"/>
            <w:vAlign w:val="center"/>
          </w:tcPr>
          <w:p w:rsidR="00855E93" w:rsidRPr="00A97BAE" w:rsidRDefault="00855E93" w:rsidP="004E06FA">
            <w:pPr>
              <w:jc w:val="center"/>
              <w:rPr>
                <w:rFonts w:cs="Times New Roman"/>
                <w:szCs w:val="16"/>
              </w:rPr>
            </w:pPr>
            <w:r w:rsidRPr="00A97BAE">
              <w:rPr>
                <w:rFonts w:cs="Times New Roman"/>
                <w:szCs w:val="16"/>
              </w:rPr>
              <w:t>Double Blind RCT Parallel design, 2 arms</w:t>
            </w:r>
          </w:p>
        </w:tc>
        <w:tc>
          <w:tcPr>
            <w:tcW w:w="989" w:type="dxa"/>
            <w:vAlign w:val="center"/>
          </w:tcPr>
          <w:p w:rsidR="00855E93" w:rsidRPr="00A97BAE" w:rsidRDefault="00855E93" w:rsidP="004E06FA">
            <w:pPr>
              <w:jc w:val="center"/>
              <w:rPr>
                <w:rFonts w:cs="Times New Roman"/>
                <w:szCs w:val="16"/>
              </w:rPr>
            </w:pPr>
            <w:r w:rsidRPr="00A97BAE">
              <w:rPr>
                <w:rFonts w:cs="Times New Roman"/>
                <w:szCs w:val="16"/>
              </w:rPr>
              <w:t>NAC vs. placebo</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13/15</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N/A</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N/A</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Oral, clinical judgement</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1200mg</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3gr</w:t>
            </w:r>
          </w:p>
        </w:tc>
        <w:tc>
          <w:tcPr>
            <w:tcW w:w="792" w:type="dxa"/>
            <w:vAlign w:val="center"/>
          </w:tcPr>
          <w:p w:rsidR="00855E93" w:rsidRPr="00A97BAE" w:rsidRDefault="00855E93" w:rsidP="004E06FA">
            <w:pPr>
              <w:jc w:val="center"/>
              <w:rPr>
                <w:rFonts w:cs="Times New Roman"/>
                <w:szCs w:val="16"/>
              </w:rPr>
            </w:pPr>
            <w:r w:rsidRPr="00A97BAE">
              <w:rPr>
                <w:rFonts w:cs="Times New Roman"/>
                <w:szCs w:val="16"/>
              </w:rPr>
              <w:t>12-weeks</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No</w:t>
            </w:r>
          </w:p>
        </w:tc>
      </w:tr>
      <w:tr w:rsidR="00855E93" w:rsidRPr="00A97BAE" w:rsidTr="00855E93">
        <w:trPr>
          <w:trHeight w:val="586"/>
        </w:trPr>
        <w:tc>
          <w:tcPr>
            <w:tcW w:w="421" w:type="dxa"/>
            <w:vAlign w:val="center"/>
          </w:tcPr>
          <w:p w:rsidR="00855E93" w:rsidRPr="00A97BAE" w:rsidRDefault="00855E93" w:rsidP="004E06FA">
            <w:pPr>
              <w:jc w:val="center"/>
              <w:rPr>
                <w:rFonts w:cs="Times New Roman"/>
                <w:b/>
                <w:szCs w:val="16"/>
              </w:rPr>
            </w:pPr>
            <w:r>
              <w:rPr>
                <w:rFonts w:cs="Times New Roman"/>
                <w:b/>
                <w:szCs w:val="16"/>
              </w:rPr>
              <w:t>15</w:t>
            </w:r>
          </w:p>
        </w:tc>
        <w:tc>
          <w:tcPr>
            <w:tcW w:w="853" w:type="dxa"/>
            <w:vAlign w:val="center"/>
          </w:tcPr>
          <w:p w:rsidR="00855E93" w:rsidRPr="00A97BAE" w:rsidRDefault="00855E93" w:rsidP="004E06FA">
            <w:pPr>
              <w:jc w:val="center"/>
              <w:rPr>
                <w:rFonts w:cs="Times New Roman"/>
                <w:szCs w:val="16"/>
              </w:rPr>
            </w:pPr>
            <w:r w:rsidRPr="00A97BAE">
              <w:rPr>
                <w:rFonts w:cs="Times New Roman"/>
                <w:szCs w:val="16"/>
              </w:rPr>
              <w:t xml:space="preserve">Hollander et al. </w:t>
            </w:r>
            <w:r w:rsidRPr="00A97BAE">
              <w:rPr>
                <w:rFonts w:cs="Times New Roman"/>
                <w:szCs w:val="16"/>
              </w:rPr>
              <w:fldChar w:fldCharType="begin" w:fldLock="1"/>
            </w:r>
            <w:r>
              <w:rPr>
                <w:rFonts w:cs="Times New Roman"/>
                <w:szCs w:val="16"/>
              </w:rPr>
              <w:instrText>ADDIN CSL_CITATION {"citationItems":[{"id":"ITEM-1","itemData":{"DOI":"10.1176/APPI.AJP.162.1.137","ISSN":"0002-953X","PMID":"15625212","abstract":"Objective: Selective serotonin reuptake inhibitors may be effective for some patients with pathological gambling, but those with comorbid conditions, such as bipolar spectrum disorders, may relapse during treatment. To the authors' knowledge, this is the first placebo-controlled treatment study in pathological gamblers with bipolar spectrum disorders; it compares sustained-release lithium carbonate to placebo. Method: Forty pathological gambling patients with bipolar spectrum disorders entered a 10-week randomized, double-blind, placebo-controlled treatment study of sustained-release lithium carbonate. Outcome measures included gambling severity, mood, anxiety, and impulsivity scales. Results: Pathological gambling patients with bipolar spectrum disorders significantly improved while taking sustained-release lithium carbonate compared to placebo on total pathological gambling scores on the Yale-Brown Obsessive Compulsive Scale, including both thoughts/ urges and behavior, as well as on the Clinical Global Impression severity of pathological gambling scale. Affective instability (the Clinician-Administered Rating Scale for Mania score) was also lower in the group treated with sustained-release lithium carbonate compared to placebo. Ten (83%) of 12 completers were rated as responders in the sustained-release lithium group versus five (29%) of 17 in the placebo group. Of note, improvement in gambling severity was significantly correlated with improvement in mania ratings. Conclusions: Sustained-released lithium may be an effective treatment in reducing both gambling behavior and affective instability in pathological gamblers with bipolar spectrum disorder. This study high-lights the need to identify subgroups of pathological gambling patients with bipolar spectrum conditions because this may have important treatment implications.","author":[{"dropping-particle":"","family":"Hollander","given":"E","non-dropping-particle":"","parse-names":false,"suffix":""},{"dropping-particle":"","family":"Pallanti","given":"S","non-dropping-particle":"","parse-names":false,"suffix":""},{"dropping-particle":"","family":"Allen","given":"A","non-dropping-particle":"","parse-names":false,"suffix":""},{"dropping-particle":"","family":"Sood","given":"E","non-dropping-particle":"","parse-names":false,"suffix":""},{"dropping-particle":"","family":"Rossi","given":"NB","non-dropping-particle":"","parse-names":false,"suffix":""}],"container-title":"The American journal of psychiatry","id":"ITEM-1","issue":"1","issued":{"date-parts":[["2005","1"]]},"page":"137-145","publisher":"Am J Psychiatry","title":"Does sustained-release lithium reduce impulsive gambling and affective instability versus placebo in pathological gamblers with bipolar spectrum disorders?","type":"article-journal","volume":"162"},"uris":["http://www.mendeley.com/documents/?uuid=208007b9-2e24-3850-a3a7-2c7660a82048"]}],"mendeley":{"formattedCitation":"(E Hollander, Pallanti, Allen, Sood, &amp; Rossi, 2005)","plainTextFormattedCitation":"(E Hollander, Pallanti, Allen, Sood, &amp; Rossi, 2005)","previouslyFormattedCitation":"(E Hollander et al. 2005)"},"properties":{"noteIndex":0},"schema":"https://github.com/citation-style-language/schema/raw/master/csl-citation.json"}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(E Hollander, Pallanti, Allen, Sood, &amp; Rossi, 2005)</w:t>
            </w:r>
            <w:r w:rsidRPr="00A97BAE">
              <w:rPr>
                <w:rFonts w:cs="Times New Roman"/>
                <w:szCs w:val="16"/>
              </w:rPr>
              <w:fldChar w:fldCharType="end"/>
            </w:r>
          </w:p>
        </w:tc>
        <w:tc>
          <w:tcPr>
            <w:tcW w:w="503" w:type="dxa"/>
            <w:vAlign w:val="center"/>
          </w:tcPr>
          <w:p w:rsidR="00855E93" w:rsidRPr="00A97BAE" w:rsidRDefault="00855E93" w:rsidP="004E06FA">
            <w:pPr>
              <w:jc w:val="center"/>
              <w:rPr>
                <w:rFonts w:cs="Times New Roman"/>
                <w:szCs w:val="16"/>
              </w:rPr>
            </w:pPr>
            <w:r w:rsidRPr="00A97BAE">
              <w:rPr>
                <w:rFonts w:cs="Times New Roman"/>
                <w:szCs w:val="16"/>
              </w:rPr>
              <w:t>2005</w:t>
            </w:r>
          </w:p>
        </w:tc>
        <w:tc>
          <w:tcPr>
            <w:tcW w:w="692" w:type="dxa"/>
            <w:vAlign w:val="center"/>
          </w:tcPr>
          <w:p w:rsidR="00855E93" w:rsidRPr="00A97BAE" w:rsidRDefault="00855E93" w:rsidP="004E06FA">
            <w:pPr>
              <w:jc w:val="center"/>
              <w:rPr>
                <w:rFonts w:cs="Times New Roman"/>
                <w:szCs w:val="16"/>
              </w:rPr>
            </w:pPr>
            <w:r w:rsidRPr="00A97BAE">
              <w:rPr>
                <w:rFonts w:cs="Times New Roman"/>
                <w:szCs w:val="16"/>
              </w:rPr>
              <w:t>Am J Psychiatry</w:t>
            </w:r>
          </w:p>
        </w:tc>
        <w:tc>
          <w:tcPr>
            <w:tcW w:w="1088" w:type="dxa"/>
            <w:vAlign w:val="center"/>
          </w:tcPr>
          <w:p w:rsidR="00855E93" w:rsidRPr="00A97BAE" w:rsidRDefault="00855E93" w:rsidP="004E06FA">
            <w:pPr>
              <w:jc w:val="center"/>
              <w:rPr>
                <w:rFonts w:cs="Times New Roman"/>
                <w:szCs w:val="16"/>
              </w:rPr>
            </w:pPr>
            <w:r w:rsidRPr="00A97BAE">
              <w:rPr>
                <w:rFonts w:cs="Times New Roman"/>
                <w:szCs w:val="16"/>
              </w:rPr>
              <w:t>Double Blind RCT Parallel design, 2 arms</w:t>
            </w:r>
          </w:p>
        </w:tc>
        <w:tc>
          <w:tcPr>
            <w:tcW w:w="989" w:type="dxa"/>
            <w:vAlign w:val="center"/>
          </w:tcPr>
          <w:p w:rsidR="00855E93" w:rsidRPr="00A97BAE" w:rsidRDefault="00855E93" w:rsidP="004E06FA">
            <w:pPr>
              <w:jc w:val="center"/>
              <w:rPr>
                <w:rFonts w:cs="Times New Roman"/>
                <w:szCs w:val="16"/>
              </w:rPr>
            </w:pPr>
            <w:r w:rsidRPr="00A97BAE">
              <w:rPr>
                <w:rFonts w:cs="Times New Roman"/>
                <w:szCs w:val="16"/>
              </w:rPr>
              <w:t xml:space="preserve">lithium </w:t>
            </w:r>
            <w:proofErr w:type="spellStart"/>
            <w:r w:rsidRPr="00A97BAE">
              <w:rPr>
                <w:rFonts w:cs="Times New Roman"/>
                <w:szCs w:val="16"/>
              </w:rPr>
              <w:t>vs</w:t>
            </w:r>
            <w:proofErr w:type="spellEnd"/>
            <w:r w:rsidRPr="00A97BAE">
              <w:rPr>
                <w:rFonts w:cs="Times New Roman"/>
                <w:szCs w:val="16"/>
              </w:rPr>
              <w:t xml:space="preserve"> placebo</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18/22</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40</w:t>
            </w:r>
            <w:r>
              <w:rPr>
                <w:rFonts w:cs="Times New Roman"/>
                <w:szCs w:val="16"/>
              </w:rPr>
              <w:t>.</w:t>
            </w:r>
            <w:r w:rsidRPr="00A97BAE">
              <w:rPr>
                <w:rFonts w:cs="Times New Roman"/>
                <w:szCs w:val="16"/>
              </w:rPr>
              <w:t>0 /</w:t>
            </w:r>
          </w:p>
          <w:p w:rsidR="00855E93" w:rsidRPr="00A97BAE" w:rsidRDefault="00855E93" w:rsidP="004E06FA">
            <w:pPr>
              <w:jc w:val="center"/>
              <w:rPr>
                <w:rFonts w:cs="Times New Roman"/>
                <w:szCs w:val="16"/>
              </w:rPr>
            </w:pPr>
            <w:r w:rsidRPr="00A97BAE">
              <w:rPr>
                <w:rFonts w:cs="Times New Roman"/>
                <w:szCs w:val="16"/>
              </w:rPr>
              <w:t>47</w:t>
            </w:r>
            <w:r>
              <w:rPr>
                <w:rFonts w:cs="Times New Roman"/>
                <w:szCs w:val="16"/>
              </w:rPr>
              <w:t>.</w:t>
            </w:r>
            <w:r w:rsidRPr="00A97BAE">
              <w:rPr>
                <w:rFonts w:cs="Times New Roman"/>
                <w:szCs w:val="16"/>
              </w:rPr>
              <w:t>7</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50% / 64.7%</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Oral, flexible</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 xml:space="preserve">300mg </w:t>
            </w:r>
            <w:proofErr w:type="spellStart"/>
            <w:r w:rsidRPr="00A97BAE">
              <w:rPr>
                <w:rFonts w:cs="Times New Roman"/>
                <w:szCs w:val="16"/>
              </w:rPr>
              <w:t>sust</w:t>
            </w:r>
            <w:proofErr w:type="spellEnd"/>
            <w:r w:rsidRPr="00A97BAE">
              <w:rPr>
                <w:rFonts w:cs="Times New Roman"/>
                <w:szCs w:val="16"/>
              </w:rPr>
              <w:t>. release</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 xml:space="preserve">1200mg </w:t>
            </w:r>
            <w:proofErr w:type="spellStart"/>
            <w:r w:rsidRPr="00A97BAE">
              <w:rPr>
                <w:rFonts w:cs="Times New Roman"/>
                <w:szCs w:val="16"/>
              </w:rPr>
              <w:t>sust</w:t>
            </w:r>
            <w:proofErr w:type="spellEnd"/>
            <w:r w:rsidRPr="00A97BAE">
              <w:rPr>
                <w:rFonts w:cs="Times New Roman"/>
                <w:szCs w:val="16"/>
              </w:rPr>
              <w:t>. release</w:t>
            </w:r>
          </w:p>
        </w:tc>
        <w:tc>
          <w:tcPr>
            <w:tcW w:w="792" w:type="dxa"/>
            <w:vAlign w:val="center"/>
          </w:tcPr>
          <w:p w:rsidR="00855E93" w:rsidRPr="00A97BAE" w:rsidRDefault="00855E93" w:rsidP="004E06FA">
            <w:pPr>
              <w:jc w:val="center"/>
              <w:rPr>
                <w:rFonts w:cs="Times New Roman"/>
                <w:szCs w:val="16"/>
              </w:rPr>
            </w:pPr>
            <w:r w:rsidRPr="00A97BAE">
              <w:rPr>
                <w:rFonts w:cs="Times New Roman"/>
                <w:szCs w:val="16"/>
              </w:rPr>
              <w:t>10-weeks</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Yes</w:t>
            </w:r>
          </w:p>
        </w:tc>
      </w:tr>
      <w:tr w:rsidR="00855E93" w:rsidRPr="00A97BAE" w:rsidTr="00855E93">
        <w:trPr>
          <w:trHeight w:val="580"/>
        </w:trPr>
        <w:tc>
          <w:tcPr>
            <w:tcW w:w="421" w:type="dxa"/>
            <w:vAlign w:val="center"/>
          </w:tcPr>
          <w:p w:rsidR="00855E93" w:rsidRPr="00A97BAE" w:rsidRDefault="00855E93" w:rsidP="004E06FA">
            <w:pPr>
              <w:jc w:val="center"/>
              <w:rPr>
                <w:rFonts w:cs="Times New Roman"/>
                <w:b/>
                <w:szCs w:val="16"/>
              </w:rPr>
            </w:pPr>
            <w:r>
              <w:rPr>
                <w:rFonts w:cs="Times New Roman"/>
                <w:b/>
                <w:szCs w:val="16"/>
              </w:rPr>
              <w:t>16</w:t>
            </w:r>
          </w:p>
        </w:tc>
        <w:tc>
          <w:tcPr>
            <w:tcW w:w="853" w:type="dxa"/>
            <w:vAlign w:val="center"/>
          </w:tcPr>
          <w:p w:rsidR="00855E93" w:rsidRPr="00A97BAE" w:rsidRDefault="00855E93" w:rsidP="004E06FA">
            <w:pPr>
              <w:jc w:val="center"/>
              <w:rPr>
                <w:rFonts w:cs="Times New Roman"/>
                <w:szCs w:val="16"/>
              </w:rPr>
            </w:pPr>
            <w:r w:rsidRPr="00A97BAE">
              <w:rPr>
                <w:rFonts w:cs="Times New Roman"/>
                <w:szCs w:val="16"/>
              </w:rPr>
              <w:t xml:space="preserve">Grant et al. </w:t>
            </w:r>
            <w:r w:rsidRPr="00A97BAE">
              <w:rPr>
                <w:rFonts w:cs="Times New Roman"/>
                <w:szCs w:val="16"/>
              </w:rPr>
              <w:fldChar w:fldCharType="begin" w:fldLock="1"/>
            </w:r>
            <w:r>
              <w:rPr>
                <w:rFonts w:cs="Times New Roman"/>
                <w:szCs w:val="16"/>
              </w:rPr>
              <w:instrText>ADDIN CSL_CITATION {"citationItems":[{"id":"ITEM-1","itemData":{"author":[{"dropping-particle":"","family":"Grant","given":"Jon E.","non-dropping-particle":"","parse-names":false,"suffix":""},{"dropping-particle":"","family":"Driessens","given":"Corine","non-dropping-particle":"","parse-names":false,"suffix":""},{"dropping-particle":"","family":"Chamberlain","given":"Samuel R.","non-dropping-particle":"","parse-names":false,"suffix":""}],"container-title":"Clinical Neuropharmacology","id":"ITEM-1","issued":{"date-parts":[["2024"]]},"title":"Milk Thistle (Silymarin) Treatment of Adults with Gambling Disorder: A Double-Blind, Placebo-Controlled Trial","type":"article-journal","volume":"in press"},"uris":["http://www.mendeley.com/documents/?uuid=9e1b6a93-a370-4446-a8de-f934649cb9a4"]}],"mendeley":{"formattedCitation":"(Grant, Driessens, &amp; Chamberlain, 2024)","plainTextFormattedCitation":"(Grant, Driessens, &amp; Chamberlain, 2024)","previouslyFormattedCitation":"(Grant, Driessens, and Chamberlain 2024)"},"properties":{"noteIndex":0},"schema":"https://github.com/citation-style-language/schema/raw/master/csl-citation.json"}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(Grant, Driessens, &amp; Chamberlain, 2024)</w:t>
            </w:r>
            <w:r w:rsidRPr="00A97BAE">
              <w:rPr>
                <w:rFonts w:cs="Times New Roman"/>
                <w:szCs w:val="16"/>
              </w:rPr>
              <w:fldChar w:fldCharType="end"/>
            </w:r>
          </w:p>
        </w:tc>
        <w:tc>
          <w:tcPr>
            <w:tcW w:w="503" w:type="dxa"/>
            <w:vAlign w:val="center"/>
          </w:tcPr>
          <w:p w:rsidR="00855E93" w:rsidRPr="00A97BAE" w:rsidRDefault="00855E93" w:rsidP="004E06FA">
            <w:pPr>
              <w:jc w:val="center"/>
              <w:rPr>
                <w:rFonts w:cs="Times New Roman"/>
                <w:szCs w:val="16"/>
              </w:rPr>
            </w:pPr>
            <w:r w:rsidRPr="00A97BAE">
              <w:rPr>
                <w:rFonts w:cs="Times New Roman"/>
                <w:szCs w:val="16"/>
              </w:rPr>
              <w:t>2024</w:t>
            </w:r>
          </w:p>
        </w:tc>
        <w:tc>
          <w:tcPr>
            <w:tcW w:w="692" w:type="dxa"/>
            <w:vAlign w:val="center"/>
          </w:tcPr>
          <w:p w:rsidR="00855E93" w:rsidRPr="00A97BAE" w:rsidRDefault="00855E93" w:rsidP="004E06FA">
            <w:pPr>
              <w:jc w:val="center"/>
              <w:rPr>
                <w:rFonts w:cs="Times New Roman"/>
                <w:szCs w:val="16"/>
              </w:rPr>
            </w:pPr>
            <w:r w:rsidRPr="00A97BAE">
              <w:rPr>
                <w:rFonts w:cs="Times New Roman"/>
                <w:szCs w:val="16"/>
              </w:rPr>
              <w:t xml:space="preserve">Clinical </w:t>
            </w:r>
            <w:proofErr w:type="spellStart"/>
            <w:r w:rsidRPr="00A97BAE">
              <w:rPr>
                <w:rFonts w:cs="Times New Roman"/>
                <w:szCs w:val="16"/>
              </w:rPr>
              <w:t>Neuropharm</w:t>
            </w:r>
            <w:proofErr w:type="spellEnd"/>
          </w:p>
        </w:tc>
        <w:tc>
          <w:tcPr>
            <w:tcW w:w="1088" w:type="dxa"/>
            <w:vAlign w:val="center"/>
          </w:tcPr>
          <w:p w:rsidR="00855E93" w:rsidRPr="00A97BAE" w:rsidRDefault="00855E93" w:rsidP="004E06FA">
            <w:pPr>
              <w:jc w:val="center"/>
              <w:rPr>
                <w:rFonts w:cs="Times New Roman"/>
                <w:szCs w:val="16"/>
              </w:rPr>
            </w:pPr>
            <w:r w:rsidRPr="00A97BAE">
              <w:rPr>
                <w:rFonts w:cs="Times New Roman"/>
                <w:szCs w:val="16"/>
              </w:rPr>
              <w:t>Double Blind RCT Parallel design, 2 arms</w:t>
            </w:r>
          </w:p>
        </w:tc>
        <w:tc>
          <w:tcPr>
            <w:tcW w:w="989" w:type="dxa"/>
            <w:vAlign w:val="center"/>
          </w:tcPr>
          <w:p w:rsidR="00855E93" w:rsidRPr="00A97BAE" w:rsidRDefault="00855E93" w:rsidP="004E06FA">
            <w:pPr>
              <w:jc w:val="center"/>
              <w:rPr>
                <w:rFonts w:cs="Times New Roman"/>
                <w:szCs w:val="16"/>
              </w:rPr>
            </w:pPr>
            <w:proofErr w:type="spellStart"/>
            <w:r w:rsidRPr="00A97BAE">
              <w:rPr>
                <w:rFonts w:cs="Times New Roman"/>
                <w:szCs w:val="16"/>
              </w:rPr>
              <w:t>silymarin</w:t>
            </w:r>
            <w:proofErr w:type="spellEnd"/>
            <w:r w:rsidRPr="00A97BAE">
              <w:rPr>
                <w:rFonts w:cs="Times New Roman"/>
                <w:szCs w:val="16"/>
              </w:rPr>
              <w:t xml:space="preserve"> </w:t>
            </w:r>
            <w:proofErr w:type="spellStart"/>
            <w:r w:rsidRPr="00A97BAE">
              <w:rPr>
                <w:rFonts w:cs="Times New Roman"/>
                <w:szCs w:val="16"/>
              </w:rPr>
              <w:t>vs</w:t>
            </w:r>
            <w:proofErr w:type="spellEnd"/>
            <w:r w:rsidRPr="00A97BAE">
              <w:rPr>
                <w:rFonts w:cs="Times New Roman"/>
                <w:szCs w:val="16"/>
              </w:rPr>
              <w:t xml:space="preserve"> placebo</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17/26</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48</w:t>
            </w:r>
            <w:r>
              <w:rPr>
                <w:rFonts w:cs="Times New Roman"/>
                <w:szCs w:val="16"/>
              </w:rPr>
              <w:t>.</w:t>
            </w:r>
            <w:r w:rsidRPr="00A97BAE">
              <w:rPr>
                <w:rFonts w:cs="Times New Roman"/>
                <w:szCs w:val="16"/>
              </w:rPr>
              <w:t>2/ 50</w:t>
            </w:r>
            <w:r>
              <w:rPr>
                <w:rFonts w:cs="Times New Roman"/>
                <w:szCs w:val="16"/>
              </w:rPr>
              <w:t>.</w:t>
            </w:r>
            <w:r w:rsidRPr="00A97BAE">
              <w:rPr>
                <w:rFonts w:cs="Times New Roman"/>
                <w:szCs w:val="16"/>
              </w:rPr>
              <w:t>5</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41.2% / 72%</w:t>
            </w:r>
          </w:p>
        </w:tc>
        <w:tc>
          <w:tcPr>
            <w:tcW w:w="594" w:type="dxa"/>
            <w:vAlign w:val="center"/>
          </w:tcPr>
          <w:p w:rsidR="00855E93" w:rsidRPr="00A97BAE" w:rsidRDefault="00855E93" w:rsidP="004E06FA">
            <w:pPr>
              <w:jc w:val="center"/>
              <w:rPr>
                <w:rFonts w:cs="Times New Roman"/>
                <w:szCs w:val="16"/>
              </w:rPr>
            </w:pPr>
            <w:r w:rsidRPr="00A97BAE">
              <w:rPr>
                <w:rFonts w:cs="Times New Roman"/>
                <w:szCs w:val="16"/>
              </w:rPr>
              <w:t>Oral, titration</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300mg</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600mg</w:t>
            </w:r>
          </w:p>
        </w:tc>
        <w:tc>
          <w:tcPr>
            <w:tcW w:w="792" w:type="dxa"/>
            <w:vAlign w:val="center"/>
          </w:tcPr>
          <w:p w:rsidR="00855E93" w:rsidRPr="00A97BAE" w:rsidRDefault="00855E93" w:rsidP="004E06FA">
            <w:pPr>
              <w:jc w:val="center"/>
              <w:rPr>
                <w:rFonts w:cs="Times New Roman"/>
                <w:szCs w:val="16"/>
              </w:rPr>
            </w:pPr>
            <w:r w:rsidRPr="00A97BAE">
              <w:rPr>
                <w:rFonts w:cs="Times New Roman"/>
                <w:szCs w:val="16"/>
              </w:rPr>
              <w:t>8-weeks</w:t>
            </w:r>
          </w:p>
        </w:tc>
        <w:tc>
          <w:tcPr>
            <w:tcW w:w="593" w:type="dxa"/>
            <w:vAlign w:val="center"/>
          </w:tcPr>
          <w:p w:rsidR="00855E93" w:rsidRPr="00A97BAE" w:rsidRDefault="00855E93" w:rsidP="004E06FA">
            <w:pPr>
              <w:jc w:val="center"/>
              <w:rPr>
                <w:rFonts w:cs="Times New Roman"/>
                <w:szCs w:val="16"/>
              </w:rPr>
            </w:pPr>
            <w:r w:rsidRPr="00A97BAE">
              <w:rPr>
                <w:rFonts w:cs="Times New Roman"/>
                <w:szCs w:val="16"/>
              </w:rPr>
              <w:t>No</w:t>
            </w:r>
          </w:p>
        </w:tc>
      </w:tr>
    </w:tbl>
    <w:p w:rsidR="009D4FAD" w:rsidRDefault="009D4FAD" w:rsidP="00FD03CC"/>
    <w:p w:rsidR="009D4FAD" w:rsidRDefault="009D4FAD" w:rsidP="00FD03CC"/>
    <w:p w:rsidR="009D4FAD" w:rsidRDefault="009D4FAD" w:rsidP="009D4FAD">
      <w:pPr>
        <w:pStyle w:val="Heading2"/>
      </w:pPr>
      <w:r>
        <w:t>References</w:t>
      </w:r>
    </w:p>
    <w:p w:rsidR="007626CA" w:rsidRPr="007626CA" w:rsidRDefault="009D4FAD" w:rsidP="007626CA">
      <w:pPr>
        <w:widowControl w:val="0"/>
        <w:autoSpaceDE w:val="0"/>
        <w:autoSpaceDN w:val="0"/>
        <w:adjustRightInd w:val="0"/>
        <w:spacing w:line="240" w:lineRule="auto"/>
        <w:ind w:left="480" w:hanging="480"/>
        <w:rPr>
          <w:rFonts w:cs="Times New Roman"/>
          <w:noProof/>
          <w:szCs w:val="24"/>
        </w:rPr>
      </w:pPr>
      <w:r>
        <w:fldChar w:fldCharType="begin" w:fldLock="1"/>
      </w:r>
      <w:r>
        <w:instrText xml:space="preserve">ADDIN Mendeley Bibliography CSL_BIBLIOGRAPHY </w:instrText>
      </w:r>
      <w:r>
        <w:fldChar w:fldCharType="separate"/>
      </w:r>
      <w:r w:rsidR="007626CA" w:rsidRPr="007626CA">
        <w:rPr>
          <w:rFonts w:cs="Times New Roman"/>
          <w:b/>
          <w:noProof/>
          <w:szCs w:val="24"/>
        </w:rPr>
        <w:t>Alho, H., Mäkelä, N., Isotalo, J., Toivonen, L., Ollikainen, J., &amp; Castrén, S</w:t>
      </w:r>
      <w:r w:rsidR="007626CA" w:rsidRPr="007626CA">
        <w:rPr>
          <w:rFonts w:cs="Times New Roman"/>
          <w:noProof/>
          <w:szCs w:val="24"/>
        </w:rPr>
        <w:t xml:space="preserve">. (2022). Intranasal as needed naloxone in the treatment of gambling disorder: A randomised controlled trial. </w:t>
      </w:r>
      <w:r w:rsidR="007626CA" w:rsidRPr="007626CA">
        <w:rPr>
          <w:rFonts w:cs="Times New Roman"/>
          <w:i/>
          <w:iCs/>
          <w:noProof/>
          <w:szCs w:val="24"/>
        </w:rPr>
        <w:t>Addictive Behaviors</w:t>
      </w:r>
      <w:r w:rsidR="007626CA" w:rsidRPr="007626CA">
        <w:rPr>
          <w:rFonts w:cs="Times New Roman"/>
          <w:noProof/>
          <w:szCs w:val="24"/>
        </w:rPr>
        <w:t xml:space="preserve">, </w:t>
      </w:r>
      <w:r w:rsidR="007626CA" w:rsidRPr="007626CA">
        <w:rPr>
          <w:rFonts w:cs="Times New Roman"/>
          <w:i/>
          <w:iCs/>
          <w:noProof/>
          <w:szCs w:val="24"/>
        </w:rPr>
        <w:t>125</w:t>
      </w:r>
      <w:r w:rsidR="007626CA" w:rsidRPr="007626CA">
        <w:rPr>
          <w:rFonts w:cs="Times New Roman"/>
          <w:noProof/>
          <w:szCs w:val="24"/>
        </w:rPr>
        <w:t>. https://doi.org/10.1016/J.ADDBEH.2021.107127</w:t>
      </w:r>
    </w:p>
    <w:p w:rsidR="007626CA" w:rsidRPr="007626CA" w:rsidRDefault="007626CA" w:rsidP="007626CA">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Berlin, H. A., Braun, A., Simeon, D., Koran, L. M., Potenza, M. N., McElroy, S. L., … Hollander, E.</w:t>
      </w:r>
      <w:r w:rsidRPr="007626CA">
        <w:rPr>
          <w:rFonts w:cs="Times New Roman"/>
          <w:noProof/>
          <w:szCs w:val="24"/>
        </w:rPr>
        <w:t xml:space="preserve"> (2013). A double-blind, placebo-controlled trial of topiramate for pathological gambling. </w:t>
      </w:r>
      <w:r w:rsidRPr="007626CA">
        <w:rPr>
          <w:rFonts w:cs="Times New Roman"/>
          <w:i/>
          <w:iCs/>
          <w:noProof/>
          <w:szCs w:val="24"/>
        </w:rPr>
        <w:t>The World Journal of Biological Psychiatry : The Official Journal of the World Federation of Societies of Biological Psychiatry</w:t>
      </w:r>
      <w:r w:rsidRPr="007626CA">
        <w:rPr>
          <w:rFonts w:cs="Times New Roman"/>
          <w:noProof/>
          <w:szCs w:val="24"/>
        </w:rPr>
        <w:t xml:space="preserve">, </w:t>
      </w:r>
      <w:r w:rsidRPr="007626CA">
        <w:rPr>
          <w:rFonts w:cs="Times New Roman"/>
          <w:i/>
          <w:iCs/>
          <w:noProof/>
          <w:szCs w:val="24"/>
        </w:rPr>
        <w:t>14</w:t>
      </w:r>
      <w:r w:rsidRPr="007626CA">
        <w:rPr>
          <w:rFonts w:cs="Times New Roman"/>
          <w:noProof/>
          <w:szCs w:val="24"/>
        </w:rPr>
        <w:t>(2), 121–128. https://doi.org/10.3109/15622975.2011.560964</w:t>
      </w:r>
    </w:p>
    <w:p w:rsidR="007626CA" w:rsidRPr="007626CA" w:rsidRDefault="007626CA" w:rsidP="007626CA">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Black, D. W., Arndt, S., Coryell, W. H., Argo, T., Forbush, K. T., Shaw, M. C., … Allen, J</w:t>
      </w:r>
      <w:r w:rsidRPr="007626CA">
        <w:rPr>
          <w:rFonts w:cs="Times New Roman"/>
          <w:noProof/>
          <w:szCs w:val="24"/>
        </w:rPr>
        <w:t xml:space="preserve">. (2007). Bupropion in the treatment of pathological gambling: a randomized, double-blind, placebo-controlled, flexible-dose study. </w:t>
      </w:r>
      <w:r w:rsidRPr="007626CA">
        <w:rPr>
          <w:rFonts w:cs="Times New Roman"/>
          <w:i/>
          <w:iCs/>
          <w:noProof/>
          <w:szCs w:val="24"/>
        </w:rPr>
        <w:t>Journal of Clinical Psychopharmacology</w:t>
      </w:r>
      <w:r w:rsidRPr="007626CA">
        <w:rPr>
          <w:rFonts w:cs="Times New Roman"/>
          <w:noProof/>
          <w:szCs w:val="24"/>
        </w:rPr>
        <w:t xml:space="preserve">, </w:t>
      </w:r>
      <w:r w:rsidRPr="007626CA">
        <w:rPr>
          <w:rFonts w:cs="Times New Roman"/>
          <w:i/>
          <w:iCs/>
          <w:noProof/>
          <w:szCs w:val="24"/>
        </w:rPr>
        <w:t>27</w:t>
      </w:r>
      <w:r w:rsidRPr="007626CA">
        <w:rPr>
          <w:rFonts w:cs="Times New Roman"/>
          <w:noProof/>
          <w:szCs w:val="24"/>
        </w:rPr>
        <w:t>(2), 143–150. https://doi.org/10.1097/01.JCP.0000264985.25109.25</w:t>
      </w:r>
    </w:p>
    <w:p w:rsidR="007626CA" w:rsidRPr="007626CA" w:rsidRDefault="007626CA" w:rsidP="007626CA">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de Brito, A. M. C., de Almeida Pinto, M. G., Bronstein, G., Carneiro, E., Faertes, D., Fukugawa, V., … Tavares, H</w:t>
      </w:r>
      <w:r w:rsidRPr="007626CA">
        <w:rPr>
          <w:rFonts w:cs="Times New Roman"/>
          <w:noProof/>
          <w:szCs w:val="24"/>
        </w:rPr>
        <w:t xml:space="preserve">. (2017). Topiramate Combined with Cognitive Restructuring for the Treatment of Gambling Disorder: A Two-Center, Randomized, Double-Blind Clinical Trial. </w:t>
      </w:r>
      <w:r w:rsidRPr="007626CA">
        <w:rPr>
          <w:rFonts w:cs="Times New Roman"/>
          <w:i/>
          <w:iCs/>
          <w:noProof/>
          <w:szCs w:val="24"/>
        </w:rPr>
        <w:t>Journal of Gambling Studies</w:t>
      </w:r>
      <w:r w:rsidRPr="007626CA">
        <w:rPr>
          <w:rFonts w:cs="Times New Roman"/>
          <w:noProof/>
          <w:szCs w:val="24"/>
        </w:rPr>
        <w:t xml:space="preserve">, </w:t>
      </w:r>
      <w:r w:rsidRPr="007626CA">
        <w:rPr>
          <w:rFonts w:cs="Times New Roman"/>
          <w:i/>
          <w:iCs/>
          <w:noProof/>
          <w:szCs w:val="24"/>
        </w:rPr>
        <w:t>33</w:t>
      </w:r>
      <w:r w:rsidRPr="007626CA">
        <w:rPr>
          <w:rFonts w:cs="Times New Roman"/>
          <w:noProof/>
          <w:szCs w:val="24"/>
        </w:rPr>
        <w:t>(1), 249–263. https://doi.org/10.1007/S10899-016-9620-Z/METRICS</w:t>
      </w:r>
    </w:p>
    <w:p w:rsidR="007626CA" w:rsidRPr="007626CA" w:rsidRDefault="007626CA" w:rsidP="007626CA">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Fong, T., Kalechstein, A., Bernhard, B., Rosenthal, R., &amp; Rugle, L.</w:t>
      </w:r>
      <w:r w:rsidRPr="007626CA">
        <w:rPr>
          <w:rFonts w:cs="Times New Roman"/>
          <w:noProof/>
          <w:szCs w:val="24"/>
        </w:rPr>
        <w:t xml:space="preserve"> (2008). A double-blind, placebo-controlled trial of olanzapine for the treatment of video poker pathological gamblers. </w:t>
      </w:r>
      <w:r w:rsidRPr="007626CA">
        <w:rPr>
          <w:rFonts w:cs="Times New Roman"/>
          <w:i/>
          <w:iCs/>
          <w:noProof/>
          <w:szCs w:val="24"/>
        </w:rPr>
        <w:t>Pharmacology, Biochemistry, and Behavior</w:t>
      </w:r>
      <w:r w:rsidRPr="007626CA">
        <w:rPr>
          <w:rFonts w:cs="Times New Roman"/>
          <w:noProof/>
          <w:szCs w:val="24"/>
        </w:rPr>
        <w:t xml:space="preserve">, </w:t>
      </w:r>
      <w:r w:rsidRPr="007626CA">
        <w:rPr>
          <w:rFonts w:cs="Times New Roman"/>
          <w:i/>
          <w:iCs/>
          <w:noProof/>
          <w:szCs w:val="24"/>
        </w:rPr>
        <w:t>89</w:t>
      </w:r>
      <w:r w:rsidRPr="007626CA">
        <w:rPr>
          <w:rFonts w:cs="Times New Roman"/>
          <w:noProof/>
          <w:szCs w:val="24"/>
        </w:rPr>
        <w:t>(3), 298–303. https://doi.org/10.1016/J.PBB.2007.12.025</w:t>
      </w:r>
    </w:p>
    <w:p w:rsidR="007626CA" w:rsidRPr="007626CA" w:rsidRDefault="007626CA" w:rsidP="007626CA">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Grant, J. E., Driessens, C., &amp; Chamberlain, S. R.</w:t>
      </w:r>
      <w:r w:rsidRPr="007626CA">
        <w:rPr>
          <w:rFonts w:cs="Times New Roman"/>
          <w:noProof/>
          <w:szCs w:val="24"/>
        </w:rPr>
        <w:t xml:space="preserve"> (2024). Milk Thistle (Silymarin) Treatment of Adults with Gambling Disorder: A Double-Blind, Placebo-Controlled Trial. </w:t>
      </w:r>
      <w:r w:rsidRPr="007626CA">
        <w:rPr>
          <w:rFonts w:cs="Times New Roman"/>
          <w:i/>
          <w:iCs/>
          <w:noProof/>
          <w:szCs w:val="24"/>
        </w:rPr>
        <w:t>Clinical Neuropharmacology</w:t>
      </w:r>
      <w:r w:rsidRPr="007626CA">
        <w:rPr>
          <w:rFonts w:cs="Times New Roman"/>
          <w:noProof/>
          <w:szCs w:val="24"/>
        </w:rPr>
        <w:t xml:space="preserve">, </w:t>
      </w:r>
      <w:r w:rsidRPr="007626CA">
        <w:rPr>
          <w:rFonts w:cs="Times New Roman"/>
          <w:i/>
          <w:iCs/>
          <w:noProof/>
          <w:szCs w:val="24"/>
        </w:rPr>
        <w:t>in press</w:t>
      </w:r>
      <w:r w:rsidRPr="007626CA">
        <w:rPr>
          <w:rFonts w:cs="Times New Roman"/>
          <w:noProof/>
          <w:szCs w:val="24"/>
        </w:rPr>
        <w:t>. Retrieved from https://ichgcp.net/clinical-trials-registry/NCT02337634</w:t>
      </w:r>
    </w:p>
    <w:p w:rsidR="007626CA" w:rsidRPr="007626CA" w:rsidRDefault="007626CA" w:rsidP="007626CA">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Grant, J. E., Kim, S. W., Hollander, E., &amp; Potenza, M. N.</w:t>
      </w:r>
      <w:r w:rsidRPr="007626CA">
        <w:rPr>
          <w:rFonts w:cs="Times New Roman"/>
          <w:noProof/>
          <w:szCs w:val="24"/>
        </w:rPr>
        <w:t xml:space="preserve"> (2008). Predicting response to opiate antagonists and placebo in the treatment of pathological gambling. </w:t>
      </w:r>
      <w:r w:rsidRPr="007626CA">
        <w:rPr>
          <w:rFonts w:cs="Times New Roman"/>
          <w:i/>
          <w:iCs/>
          <w:noProof/>
          <w:szCs w:val="24"/>
        </w:rPr>
        <w:t>Psychopharmacology</w:t>
      </w:r>
      <w:r w:rsidRPr="007626CA">
        <w:rPr>
          <w:rFonts w:cs="Times New Roman"/>
          <w:noProof/>
          <w:szCs w:val="24"/>
        </w:rPr>
        <w:t xml:space="preserve">, </w:t>
      </w:r>
      <w:r w:rsidRPr="007626CA">
        <w:rPr>
          <w:rFonts w:cs="Times New Roman"/>
          <w:i/>
          <w:iCs/>
          <w:noProof/>
          <w:szCs w:val="24"/>
        </w:rPr>
        <w:t>200</w:t>
      </w:r>
      <w:r w:rsidRPr="007626CA">
        <w:rPr>
          <w:rFonts w:cs="Times New Roman"/>
          <w:noProof/>
          <w:szCs w:val="24"/>
        </w:rPr>
        <w:t>(4), 521–527. https://doi.org/10.1007/s00213-008-1235-3</w:t>
      </w:r>
    </w:p>
    <w:p w:rsidR="007626CA" w:rsidRPr="007626CA" w:rsidRDefault="007626CA" w:rsidP="007626CA">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Grant, J. E., Kim, S. W., Potenza, M. N., Blanco, C., Ibanez, A., Stevens, L., … Zaninelli, R</w:t>
      </w:r>
      <w:r w:rsidRPr="007626CA">
        <w:rPr>
          <w:rFonts w:cs="Times New Roman"/>
          <w:noProof/>
          <w:szCs w:val="24"/>
        </w:rPr>
        <w:t xml:space="preserve">. (2003). Paroxetine treatment of pathological gambling: a multi-centre randomized controlled trial. </w:t>
      </w:r>
      <w:r w:rsidRPr="007626CA">
        <w:rPr>
          <w:rFonts w:cs="Times New Roman"/>
          <w:i/>
          <w:iCs/>
          <w:noProof/>
          <w:szCs w:val="24"/>
        </w:rPr>
        <w:t>International Clinical Psychopharmacology</w:t>
      </w:r>
      <w:r w:rsidRPr="007626CA">
        <w:rPr>
          <w:rFonts w:cs="Times New Roman"/>
          <w:noProof/>
          <w:szCs w:val="24"/>
        </w:rPr>
        <w:t xml:space="preserve">, </w:t>
      </w:r>
      <w:r w:rsidRPr="007626CA">
        <w:rPr>
          <w:rFonts w:cs="Times New Roman"/>
          <w:i/>
          <w:iCs/>
          <w:noProof/>
          <w:szCs w:val="24"/>
        </w:rPr>
        <w:t>18</w:t>
      </w:r>
      <w:r w:rsidRPr="007626CA">
        <w:rPr>
          <w:rFonts w:cs="Times New Roman"/>
          <w:noProof/>
          <w:szCs w:val="24"/>
        </w:rPr>
        <w:t>(4), 243–249. https://doi.org/10.1097/00004850-200307000-00007</w:t>
      </w:r>
    </w:p>
    <w:p w:rsidR="007626CA" w:rsidRPr="007626CA" w:rsidRDefault="007626CA" w:rsidP="007626CA">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 xml:space="preserve">Grant, J. E., Odlaug, B. L., Chamberlain, S. R., Potenza, M. N., Schreiber, L. R. N., Donahue, C. B., &amp; Kim, S. W. </w:t>
      </w:r>
      <w:r w:rsidRPr="007626CA">
        <w:rPr>
          <w:rFonts w:cs="Times New Roman"/>
          <w:noProof/>
          <w:szCs w:val="24"/>
        </w:rPr>
        <w:t xml:space="preserve">(2014). A randomized, placebo-controlled trial of N-acetylcysteine plus imaginal desensitization for nicotine-dependent pathological gamblers. </w:t>
      </w:r>
      <w:r w:rsidRPr="007626CA">
        <w:rPr>
          <w:rFonts w:cs="Times New Roman"/>
          <w:i/>
          <w:iCs/>
          <w:noProof/>
          <w:szCs w:val="24"/>
        </w:rPr>
        <w:t>The Journal of Clinical Psychiatry</w:t>
      </w:r>
      <w:r w:rsidRPr="007626CA">
        <w:rPr>
          <w:rFonts w:cs="Times New Roman"/>
          <w:noProof/>
          <w:szCs w:val="24"/>
        </w:rPr>
        <w:t xml:space="preserve">, </w:t>
      </w:r>
      <w:r w:rsidRPr="007626CA">
        <w:rPr>
          <w:rFonts w:cs="Times New Roman"/>
          <w:i/>
          <w:iCs/>
          <w:noProof/>
          <w:szCs w:val="24"/>
        </w:rPr>
        <w:t>75</w:t>
      </w:r>
      <w:r w:rsidRPr="007626CA">
        <w:rPr>
          <w:rFonts w:cs="Times New Roman"/>
          <w:noProof/>
          <w:szCs w:val="24"/>
        </w:rPr>
        <w:t>(1), 39–45. https://doi.org/10.4088/JCP.13M08411</w:t>
      </w:r>
    </w:p>
    <w:p w:rsidR="007626CA" w:rsidRPr="007626CA" w:rsidRDefault="007626CA" w:rsidP="007626CA">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Grant, J. E., Potenza, M. N., Hollander, E., Cynningham-Williams, R., Nurminen, T., Smits, G., &amp; Kallio, A</w:t>
      </w:r>
      <w:r w:rsidRPr="007626CA">
        <w:rPr>
          <w:rFonts w:cs="Times New Roman"/>
          <w:noProof/>
          <w:szCs w:val="24"/>
        </w:rPr>
        <w:t xml:space="preserve">. (2006). Multicenter investigation of the opioid antagonist nalmefene in the treatment of pathological gambling. </w:t>
      </w:r>
      <w:r w:rsidRPr="007626CA">
        <w:rPr>
          <w:rFonts w:cs="Times New Roman"/>
          <w:i/>
          <w:iCs/>
          <w:noProof/>
          <w:szCs w:val="24"/>
        </w:rPr>
        <w:t>The American Journal of Psychiatry</w:t>
      </w:r>
      <w:r w:rsidRPr="007626CA">
        <w:rPr>
          <w:rFonts w:cs="Times New Roman"/>
          <w:noProof/>
          <w:szCs w:val="24"/>
        </w:rPr>
        <w:t xml:space="preserve">, </w:t>
      </w:r>
      <w:r w:rsidRPr="007626CA">
        <w:rPr>
          <w:rFonts w:cs="Times New Roman"/>
          <w:i/>
          <w:iCs/>
          <w:noProof/>
          <w:szCs w:val="24"/>
        </w:rPr>
        <w:t>163</w:t>
      </w:r>
      <w:r w:rsidRPr="007626CA">
        <w:rPr>
          <w:rFonts w:cs="Times New Roman"/>
          <w:noProof/>
          <w:szCs w:val="24"/>
        </w:rPr>
        <w:t>(2), 303–312. https://doi.org/10.1176/APPI.AJP.163.2.303</w:t>
      </w:r>
    </w:p>
    <w:p w:rsidR="007626CA" w:rsidRPr="007626CA" w:rsidRDefault="007626CA" w:rsidP="007626CA">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lastRenderedPageBreak/>
        <w:t>Hollander, E, Pallanti, S., Allen, A., Sood, E., &amp; Rossi, N.</w:t>
      </w:r>
      <w:r w:rsidRPr="007626CA">
        <w:rPr>
          <w:rFonts w:cs="Times New Roman"/>
          <w:noProof/>
          <w:szCs w:val="24"/>
        </w:rPr>
        <w:t xml:space="preserve"> (2005). Does sustained-release lithium reduce impulsive gambling and affective instability versus placebo in pathological gamblers with bipolar spectrum disorders? </w:t>
      </w:r>
      <w:r w:rsidRPr="007626CA">
        <w:rPr>
          <w:rFonts w:cs="Times New Roman"/>
          <w:i/>
          <w:iCs/>
          <w:noProof/>
          <w:szCs w:val="24"/>
        </w:rPr>
        <w:t>The American Journal of Psychiatry</w:t>
      </w:r>
      <w:r w:rsidRPr="007626CA">
        <w:rPr>
          <w:rFonts w:cs="Times New Roman"/>
          <w:noProof/>
          <w:szCs w:val="24"/>
        </w:rPr>
        <w:t xml:space="preserve">, </w:t>
      </w:r>
      <w:r w:rsidRPr="007626CA">
        <w:rPr>
          <w:rFonts w:cs="Times New Roman"/>
          <w:i/>
          <w:iCs/>
          <w:noProof/>
          <w:szCs w:val="24"/>
        </w:rPr>
        <w:t>162</w:t>
      </w:r>
      <w:r w:rsidRPr="007626CA">
        <w:rPr>
          <w:rFonts w:cs="Times New Roman"/>
          <w:noProof/>
          <w:szCs w:val="24"/>
        </w:rPr>
        <w:t>(1), 137–145. https://doi.org/10.1176/APPI.AJP.162.1.137</w:t>
      </w:r>
    </w:p>
    <w:p w:rsidR="007626CA" w:rsidRPr="007626CA" w:rsidRDefault="007626CA" w:rsidP="007626CA">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 xml:space="preserve">Hollander, Eric, Decaria, C. M., Finkell, J. N., Begaz, T., Wong, C. M., &amp; Cartwright, C. </w:t>
      </w:r>
      <w:r w:rsidRPr="007626CA">
        <w:rPr>
          <w:rFonts w:cs="Times New Roman"/>
          <w:noProof/>
          <w:szCs w:val="24"/>
        </w:rPr>
        <w:t xml:space="preserve">(2000). A randomized double-blind fluvoxamine/placebo crossover trial in pathologic gambling. </w:t>
      </w:r>
      <w:r w:rsidRPr="007626CA">
        <w:rPr>
          <w:rFonts w:cs="Times New Roman"/>
          <w:i/>
          <w:iCs/>
          <w:noProof/>
          <w:szCs w:val="24"/>
        </w:rPr>
        <w:t>Biological Psychiatry</w:t>
      </w:r>
      <w:r w:rsidRPr="007626CA">
        <w:rPr>
          <w:rFonts w:cs="Times New Roman"/>
          <w:noProof/>
          <w:szCs w:val="24"/>
        </w:rPr>
        <w:t xml:space="preserve">, </w:t>
      </w:r>
      <w:r w:rsidRPr="007626CA">
        <w:rPr>
          <w:rFonts w:cs="Times New Roman"/>
          <w:i/>
          <w:iCs/>
          <w:noProof/>
          <w:szCs w:val="24"/>
        </w:rPr>
        <w:t>47</w:t>
      </w:r>
      <w:r w:rsidRPr="007626CA">
        <w:rPr>
          <w:rFonts w:cs="Times New Roman"/>
          <w:noProof/>
          <w:szCs w:val="24"/>
        </w:rPr>
        <w:t>(9), 813–817. https://doi.org/10.1016/S0006-3223(00)00241-9</w:t>
      </w:r>
    </w:p>
    <w:p w:rsidR="007626CA" w:rsidRPr="007626CA" w:rsidRDefault="007626CA" w:rsidP="007626CA">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Kim, S. W., Grant, J. E., Adson, D. E., &amp; Shin, Y. C.</w:t>
      </w:r>
      <w:r w:rsidRPr="007626CA">
        <w:rPr>
          <w:rFonts w:cs="Times New Roman"/>
          <w:noProof/>
          <w:szCs w:val="24"/>
        </w:rPr>
        <w:t xml:space="preserve"> (2001). Double-blind naltrexone and placebo comparison study in the treatment of pathological gambling. </w:t>
      </w:r>
      <w:r w:rsidRPr="007626CA">
        <w:rPr>
          <w:rFonts w:cs="Times New Roman"/>
          <w:i/>
          <w:iCs/>
          <w:noProof/>
          <w:szCs w:val="24"/>
        </w:rPr>
        <w:t>Biological Psychiatry</w:t>
      </w:r>
      <w:r w:rsidRPr="007626CA">
        <w:rPr>
          <w:rFonts w:cs="Times New Roman"/>
          <w:noProof/>
          <w:szCs w:val="24"/>
        </w:rPr>
        <w:t xml:space="preserve">, </w:t>
      </w:r>
      <w:r w:rsidRPr="007626CA">
        <w:rPr>
          <w:rFonts w:cs="Times New Roman"/>
          <w:i/>
          <w:iCs/>
          <w:noProof/>
          <w:szCs w:val="24"/>
        </w:rPr>
        <w:t>49</w:t>
      </w:r>
      <w:r w:rsidRPr="007626CA">
        <w:rPr>
          <w:rFonts w:cs="Times New Roman"/>
          <w:noProof/>
          <w:szCs w:val="24"/>
        </w:rPr>
        <w:t>(11), 914–921. https://doi.org/10.1016/S0006-3223(01)01079-4</w:t>
      </w:r>
    </w:p>
    <w:p w:rsidR="007626CA" w:rsidRPr="007626CA" w:rsidRDefault="007626CA" w:rsidP="007626CA">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Kim, S. W., Grant, J. E., Adson, D. E., &amp; Zaninelli, R.</w:t>
      </w:r>
      <w:r w:rsidRPr="007626CA">
        <w:rPr>
          <w:rFonts w:cs="Times New Roman"/>
          <w:noProof/>
          <w:szCs w:val="24"/>
        </w:rPr>
        <w:t xml:space="preserve"> (2002). A Double-Blind Placebo-Controlled Study of the Efficacy and Safety of Paroxetine in the Treatment of Pathological Gambling. </w:t>
      </w:r>
      <w:r w:rsidRPr="007626CA">
        <w:rPr>
          <w:rFonts w:cs="Times New Roman"/>
          <w:i/>
          <w:iCs/>
          <w:noProof/>
          <w:szCs w:val="24"/>
        </w:rPr>
        <w:t>The Journal of Clinical Psychiatry</w:t>
      </w:r>
      <w:r w:rsidRPr="007626CA">
        <w:rPr>
          <w:rFonts w:cs="Times New Roman"/>
          <w:noProof/>
          <w:szCs w:val="24"/>
        </w:rPr>
        <w:t xml:space="preserve">, </w:t>
      </w:r>
      <w:r w:rsidRPr="007626CA">
        <w:rPr>
          <w:rFonts w:cs="Times New Roman"/>
          <w:i/>
          <w:iCs/>
          <w:noProof/>
          <w:szCs w:val="24"/>
        </w:rPr>
        <w:t>63</w:t>
      </w:r>
      <w:r w:rsidRPr="007626CA">
        <w:rPr>
          <w:rFonts w:cs="Times New Roman"/>
          <w:noProof/>
          <w:szCs w:val="24"/>
        </w:rPr>
        <w:t>(6), 4776. Retrieved from https://www.psychiatrist.com/jcp/ocd/pathological-gambling/double-blind-placebo-controlled-study-efficacy-safety-paroxetine-pathological-gambling</w:t>
      </w:r>
    </w:p>
    <w:p w:rsidR="007626CA" w:rsidRPr="007626CA" w:rsidRDefault="007626CA" w:rsidP="007626CA">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Kovanen, L., Basnet, S., Castrén, S., Pankakoski, M., Saarikoski, S. T., Partonen, T., … Lahti, T.</w:t>
      </w:r>
      <w:r w:rsidRPr="007626CA">
        <w:rPr>
          <w:rFonts w:cs="Times New Roman"/>
          <w:noProof/>
          <w:szCs w:val="24"/>
        </w:rPr>
        <w:t xml:space="preserve"> (2016). A Randomised, Double-Blind, Placebo-Controlled Trial of As-Needed Naltrexone in the Treatment of Pathological Gambling. </w:t>
      </w:r>
      <w:r w:rsidRPr="007626CA">
        <w:rPr>
          <w:rFonts w:cs="Times New Roman"/>
          <w:i/>
          <w:iCs/>
          <w:noProof/>
          <w:szCs w:val="24"/>
        </w:rPr>
        <w:t>European Addiction Research</w:t>
      </w:r>
      <w:r w:rsidRPr="007626CA">
        <w:rPr>
          <w:rFonts w:cs="Times New Roman"/>
          <w:noProof/>
          <w:szCs w:val="24"/>
        </w:rPr>
        <w:t xml:space="preserve">, </w:t>
      </w:r>
      <w:r w:rsidRPr="007626CA">
        <w:rPr>
          <w:rFonts w:cs="Times New Roman"/>
          <w:i/>
          <w:iCs/>
          <w:noProof/>
          <w:szCs w:val="24"/>
        </w:rPr>
        <w:t>22</w:t>
      </w:r>
      <w:r w:rsidRPr="007626CA">
        <w:rPr>
          <w:rFonts w:cs="Times New Roman"/>
          <w:noProof/>
          <w:szCs w:val="24"/>
        </w:rPr>
        <w:t>(2), 70–79. https://doi.org/10.1159/000435876</w:t>
      </w:r>
    </w:p>
    <w:p w:rsidR="007626CA" w:rsidRPr="007626CA" w:rsidRDefault="007626CA" w:rsidP="007626CA">
      <w:pPr>
        <w:widowControl w:val="0"/>
        <w:autoSpaceDE w:val="0"/>
        <w:autoSpaceDN w:val="0"/>
        <w:adjustRightInd w:val="0"/>
        <w:spacing w:line="240" w:lineRule="auto"/>
        <w:ind w:left="480" w:hanging="480"/>
        <w:rPr>
          <w:rFonts w:cs="Times New Roman"/>
          <w:noProof/>
        </w:rPr>
      </w:pPr>
      <w:r w:rsidRPr="007626CA">
        <w:rPr>
          <w:rFonts w:cs="Times New Roman"/>
          <w:b/>
          <w:noProof/>
          <w:szCs w:val="24"/>
        </w:rPr>
        <w:t>McElroy, S. L., Nelson, E. B., Welge, J. A., Kaehler, L., &amp; Keck, P. E</w:t>
      </w:r>
      <w:r w:rsidRPr="007626CA">
        <w:rPr>
          <w:rFonts w:cs="Times New Roman"/>
          <w:noProof/>
          <w:szCs w:val="24"/>
        </w:rPr>
        <w:t xml:space="preserve">. (2008). Olanzapine in the treatment of pathological gambling: a negative randomized placebo-controlled trial. </w:t>
      </w:r>
      <w:r w:rsidRPr="007626CA">
        <w:rPr>
          <w:rFonts w:cs="Times New Roman"/>
          <w:i/>
          <w:iCs/>
          <w:noProof/>
          <w:szCs w:val="24"/>
        </w:rPr>
        <w:t>The Journal of Clinical Psychiatry</w:t>
      </w:r>
      <w:r w:rsidRPr="007626CA">
        <w:rPr>
          <w:rFonts w:cs="Times New Roman"/>
          <w:noProof/>
          <w:szCs w:val="24"/>
        </w:rPr>
        <w:t xml:space="preserve">, </w:t>
      </w:r>
      <w:r w:rsidRPr="007626CA">
        <w:rPr>
          <w:rFonts w:cs="Times New Roman"/>
          <w:i/>
          <w:iCs/>
          <w:noProof/>
          <w:szCs w:val="24"/>
        </w:rPr>
        <w:t>69</w:t>
      </w:r>
      <w:r w:rsidRPr="007626CA">
        <w:rPr>
          <w:rFonts w:cs="Times New Roman"/>
          <w:noProof/>
          <w:szCs w:val="24"/>
        </w:rPr>
        <w:t>(3), 433–440. https://doi.org/10.4088/JCP.V69N0314</w:t>
      </w:r>
    </w:p>
    <w:p w:rsidR="009D4FAD" w:rsidRDefault="009D4FAD" w:rsidP="00FD03CC">
      <w:r>
        <w:fldChar w:fldCharType="end"/>
      </w:r>
    </w:p>
    <w:p w:rsidR="00586A4A" w:rsidRDefault="00586A4A">
      <w:pPr>
        <w:rPr>
          <w:rFonts w:eastAsiaTheme="majorEastAsia" w:cstheme="majorBidi"/>
          <w:b/>
          <w:sz w:val="26"/>
          <w:szCs w:val="26"/>
        </w:rPr>
      </w:pPr>
      <w:r>
        <w:br w:type="page"/>
      </w:r>
    </w:p>
    <w:p w:rsidR="00A8228E" w:rsidRDefault="00A8228E" w:rsidP="00A8228E">
      <w:pPr>
        <w:pStyle w:val="Heading2"/>
      </w:pPr>
      <w:r>
        <w:lastRenderedPageBreak/>
        <w:t xml:space="preserve">PRISMA-P </w:t>
      </w:r>
    </w:p>
    <w:p w:rsidR="00A8228E" w:rsidRPr="00586A4A" w:rsidRDefault="00A8228E" w:rsidP="00FD03CC">
      <w:pPr>
        <w:rPr>
          <w:sz w:val="12"/>
        </w:rPr>
      </w:pPr>
      <w:r w:rsidRPr="00586A4A">
        <w:rPr>
          <w:color w:val="000000"/>
          <w:sz w:val="22"/>
          <w:szCs w:val="27"/>
        </w:rPr>
        <w:t>Preferred reporting items for systematic review and meta-analysis protocols) 2015 checklist: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25"/>
        <w:gridCol w:w="537"/>
        <w:gridCol w:w="6864"/>
      </w:tblGrid>
      <w:tr w:rsidR="00A8228E" w:rsidRPr="00586A4A" w:rsidTr="00885B1B">
        <w:trPr>
          <w:tblHeader/>
          <w:tblCellSpacing w:w="15" w:type="dxa"/>
        </w:trPr>
        <w:tc>
          <w:tcPr>
            <w:tcW w:w="0" w:type="auto"/>
            <w:hideMark/>
          </w:tcPr>
          <w:p w:rsidR="00A8228E" w:rsidRPr="009429CD" w:rsidRDefault="00A8228E" w:rsidP="00885B1B">
            <w:pPr>
              <w:spacing w:after="0" w:line="240" w:lineRule="auto"/>
              <w:rPr>
                <w:rFonts w:eastAsia="Times New Roman" w:cs="Times New Roman"/>
                <w:b/>
                <w:bCs/>
                <w:sz w:val="20"/>
                <w:szCs w:val="24"/>
                <w:lang w:eastAsia="en-GB"/>
              </w:rPr>
            </w:pPr>
            <w:r w:rsidRPr="009429CD">
              <w:rPr>
                <w:rFonts w:eastAsia="Times New Roman" w:cs="Times New Roman"/>
                <w:b/>
                <w:bCs/>
                <w:sz w:val="20"/>
                <w:szCs w:val="24"/>
                <w:lang w:eastAsia="en-GB"/>
              </w:rPr>
              <w:t>Section and topic</w:t>
            </w:r>
          </w:p>
        </w:tc>
        <w:tc>
          <w:tcPr>
            <w:tcW w:w="0" w:type="auto"/>
            <w:hideMark/>
          </w:tcPr>
          <w:p w:rsidR="00A8228E" w:rsidRPr="009429CD" w:rsidRDefault="00A8228E" w:rsidP="00885B1B">
            <w:pPr>
              <w:spacing w:after="0" w:line="240" w:lineRule="auto"/>
              <w:jc w:val="center"/>
              <w:rPr>
                <w:rFonts w:eastAsia="Times New Roman" w:cs="Times New Roman"/>
                <w:b/>
                <w:bCs/>
                <w:sz w:val="20"/>
                <w:szCs w:val="24"/>
                <w:lang w:eastAsia="en-GB"/>
              </w:rPr>
            </w:pPr>
            <w:r w:rsidRPr="009429CD">
              <w:rPr>
                <w:rFonts w:eastAsia="Times New Roman" w:cs="Times New Roman"/>
                <w:b/>
                <w:bCs/>
                <w:sz w:val="20"/>
                <w:szCs w:val="24"/>
                <w:lang w:eastAsia="en-GB"/>
              </w:rPr>
              <w:t>Item No</w:t>
            </w:r>
          </w:p>
        </w:tc>
        <w:tc>
          <w:tcPr>
            <w:tcW w:w="0" w:type="auto"/>
            <w:hideMark/>
          </w:tcPr>
          <w:p w:rsidR="00A8228E" w:rsidRPr="009429CD" w:rsidRDefault="00A8228E" w:rsidP="00885B1B">
            <w:pPr>
              <w:spacing w:after="0" w:line="240" w:lineRule="auto"/>
              <w:jc w:val="center"/>
              <w:rPr>
                <w:rFonts w:eastAsia="Times New Roman" w:cs="Times New Roman"/>
                <w:b/>
                <w:bCs/>
                <w:sz w:val="20"/>
                <w:szCs w:val="24"/>
                <w:lang w:eastAsia="en-GB"/>
              </w:rPr>
            </w:pPr>
            <w:r w:rsidRPr="009429CD">
              <w:rPr>
                <w:rFonts w:eastAsia="Times New Roman" w:cs="Times New Roman"/>
                <w:b/>
                <w:bCs/>
                <w:sz w:val="20"/>
                <w:szCs w:val="24"/>
                <w:lang w:eastAsia="en-GB"/>
              </w:rPr>
              <w:t>Checklist item</w:t>
            </w:r>
          </w:p>
        </w:tc>
      </w:tr>
      <w:tr w:rsidR="00A8228E" w:rsidRPr="009429CD" w:rsidTr="00885B1B">
        <w:trPr>
          <w:tblCellSpacing w:w="15" w:type="dxa"/>
        </w:trPr>
        <w:tc>
          <w:tcPr>
            <w:tcW w:w="0" w:type="auto"/>
            <w:gridSpan w:val="3"/>
            <w:hideMark/>
          </w:tcPr>
          <w:p w:rsidR="00A8228E" w:rsidRPr="009429CD" w:rsidRDefault="00A8228E" w:rsidP="00885B1B">
            <w:pPr>
              <w:spacing w:after="0" w:line="240" w:lineRule="auto"/>
              <w:rPr>
                <w:rFonts w:eastAsia="Times New Roman" w:cs="Times New Roman"/>
                <w:sz w:val="20"/>
                <w:szCs w:val="24"/>
                <w:lang w:eastAsia="en-GB"/>
              </w:rPr>
            </w:pPr>
            <w:r w:rsidRPr="00586A4A">
              <w:rPr>
                <w:rFonts w:eastAsia="Times New Roman" w:cs="Times New Roman"/>
                <w:b/>
                <w:bCs/>
                <w:sz w:val="20"/>
                <w:szCs w:val="24"/>
                <w:lang w:eastAsia="en-GB"/>
              </w:rPr>
              <w:t>Administrative information</w:t>
            </w: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Title:</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p>
        </w:tc>
        <w:tc>
          <w:tcPr>
            <w:tcW w:w="0" w:type="auto"/>
            <w:hideMark/>
          </w:tcPr>
          <w:p w:rsidR="00A8228E" w:rsidRPr="009429CD" w:rsidRDefault="00A8228E" w:rsidP="00885B1B">
            <w:pPr>
              <w:spacing w:after="0" w:line="240" w:lineRule="auto"/>
              <w:jc w:val="center"/>
              <w:rPr>
                <w:rFonts w:eastAsia="Times New Roman" w:cs="Times New Roman"/>
                <w:szCs w:val="20"/>
                <w:lang w:eastAsia="en-GB"/>
              </w:rPr>
            </w:pP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 </w:t>
            </w:r>
            <w:r w:rsidRPr="009429CD">
              <w:rPr>
                <w:rFonts w:eastAsia="Times New Roman" w:cs="Times New Roman"/>
                <w:sz w:val="20"/>
                <w:szCs w:val="24"/>
                <w:lang w:eastAsia="en-GB"/>
              </w:rPr>
              <w:t>Identification</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1a</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Identify the report as a protocol of a systematic review</w:t>
            </w:r>
            <w:r w:rsidRPr="00586A4A">
              <w:rPr>
                <w:rFonts w:eastAsia="Times New Roman" w:cs="Times New Roman"/>
                <w:i/>
                <w:color w:val="5B9BD5" w:themeColor="accent1"/>
                <w:sz w:val="20"/>
                <w:szCs w:val="24"/>
                <w:lang w:eastAsia="en-GB"/>
              </w:rPr>
              <w:t xml:space="preserve"> (identified as meta-analysis)</w:t>
            </w: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 </w:t>
            </w:r>
            <w:r w:rsidRPr="009429CD">
              <w:rPr>
                <w:rFonts w:eastAsia="Times New Roman" w:cs="Times New Roman"/>
                <w:sz w:val="20"/>
                <w:szCs w:val="24"/>
                <w:lang w:eastAsia="en-GB"/>
              </w:rPr>
              <w:t>Update</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1b</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If the protocol is for an update of a previous systematic review, identify as such</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(not applicable)</w:t>
            </w: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Registration</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2</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If registered, provide the name of the registry (such as PROSPERO) and registration number</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(PROSPERO registration provided)</w:t>
            </w: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Authors:</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p>
        </w:tc>
        <w:tc>
          <w:tcPr>
            <w:tcW w:w="0" w:type="auto"/>
            <w:hideMark/>
          </w:tcPr>
          <w:p w:rsidR="00A8228E" w:rsidRPr="009429CD" w:rsidRDefault="00A8228E" w:rsidP="00885B1B">
            <w:pPr>
              <w:spacing w:after="0" w:line="240" w:lineRule="auto"/>
              <w:jc w:val="center"/>
              <w:rPr>
                <w:rFonts w:eastAsia="Times New Roman" w:cs="Times New Roman"/>
                <w:szCs w:val="20"/>
                <w:lang w:eastAsia="en-GB"/>
              </w:rPr>
            </w:pP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 </w:t>
            </w:r>
            <w:r w:rsidRPr="009429CD">
              <w:rPr>
                <w:rFonts w:eastAsia="Times New Roman" w:cs="Times New Roman"/>
                <w:sz w:val="20"/>
                <w:szCs w:val="24"/>
                <w:lang w:eastAsia="en-GB"/>
              </w:rPr>
              <w:t>Contact</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3a</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Provide name, institutional affiliation, e-mail address of all protocol authors; provide physical mailing address of corresponding author</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(in title page)</w:t>
            </w: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 </w:t>
            </w:r>
            <w:r w:rsidRPr="009429CD">
              <w:rPr>
                <w:rFonts w:eastAsia="Times New Roman" w:cs="Times New Roman"/>
                <w:sz w:val="20"/>
                <w:szCs w:val="24"/>
                <w:lang w:eastAsia="en-GB"/>
              </w:rPr>
              <w:t>Contributions</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3b</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Describe contributions of protocol authors and identify the guarantor of the review</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author contributions p20 line 434)</w:t>
            </w: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Amendments</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4</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If the protocol represents an amendment of a previously completed or published protocol, identify as such and list changes; otherwise, state plan for documenting important protocol amendments</w:t>
            </w:r>
            <w:r w:rsidRPr="00586A4A">
              <w:rPr>
                <w:rFonts w:eastAsia="Times New Roman" w:cs="Times New Roman"/>
                <w:i/>
                <w:color w:val="5B9BD5" w:themeColor="accent1"/>
                <w:sz w:val="20"/>
                <w:szCs w:val="24"/>
                <w:lang w:eastAsia="en-GB"/>
              </w:rPr>
              <w:t xml:space="preserve"> (not applicable)</w:t>
            </w: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Support:</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p>
        </w:tc>
        <w:tc>
          <w:tcPr>
            <w:tcW w:w="0" w:type="auto"/>
            <w:hideMark/>
          </w:tcPr>
          <w:p w:rsidR="00A8228E" w:rsidRPr="009429CD" w:rsidRDefault="00A8228E" w:rsidP="00885B1B">
            <w:pPr>
              <w:spacing w:after="0" w:line="240" w:lineRule="auto"/>
              <w:jc w:val="center"/>
              <w:rPr>
                <w:rFonts w:eastAsia="Times New Roman" w:cs="Times New Roman"/>
                <w:szCs w:val="20"/>
                <w:lang w:eastAsia="en-GB"/>
              </w:rPr>
            </w:pP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 </w:t>
            </w:r>
            <w:r w:rsidRPr="009429CD">
              <w:rPr>
                <w:rFonts w:eastAsia="Times New Roman" w:cs="Times New Roman"/>
                <w:sz w:val="20"/>
                <w:szCs w:val="24"/>
                <w:lang w:eastAsia="en-GB"/>
              </w:rPr>
              <w:t>Sources</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5a</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Indicate sources of financial or other support for the review</w:t>
            </w:r>
            <w:r w:rsidRPr="00586A4A">
              <w:rPr>
                <w:rFonts w:eastAsia="Times New Roman" w:cs="Times New Roman"/>
                <w:i/>
                <w:color w:val="5B9BD5" w:themeColor="accent1"/>
                <w:sz w:val="20"/>
                <w:szCs w:val="24"/>
                <w:lang w:eastAsia="en-GB"/>
              </w:rPr>
              <w:t xml:space="preserve"> (see p18 line 407)</w:t>
            </w: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 </w:t>
            </w:r>
            <w:r w:rsidRPr="009429CD">
              <w:rPr>
                <w:rFonts w:eastAsia="Times New Roman" w:cs="Times New Roman"/>
                <w:sz w:val="20"/>
                <w:szCs w:val="24"/>
                <w:lang w:eastAsia="en-GB"/>
              </w:rPr>
              <w:t>Sponsor</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5b</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Provide name for the review funder and/or sponsor</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 xml:space="preserve"> (see p18 line 407)</w:t>
            </w: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 </w:t>
            </w:r>
            <w:r w:rsidRPr="009429CD">
              <w:rPr>
                <w:rFonts w:eastAsia="Times New Roman" w:cs="Times New Roman"/>
                <w:sz w:val="20"/>
                <w:szCs w:val="24"/>
                <w:lang w:eastAsia="en-GB"/>
              </w:rPr>
              <w:t>Role of sponsor or funder</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5c</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Describe roles of funder(s), sponsor(s), and/or institution(s), if any, in developing the protocol</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 xml:space="preserve"> (not applicable)</w:t>
            </w:r>
          </w:p>
        </w:tc>
      </w:tr>
      <w:tr w:rsidR="00A8228E" w:rsidRPr="009429CD" w:rsidTr="00885B1B">
        <w:trPr>
          <w:tblCellSpacing w:w="15" w:type="dxa"/>
        </w:trPr>
        <w:tc>
          <w:tcPr>
            <w:tcW w:w="0" w:type="auto"/>
            <w:gridSpan w:val="3"/>
            <w:hideMark/>
          </w:tcPr>
          <w:p w:rsidR="00A8228E" w:rsidRPr="009429CD" w:rsidRDefault="00A8228E" w:rsidP="00885B1B">
            <w:pPr>
              <w:spacing w:after="0" w:line="240" w:lineRule="auto"/>
              <w:rPr>
                <w:rFonts w:eastAsia="Times New Roman" w:cs="Times New Roman"/>
                <w:sz w:val="20"/>
                <w:szCs w:val="24"/>
                <w:lang w:eastAsia="en-GB"/>
              </w:rPr>
            </w:pPr>
            <w:r w:rsidRPr="00586A4A">
              <w:rPr>
                <w:rFonts w:eastAsia="Times New Roman" w:cs="Times New Roman"/>
                <w:b/>
                <w:bCs/>
                <w:sz w:val="20"/>
                <w:szCs w:val="24"/>
                <w:lang w:eastAsia="en-GB"/>
              </w:rPr>
              <w:t>Introduction</w:t>
            </w: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Rationale</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6</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Describe the rationale for the review in the context of what is already known</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p5-6)</w:t>
            </w: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Objectives</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7</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Provide an explicit statement of the question(s) the review will address with reference to participants, interventions, comparators, and outcomes (PICO)</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p6-7)</w:t>
            </w:r>
          </w:p>
        </w:tc>
      </w:tr>
      <w:tr w:rsidR="00A8228E" w:rsidRPr="009429CD" w:rsidTr="00885B1B">
        <w:trPr>
          <w:tblCellSpacing w:w="15" w:type="dxa"/>
        </w:trPr>
        <w:tc>
          <w:tcPr>
            <w:tcW w:w="0" w:type="auto"/>
            <w:gridSpan w:val="3"/>
            <w:hideMark/>
          </w:tcPr>
          <w:p w:rsidR="00A8228E" w:rsidRPr="009429CD" w:rsidRDefault="00A8228E" w:rsidP="00885B1B">
            <w:pPr>
              <w:spacing w:after="0" w:line="240" w:lineRule="auto"/>
              <w:rPr>
                <w:rFonts w:eastAsia="Times New Roman" w:cs="Times New Roman"/>
                <w:sz w:val="20"/>
                <w:szCs w:val="24"/>
                <w:lang w:eastAsia="en-GB"/>
              </w:rPr>
            </w:pPr>
            <w:r w:rsidRPr="00586A4A">
              <w:rPr>
                <w:rFonts w:eastAsia="Times New Roman" w:cs="Times New Roman"/>
                <w:b/>
                <w:bCs/>
                <w:sz w:val="20"/>
                <w:szCs w:val="24"/>
                <w:lang w:eastAsia="en-GB"/>
              </w:rPr>
              <w:t>Methods</w:t>
            </w: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Eligibility criteria</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8</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Specify the study characteristics (such as PICO, study design, setting, time frame) and report characteristics (such as years considered, language, publication status) to be used as criteria for eligibility for the review</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lines 126-140)</w:t>
            </w: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Information sources</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9</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Describe all intended information sources (such as electronic databases, contact with study authors, trial registers or other grey literature sources) with planned dates of coverage</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lines 118-125)</w:t>
            </w: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Search strategy</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10</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Present draft of search strategy to be used for at least one electronic database, including planned limits, such that it could be repeated</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lines 118-125)</w:t>
            </w: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Study records:</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p>
        </w:tc>
        <w:tc>
          <w:tcPr>
            <w:tcW w:w="0" w:type="auto"/>
            <w:hideMark/>
          </w:tcPr>
          <w:p w:rsidR="00A8228E" w:rsidRPr="009429CD" w:rsidRDefault="00A8228E" w:rsidP="00885B1B">
            <w:pPr>
              <w:spacing w:after="0" w:line="240" w:lineRule="auto"/>
              <w:jc w:val="center"/>
              <w:rPr>
                <w:rFonts w:eastAsia="Times New Roman" w:cs="Times New Roman"/>
                <w:szCs w:val="20"/>
                <w:lang w:eastAsia="en-GB"/>
              </w:rPr>
            </w:pP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 </w:t>
            </w:r>
            <w:r w:rsidRPr="009429CD">
              <w:rPr>
                <w:rFonts w:eastAsia="Times New Roman" w:cs="Times New Roman"/>
                <w:sz w:val="20"/>
                <w:szCs w:val="24"/>
                <w:lang w:eastAsia="en-GB"/>
              </w:rPr>
              <w:t>Data management</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11a</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Describe the mechanism(s) that will be used to manage records and data throughout the review</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lines 132-154)</w:t>
            </w: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 </w:t>
            </w:r>
            <w:r w:rsidRPr="009429CD">
              <w:rPr>
                <w:rFonts w:eastAsia="Times New Roman" w:cs="Times New Roman"/>
                <w:sz w:val="20"/>
                <w:szCs w:val="24"/>
                <w:lang w:eastAsia="en-GB"/>
              </w:rPr>
              <w:t>Selection process</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11b</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State the process that will be used for selecting studies (such as two independent reviewers) through each phase of the review (that is, screening, eligibility and inclusion in meta-analysis)</w:t>
            </w:r>
            <w:r w:rsidRPr="00586A4A">
              <w:rPr>
                <w:rFonts w:eastAsia="Times New Roman" w:cs="Times New Roman"/>
                <w:i/>
                <w:color w:val="5B9BD5" w:themeColor="accent1"/>
                <w:sz w:val="20"/>
                <w:szCs w:val="24"/>
                <w:lang w:eastAsia="en-GB"/>
              </w:rPr>
              <w:t xml:space="preserve"> (see materials and methods line 132)</w:t>
            </w: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 </w:t>
            </w:r>
            <w:r w:rsidRPr="009429CD">
              <w:rPr>
                <w:rFonts w:eastAsia="Times New Roman" w:cs="Times New Roman"/>
                <w:sz w:val="20"/>
                <w:szCs w:val="24"/>
                <w:lang w:eastAsia="en-GB"/>
              </w:rPr>
              <w:t>Data collection process</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11c</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Describe planned method of extracting data from reports (such as piloting forms, done independently, in duplicate), any processes for obtaining and confirming data from investigators</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 132)</w:t>
            </w: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lastRenderedPageBreak/>
              <w:t>Data items</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12</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List and define all variables for which data will be sought (such as PICO items, funding sources), any pre-planned data assumptions and simplifications</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 132 and 133-154)</w:t>
            </w: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Outcomes and prioritization</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13</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List and define all outcomes for which data will be sought, including prioritization of main and additional outcomes, with rationale</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 132 and 133-154</w:t>
            </w: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Risk of bias in individual studies</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14</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Describe anticipated methods for assessing risk of bias of individual studies, including whether this will be done at the outcome or study level, or both; state how this information will be used in data synthesis</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 132 and 133-140)</w:t>
            </w:r>
          </w:p>
        </w:tc>
      </w:tr>
      <w:tr w:rsidR="00A8228E" w:rsidRPr="00586A4A" w:rsidTr="00885B1B">
        <w:trPr>
          <w:tblCellSpacing w:w="15" w:type="dxa"/>
        </w:trPr>
        <w:tc>
          <w:tcPr>
            <w:tcW w:w="0" w:type="auto"/>
            <w:vMerge w:val="restart"/>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Data synthesis</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15a</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Describe criteria under which study data will be quantitatively synthesised</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 132 and 156-180)</w:t>
            </w:r>
          </w:p>
        </w:tc>
      </w:tr>
      <w:tr w:rsidR="00A8228E" w:rsidRPr="00586A4A" w:rsidTr="00885B1B">
        <w:trPr>
          <w:tblCellSpacing w:w="15" w:type="dxa"/>
        </w:trPr>
        <w:tc>
          <w:tcPr>
            <w:tcW w:w="0" w:type="auto"/>
            <w:vMerge/>
            <w:vAlign w:val="center"/>
            <w:hideMark/>
          </w:tcPr>
          <w:p w:rsidR="00A8228E" w:rsidRPr="009429CD" w:rsidRDefault="00A8228E" w:rsidP="00885B1B">
            <w:pPr>
              <w:spacing w:after="0" w:line="240" w:lineRule="auto"/>
              <w:rPr>
                <w:rFonts w:eastAsia="Times New Roman" w:cs="Times New Roman"/>
                <w:sz w:val="20"/>
                <w:szCs w:val="24"/>
                <w:lang w:eastAsia="en-GB"/>
              </w:rPr>
            </w:pP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15b</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If data are appropriate for quantitative synthesis, describe planned summary measures, methods of handling data and methods of combining data from studies, including any planned exploration of consistency (such as I</w:t>
            </w:r>
            <w:r w:rsidRPr="009429CD">
              <w:rPr>
                <w:rFonts w:eastAsia="Times New Roman" w:cs="Times New Roman"/>
                <w:sz w:val="20"/>
                <w:szCs w:val="24"/>
                <w:vertAlign w:val="superscript"/>
                <w:lang w:eastAsia="en-GB"/>
              </w:rPr>
              <w:t>2</w:t>
            </w:r>
            <w:r w:rsidRPr="009429CD">
              <w:rPr>
                <w:rFonts w:eastAsia="Times New Roman" w:cs="Times New Roman"/>
                <w:sz w:val="20"/>
                <w:szCs w:val="24"/>
                <w:lang w:eastAsia="en-GB"/>
              </w:rPr>
              <w:t>, Kendall’s τ)</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 132 and 156-180)</w:t>
            </w:r>
          </w:p>
        </w:tc>
      </w:tr>
      <w:tr w:rsidR="00A8228E" w:rsidRPr="00586A4A" w:rsidTr="00885B1B">
        <w:trPr>
          <w:tblCellSpacing w:w="15" w:type="dxa"/>
        </w:trPr>
        <w:tc>
          <w:tcPr>
            <w:tcW w:w="0" w:type="auto"/>
            <w:vMerge/>
            <w:vAlign w:val="center"/>
            <w:hideMark/>
          </w:tcPr>
          <w:p w:rsidR="00A8228E" w:rsidRPr="009429CD" w:rsidRDefault="00A8228E" w:rsidP="00885B1B">
            <w:pPr>
              <w:spacing w:after="0" w:line="240" w:lineRule="auto"/>
              <w:rPr>
                <w:rFonts w:eastAsia="Times New Roman" w:cs="Times New Roman"/>
                <w:sz w:val="20"/>
                <w:szCs w:val="24"/>
                <w:lang w:eastAsia="en-GB"/>
              </w:rPr>
            </w:pP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15c</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Describe any proposed additional analyses (such as sensitivity or subgroup analyses, meta-regression)</w:t>
            </w:r>
            <w:r w:rsidRPr="00586A4A">
              <w:rPr>
                <w:rFonts w:eastAsia="Times New Roman" w:cs="Times New Roman"/>
                <w:i/>
                <w:color w:val="5B9BD5" w:themeColor="accent1"/>
                <w:sz w:val="20"/>
                <w:szCs w:val="24"/>
                <w:lang w:eastAsia="en-GB"/>
              </w:rPr>
              <w:t xml:space="preserve"> (see materials and methods line 132 and 156-180)</w:t>
            </w:r>
          </w:p>
        </w:tc>
      </w:tr>
      <w:tr w:rsidR="00A8228E" w:rsidRPr="00586A4A" w:rsidTr="00885B1B">
        <w:trPr>
          <w:tblCellSpacing w:w="15" w:type="dxa"/>
        </w:trPr>
        <w:tc>
          <w:tcPr>
            <w:tcW w:w="0" w:type="auto"/>
            <w:vMerge/>
            <w:vAlign w:val="center"/>
            <w:hideMark/>
          </w:tcPr>
          <w:p w:rsidR="00A8228E" w:rsidRPr="009429CD" w:rsidRDefault="00A8228E" w:rsidP="00885B1B">
            <w:pPr>
              <w:spacing w:after="0" w:line="240" w:lineRule="auto"/>
              <w:rPr>
                <w:rFonts w:eastAsia="Times New Roman" w:cs="Times New Roman"/>
                <w:sz w:val="20"/>
                <w:szCs w:val="24"/>
                <w:lang w:eastAsia="en-GB"/>
              </w:rPr>
            </w:pP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15d</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If quantitative synthesis is not appropriate, describe the type of summary planned</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(not applicable)</w:t>
            </w: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Meta-bias(</w:t>
            </w:r>
            <w:proofErr w:type="spellStart"/>
            <w:r w:rsidRPr="009429CD">
              <w:rPr>
                <w:rFonts w:eastAsia="Times New Roman" w:cs="Times New Roman"/>
                <w:sz w:val="20"/>
                <w:szCs w:val="24"/>
                <w:lang w:eastAsia="en-GB"/>
              </w:rPr>
              <w:t>es</w:t>
            </w:r>
            <w:proofErr w:type="spellEnd"/>
            <w:r w:rsidRPr="009429CD">
              <w:rPr>
                <w:rFonts w:eastAsia="Times New Roman" w:cs="Times New Roman"/>
                <w:sz w:val="20"/>
                <w:szCs w:val="24"/>
                <w:lang w:eastAsia="en-GB"/>
              </w:rPr>
              <w:t>)</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16</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Specify any planned assessment of meta-bias(</w:t>
            </w:r>
            <w:proofErr w:type="spellStart"/>
            <w:r w:rsidRPr="009429CD">
              <w:rPr>
                <w:rFonts w:eastAsia="Times New Roman" w:cs="Times New Roman"/>
                <w:sz w:val="20"/>
                <w:szCs w:val="24"/>
                <w:lang w:eastAsia="en-GB"/>
              </w:rPr>
              <w:t>es</w:t>
            </w:r>
            <w:proofErr w:type="spellEnd"/>
            <w:r w:rsidRPr="009429CD">
              <w:rPr>
                <w:rFonts w:eastAsia="Times New Roman" w:cs="Times New Roman"/>
                <w:sz w:val="20"/>
                <w:szCs w:val="24"/>
                <w:lang w:eastAsia="en-GB"/>
              </w:rPr>
              <w:t>) (such as publication bias across studies, selective reporting within studies)</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 132 and 181-184)</w:t>
            </w:r>
          </w:p>
        </w:tc>
      </w:tr>
      <w:tr w:rsidR="00A8228E" w:rsidRPr="00586A4A" w:rsidTr="00885B1B">
        <w:trPr>
          <w:tblCellSpacing w:w="15" w:type="dxa"/>
        </w:trPr>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Confidence in cumulative evidence</w:t>
            </w:r>
          </w:p>
        </w:tc>
        <w:tc>
          <w:tcPr>
            <w:tcW w:w="0" w:type="auto"/>
            <w:hideMark/>
          </w:tcPr>
          <w:p w:rsidR="00A8228E" w:rsidRPr="009429CD" w:rsidRDefault="00A8228E" w:rsidP="00885B1B">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17</w:t>
            </w:r>
          </w:p>
        </w:tc>
        <w:tc>
          <w:tcPr>
            <w:tcW w:w="0" w:type="auto"/>
            <w:hideMark/>
          </w:tcPr>
          <w:p w:rsidR="00A8228E" w:rsidRPr="009429CD" w:rsidRDefault="00A8228E" w:rsidP="00885B1B">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Describe how the strength of the body of evidence will be assessed (such as GRADE)</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 132 and 181-184, also see limitations)</w:t>
            </w:r>
          </w:p>
        </w:tc>
      </w:tr>
    </w:tbl>
    <w:p w:rsidR="00A8228E" w:rsidRDefault="00A8228E" w:rsidP="00A8228E"/>
    <w:p w:rsidR="00A8228E" w:rsidRDefault="00A8228E" w:rsidP="00FD03CC"/>
    <w:sectPr w:rsidR="00A8228E">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81E" w:rsidRDefault="002E681E" w:rsidP="0099632F">
      <w:pPr>
        <w:spacing w:after="0" w:line="240" w:lineRule="auto"/>
      </w:pPr>
      <w:r>
        <w:separator/>
      </w:r>
    </w:p>
  </w:endnote>
  <w:endnote w:type="continuationSeparator" w:id="0">
    <w:p w:rsidR="002E681E" w:rsidRDefault="002E681E" w:rsidP="00996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81E" w:rsidRDefault="002E681E" w:rsidP="0099632F">
      <w:pPr>
        <w:spacing w:after="0" w:line="240" w:lineRule="auto"/>
      </w:pPr>
      <w:r>
        <w:separator/>
      </w:r>
    </w:p>
  </w:footnote>
  <w:footnote w:type="continuationSeparator" w:id="0">
    <w:p w:rsidR="002E681E" w:rsidRDefault="002E681E" w:rsidP="009963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B1B" w:rsidRPr="0099632F" w:rsidRDefault="00885B1B" w:rsidP="0099632F">
    <w:pPr>
      <w:pStyle w:val="Heading2"/>
      <w:jc w:val="center"/>
      <w:rPr>
        <w:sz w:val="14"/>
      </w:rPr>
    </w:pPr>
    <w:r w:rsidRPr="0099632F">
      <w:rPr>
        <w:sz w:val="14"/>
      </w:rPr>
      <w:t>SUPPLEMENT: PLACEBO AND NOCEBO EFFECTS IN GAMBLING DISORDER: A META-ANALYSIS; IOANNIDIS ET AL; 2024</w:t>
    </w:r>
  </w:p>
  <w:p w:rsidR="00885B1B" w:rsidRDefault="00885B1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151"/>
    <w:rsid w:val="000021DC"/>
    <w:rsid w:val="00006521"/>
    <w:rsid w:val="00020A5F"/>
    <w:rsid w:val="000264F5"/>
    <w:rsid w:val="00034163"/>
    <w:rsid w:val="00061254"/>
    <w:rsid w:val="000720E6"/>
    <w:rsid w:val="000730EF"/>
    <w:rsid w:val="0008118C"/>
    <w:rsid w:val="00091E80"/>
    <w:rsid w:val="00097C12"/>
    <w:rsid w:val="000B2BA6"/>
    <w:rsid w:val="000C225B"/>
    <w:rsid w:val="000C48A6"/>
    <w:rsid w:val="0010466C"/>
    <w:rsid w:val="00130EC8"/>
    <w:rsid w:val="00135DC9"/>
    <w:rsid w:val="0015556E"/>
    <w:rsid w:val="00184670"/>
    <w:rsid w:val="0019504E"/>
    <w:rsid w:val="001B13A2"/>
    <w:rsid w:val="001E038D"/>
    <w:rsid w:val="00201BC5"/>
    <w:rsid w:val="00211982"/>
    <w:rsid w:val="00215256"/>
    <w:rsid w:val="00247415"/>
    <w:rsid w:val="0029344B"/>
    <w:rsid w:val="00295FE1"/>
    <w:rsid w:val="002A7071"/>
    <w:rsid w:val="002D7D70"/>
    <w:rsid w:val="002E681E"/>
    <w:rsid w:val="002F71C0"/>
    <w:rsid w:val="002F7768"/>
    <w:rsid w:val="00315638"/>
    <w:rsid w:val="00375A3B"/>
    <w:rsid w:val="0038281F"/>
    <w:rsid w:val="003B1491"/>
    <w:rsid w:val="003C5CA8"/>
    <w:rsid w:val="003D7B8B"/>
    <w:rsid w:val="003E2172"/>
    <w:rsid w:val="004223F0"/>
    <w:rsid w:val="00445C0F"/>
    <w:rsid w:val="004B4EB9"/>
    <w:rsid w:val="004E06FA"/>
    <w:rsid w:val="00503B80"/>
    <w:rsid w:val="005712E8"/>
    <w:rsid w:val="00586A4A"/>
    <w:rsid w:val="005D00B9"/>
    <w:rsid w:val="006123B4"/>
    <w:rsid w:val="006126E4"/>
    <w:rsid w:val="00617277"/>
    <w:rsid w:val="00624249"/>
    <w:rsid w:val="00633A8B"/>
    <w:rsid w:val="00681F58"/>
    <w:rsid w:val="00690DDA"/>
    <w:rsid w:val="00694B84"/>
    <w:rsid w:val="006F1AEC"/>
    <w:rsid w:val="006F2056"/>
    <w:rsid w:val="006F5E50"/>
    <w:rsid w:val="007626CA"/>
    <w:rsid w:val="00766B65"/>
    <w:rsid w:val="007B214F"/>
    <w:rsid w:val="0081623C"/>
    <w:rsid w:val="00855E93"/>
    <w:rsid w:val="00885B1B"/>
    <w:rsid w:val="00893429"/>
    <w:rsid w:val="008D5F65"/>
    <w:rsid w:val="009115C7"/>
    <w:rsid w:val="00950238"/>
    <w:rsid w:val="009515E0"/>
    <w:rsid w:val="0095347F"/>
    <w:rsid w:val="00961E20"/>
    <w:rsid w:val="0096614F"/>
    <w:rsid w:val="0099632F"/>
    <w:rsid w:val="009B1151"/>
    <w:rsid w:val="009D4FAD"/>
    <w:rsid w:val="009D66BE"/>
    <w:rsid w:val="009F0072"/>
    <w:rsid w:val="00A030AB"/>
    <w:rsid w:val="00A26254"/>
    <w:rsid w:val="00A267C1"/>
    <w:rsid w:val="00A8228E"/>
    <w:rsid w:val="00AA5BEF"/>
    <w:rsid w:val="00AC060C"/>
    <w:rsid w:val="00AD0791"/>
    <w:rsid w:val="00AE0568"/>
    <w:rsid w:val="00AF00D4"/>
    <w:rsid w:val="00AF15E3"/>
    <w:rsid w:val="00B04BFF"/>
    <w:rsid w:val="00B10F7E"/>
    <w:rsid w:val="00B213E7"/>
    <w:rsid w:val="00B46CDA"/>
    <w:rsid w:val="00B50D06"/>
    <w:rsid w:val="00B65020"/>
    <w:rsid w:val="00B965A0"/>
    <w:rsid w:val="00BB6769"/>
    <w:rsid w:val="00BB6D7F"/>
    <w:rsid w:val="00C04602"/>
    <w:rsid w:val="00C53F0C"/>
    <w:rsid w:val="00C835A8"/>
    <w:rsid w:val="00C84E05"/>
    <w:rsid w:val="00C86A17"/>
    <w:rsid w:val="00CA510E"/>
    <w:rsid w:val="00CB5080"/>
    <w:rsid w:val="00CF75F4"/>
    <w:rsid w:val="00D30D35"/>
    <w:rsid w:val="00DA31DA"/>
    <w:rsid w:val="00DC5476"/>
    <w:rsid w:val="00DC5620"/>
    <w:rsid w:val="00DD1349"/>
    <w:rsid w:val="00DD7C5C"/>
    <w:rsid w:val="00DF748D"/>
    <w:rsid w:val="00E4363C"/>
    <w:rsid w:val="00E4760E"/>
    <w:rsid w:val="00E848A4"/>
    <w:rsid w:val="00E86147"/>
    <w:rsid w:val="00ED5059"/>
    <w:rsid w:val="00ED7CE9"/>
    <w:rsid w:val="00EF41E0"/>
    <w:rsid w:val="00F53F1B"/>
    <w:rsid w:val="00F62AE9"/>
    <w:rsid w:val="00F658C3"/>
    <w:rsid w:val="00F822E2"/>
    <w:rsid w:val="00FC249F"/>
    <w:rsid w:val="00FC2950"/>
    <w:rsid w:val="00FC6BA4"/>
    <w:rsid w:val="00FD03CC"/>
    <w:rsid w:val="00FF54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DD127A-7AA7-42E8-8B52-58DD35BC8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44B"/>
    <w:rPr>
      <w:rFonts w:ascii="Times New Roman" w:hAnsi="Times New Roman"/>
      <w:sz w:val="16"/>
    </w:rPr>
  </w:style>
  <w:style w:type="paragraph" w:styleId="Heading2">
    <w:name w:val="heading 2"/>
    <w:basedOn w:val="Normal"/>
    <w:next w:val="Normal"/>
    <w:link w:val="Heading2Char"/>
    <w:uiPriority w:val="9"/>
    <w:unhideWhenUsed/>
    <w:qFormat/>
    <w:rsid w:val="00C84E05"/>
    <w:pPr>
      <w:keepNext/>
      <w:keepLines/>
      <w:spacing w:before="40" w:after="0" w:line="480" w:lineRule="auto"/>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E4363C"/>
    <w:pPr>
      <w:keepNext/>
      <w:keepLines/>
      <w:spacing w:before="40" w:after="0" w:line="480" w:lineRule="auto"/>
      <w:outlineLvl w:val="2"/>
    </w:pPr>
    <w:rPr>
      <w:rFonts w:asciiTheme="majorHAnsi" w:eastAsiaTheme="majorEastAsia" w:hAnsiTheme="majorHAnsi" w:cstheme="majorBidi"/>
      <w:i/>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02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84E05"/>
    <w:rPr>
      <w:rFonts w:ascii="Times New Roman" w:eastAsiaTheme="majorEastAsia" w:hAnsi="Times New Roman" w:cstheme="majorBidi"/>
      <w:b/>
      <w:sz w:val="26"/>
      <w:szCs w:val="26"/>
    </w:rPr>
  </w:style>
  <w:style w:type="table" w:styleId="PlainTable3">
    <w:name w:val="Plain Table 3"/>
    <w:basedOn w:val="TableNormal"/>
    <w:uiPriority w:val="43"/>
    <w:rsid w:val="009115C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3Char">
    <w:name w:val="Heading 3 Char"/>
    <w:basedOn w:val="DefaultParagraphFont"/>
    <w:link w:val="Heading3"/>
    <w:uiPriority w:val="9"/>
    <w:rsid w:val="00E4363C"/>
    <w:rPr>
      <w:rFonts w:asciiTheme="majorHAnsi" w:eastAsiaTheme="majorEastAsia" w:hAnsiTheme="majorHAnsi" w:cstheme="majorBidi"/>
      <w:i/>
      <w:szCs w:val="24"/>
    </w:rPr>
  </w:style>
  <w:style w:type="paragraph" w:styleId="HTMLPreformatted">
    <w:name w:val="HTML Preformatted"/>
    <w:basedOn w:val="Normal"/>
    <w:link w:val="HTMLPreformattedChar"/>
    <w:uiPriority w:val="99"/>
    <w:semiHidden/>
    <w:unhideWhenUsed/>
    <w:rsid w:val="00FD0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FD03CC"/>
    <w:rPr>
      <w:rFonts w:ascii="Courier New" w:eastAsia="Times New Roman" w:hAnsi="Courier New" w:cs="Courier New"/>
      <w:sz w:val="20"/>
      <w:szCs w:val="20"/>
      <w:lang w:eastAsia="en-GB"/>
    </w:rPr>
  </w:style>
  <w:style w:type="character" w:customStyle="1" w:styleId="gnvwddmdl3b">
    <w:name w:val="gnvwddmdl3b"/>
    <w:basedOn w:val="DefaultParagraphFont"/>
    <w:rsid w:val="00FD03CC"/>
  </w:style>
  <w:style w:type="paragraph" w:styleId="Header">
    <w:name w:val="header"/>
    <w:basedOn w:val="Normal"/>
    <w:link w:val="HeaderChar"/>
    <w:uiPriority w:val="99"/>
    <w:unhideWhenUsed/>
    <w:rsid w:val="009963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32F"/>
    <w:rPr>
      <w:rFonts w:ascii="Times New Roman" w:hAnsi="Times New Roman"/>
      <w:sz w:val="16"/>
    </w:rPr>
  </w:style>
  <w:style w:type="paragraph" w:styleId="Footer">
    <w:name w:val="footer"/>
    <w:basedOn w:val="Normal"/>
    <w:link w:val="FooterChar"/>
    <w:uiPriority w:val="99"/>
    <w:unhideWhenUsed/>
    <w:rsid w:val="009963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32F"/>
    <w:rPr>
      <w:rFonts w:ascii="Times New Roman" w:hAnsi="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9028388">
      <w:bodyDiv w:val="1"/>
      <w:marLeft w:val="0"/>
      <w:marRight w:val="0"/>
      <w:marTop w:val="0"/>
      <w:marBottom w:val="0"/>
      <w:divBdr>
        <w:top w:val="none" w:sz="0" w:space="0" w:color="auto"/>
        <w:left w:val="none" w:sz="0" w:space="0" w:color="auto"/>
        <w:bottom w:val="none" w:sz="0" w:space="0" w:color="auto"/>
        <w:right w:val="none" w:sz="0" w:space="0" w:color="auto"/>
      </w:divBdr>
      <w:divsChild>
        <w:div w:id="2020617785">
          <w:marLeft w:val="0"/>
          <w:marRight w:val="0"/>
          <w:marTop w:val="0"/>
          <w:marBottom w:val="0"/>
          <w:divBdr>
            <w:top w:val="none" w:sz="0" w:space="0" w:color="auto"/>
            <w:left w:val="none" w:sz="0" w:space="0" w:color="auto"/>
            <w:bottom w:val="none" w:sz="0" w:space="0" w:color="auto"/>
            <w:right w:val="none" w:sz="0" w:space="0" w:color="auto"/>
          </w:divBdr>
          <w:divsChild>
            <w:div w:id="952130800">
              <w:marLeft w:val="0"/>
              <w:marRight w:val="0"/>
              <w:marTop w:val="0"/>
              <w:marBottom w:val="0"/>
              <w:divBdr>
                <w:top w:val="none" w:sz="0" w:space="0" w:color="auto"/>
                <w:left w:val="none" w:sz="0" w:space="0" w:color="auto"/>
                <w:bottom w:val="none" w:sz="0" w:space="0" w:color="auto"/>
                <w:right w:val="none" w:sz="0" w:space="0" w:color="auto"/>
              </w:divBdr>
              <w:divsChild>
                <w:div w:id="1536387271">
                  <w:marLeft w:val="0"/>
                  <w:marRight w:val="150"/>
                  <w:marTop w:val="0"/>
                  <w:marBottom w:val="0"/>
                  <w:divBdr>
                    <w:top w:val="none" w:sz="0" w:space="0" w:color="auto"/>
                    <w:left w:val="none" w:sz="0" w:space="0" w:color="auto"/>
                    <w:bottom w:val="none" w:sz="0" w:space="0" w:color="auto"/>
                    <w:right w:val="none" w:sz="0" w:space="0" w:color="auto"/>
                  </w:divBdr>
                  <w:divsChild>
                    <w:div w:id="2039697779">
                      <w:marLeft w:val="0"/>
                      <w:marRight w:val="150"/>
                      <w:marTop w:val="0"/>
                      <w:marBottom w:val="0"/>
                      <w:divBdr>
                        <w:top w:val="none" w:sz="0" w:space="0" w:color="auto"/>
                        <w:left w:val="none" w:sz="0" w:space="0" w:color="auto"/>
                        <w:bottom w:val="none" w:sz="0" w:space="0" w:color="auto"/>
                        <w:right w:val="none" w:sz="0" w:space="0" w:color="auto"/>
                      </w:divBdr>
                    </w:div>
                  </w:divsChild>
                </w:div>
                <w:div w:id="925269021">
                  <w:marLeft w:val="0"/>
                  <w:marRight w:val="150"/>
                  <w:marTop w:val="0"/>
                  <w:marBottom w:val="0"/>
                  <w:divBdr>
                    <w:top w:val="none" w:sz="0" w:space="0" w:color="auto"/>
                    <w:left w:val="none" w:sz="0" w:space="0" w:color="auto"/>
                    <w:bottom w:val="none" w:sz="0" w:space="0" w:color="auto"/>
                    <w:right w:val="none" w:sz="0" w:space="0" w:color="auto"/>
                  </w:divBdr>
                  <w:divsChild>
                    <w:div w:id="925964625">
                      <w:marLeft w:val="0"/>
                      <w:marRight w:val="150"/>
                      <w:marTop w:val="0"/>
                      <w:marBottom w:val="0"/>
                      <w:divBdr>
                        <w:top w:val="none" w:sz="0" w:space="0" w:color="auto"/>
                        <w:left w:val="none" w:sz="0" w:space="0" w:color="auto"/>
                        <w:bottom w:val="none" w:sz="0" w:space="0" w:color="auto"/>
                        <w:right w:val="none" w:sz="0" w:space="0" w:color="auto"/>
                      </w:divBdr>
                    </w:div>
                  </w:divsChild>
                </w:div>
                <w:div w:id="1183393280">
                  <w:marLeft w:val="0"/>
                  <w:marRight w:val="150"/>
                  <w:marTop w:val="0"/>
                  <w:marBottom w:val="0"/>
                  <w:divBdr>
                    <w:top w:val="none" w:sz="0" w:space="0" w:color="auto"/>
                    <w:left w:val="none" w:sz="0" w:space="0" w:color="auto"/>
                    <w:bottom w:val="none" w:sz="0" w:space="0" w:color="auto"/>
                    <w:right w:val="none" w:sz="0" w:space="0" w:color="auto"/>
                  </w:divBdr>
                  <w:divsChild>
                    <w:div w:id="591358461">
                      <w:marLeft w:val="0"/>
                      <w:marRight w:val="150"/>
                      <w:marTop w:val="0"/>
                      <w:marBottom w:val="0"/>
                      <w:divBdr>
                        <w:top w:val="none" w:sz="0" w:space="0" w:color="auto"/>
                        <w:left w:val="none" w:sz="0" w:space="0" w:color="auto"/>
                        <w:bottom w:val="none" w:sz="0" w:space="0" w:color="auto"/>
                        <w:right w:val="none" w:sz="0" w:space="0" w:color="auto"/>
                      </w:divBdr>
                    </w:div>
                  </w:divsChild>
                </w:div>
                <w:div w:id="1068501749">
                  <w:marLeft w:val="0"/>
                  <w:marRight w:val="150"/>
                  <w:marTop w:val="0"/>
                  <w:marBottom w:val="0"/>
                  <w:divBdr>
                    <w:top w:val="none" w:sz="0" w:space="0" w:color="auto"/>
                    <w:left w:val="none" w:sz="0" w:space="0" w:color="auto"/>
                    <w:bottom w:val="none" w:sz="0" w:space="0" w:color="auto"/>
                    <w:right w:val="none" w:sz="0" w:space="0" w:color="auto"/>
                  </w:divBdr>
                  <w:divsChild>
                    <w:div w:id="15237886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64620668">
          <w:marLeft w:val="0"/>
          <w:marRight w:val="0"/>
          <w:marTop w:val="0"/>
          <w:marBottom w:val="0"/>
          <w:divBdr>
            <w:top w:val="none" w:sz="0" w:space="0" w:color="auto"/>
            <w:left w:val="none" w:sz="0" w:space="0" w:color="auto"/>
            <w:bottom w:val="none" w:sz="0" w:space="0" w:color="auto"/>
            <w:right w:val="none" w:sz="0" w:space="0" w:color="auto"/>
          </w:divBdr>
        </w:div>
        <w:div w:id="1700157830">
          <w:marLeft w:val="0"/>
          <w:marRight w:val="0"/>
          <w:marTop w:val="0"/>
          <w:marBottom w:val="0"/>
          <w:divBdr>
            <w:top w:val="none" w:sz="0" w:space="0" w:color="auto"/>
            <w:left w:val="none" w:sz="0" w:space="0" w:color="auto"/>
            <w:bottom w:val="none" w:sz="0" w:space="0" w:color="auto"/>
            <w:right w:val="none" w:sz="0" w:space="0" w:color="auto"/>
          </w:divBdr>
        </w:div>
        <w:div w:id="234821520">
          <w:marLeft w:val="0"/>
          <w:marRight w:val="0"/>
          <w:marTop w:val="0"/>
          <w:marBottom w:val="0"/>
          <w:divBdr>
            <w:top w:val="none" w:sz="0" w:space="0" w:color="auto"/>
            <w:left w:val="none" w:sz="0" w:space="0" w:color="auto"/>
            <w:bottom w:val="none" w:sz="0" w:space="0" w:color="auto"/>
            <w:right w:val="none" w:sz="0" w:space="0" w:color="auto"/>
          </w:divBdr>
        </w:div>
        <w:div w:id="156308222">
          <w:marLeft w:val="0"/>
          <w:marRight w:val="0"/>
          <w:marTop w:val="0"/>
          <w:marBottom w:val="0"/>
          <w:divBdr>
            <w:top w:val="none" w:sz="0" w:space="0" w:color="auto"/>
            <w:left w:val="none" w:sz="0" w:space="0" w:color="auto"/>
            <w:bottom w:val="none" w:sz="0" w:space="0" w:color="auto"/>
            <w:right w:val="none" w:sz="0" w:space="0" w:color="auto"/>
          </w:divBdr>
        </w:div>
        <w:div w:id="400102458">
          <w:marLeft w:val="0"/>
          <w:marRight w:val="0"/>
          <w:marTop w:val="0"/>
          <w:marBottom w:val="0"/>
          <w:divBdr>
            <w:top w:val="none" w:sz="0" w:space="0" w:color="auto"/>
            <w:left w:val="none" w:sz="0" w:space="0" w:color="auto"/>
            <w:bottom w:val="none" w:sz="0" w:space="0" w:color="auto"/>
            <w:right w:val="none" w:sz="0" w:space="0" w:color="auto"/>
          </w:divBdr>
        </w:div>
        <w:div w:id="1988824092">
          <w:marLeft w:val="0"/>
          <w:marRight w:val="0"/>
          <w:marTop w:val="0"/>
          <w:marBottom w:val="0"/>
          <w:divBdr>
            <w:top w:val="none" w:sz="0" w:space="0" w:color="auto"/>
            <w:left w:val="none" w:sz="0" w:space="0" w:color="auto"/>
            <w:bottom w:val="none" w:sz="0" w:space="0" w:color="auto"/>
            <w:right w:val="none" w:sz="0" w:space="0" w:color="auto"/>
          </w:divBdr>
        </w:div>
        <w:div w:id="604969916">
          <w:marLeft w:val="0"/>
          <w:marRight w:val="0"/>
          <w:marTop w:val="0"/>
          <w:marBottom w:val="0"/>
          <w:divBdr>
            <w:top w:val="none" w:sz="0" w:space="0" w:color="auto"/>
            <w:left w:val="none" w:sz="0" w:space="0" w:color="auto"/>
            <w:bottom w:val="none" w:sz="0" w:space="0" w:color="auto"/>
            <w:right w:val="none" w:sz="0" w:space="0" w:color="auto"/>
          </w:divBdr>
        </w:div>
        <w:div w:id="2099905256">
          <w:marLeft w:val="0"/>
          <w:marRight w:val="0"/>
          <w:marTop w:val="0"/>
          <w:marBottom w:val="0"/>
          <w:divBdr>
            <w:top w:val="none" w:sz="0" w:space="0" w:color="auto"/>
            <w:left w:val="none" w:sz="0" w:space="0" w:color="auto"/>
            <w:bottom w:val="none" w:sz="0" w:space="0" w:color="auto"/>
            <w:right w:val="none" w:sz="0" w:space="0" w:color="auto"/>
          </w:divBdr>
        </w:div>
        <w:div w:id="124659369">
          <w:marLeft w:val="0"/>
          <w:marRight w:val="0"/>
          <w:marTop w:val="0"/>
          <w:marBottom w:val="0"/>
          <w:divBdr>
            <w:top w:val="none" w:sz="0" w:space="0" w:color="auto"/>
            <w:left w:val="none" w:sz="0" w:space="0" w:color="auto"/>
            <w:bottom w:val="none" w:sz="0" w:space="0" w:color="auto"/>
            <w:right w:val="none" w:sz="0" w:space="0" w:color="auto"/>
          </w:divBdr>
        </w:div>
        <w:div w:id="1104375727">
          <w:marLeft w:val="0"/>
          <w:marRight w:val="0"/>
          <w:marTop w:val="0"/>
          <w:marBottom w:val="0"/>
          <w:divBdr>
            <w:top w:val="none" w:sz="0" w:space="0" w:color="auto"/>
            <w:left w:val="none" w:sz="0" w:space="0" w:color="auto"/>
            <w:bottom w:val="none" w:sz="0" w:space="0" w:color="auto"/>
            <w:right w:val="none" w:sz="0" w:space="0" w:color="auto"/>
          </w:divBdr>
        </w:div>
      </w:divsChild>
    </w:div>
    <w:div w:id="1105275060">
      <w:bodyDiv w:val="1"/>
      <w:marLeft w:val="0"/>
      <w:marRight w:val="0"/>
      <w:marTop w:val="0"/>
      <w:marBottom w:val="0"/>
      <w:divBdr>
        <w:top w:val="none" w:sz="0" w:space="0" w:color="auto"/>
        <w:left w:val="none" w:sz="0" w:space="0" w:color="auto"/>
        <w:bottom w:val="none" w:sz="0" w:space="0" w:color="auto"/>
        <w:right w:val="none" w:sz="0" w:space="0" w:color="auto"/>
      </w:divBdr>
    </w:div>
    <w:div w:id="1157263873">
      <w:bodyDiv w:val="1"/>
      <w:marLeft w:val="0"/>
      <w:marRight w:val="0"/>
      <w:marTop w:val="0"/>
      <w:marBottom w:val="0"/>
      <w:divBdr>
        <w:top w:val="none" w:sz="0" w:space="0" w:color="auto"/>
        <w:left w:val="none" w:sz="0" w:space="0" w:color="auto"/>
        <w:bottom w:val="none" w:sz="0" w:space="0" w:color="auto"/>
        <w:right w:val="none" w:sz="0" w:space="0" w:color="auto"/>
      </w:divBdr>
    </w:div>
    <w:div w:id="1537229156">
      <w:bodyDiv w:val="1"/>
      <w:marLeft w:val="0"/>
      <w:marRight w:val="0"/>
      <w:marTop w:val="0"/>
      <w:marBottom w:val="0"/>
      <w:divBdr>
        <w:top w:val="none" w:sz="0" w:space="0" w:color="auto"/>
        <w:left w:val="none" w:sz="0" w:space="0" w:color="auto"/>
        <w:bottom w:val="none" w:sz="0" w:space="0" w:color="auto"/>
        <w:right w:val="none" w:sz="0" w:space="0" w:color="auto"/>
      </w:divBdr>
      <w:divsChild>
        <w:div w:id="2035299297">
          <w:marLeft w:val="0"/>
          <w:marRight w:val="0"/>
          <w:marTop w:val="0"/>
          <w:marBottom w:val="0"/>
          <w:divBdr>
            <w:top w:val="none" w:sz="0" w:space="0" w:color="auto"/>
            <w:left w:val="none" w:sz="0" w:space="0" w:color="auto"/>
            <w:bottom w:val="none" w:sz="0" w:space="0" w:color="auto"/>
            <w:right w:val="none" w:sz="0" w:space="0" w:color="auto"/>
          </w:divBdr>
          <w:divsChild>
            <w:div w:id="157498012">
              <w:marLeft w:val="0"/>
              <w:marRight w:val="0"/>
              <w:marTop w:val="0"/>
              <w:marBottom w:val="0"/>
              <w:divBdr>
                <w:top w:val="none" w:sz="0" w:space="0" w:color="auto"/>
                <w:left w:val="none" w:sz="0" w:space="0" w:color="auto"/>
                <w:bottom w:val="none" w:sz="0" w:space="0" w:color="auto"/>
                <w:right w:val="none" w:sz="0" w:space="0" w:color="auto"/>
              </w:divBdr>
              <w:divsChild>
                <w:div w:id="20865639">
                  <w:marLeft w:val="0"/>
                  <w:marRight w:val="150"/>
                  <w:marTop w:val="0"/>
                  <w:marBottom w:val="0"/>
                  <w:divBdr>
                    <w:top w:val="none" w:sz="0" w:space="0" w:color="auto"/>
                    <w:left w:val="none" w:sz="0" w:space="0" w:color="auto"/>
                    <w:bottom w:val="none" w:sz="0" w:space="0" w:color="auto"/>
                    <w:right w:val="none" w:sz="0" w:space="0" w:color="auto"/>
                  </w:divBdr>
                  <w:divsChild>
                    <w:div w:id="150290376">
                      <w:marLeft w:val="0"/>
                      <w:marRight w:val="150"/>
                      <w:marTop w:val="0"/>
                      <w:marBottom w:val="0"/>
                      <w:divBdr>
                        <w:top w:val="none" w:sz="0" w:space="0" w:color="auto"/>
                        <w:left w:val="none" w:sz="0" w:space="0" w:color="auto"/>
                        <w:bottom w:val="none" w:sz="0" w:space="0" w:color="auto"/>
                        <w:right w:val="none" w:sz="0" w:space="0" w:color="auto"/>
                      </w:divBdr>
                    </w:div>
                  </w:divsChild>
                </w:div>
                <w:div w:id="19281833">
                  <w:marLeft w:val="0"/>
                  <w:marRight w:val="150"/>
                  <w:marTop w:val="0"/>
                  <w:marBottom w:val="0"/>
                  <w:divBdr>
                    <w:top w:val="none" w:sz="0" w:space="0" w:color="auto"/>
                    <w:left w:val="none" w:sz="0" w:space="0" w:color="auto"/>
                    <w:bottom w:val="none" w:sz="0" w:space="0" w:color="auto"/>
                    <w:right w:val="none" w:sz="0" w:space="0" w:color="auto"/>
                  </w:divBdr>
                  <w:divsChild>
                    <w:div w:id="480922746">
                      <w:marLeft w:val="0"/>
                      <w:marRight w:val="150"/>
                      <w:marTop w:val="0"/>
                      <w:marBottom w:val="0"/>
                      <w:divBdr>
                        <w:top w:val="none" w:sz="0" w:space="0" w:color="auto"/>
                        <w:left w:val="none" w:sz="0" w:space="0" w:color="auto"/>
                        <w:bottom w:val="none" w:sz="0" w:space="0" w:color="auto"/>
                        <w:right w:val="none" w:sz="0" w:space="0" w:color="auto"/>
                      </w:divBdr>
                    </w:div>
                  </w:divsChild>
                </w:div>
                <w:div w:id="862325070">
                  <w:marLeft w:val="0"/>
                  <w:marRight w:val="150"/>
                  <w:marTop w:val="0"/>
                  <w:marBottom w:val="0"/>
                  <w:divBdr>
                    <w:top w:val="none" w:sz="0" w:space="0" w:color="auto"/>
                    <w:left w:val="none" w:sz="0" w:space="0" w:color="auto"/>
                    <w:bottom w:val="none" w:sz="0" w:space="0" w:color="auto"/>
                    <w:right w:val="none" w:sz="0" w:space="0" w:color="auto"/>
                  </w:divBdr>
                  <w:divsChild>
                    <w:div w:id="1874465331">
                      <w:marLeft w:val="0"/>
                      <w:marRight w:val="150"/>
                      <w:marTop w:val="0"/>
                      <w:marBottom w:val="0"/>
                      <w:divBdr>
                        <w:top w:val="none" w:sz="0" w:space="0" w:color="auto"/>
                        <w:left w:val="none" w:sz="0" w:space="0" w:color="auto"/>
                        <w:bottom w:val="none" w:sz="0" w:space="0" w:color="auto"/>
                        <w:right w:val="none" w:sz="0" w:space="0" w:color="auto"/>
                      </w:divBdr>
                    </w:div>
                  </w:divsChild>
                </w:div>
                <w:div w:id="242616305">
                  <w:marLeft w:val="0"/>
                  <w:marRight w:val="150"/>
                  <w:marTop w:val="0"/>
                  <w:marBottom w:val="0"/>
                  <w:divBdr>
                    <w:top w:val="none" w:sz="0" w:space="0" w:color="auto"/>
                    <w:left w:val="none" w:sz="0" w:space="0" w:color="auto"/>
                    <w:bottom w:val="none" w:sz="0" w:space="0" w:color="auto"/>
                    <w:right w:val="none" w:sz="0" w:space="0" w:color="auto"/>
                  </w:divBdr>
                  <w:divsChild>
                    <w:div w:id="8546336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50923759">
          <w:marLeft w:val="0"/>
          <w:marRight w:val="0"/>
          <w:marTop w:val="0"/>
          <w:marBottom w:val="0"/>
          <w:divBdr>
            <w:top w:val="none" w:sz="0" w:space="0" w:color="auto"/>
            <w:left w:val="none" w:sz="0" w:space="0" w:color="auto"/>
            <w:bottom w:val="none" w:sz="0" w:space="0" w:color="auto"/>
            <w:right w:val="none" w:sz="0" w:space="0" w:color="auto"/>
          </w:divBdr>
        </w:div>
        <w:div w:id="1854758925">
          <w:marLeft w:val="0"/>
          <w:marRight w:val="0"/>
          <w:marTop w:val="0"/>
          <w:marBottom w:val="0"/>
          <w:divBdr>
            <w:top w:val="none" w:sz="0" w:space="0" w:color="auto"/>
            <w:left w:val="none" w:sz="0" w:space="0" w:color="auto"/>
            <w:bottom w:val="none" w:sz="0" w:space="0" w:color="auto"/>
            <w:right w:val="none" w:sz="0" w:space="0" w:color="auto"/>
          </w:divBdr>
        </w:div>
        <w:div w:id="1984845330">
          <w:marLeft w:val="0"/>
          <w:marRight w:val="0"/>
          <w:marTop w:val="0"/>
          <w:marBottom w:val="0"/>
          <w:divBdr>
            <w:top w:val="none" w:sz="0" w:space="0" w:color="auto"/>
            <w:left w:val="none" w:sz="0" w:space="0" w:color="auto"/>
            <w:bottom w:val="none" w:sz="0" w:space="0" w:color="auto"/>
            <w:right w:val="none" w:sz="0" w:space="0" w:color="auto"/>
          </w:divBdr>
        </w:div>
        <w:div w:id="212930976">
          <w:marLeft w:val="0"/>
          <w:marRight w:val="0"/>
          <w:marTop w:val="0"/>
          <w:marBottom w:val="0"/>
          <w:divBdr>
            <w:top w:val="none" w:sz="0" w:space="0" w:color="auto"/>
            <w:left w:val="none" w:sz="0" w:space="0" w:color="auto"/>
            <w:bottom w:val="none" w:sz="0" w:space="0" w:color="auto"/>
            <w:right w:val="none" w:sz="0" w:space="0" w:color="auto"/>
          </w:divBdr>
        </w:div>
        <w:div w:id="769201445">
          <w:marLeft w:val="0"/>
          <w:marRight w:val="0"/>
          <w:marTop w:val="0"/>
          <w:marBottom w:val="0"/>
          <w:divBdr>
            <w:top w:val="none" w:sz="0" w:space="0" w:color="auto"/>
            <w:left w:val="none" w:sz="0" w:space="0" w:color="auto"/>
            <w:bottom w:val="none" w:sz="0" w:space="0" w:color="auto"/>
            <w:right w:val="none" w:sz="0" w:space="0" w:color="auto"/>
          </w:divBdr>
        </w:div>
        <w:div w:id="987703926">
          <w:marLeft w:val="0"/>
          <w:marRight w:val="0"/>
          <w:marTop w:val="0"/>
          <w:marBottom w:val="0"/>
          <w:divBdr>
            <w:top w:val="none" w:sz="0" w:space="0" w:color="auto"/>
            <w:left w:val="none" w:sz="0" w:space="0" w:color="auto"/>
            <w:bottom w:val="none" w:sz="0" w:space="0" w:color="auto"/>
            <w:right w:val="none" w:sz="0" w:space="0" w:color="auto"/>
          </w:divBdr>
        </w:div>
        <w:div w:id="2010137342">
          <w:marLeft w:val="0"/>
          <w:marRight w:val="0"/>
          <w:marTop w:val="0"/>
          <w:marBottom w:val="0"/>
          <w:divBdr>
            <w:top w:val="none" w:sz="0" w:space="0" w:color="auto"/>
            <w:left w:val="none" w:sz="0" w:space="0" w:color="auto"/>
            <w:bottom w:val="none" w:sz="0" w:space="0" w:color="auto"/>
            <w:right w:val="none" w:sz="0" w:space="0" w:color="auto"/>
          </w:divBdr>
        </w:div>
        <w:div w:id="702944828">
          <w:marLeft w:val="0"/>
          <w:marRight w:val="0"/>
          <w:marTop w:val="0"/>
          <w:marBottom w:val="0"/>
          <w:divBdr>
            <w:top w:val="none" w:sz="0" w:space="0" w:color="auto"/>
            <w:left w:val="none" w:sz="0" w:space="0" w:color="auto"/>
            <w:bottom w:val="none" w:sz="0" w:space="0" w:color="auto"/>
            <w:right w:val="none" w:sz="0" w:space="0" w:color="auto"/>
          </w:divBdr>
        </w:div>
        <w:div w:id="122239342">
          <w:marLeft w:val="0"/>
          <w:marRight w:val="0"/>
          <w:marTop w:val="0"/>
          <w:marBottom w:val="0"/>
          <w:divBdr>
            <w:top w:val="none" w:sz="0" w:space="0" w:color="auto"/>
            <w:left w:val="none" w:sz="0" w:space="0" w:color="auto"/>
            <w:bottom w:val="none" w:sz="0" w:space="0" w:color="auto"/>
            <w:right w:val="none" w:sz="0" w:space="0" w:color="auto"/>
          </w:divBdr>
        </w:div>
        <w:div w:id="1056321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71CE9-2FBA-466B-9407-A4AE5DFE1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10929</Words>
  <Characters>62300</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Konstantinos Ioannidis</dc:creator>
  <cp:keywords/>
  <dc:description/>
  <cp:lastModifiedBy>Konstantinos Ioannidis</cp:lastModifiedBy>
  <cp:revision>2</cp:revision>
  <cp:lastPrinted>2024-03-29T11:00:00Z</cp:lastPrinted>
  <dcterms:created xsi:type="dcterms:W3CDTF">2024-09-26T07:54:00Z</dcterms:created>
  <dcterms:modified xsi:type="dcterms:W3CDTF">2024-09-26T07:54:00Z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http://www.zotero.org/styles/comprehensive-psychiatry</vt:lpwstr>
  </property>
  <property fmtid="{D5CDD505-2E9C-101B-9397-08002B2CF9AE}" pid="9" name="Mendeley Recent Style Name 3_1">
    <vt:lpwstr>Comprehensive Psychiatry</vt:lpwstr>
  </property>
  <property fmtid="{D5CDD505-2E9C-101B-9397-08002B2CF9AE}" pid="10" name="Mendeley Recent Style Id 4_1">
    <vt:lpwstr>http://www.zotero.org/styles/current-opinion-in-behavioral-sciences</vt:lpwstr>
  </property>
  <property fmtid="{D5CDD505-2E9C-101B-9397-08002B2CF9AE}" pid="11" name="Mendeley Recent Style Name 4_1">
    <vt:lpwstr>Current Opinion in Behavioral Sciences</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http://www.zotero.org/styles/neuroscience-and-biobehavioral-reviews</vt:lpwstr>
  </property>
  <property fmtid="{D5CDD505-2E9C-101B-9397-08002B2CF9AE}" pid="17" name="Mendeley Recent Style Name 7_1">
    <vt:lpwstr>Neuroscience and Biobehavioral Reviews</vt:lpwstr>
  </property>
  <property fmtid="{D5CDD505-2E9C-101B-9397-08002B2CF9AE}" pid="18" name="Mendeley Recent Style Id 8_1">
    <vt:lpwstr>http://www.zotero.org/styles/the-lancet</vt:lpwstr>
  </property>
  <property fmtid="{D5CDD505-2E9C-101B-9397-08002B2CF9AE}" pid="19" name="Mendeley Recent Style Name 8_1">
    <vt:lpwstr>The Lancet</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4bf0ac94-95b5-3e79-8e5f-84dbafee9691</vt:lpwstr>
  </property>
  <property fmtid="{D5CDD505-2E9C-101B-9397-08002B2CF9AE}" pid="24" name="Mendeley Citation Style_1">
    <vt:lpwstr>http://www.zotero.org/styles/apa</vt:lpwstr>
  </property>
</Properties>
</file>