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35" w:rsidRPr="003B6C78" w:rsidRDefault="005D3535" w:rsidP="003B6C78">
      <w:pPr>
        <w:kinsoku w:val="0"/>
        <w:wordWrap/>
        <w:overflowPunct w:val="0"/>
        <w:spacing w:line="276" w:lineRule="auto"/>
        <w:jc w:val="left"/>
        <w:rPr>
          <w:rFonts w:ascii="Times" w:hAnsi="Times" w:hint="eastAsia"/>
          <w:sz w:val="20"/>
          <w:szCs w:val="20"/>
        </w:rPr>
      </w:pPr>
      <w:bookmarkStart w:id="0" w:name="_GoBack"/>
      <w:bookmarkEnd w:id="0"/>
      <w:r w:rsidRPr="003B6C78">
        <w:rPr>
          <w:rFonts w:ascii="Times" w:hAnsi="Times"/>
          <w:b/>
          <w:sz w:val="20"/>
          <w:szCs w:val="20"/>
        </w:rPr>
        <w:t>Table S</w:t>
      </w:r>
      <w:r w:rsidR="00B06775" w:rsidRPr="003B6C78">
        <w:rPr>
          <w:rFonts w:ascii="Times" w:hAnsi="Times"/>
          <w:b/>
          <w:sz w:val="20"/>
          <w:szCs w:val="20"/>
        </w:rPr>
        <w:t>1</w:t>
      </w:r>
      <w:r w:rsidRPr="003B6C78">
        <w:rPr>
          <w:rFonts w:ascii="Times" w:hAnsi="Times"/>
          <w:b/>
          <w:sz w:val="20"/>
          <w:szCs w:val="20"/>
        </w:rPr>
        <w:t xml:space="preserve">. </w:t>
      </w:r>
      <w:r w:rsidRPr="003B6C78">
        <w:rPr>
          <w:rFonts w:ascii="Times" w:hAnsi="Times"/>
          <w:bCs/>
          <w:sz w:val="20"/>
          <w:szCs w:val="20"/>
        </w:rPr>
        <w:t xml:space="preserve">Comparison of </w:t>
      </w:r>
      <w:r w:rsidR="003B6C78" w:rsidRPr="003B6C78">
        <w:rPr>
          <w:rFonts w:ascii="Times" w:hAnsi="Times"/>
          <w:bCs/>
          <w:sz w:val="20"/>
          <w:szCs w:val="20"/>
        </w:rPr>
        <w:t>patient characteristics between cases with and without CVC tip cultures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1531"/>
        <w:gridCol w:w="1531"/>
        <w:gridCol w:w="1077"/>
      </w:tblGrid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br/>
            </w:r>
            <w:r w:rsidRPr="003B6C78">
              <w:rPr>
                <w:rFonts w:ascii="Times" w:hAnsi="Times"/>
                <w:sz w:val="20"/>
                <w:szCs w:val="20"/>
              </w:rPr>
              <w:br/>
              <w:t>Characteristic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Tip culture</w:t>
            </w:r>
            <w:r w:rsidR="003B6C78" w:rsidRPr="003B6C78">
              <w:rPr>
                <w:rFonts w:ascii="Times" w:hAnsi="Times"/>
                <w:sz w:val="20"/>
                <w:szCs w:val="20"/>
              </w:rPr>
              <w:t>s</w:t>
            </w:r>
            <w:r w:rsidR="003B6C78" w:rsidRPr="003B6C78">
              <w:rPr>
                <w:rFonts w:ascii="Times" w:hAnsi="Times"/>
                <w:sz w:val="20"/>
                <w:szCs w:val="20"/>
              </w:rPr>
              <w:br/>
            </w:r>
            <w:r w:rsidRPr="003B6C78">
              <w:rPr>
                <w:rFonts w:ascii="Times" w:hAnsi="Times"/>
                <w:sz w:val="20"/>
                <w:szCs w:val="20"/>
              </w:rPr>
              <w:t>not performed</w:t>
            </w:r>
            <w:r w:rsidR="003B6C78" w:rsidRPr="003B6C78">
              <w:rPr>
                <w:rFonts w:ascii="Times" w:hAnsi="Times"/>
                <w:sz w:val="20"/>
                <w:szCs w:val="20"/>
              </w:rPr>
              <w:br/>
            </w:r>
            <w:r w:rsidRPr="003B6C78">
              <w:rPr>
                <w:rFonts w:ascii="Times" w:hAnsi="Times"/>
                <w:sz w:val="20"/>
                <w:szCs w:val="20"/>
              </w:rPr>
              <w:t>(</w:t>
            </w:r>
            <w:r w:rsidRPr="003B6C78">
              <w:rPr>
                <w:rFonts w:ascii="Times" w:hAnsi="Times"/>
                <w:i/>
                <w:iCs/>
                <w:sz w:val="20"/>
                <w:szCs w:val="20"/>
              </w:rPr>
              <w:t>n</w:t>
            </w:r>
            <w:r w:rsidRPr="003B6C78">
              <w:rPr>
                <w:rFonts w:ascii="Times" w:hAnsi="Times"/>
                <w:sz w:val="20"/>
                <w:szCs w:val="20"/>
              </w:rPr>
              <w:t xml:space="preserve"> = 115)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Tip culture</w:t>
            </w:r>
            <w:r w:rsidR="003B6C78" w:rsidRPr="003B6C78">
              <w:rPr>
                <w:rFonts w:ascii="Times" w:hAnsi="Times"/>
                <w:sz w:val="20"/>
                <w:szCs w:val="20"/>
              </w:rPr>
              <w:t>s</w:t>
            </w:r>
          </w:p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performed</w:t>
            </w:r>
          </w:p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iCs/>
                <w:sz w:val="20"/>
                <w:szCs w:val="20"/>
              </w:rPr>
              <w:t>(</w:t>
            </w:r>
            <w:r w:rsidRPr="003B6C78">
              <w:rPr>
                <w:rFonts w:ascii="Times" w:hAnsi="Times"/>
                <w:i/>
                <w:iCs/>
                <w:sz w:val="20"/>
                <w:szCs w:val="20"/>
              </w:rPr>
              <w:t>n</w:t>
            </w:r>
            <w:r w:rsidRPr="003B6C78">
              <w:rPr>
                <w:rFonts w:ascii="Times" w:hAnsi="Times"/>
                <w:sz w:val="20"/>
                <w:szCs w:val="20"/>
              </w:rPr>
              <w:t xml:space="preserve"> = 361)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i/>
                <w:sz w:val="20"/>
                <w:szCs w:val="20"/>
              </w:rPr>
              <w:br/>
            </w:r>
            <w:r w:rsidRPr="003B6C78">
              <w:rPr>
                <w:rFonts w:ascii="Times" w:hAnsi="Times"/>
                <w:i/>
                <w:sz w:val="20"/>
                <w:szCs w:val="20"/>
              </w:rPr>
              <w:br/>
              <w:t xml:space="preserve">P </w:t>
            </w:r>
            <w:r w:rsidRPr="003B6C78">
              <w:rPr>
                <w:rFonts w:ascii="Times" w:hAnsi="Times"/>
                <w:sz w:val="20"/>
                <w:szCs w:val="20"/>
              </w:rPr>
              <w:t>value</w:t>
            </w:r>
            <w:r w:rsidRPr="003B6C78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Age, years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73 (60–79)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69 (57–75)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0.01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Male gender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61 (53)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leftChars="50" w:left="12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181 (50.1)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0.66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BMI, kg/m</w:t>
            </w:r>
            <w:r w:rsidRPr="003B6C78">
              <w:rPr>
                <w:rFonts w:ascii="Times" w:hAnsi="Time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23 (20–26)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23 (20–26)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0.55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Underlying diseases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Cerebrovascular accident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47 (40.9)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152 (42.1)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0.90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Diabetes mellitus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37 (32.2)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116 (32.1)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Solid tumour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46 (40.0)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101 (28.0)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Hematologic malignancy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 (5.2)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23 (6.4)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0.82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End stage renal disease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 (3.5)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20 (5.5)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0.53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Liver cirrhosis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 (5.2)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18 (5.0)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Charlson comorbidity index score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 (1–6)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 (1–4)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0.42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Underlying conditions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Hospital stay until onset of CLABSI, days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25 (10–50)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23 (13–47)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0.59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ICU stay at onset of bacteremia, days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47 (40.9)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104 (28.8)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Previous surgery</w:t>
            </w:r>
            <w:r w:rsidRPr="003B6C78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17 (14.8)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77 (21.3)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0.16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Previous chemotherapy</w:t>
            </w:r>
            <w:r w:rsidRPr="003B6C78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14 (12.2)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28 (7.8)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0.21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Previous immunosuppressant use</w:t>
            </w:r>
            <w:r w:rsidRPr="003B6C78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5 (4.3)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13 (3.6)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0.78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Neutropenia at onset of bacteremia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 (1.7)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13 (3.6)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0.54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Organism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i/>
                <w:iCs/>
                <w:sz w:val="20"/>
                <w:szCs w:val="20"/>
              </w:rPr>
            </w:pPr>
            <w:r w:rsidRPr="003B6C78">
              <w:rPr>
                <w:rFonts w:ascii="Times" w:hAnsi="Times"/>
                <w:i/>
                <w:iCs/>
                <w:sz w:val="20"/>
                <w:szCs w:val="20"/>
              </w:rPr>
              <w:t>Staphylococcus aureus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7 (6.1)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55 (15.2)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Coagulase-negative staphylococci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29 (25.2)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120 (33.2)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0.13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i/>
                <w:iCs/>
                <w:sz w:val="20"/>
                <w:szCs w:val="20"/>
              </w:rPr>
              <w:t>Enterococcus</w:t>
            </w:r>
            <w:r w:rsidRPr="003B6C78">
              <w:rPr>
                <w:rFonts w:ascii="Times" w:hAnsi="Times"/>
                <w:sz w:val="20"/>
                <w:szCs w:val="20"/>
              </w:rPr>
              <w:t xml:space="preserve"> species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10 (8.7)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12 (3.3)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0.03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Gram-negative bacilli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15 (13.0)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35 (9.7)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0.40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i/>
                <w:iCs/>
                <w:sz w:val="20"/>
                <w:szCs w:val="20"/>
              </w:rPr>
              <w:t>Candida</w:t>
            </w:r>
            <w:r w:rsidRPr="003B6C78">
              <w:rPr>
                <w:rFonts w:ascii="Times" w:hAnsi="Times"/>
                <w:sz w:val="20"/>
                <w:szCs w:val="20"/>
              </w:rPr>
              <w:t xml:space="preserve"> species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53 (46.1)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135 (37.4)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0.12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Other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 (0.9)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 (1.1)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CVC type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Temporary nontunneled CVC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90 (78.3)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321 (88.9)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0.006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Perm catheter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 (1.7)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 (0.8)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0.60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Hickman catheter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 (1.1)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0.58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Chemoport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23 (20.0)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32 (8.9)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0.002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kern w:val="0"/>
                <w:sz w:val="20"/>
                <w:szCs w:val="20"/>
              </w:rPr>
              <w:t>Peripherally inserted central catheter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 (0.3)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Tunnelled CVC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25 (21.7)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39 (10.8)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0.005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CVC dwell time, days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16 (7–35)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15 (9–25)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0.65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Long-term catheterization (≥30 days)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33 (28.7)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67 (18.6)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0.03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Location of CVC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Subclavian vein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81 (70.4)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288 (79.8)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0.05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Internal jugular vein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34 (29.6)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69 (19.1)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0.03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Femoral vein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 (0.8)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Peripheral vein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50" w:firstLine="3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 (0.2)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0.99</w:t>
            </w:r>
          </w:p>
        </w:tc>
      </w:tr>
      <w:tr w:rsidR="005D3535" w:rsidRPr="003B6C78" w:rsidTr="008D2D81">
        <w:trPr>
          <w:trHeight w:val="20"/>
          <w:jc w:val="center"/>
        </w:trPr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CHSS-impregnated CVC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49 (42.6)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kinsoku w:val="0"/>
              <w:wordWrap/>
              <w:overflowPunct w:val="0"/>
              <w:spacing w:line="276" w:lineRule="auto"/>
              <w:ind w:firstLineChars="50" w:firstLine="1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217 (60.1)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D3535" w:rsidRPr="003B6C78" w:rsidRDefault="005D353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ind w:firstLineChars="100" w:firstLine="200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0.001</w:t>
            </w:r>
          </w:p>
        </w:tc>
      </w:tr>
    </w:tbl>
    <w:p w:rsidR="005D3535" w:rsidRPr="003B6C78" w:rsidRDefault="005D3535" w:rsidP="003B6C78">
      <w:pPr>
        <w:widowControl/>
        <w:kinsoku w:val="0"/>
        <w:wordWrap/>
        <w:overflowPunct w:val="0"/>
        <w:topLinePunct/>
        <w:autoSpaceDE/>
        <w:autoSpaceDN/>
        <w:spacing w:line="276" w:lineRule="auto"/>
        <w:jc w:val="left"/>
        <w:rPr>
          <w:rFonts w:ascii="Times" w:hAnsi="Times" w:hint="eastAsia"/>
          <w:sz w:val="20"/>
          <w:szCs w:val="20"/>
        </w:rPr>
      </w:pPr>
    </w:p>
    <w:p w:rsidR="005D3535" w:rsidRPr="003B6C78" w:rsidRDefault="005D3535" w:rsidP="003B6C78">
      <w:pPr>
        <w:widowControl/>
        <w:kinsoku w:val="0"/>
        <w:wordWrap/>
        <w:overflowPunct w:val="0"/>
        <w:topLinePunct/>
        <w:autoSpaceDE/>
        <w:autoSpaceDN/>
        <w:spacing w:line="276" w:lineRule="auto"/>
        <w:jc w:val="left"/>
        <w:rPr>
          <w:rFonts w:ascii="Times" w:hAnsi="Times" w:hint="eastAsia"/>
          <w:sz w:val="20"/>
          <w:szCs w:val="20"/>
        </w:rPr>
      </w:pPr>
      <w:r w:rsidRPr="003B6C78">
        <w:rPr>
          <w:rFonts w:ascii="Times" w:hAnsi="Times"/>
          <w:sz w:val="20"/>
          <w:szCs w:val="20"/>
        </w:rPr>
        <w:t>The data are presented as no. (%) of patients or median (interquartile range), unless otherwise indicated.</w:t>
      </w:r>
    </w:p>
    <w:p w:rsidR="005D3535" w:rsidRPr="003B6C78" w:rsidRDefault="005D3535" w:rsidP="003B6C78">
      <w:pPr>
        <w:widowControl/>
        <w:kinsoku w:val="0"/>
        <w:wordWrap/>
        <w:overflowPunct w:val="0"/>
        <w:topLinePunct/>
        <w:autoSpaceDE/>
        <w:autoSpaceDN/>
        <w:spacing w:line="276" w:lineRule="auto"/>
        <w:jc w:val="left"/>
        <w:rPr>
          <w:rFonts w:ascii="Times" w:hAnsi="Times" w:hint="eastAsia"/>
          <w:sz w:val="20"/>
          <w:szCs w:val="20"/>
        </w:rPr>
      </w:pPr>
      <w:r w:rsidRPr="003B6C78">
        <w:rPr>
          <w:rFonts w:ascii="Times" w:hAnsi="Times"/>
          <w:sz w:val="20"/>
          <w:szCs w:val="20"/>
        </w:rPr>
        <w:t xml:space="preserve">Abbreviations: BMI, body mass index; CHSS, chlorhexidine–silver sulfadiazine; </w:t>
      </w:r>
      <w:r w:rsidRPr="003B6C78">
        <w:rPr>
          <w:rFonts w:ascii="Times" w:hAnsi="Times"/>
          <w:bCs/>
          <w:sz w:val="20"/>
          <w:szCs w:val="20"/>
        </w:rPr>
        <w:t xml:space="preserve">CLABSI, central line-associated bloodstream infection; </w:t>
      </w:r>
      <w:r w:rsidRPr="003B6C78">
        <w:rPr>
          <w:rFonts w:ascii="Times" w:hAnsi="Times"/>
          <w:sz w:val="20"/>
          <w:szCs w:val="20"/>
        </w:rPr>
        <w:t>CVC, central venous catheter; ICU, intensive care unit.</w:t>
      </w:r>
    </w:p>
    <w:p w:rsidR="00E17371" w:rsidRPr="003B6C78" w:rsidRDefault="00E17371" w:rsidP="003B6C78">
      <w:pPr>
        <w:widowControl/>
        <w:kinsoku w:val="0"/>
        <w:wordWrap/>
        <w:overflowPunct w:val="0"/>
        <w:topLinePunct/>
        <w:autoSpaceDE/>
        <w:autoSpaceDN/>
        <w:adjustRightInd w:val="0"/>
        <w:snapToGrid w:val="0"/>
        <w:spacing w:line="276" w:lineRule="auto"/>
        <w:jc w:val="left"/>
        <w:rPr>
          <w:rFonts w:ascii="Times" w:hAnsi="Times" w:hint="eastAsia"/>
          <w:sz w:val="20"/>
          <w:szCs w:val="20"/>
        </w:rPr>
      </w:pPr>
      <w:r w:rsidRPr="003B6C78">
        <w:rPr>
          <w:rFonts w:ascii="Times" w:hAnsi="Times"/>
          <w:sz w:val="20"/>
          <w:szCs w:val="20"/>
          <w:vertAlign w:val="superscript"/>
        </w:rPr>
        <w:t>a</w:t>
      </w:r>
      <w:r w:rsidRPr="003B6C78">
        <w:rPr>
          <w:rFonts w:ascii="Times" w:hAnsi="Times"/>
          <w:sz w:val="20"/>
          <w:szCs w:val="20"/>
        </w:rPr>
        <w:t xml:space="preserve"> Categorical variables were compared using either the chi-squared test or Fisher's exact test, while continuous variables were compared using the Mann–Whitney U-test.</w:t>
      </w:r>
    </w:p>
    <w:p w:rsidR="00B06775" w:rsidRPr="003B6C78" w:rsidRDefault="005D3535" w:rsidP="003B6C78">
      <w:pPr>
        <w:spacing w:line="276" w:lineRule="auto"/>
        <w:rPr>
          <w:rFonts w:ascii="Times" w:hAnsi="Times" w:hint="eastAsia"/>
          <w:sz w:val="20"/>
          <w:szCs w:val="20"/>
        </w:rPr>
      </w:pPr>
      <w:r w:rsidRPr="003B6C78">
        <w:rPr>
          <w:rFonts w:ascii="Times" w:hAnsi="Times"/>
          <w:sz w:val="20"/>
          <w:szCs w:val="20"/>
          <w:vertAlign w:val="superscript"/>
        </w:rPr>
        <w:t xml:space="preserve">b </w:t>
      </w:r>
      <w:r w:rsidRPr="003B6C78">
        <w:rPr>
          <w:rFonts w:ascii="Times" w:hAnsi="Times"/>
          <w:sz w:val="20"/>
          <w:szCs w:val="20"/>
        </w:rPr>
        <w:t>Within 1 month before the onset of CLABSI.</w:t>
      </w:r>
      <w:r w:rsidR="00B06775" w:rsidRPr="003B6C78">
        <w:rPr>
          <w:rFonts w:ascii="Times" w:hAnsi="Times"/>
          <w:sz w:val="20"/>
          <w:szCs w:val="20"/>
        </w:rPr>
        <w:br w:type="page"/>
      </w:r>
    </w:p>
    <w:p w:rsidR="00B06775" w:rsidRPr="003B6C78" w:rsidRDefault="00B06775" w:rsidP="003B6C78">
      <w:pPr>
        <w:kinsoku w:val="0"/>
        <w:wordWrap/>
        <w:overflowPunct w:val="0"/>
        <w:spacing w:line="276" w:lineRule="auto"/>
        <w:jc w:val="left"/>
        <w:rPr>
          <w:rFonts w:ascii="Times" w:hAnsi="Times" w:hint="eastAsia"/>
          <w:sz w:val="20"/>
          <w:szCs w:val="20"/>
        </w:rPr>
      </w:pPr>
      <w:r w:rsidRPr="003B6C78">
        <w:rPr>
          <w:rFonts w:ascii="Times" w:hAnsi="Times"/>
          <w:b/>
          <w:sz w:val="20"/>
          <w:szCs w:val="20"/>
        </w:rPr>
        <w:lastRenderedPageBreak/>
        <w:t xml:space="preserve">Table S2. </w:t>
      </w:r>
      <w:r w:rsidRPr="003B6C78">
        <w:rPr>
          <w:rFonts w:ascii="Times" w:hAnsi="Times"/>
          <w:sz w:val="20"/>
          <w:szCs w:val="20"/>
        </w:rPr>
        <w:t>Details of cases with discordant results between blood culture and tip culture</w:t>
      </w: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855"/>
        <w:gridCol w:w="3855"/>
      </w:tblGrid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Case no.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Blood culture result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widowControl/>
              <w:kinsoku w:val="0"/>
              <w:wordWrap/>
              <w:overflowPunct w:val="0"/>
              <w:topLinePunct/>
              <w:autoSpaceDE/>
              <w:autoSpaceDN/>
              <w:spacing w:line="276" w:lineRule="auto"/>
              <w:jc w:val="center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Tip culture result</w:t>
            </w:r>
          </w:p>
        </w:tc>
      </w:tr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Enterococcus faecium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 xml:space="preserve">Candida </w:t>
            </w:r>
            <w:hyperlink r:id="rId6" w:history="1">
              <w:r w:rsidRPr="003B6C78">
                <w:rPr>
                  <w:rFonts w:ascii="Times" w:eastAsia="맑은 고딕" w:hAnsi="Times"/>
                  <w:i/>
                  <w:color w:val="000000"/>
                  <w:sz w:val="20"/>
                  <w:szCs w:val="20"/>
                </w:rPr>
                <w:t>parapsilosis</w:t>
              </w:r>
            </w:hyperlink>
          </w:p>
        </w:tc>
      </w:tr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Candida albicans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Staphylococcus epidermidis</w:t>
            </w:r>
          </w:p>
        </w:tc>
      </w:tr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Staphylococcus epidermidis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 xml:space="preserve">Candida </w:t>
            </w:r>
            <w:hyperlink r:id="rId7" w:history="1">
              <w:r w:rsidRPr="003B6C78">
                <w:rPr>
                  <w:rFonts w:ascii="Times" w:eastAsia="맑은 고딕" w:hAnsi="Times"/>
                  <w:i/>
                  <w:color w:val="000000"/>
                  <w:sz w:val="20"/>
                  <w:szCs w:val="20"/>
                </w:rPr>
                <w:t>parapsilosis</w:t>
              </w:r>
            </w:hyperlink>
          </w:p>
        </w:tc>
      </w:tr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Klebsiella pneumoniae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Staphylococcus epidermidis</w:t>
            </w:r>
          </w:p>
        </w:tc>
      </w:tr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Candida glabrata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Candida</w:t>
            </w:r>
            <w:r w:rsidRPr="003B6C78">
              <w:rPr>
                <w:rFonts w:ascii="Times" w:eastAsia="맑은 고딕" w:hAnsi="Times"/>
                <w:i/>
                <w:sz w:val="20"/>
                <w:szCs w:val="20"/>
              </w:rPr>
              <w:t xml:space="preserve"> albicans</w:t>
            </w:r>
          </w:p>
        </w:tc>
      </w:tr>
      <w:tr w:rsidR="00B06775" w:rsidRPr="003B6C78" w:rsidTr="00B87407">
        <w:trPr>
          <w:trHeight w:val="276"/>
          <w:jc w:val="center"/>
        </w:trPr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sz w:val="20"/>
                <w:szCs w:val="20"/>
              </w:rPr>
            </w:pPr>
            <w:r w:rsidRPr="003B6C78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Staphylococcus epidermidis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06775" w:rsidRPr="003B6C78" w:rsidRDefault="00B06775" w:rsidP="003B6C78">
            <w:pPr>
              <w:kinsoku w:val="0"/>
              <w:wordWrap/>
              <w:overflowPunct w:val="0"/>
              <w:spacing w:line="276" w:lineRule="auto"/>
              <w:jc w:val="left"/>
              <w:rPr>
                <w:rFonts w:ascii="Times" w:hAnsi="Times" w:hint="eastAsia"/>
                <w:i/>
                <w:sz w:val="20"/>
                <w:szCs w:val="20"/>
              </w:rPr>
            </w:pPr>
            <w:r w:rsidRPr="003B6C78">
              <w:rPr>
                <w:rFonts w:ascii="Times" w:eastAsia="맑은 고딕" w:hAnsi="Times"/>
                <w:i/>
                <w:color w:val="000000"/>
                <w:sz w:val="20"/>
                <w:szCs w:val="20"/>
              </w:rPr>
              <w:t>Escherichia coli</w:t>
            </w:r>
          </w:p>
        </w:tc>
      </w:tr>
    </w:tbl>
    <w:p w:rsidR="00CF480C" w:rsidRPr="003B6C78" w:rsidRDefault="00CF480C" w:rsidP="003B6C78">
      <w:pPr>
        <w:spacing w:line="276" w:lineRule="auto"/>
        <w:rPr>
          <w:rFonts w:ascii="Times" w:hAnsi="Times" w:hint="eastAsia"/>
          <w:sz w:val="20"/>
          <w:szCs w:val="20"/>
        </w:rPr>
      </w:pPr>
    </w:p>
    <w:sectPr w:rsidR="00CF480C" w:rsidRPr="003B6C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AD" w:rsidRDefault="00AD0BAD" w:rsidP="00CF480C">
      <w:r>
        <w:separator/>
      </w:r>
    </w:p>
  </w:endnote>
  <w:endnote w:type="continuationSeparator" w:id="0">
    <w:p w:rsidR="00AD0BAD" w:rsidRDefault="00AD0BAD" w:rsidP="00C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AD" w:rsidRDefault="00AD0BAD" w:rsidP="00CF480C">
      <w:r>
        <w:separator/>
      </w:r>
    </w:p>
  </w:footnote>
  <w:footnote w:type="continuationSeparator" w:id="0">
    <w:p w:rsidR="00AD0BAD" w:rsidRDefault="00AD0BAD" w:rsidP="00CF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F0"/>
    <w:rsid w:val="00006A4D"/>
    <w:rsid w:val="003B6C78"/>
    <w:rsid w:val="003E42B8"/>
    <w:rsid w:val="005D3535"/>
    <w:rsid w:val="0091437E"/>
    <w:rsid w:val="00A169F0"/>
    <w:rsid w:val="00AD0BAD"/>
    <w:rsid w:val="00B06775"/>
    <w:rsid w:val="00B87407"/>
    <w:rsid w:val="00C156DC"/>
    <w:rsid w:val="00C87097"/>
    <w:rsid w:val="00CC29C1"/>
    <w:rsid w:val="00CE3D4D"/>
    <w:rsid w:val="00CF480C"/>
    <w:rsid w:val="00D30062"/>
    <w:rsid w:val="00E17371"/>
    <w:rsid w:val="00E55C49"/>
    <w:rsid w:val="00F43BA4"/>
    <w:rsid w:val="00F9011F"/>
    <w:rsid w:val="00FB050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BDBEF-E9D4-4DE7-84C2-4EA08222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0C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F480C"/>
  </w:style>
  <w:style w:type="paragraph" w:styleId="a4">
    <w:name w:val="footer"/>
    <w:basedOn w:val="a"/>
    <w:link w:val="Char0"/>
    <w:uiPriority w:val="99"/>
    <w:unhideWhenUsed/>
    <w:rsid w:val="00CF48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F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kr/search?sca_esv=51bb03e8c4ee914e&amp;biw=1745&amp;bih=835&amp;q=Candida.+parapsilosis&amp;spell=1&amp;sa=X&amp;ved=2ahUKEwiGj_H8yuOMAxXOh68BHUISLZEQBSgAegQIDR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kr/search?sca_esv=51bb03e8c4ee914e&amp;biw=1745&amp;bih=835&amp;q=Candida.+parapsilosis&amp;spell=1&amp;sa=X&amp;ved=2ahUKEwiGj_H8yuOMAxXOh68BHUISLZEQBSgAegQIDR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Ki-Ho Park</dc:creator>
  <cp:keywords/>
  <dc:description/>
  <cp:lastModifiedBy>이유미</cp:lastModifiedBy>
  <cp:revision>2</cp:revision>
  <dcterms:created xsi:type="dcterms:W3CDTF">2025-04-20T10:07:00Z</dcterms:created>
  <dcterms:modified xsi:type="dcterms:W3CDTF">2025-04-20T10:07:00Z</dcterms:modified>
</cp:coreProperties>
</file>