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2E98" w14:textId="77777777" w:rsidR="00567BC5" w:rsidRPr="00F1506F" w:rsidRDefault="00567BC5" w:rsidP="00567BC5">
      <w:pPr>
        <w:pStyle w:val="Heading1"/>
        <w:rPr>
          <w:rFonts w:cs="Times New Roman"/>
        </w:rPr>
      </w:pPr>
      <w:r w:rsidRPr="00F1506F">
        <w:rPr>
          <w:rFonts w:cs="Times New Roman"/>
        </w:rPr>
        <w:t>SUPPLEMENTARY MATERIALS</w:t>
      </w:r>
    </w:p>
    <w:p w14:paraId="53B179D3" w14:textId="77777777" w:rsidR="00567BC5" w:rsidRPr="00F1506F" w:rsidRDefault="00567BC5" w:rsidP="00567BC5">
      <w:pPr>
        <w:rPr>
          <w:rFonts w:ascii="Times New Roman" w:hAnsi="Times New Roman" w:cs="Times New Roman"/>
        </w:rPr>
      </w:pPr>
    </w:p>
    <w:p w14:paraId="5A9B7030" w14:textId="77777777" w:rsidR="00567BC5" w:rsidRPr="00F1506F" w:rsidRDefault="00567BC5" w:rsidP="00567BC5">
      <w:pPr>
        <w:pStyle w:val="Heading2"/>
        <w:rPr>
          <w:b w:val="0"/>
          <w:bCs w:val="0"/>
          <w:iCs/>
        </w:rPr>
      </w:pPr>
      <w:r w:rsidRPr="00F1506F">
        <w:rPr>
          <w:i w:val="0"/>
          <w:iCs/>
        </w:rPr>
        <w:t>1. Supplementary Information on CRE Surrogate Model Selection using Multivariable Cox Model</w:t>
      </w:r>
    </w:p>
    <w:p w14:paraId="182BC7CB" w14:textId="77777777" w:rsidR="00567BC5" w:rsidRPr="00F1506F" w:rsidRDefault="00567BC5" w:rsidP="00567BC5">
      <w:pPr>
        <w:spacing w:after="0" w:line="480" w:lineRule="auto"/>
        <w:ind w:firstLine="360"/>
        <w:jc w:val="both"/>
        <w:rPr>
          <w:rFonts w:ascii="Times New Roman" w:hAnsi="Times New Roman" w:cs="Times New Roman"/>
        </w:rPr>
      </w:pPr>
      <w:r w:rsidRPr="00F1506F">
        <w:rPr>
          <w:rFonts w:ascii="Times New Roman" w:hAnsi="Times New Roman" w:cs="Times New Roman"/>
          <w:szCs w:val="24"/>
        </w:rPr>
        <w:t xml:space="preserve">The primary model outcome is the first subsequent inpatient hospitalization for any cause within 12 months since the index date. </w:t>
      </w:r>
      <w:r w:rsidRPr="00F1506F">
        <w:rPr>
          <w:rFonts w:ascii="Times New Roman" w:hAnsi="Times New Roman" w:cs="Times New Roman"/>
        </w:rPr>
        <w:t>We used a Cox regression equation to evaluate</w:t>
      </w:r>
      <w:r w:rsidRPr="00F1506F">
        <w:rPr>
          <w:rFonts w:ascii="Times New Roman" w:hAnsi="Times New Roman" w:cs="Times New Roman"/>
          <w:b/>
          <w:bCs/>
          <w:i/>
        </w:rPr>
        <w:t xml:space="preserve"> </w:t>
      </w:r>
      <w:r w:rsidRPr="00F1506F">
        <w:rPr>
          <w:rFonts w:ascii="Times New Roman" w:hAnsi="Times New Roman" w:cs="Times New Roman"/>
        </w:rPr>
        <w:t>risk factors for hospital readmission among CRE case-patients within 365 days of discharge from the index hospitalization (defined as a patient’s first hospitalization with a CRE-positive culture) for inpatients or since the collection date of the first CRE-positive culture for outpatients</w:t>
      </w:r>
      <w:r w:rsidRPr="00F1506F">
        <w:rPr>
          <w:rFonts w:ascii="Times New Roman" w:hAnsi="Times New Roman" w:cs="Times New Roman"/>
          <w:szCs w:val="24"/>
        </w:rPr>
        <w:t xml:space="preserve">. </w:t>
      </w:r>
      <w:r w:rsidRPr="00F1506F">
        <w:rPr>
          <w:rFonts w:ascii="Times New Roman" w:eastAsia="Calibri" w:hAnsi="Times New Roman" w:cs="Times New Roman"/>
        </w:rPr>
        <w:t xml:space="preserve">We evaluated an initial set of 41 predictors likely to influence the risk of CRE acquisitions and readmissions from </w:t>
      </w:r>
      <w:r w:rsidRPr="00F1506F">
        <w:rPr>
          <w:rFonts w:ascii="Times New Roman" w:eastAsia="Calibri" w:hAnsi="Times New Roman" w:cs="Times New Roman"/>
          <w:i/>
        </w:rPr>
        <w:t>a priori</w:t>
      </w:r>
      <w:r w:rsidRPr="00F1506F">
        <w:rPr>
          <w:rFonts w:ascii="Times New Roman" w:eastAsia="Calibri" w:hAnsi="Times New Roman" w:cs="Times New Roman"/>
        </w:rPr>
        <w:t xml:space="preserve"> knowledge in literature. </w:t>
      </w:r>
      <w:r w:rsidRPr="00F1506F">
        <w:rPr>
          <w:rFonts w:ascii="Times New Roman" w:hAnsi="Times New Roman" w:cs="Times New Roman"/>
        </w:rPr>
        <w:t xml:space="preserve">These included patient demographics, primary insurance, underlying conditions, sepsis during the index hospitalization, and previous healthcare exposures </w:t>
      </w:r>
      <w:r w:rsidRPr="00F1506F">
        <w:rPr>
          <w:rFonts w:ascii="Times New Roman" w:hAnsi="Times New Roman" w:cs="Times New Roman"/>
        </w:rPr>
        <w:fldChar w:fldCharType="begin" w:fldLock="1"/>
      </w:r>
      <w:r w:rsidRPr="00F1506F">
        <w:rPr>
          <w:rFonts w:ascii="Times New Roman" w:hAnsi="Times New Roman" w:cs="Times New Roman"/>
        </w:rPr>
        <w:instrText xml:space="preserve"> ADDIN ZOTERO_ITEM CSL_CITATION {"citationID":"9CAkgbXX","properties":{"formattedCitation":"\\super 15,40,41\\nosupersub{}","plainCitation":"15,40,41","noteIndex":0},"citationItems":[{"id":71,"uris":["http://www.mendeley.com/documents/?uuid=11468a5c-d9aa-4173-a08f-867aa998b49c","http://zotero.org/users/12019100/items/KMRQXC2U"],"itemData":{"id":71,"type":"article-journal","abstract":"IMPORTANCE: Carbapenem-resistant Enterobacteriaceae (CRE) are increasingly reported worldwide as a cause of infections with high-mortality rates. Assessment of the US epidemiology of CRE is needed to inform national prevention efforts. OBJECTIVE: To determine the population-based CRE incidence and describe the characteristics and resistance mechanism associated with isolates from 7 US geographical areas. DESIGN, SETTING, AND PARTICIPANTS: Population- and laboratory-based active surveillance of CRE conducted among individuals living in 1 of 7 US metropolitan areas in Colorado, Georgia, Maryland, Minnesota, New Mexico, New York, and Oregon. Cases of CRE were defined as carbapenem-nonsusceptible (excludingertapenem) and extended-spectrum cephalosporin-resistant Escherichia coli, Enterobacter aerogenes, Enterobactercloacae complex, Klebsiella pneumoniae, or Klebsiella oxytoca that were recovered from sterile-site or urine cultures during 2012-2013. Case records were reviewed and molecular typing for common carbapenemases was performed. EXPOSURES: Demographics, comorbidities, health care exposures, and culture source and location. MAIN OUTCOMES AND MEASURES: Population-based CRE incidence, site-specific standardized incidence ratios (adjusted for age and race), and clinical and microbiological characteristics. RESULTS: Among 599 CRE cases in 481 individuals, 520 (86.8%; 95% CI, 84.1%-89.5%) were isolated from urine and 68 (11.4%; 95% CI, 8.8%-13.9%) from blood. The median age was 66 years (95% CI, 62.1-65.4 years) and 284 (59.0%; 95% CI, 54.6%-63.5%) were female. The overall annual CRE incidence rate per 100 000 population was 2.93 (95% CI, 2.65-3.23). The CRE standardized incidence ratio was significantly higher than predicted for the sites in Georgia (1.65 [95% CI, 1.20-2.25]; P &lt;.001), Maryland (1.44 [95% CI, 1.06-1.96]; P =.001), and New York (1.42 [95% CI, 1.05-1.92]; P =.048), and significantly lower than predicted for the sites in Colorado (0.53 [95% CI, 0.39-0.71]; P &lt;.001), New Mexico (0.41 [95% CI, 0.30-0.55]; P =.01), and Oregon (0.28 [95% CI, 0.21-0.38]; P &lt;.001). Most cases occurred in individuals with prior hospitalizations (399/531 [75.1%; 95% CI, 71.4%-78.8%]) or indwelling devices (382/525 [72.8%; 95% CI, 68.9%-76.6%]); 180 of 322(55.9%; 95% CI, 50.0%-60.8%) admitted cases resulted in a discharge to a long-term care setting. Death occurred in 51 (9.0%; 95% CI, 6.6%-11.4%)cases, including in 25 of 91 cases (27.5%; 95% CI, 18.1%-36.8%) with CRE isolated from normally sterile sites. Of 188 isolates tested, 90 (47.9%; 95% CI, 40.6%-55.1%) produced a carbapenemase. CONCLUSIONS AND RELEVANCE: In this population- and laboratory-based active surveillance system in 7 states, the incidence of CRE was 2.93 per 100 000 population. Most CRE cases were isolated from a urine source, and were associated with high prevalence of prior hospitalizations or indwelling devices, and discharge to long-term care settings.","container-title":"JAMA - Journal of the American Medical Association","DOI":"10.1001/jama.2015.12480","ISSN":"15383598","issue":"14","note":"PMID: 26436831\nISBN: 0098-7484","page":"1479-1487","title":"Epidemiology of carbapenem-resistant enterobacteriaceae in 7 US communities, 2012-2013","volume":"314","author":[{"family":"Guh","given":"Alice Y."},{"family":"Bulens","given":"Sandra N."},{"family":"Mu","given":"Yi"},{"family":"Jacob","given":"Jesse T."},{"family":"Reno","given":"Jessica"},{"family":"Scott","given":"Janine"},{"family":"Wilson","given":"Lucy E."},{"family":"Vaeth","given":"Elisabeth"},{"family":"Lynfield","given":"Ruth"},{"family":"Shaw","given":"Kristin M."},{"family":"Vagnone","given":"Paula M.Snippes"},{"family":"Bamberg","given":"Wendy M."},{"family":"Janelle","given":"Sarah J."},{"family":"Dumyati","given":"Ghinwa"},{"family":"Concannon","given":"Cathleen"},{"family":"Beldavs","given":"Zintars"},{"family":"Cunningham","given":"Margaret"},{"family":"Cassidy","given":"P. Maureen"},{"family":"Phipps","given":"Erin C."},{"family":"Kenslow","given":"Nicole"},{"family":"Travis","given":"Tatiana"},{"family":"Lonsway","given":"David"},{"family":"Rasheed","given":"J. Kamile"},{"family":"Limbago","given":"Brandi M."},{"family":"Kallen","given":"Alexander J."}],"issued":{"date-parts":[["2015"]]}}},{"id":3087,"uris":["http://www.mendeley.com/documents/?uuid=5520275f-4072-3129-bc19-b0c52fb92b28","http://zotero.org/users/12019100/items/UP89KSM8"],"itemData":{"id":3087,"type":"article-journal","abstract":"Background. Timely identification of patients likely to harbor carbapenem-resistant Enterobacteriaceae (CRE) can help health care facilities provide effective infection control and treatment. We evaluated whether a model utilizing prior health care information from a state hospital discharge database could predict a patient’s probability of CRE colonization at the time of hospital admission. Methods. We performed a case–control study using the Illinois hospital discharge database. From a 2014–2015 patient cohort, we defined cases as index adult patient hospital encounters with a positive CRE culture collected within the first 3 days of hospitalization, as reported to the Illinois XDRO registry; controls were all patient admissions from the same hospital and month. We split the data into training (~60%) and validation (~40%) sets and developed a logistic regression model to estimate coefficients for predictors of interest. Results. We identified 486 index cases and 340 005 controls. Independent risk factors for CRE at the time of admission were age, number of short-term acute care hospital (STACH) hospitalizations in the prior 365 days, mean STACH length of stay, number of long-term acute care hospital (LTACH) hospitalizations in the prior 365 days, mean LTACH length of stay, current admission to LTACH, and prior hospital admission with an infection diagnosis code. When applying the model to the validation data set, the area under the receiver operating characteristic curve was 0.84. Conclusions. A prediction model utilizing prior health care exposure information could discriminate patients who were likely to harbor CRE at the time of hospital admission.","container-title":"Open Forum Infectious Diseases","DOI":"10.1093/ofid/ofz483","ISSN":"23288957","issue":"12","note":"publisher: Oxford University Press","title":"Predicting carbapenem-resistant enterobacteriaceae carriage at the time of admission using a statewide hospital discharge database","volume":"6","author":[{"family":"Lin","given":"Michael Y."},{"family":"Ray","given":"Michael J."},{"family":"Rezny","given":"Serena"},{"family":"Runningdeer","given":"Erica"},{"family":"Weinstein","given":"Robert A."},{"family":"Trick","given":"William E."}],"accessed":{"date-parts":[["2021",4,12]]},"issued":{"date-parts":[["2019",11,10]]}}},{"id":2207,"uris":["http://www.mendeley.com/documents/?uuid=d1a29660-e88e-318f-be94-3d4d0abc47a2","http://zotero.org/users/12019100/items/XTVG2GDV"],"itemData":{"id":2207,"type":"article-journal","abstract":"BACKGROUND. Carriers of carbapenem-resistant Enterobacteriaceae (CRE) are often readmitted, exposing patients to CRE cross-transmission. OBJECTIVE. To identify predictors of persistent CRE carriage upon readmission, directing a risk prediction score. DESIGN Retrospective cohort study. SETTING University-affiliated general hospital. PATIENTS A cohort of 168 CRE carriers with 474 readmissions. METHODS. The primary and secondary outcomes were CRE carriage status at readmission and length of CRE carriage. Predictors of persistent CRE carriage upon readmission were analyzed using a generalized estimating equations (GEE) multivariable model. Readmissions were randomly divided into derivation and validation sets. A CRE readmission score was derived to predict persistent CRE carriage in 3 risk groups: high, intermediate, and low. The discriminatory ability of the model and the score were expressed as C statistics. RESULTS. CRE carrier status persisted for 1 year in 33% of CRE carriers. Positive CRE status was detected in 202 of 474 readmissions (42.6%). The following 4 variables were associated with persistent CRE carriage at readmission: readmission within 1 month (odds ratio [OR], 6.95; 95% confidence interval [CI], 2.79-17.30), positive CRE status on preceding admission (OR, 5.46; 95% CI, 3.06-9.75), low Norton score (OR, 3.07; 95% CI, 1.26-7.47), and diabetes mellitus (OR, 1.84; 95% CI, 0.98-3.44). The C statistics were 0.791 and 0.789 for the derivation set (n=322) model and score, respectively, and the C statistic was 0.861 for the validation set of the score (n=152). The rates of CRE carriage at readmissions (validation set) for the groups with low, intermediate, and high scores were 8.6%, 38.9%, and 77.6%, respectively. CONCLUSIONS. CRE carrier state commonly persists upon readmission, and this risk can be estimated to guide screening policy and infection control measures.","container-title":"Infection Control and Hospital Epidemiology","DOI":"10.1017/ice.2015.278","ISSN":"15596834","issue":"2","note":"PMID: 26750741\npublisher: Cambridge University Press","page":"188-196","title":"Predictors of Persistent Carbapenem-Resistant Enterobacteriaceae Carriage upon Readmission and Score Development","volume":"37","author":[{"family":"Ciobotaro","given":"Pnina"},{"family":"Flaks-Manov","given":"Natalie"},{"family":"Oved","given":"Maly"},{"family":"Schattner","given":"Ami"},{"family":"Hoshen","given":"Moshe"},{"family":"Ben-Yosef","given":"Eli"},{"family":"Balicer","given":"Ran D."},{"family":"Zimhony","given":"Oren"}],"issued":{"date-parts":[["2016",2,1]]}}}],"schema":"https://github.com/citation-style-language/schema/raw/master/csl-citation.json"} </w:instrText>
      </w:r>
      <w:r w:rsidRPr="00F1506F">
        <w:rPr>
          <w:rFonts w:ascii="Times New Roman" w:hAnsi="Times New Roman" w:cs="Times New Roman"/>
        </w:rPr>
        <w:fldChar w:fldCharType="separate"/>
      </w:r>
      <w:r w:rsidRPr="00F1506F">
        <w:rPr>
          <w:rFonts w:ascii="Times New Roman" w:hAnsi="Times New Roman" w:cs="Times New Roman"/>
          <w:szCs w:val="24"/>
          <w:vertAlign w:val="superscript"/>
        </w:rPr>
        <w:t>15,40,41</w:t>
      </w:r>
      <w:r w:rsidRPr="00F1506F">
        <w:rPr>
          <w:rFonts w:ascii="Times New Roman" w:hAnsi="Times New Roman" w:cs="Times New Roman"/>
        </w:rPr>
        <w:fldChar w:fldCharType="end"/>
      </w:r>
      <w:r w:rsidRPr="00F1506F">
        <w:rPr>
          <w:rFonts w:ascii="Times New Roman" w:hAnsi="Times New Roman" w:cs="Times New Roman"/>
        </w:rPr>
        <w:t>. We extracted 17 underlying conditions that composed the Charlson-</w:t>
      </w:r>
      <w:proofErr w:type="spellStart"/>
      <w:r w:rsidRPr="00F1506F">
        <w:rPr>
          <w:rFonts w:ascii="Times New Roman" w:hAnsi="Times New Roman" w:cs="Times New Roman"/>
        </w:rPr>
        <w:t>Deyo</w:t>
      </w:r>
      <w:proofErr w:type="spellEnd"/>
      <w:r w:rsidRPr="00F1506F">
        <w:rPr>
          <w:rFonts w:ascii="Times New Roman" w:hAnsi="Times New Roman" w:cs="Times New Roman"/>
        </w:rPr>
        <w:t xml:space="preserve"> Comorbidity Index (DCCI) from the International Classification of Diseases (ICD)-9 and ICD-10 diagnostic codes in HDDS discharge diagnoses before the first specimen collection date </w:t>
      </w:r>
      <w:r w:rsidRPr="00F1506F">
        <w:rPr>
          <w:rFonts w:ascii="Times New Roman" w:hAnsi="Times New Roman" w:cs="Times New Roman"/>
        </w:rPr>
        <w:fldChar w:fldCharType="begin" w:fldLock="1"/>
      </w:r>
      <w:r w:rsidRPr="00F1506F">
        <w:rPr>
          <w:rFonts w:ascii="Times New Roman" w:hAnsi="Times New Roman" w:cs="Times New Roman"/>
        </w:rPr>
        <w:instrText xml:space="preserve"> ADDIN ZOTERO_ITEM CSL_CITATION {"citationID":"5vcKeiLM","properties":{"formattedCitation":"\\super 42,43\\nosupersub{}","plainCitation":"42,43","noteIndex":0},"citationItems":[{"id":1241,"uris":["http://www.mendeley.com/documents/?uuid=33f0705d-b898-348d-995d-ebe76e660747","http://zotero.org/users/12019100/items/SALXMIAY"],"itemData":{"id":1241,"type":"article-journal","abstract":"Objectives: Implementation of the International Statistical Classification of Disease and Related Health Problems, 10th Revision (ICD-10) coding system presents challenges for using administrative data. Recognizing this, we conducted a multistep process to develop ICD-10 coding algorithms to define Charlson and Elixhauser comorbidities in administrative data and assess the performance of the resulting algorithms. Methods: ICD-10 coding algorithms were developed by \"translation\" of the ICD-9-CM codes constituting Deyo's (for Charlson comorbidities) and Elixhauser's coding algorithms and by physicians' assessment of the face-validity of selected ICD-10 codes. The process of carefully developing ICD-10 algorithms also produced modified and enhanced ICD-9-CM coding algorithms for the Charlson and Elixhauser comorbidities. We then used data on in-patients aged 18 years and older in ICD-9-CM and ICD-10 administrative hospital discharge data from a Canadian health region to assess the comorbidity frequencies and mortality prediction achieved by the original ICD-9-CM algorithms, the enhanced ICD-9-CM algorithms, and the new ICD-10 coding algorithms. Results: Among 56,585 patients in the ICD-9-CM data and 58,805 patients in the ICD-10 data, frequencies of the 17 Charlson comorbidities and the 30 Elixhauser comorbidities remained generally similar across algorithms. The new ICD-10 and enhanced ICD-9-CM coding algorithms either matched or outperformed the original Deyo and Elixhauser ICD-9-CM coding algorithms in predicting in-hospital mortality. The C-statistic was 0.842 for Deyo's ICD-9-CM coding algorithm, 0.860 for the ICD-10 coding algorithm, and 0.859 for the enhanced ICD-9-CM coding algorithm, 0.868 for the original Elixhauser ICD-9-CM coding algorithm, 0.870 for the ICD-10 coding algorithm and 0.878 for the enhanced ICD-9-CM coding algorithm. Conclusions: These newly developed ICD-10 and ICD-9-CM co-morbidity coding algorithms produce similar estimates of comorbidity prevalence in administrative data, and may outperform existing ICD-9-CM coding algorithms. Copyright © 2005 by Lippincott Williams &amp; Wilkins.","container-title":"Medical Care","DOI":"10.1097/01.mlr.0000182534.19832.83","ISSN":"00257079","issue":"11","note":"PMID: 16224307","page":"1130-1139","title":"Coding algorithms for defining comorbidities in ICD-9-CM and ICD-10 administrative data","volume":"43","author":[{"family":"Quan","given":"Hude"},{"family":"Sundararajan","given":"Vijaya"},{"family":"Halfon","given":"Patricia"},{"family":"Fong","given":"Andrew"},{"family":"Burnand","given":"Bernard"},{"family":"Luthi","given":"Jean Christophe"},{"family":"Saunders","given":"L. Duncan"},{"family":"Beck","given":"Cynthia A."},{"family":"Feasby","given":"Thomas E."},{"family":"Ghali","given":"William A."}],"issued":{"date-parts":[["2005",11]]}}},{"id":3687,"uris":["http://www.mendeley.com/documents/?uuid=b50f4171-43a7-32e6-bda2-38366062d63e","http://zotero.org/users/12019100/items/TWR5ANR3"],"itemData":{"id":3687,"type":"webpage","title":"Concept: Charlson Comorbidity Index","URL":"http://mchp-appserv.cpe.umanitoba.ca/viewConcept.php?conceptID=1098","author":[{"literal":"Manitoba Centre for Health Policy"}],"accessed":{"date-parts":[["2022",2,16]]},"issued":{"date-parts":[["2021",11,17]]}}}],"schema":"https://github.com/citation-style-language/schema/raw/master/csl-citation.json"} </w:instrText>
      </w:r>
      <w:r w:rsidRPr="00F1506F">
        <w:rPr>
          <w:rFonts w:ascii="Times New Roman" w:hAnsi="Times New Roman" w:cs="Times New Roman"/>
        </w:rPr>
        <w:fldChar w:fldCharType="separate"/>
      </w:r>
      <w:r w:rsidRPr="00F1506F">
        <w:rPr>
          <w:rFonts w:ascii="Times New Roman" w:hAnsi="Times New Roman" w:cs="Times New Roman"/>
          <w:szCs w:val="24"/>
          <w:vertAlign w:val="superscript"/>
        </w:rPr>
        <w:t>42,43</w:t>
      </w:r>
      <w:r w:rsidRPr="00F1506F">
        <w:rPr>
          <w:rFonts w:ascii="Times New Roman" w:hAnsi="Times New Roman" w:cs="Times New Roman"/>
        </w:rPr>
        <w:fldChar w:fldCharType="end"/>
      </w:r>
      <w:r w:rsidRPr="00F1506F">
        <w:rPr>
          <w:rFonts w:ascii="Times New Roman" w:hAnsi="Times New Roman" w:cs="Times New Roman"/>
        </w:rPr>
        <w:t xml:space="preserve">Each underlying condition was evaluated as a potential predictor in the model, in addition to contributing to the DCCI score. </w:t>
      </w:r>
    </w:p>
    <w:p w14:paraId="629C6EDE" w14:textId="77777777" w:rsidR="00567BC5" w:rsidRPr="00F1506F" w:rsidRDefault="00567BC5" w:rsidP="00567BC5">
      <w:pPr>
        <w:spacing w:after="0" w:line="480" w:lineRule="auto"/>
        <w:ind w:firstLine="720"/>
        <w:jc w:val="both"/>
        <w:rPr>
          <w:rFonts w:ascii="Times New Roman" w:hAnsi="Times New Roman" w:cs="Times New Roman"/>
          <w:szCs w:val="24"/>
        </w:rPr>
      </w:pPr>
      <w:r w:rsidRPr="00F1506F">
        <w:rPr>
          <w:rFonts w:ascii="Times New Roman" w:hAnsi="Times New Roman" w:cs="Times New Roman"/>
          <w:szCs w:val="24"/>
        </w:rPr>
        <w:t>Previous SNF stays were identified from three sources: identification of SNF as the ordering facility in the culture laboratory reports submitted to the TDH surveillance data, patient address matching a registered SNF address, or discharge to SNF in HDDS within 12 months preceding their first specimen collection. Healthcare exposures within 12 months before the first specimen collection date, including emergency department visits, inpatient hospitalizations, the total length of stay (LOS) at Short-term ACHs, and total LOS at LTACHs, were extracted from HDDS</w:t>
      </w:r>
      <w:r w:rsidRPr="00F1506F">
        <w:rPr>
          <w:rFonts w:ascii="Times New Roman" w:eastAsia="Calibri" w:hAnsi="Times New Roman" w:cs="Times New Roman"/>
          <w:szCs w:val="24"/>
        </w:rPr>
        <w:t xml:space="preserve">. </w:t>
      </w:r>
      <w:r w:rsidRPr="00F1506F">
        <w:rPr>
          <w:rFonts w:ascii="Times New Roman" w:hAnsi="Times New Roman" w:cs="Times New Roman"/>
          <w:szCs w:val="24"/>
        </w:rPr>
        <w:t>Specific healthcare procedures were extracted from ICD-10-Procedure Coding System (PCS) and ICD-9 or ICD-10 discharge diagnoses (Supplementary Material, Appendix 1).</w:t>
      </w:r>
    </w:p>
    <w:p w14:paraId="2656165D" w14:textId="77777777" w:rsidR="00567BC5" w:rsidRPr="00F1506F" w:rsidRDefault="00567BC5" w:rsidP="00567BC5">
      <w:pPr>
        <w:spacing w:after="0" w:line="480" w:lineRule="auto"/>
        <w:ind w:firstLine="720"/>
        <w:jc w:val="both"/>
        <w:rPr>
          <w:rFonts w:ascii="Times New Roman" w:hAnsi="Times New Roman" w:cs="Times New Roman"/>
        </w:rPr>
      </w:pPr>
      <w:r w:rsidRPr="00F1506F">
        <w:rPr>
          <w:rFonts w:ascii="Times New Roman" w:hAnsi="Times New Roman" w:cs="Times New Roman"/>
        </w:rPr>
        <w:t xml:space="preserve">We used multivariable Cox regression models to obtain a final set of predictors most strongly associated with the subsequent hospitalization among CRE-infected patients. Microbiology information, such as culture and antibiotic susceptibility test results, were not included as potential predictors because </w:t>
      </w:r>
      <w:r w:rsidRPr="00F1506F">
        <w:rPr>
          <w:rFonts w:ascii="Times New Roman" w:hAnsi="Times New Roman" w:cs="Times New Roman"/>
        </w:rPr>
        <w:lastRenderedPageBreak/>
        <w:t xml:space="preserve">they are not recorded in HDDS. Candidate predictors were selected into the multivariable model through a five-step selection process. First, we reviewed the frequency of all categorical predictors in all general population hospitalizations from 2016–2019 HDDS. Underlying conditions reported in less than 4% of the general population in 2016–2019 HDDS were excluded from the model. All healthcare exposures and continuous predictors were included in the next step. Next, we evaluated </w:t>
      </w:r>
      <w:proofErr w:type="gramStart"/>
      <w:r w:rsidRPr="00F1506F">
        <w:rPr>
          <w:rFonts w:ascii="Times New Roman" w:hAnsi="Times New Roman" w:cs="Times New Roman"/>
        </w:rPr>
        <w:t>highly-correlated</w:t>
      </w:r>
      <w:proofErr w:type="gramEnd"/>
      <w:r w:rsidRPr="00F1506F">
        <w:rPr>
          <w:rFonts w:ascii="Times New Roman" w:hAnsi="Times New Roman" w:cs="Times New Roman"/>
        </w:rPr>
        <w:t xml:space="preserve"> predictor pairs (Pearson coefficient &gt;=0.70) for possible multicollinearity. For a highly correlated pair of predictors, we considered excluding one with narrow distribution or a large proportion of missing data and providing less information than the other predictor.  </w:t>
      </w:r>
    </w:p>
    <w:p w14:paraId="4FA4ADD9" w14:textId="77777777" w:rsidR="00567BC5" w:rsidRPr="00F1506F" w:rsidRDefault="00567BC5" w:rsidP="00567BC5">
      <w:pPr>
        <w:spacing w:after="0" w:line="480" w:lineRule="auto"/>
        <w:ind w:firstLine="360"/>
        <w:jc w:val="both"/>
        <w:rPr>
          <w:rFonts w:ascii="Times New Roman" w:hAnsi="Times New Roman" w:cs="Times New Roman"/>
          <w:szCs w:val="24"/>
        </w:rPr>
      </w:pPr>
      <w:r w:rsidRPr="00F1506F">
        <w:rPr>
          <w:rFonts w:ascii="Times New Roman" w:hAnsi="Times New Roman" w:cs="Times New Roman"/>
          <w:szCs w:val="24"/>
        </w:rPr>
        <w:t>We evaluated whether the risk factor required stratification by index hospitalization status by plotting the log of the negative log of the Kaplan-Meier survival estimates against the log of time to observe the departure from proportional hazards (PH) assumption violation. We evaluated the model for the fit with the proportional hazard (PH) assumption using its Schoenfeld residuals. A p-value of &lt;0.05 of Schoenfeld residual goodness-of-fit tests for the overall model and each predictor was deemed evidence of PH assumption violation. Additionally, we hypothesized that the baseline hazard differs between inpatients and outpatients.</w:t>
      </w:r>
    </w:p>
    <w:p w14:paraId="67581F1C" w14:textId="10E2AF7E" w:rsidR="00567BC5" w:rsidRPr="00F1506F" w:rsidRDefault="00567BC5" w:rsidP="00F1506F">
      <w:pPr>
        <w:shd w:val="clear" w:color="auto" w:fill="FFFFFF" w:themeFill="background1"/>
        <w:spacing w:before="100" w:beforeAutospacing="1" w:after="100" w:afterAutospacing="1" w:line="480" w:lineRule="auto"/>
        <w:ind w:firstLine="720"/>
        <w:jc w:val="both"/>
        <w:textAlignment w:val="baseline"/>
        <w:rPr>
          <w:rFonts w:ascii="Times New Roman" w:hAnsi="Times New Roman" w:cs="Times New Roman"/>
          <w:b/>
          <w:bCs/>
        </w:rPr>
      </w:pPr>
      <w:r w:rsidRPr="00F1506F">
        <w:rPr>
          <w:rFonts w:ascii="Times New Roman" w:hAnsi="Times New Roman" w:cs="Times New Roman"/>
        </w:rPr>
        <w:t xml:space="preserve">We used a relaxed criterion of p-value </w:t>
      </w:r>
      <w:r w:rsidRPr="00F1506F">
        <w:rPr>
          <w:rFonts w:ascii="Times New Roman" w:hAnsi="Times New Roman" w:cs="Times New Roman"/>
          <w:u w:val="single"/>
        </w:rPr>
        <w:t xml:space="preserve">&lt; </w:t>
      </w:r>
      <w:r w:rsidRPr="00F1506F">
        <w:rPr>
          <w:rFonts w:ascii="Times New Roman" w:hAnsi="Times New Roman" w:cs="Times New Roman"/>
        </w:rPr>
        <w:t xml:space="preserve">0.20 in univariate regressions to consider including the covariate in the next iteration of covariate selection into the multivariable model. The final, parsimonious set of predictors was selected from the candidate set based on </w:t>
      </w:r>
      <w:r w:rsidRPr="00F1506F">
        <w:rPr>
          <w:rFonts w:ascii="Times New Roman" w:hAnsi="Times New Roman" w:cs="Times New Roman"/>
          <w:i/>
          <w:iCs/>
        </w:rPr>
        <w:t xml:space="preserve">a priori </w:t>
      </w:r>
      <w:r w:rsidRPr="00F1506F">
        <w:rPr>
          <w:rFonts w:ascii="Times New Roman" w:hAnsi="Times New Roman" w:cs="Times New Roman"/>
        </w:rPr>
        <w:t>knowledge of their association with CRE risks. Bootstrap cross-validation with replacement and repeated backward selection process with 1,500 iterations were used to identify the model with the lowest Akaike information criterion (AIC).</w:t>
      </w:r>
      <w:r w:rsidRPr="00F1506F">
        <w:rPr>
          <w:rFonts w:ascii="Times New Roman" w:eastAsia="Calibri" w:hAnsi="Times New Roman" w:cs="Times New Roman"/>
        </w:rPr>
        <w:t xml:space="preserve"> While Cox regression can estimate the survival rate at any point during the follow-up period, we evaluated the predictive ability of the model to assess re-admission risks at 365 days (end of follow-up</w:t>
      </w:r>
      <w:r w:rsidRPr="00F1506F">
        <w:rPr>
          <w:rFonts w:ascii="Times New Roman" w:hAnsi="Times New Roman" w:cs="Times New Roman"/>
        </w:rPr>
        <w:t xml:space="preserve"> period). At 365 days, the model had a</w:t>
      </w:r>
      <w:r w:rsidRPr="00F1506F">
        <w:rPr>
          <w:rFonts w:ascii="Times New Roman" w:eastAsia="Calibri" w:hAnsi="Times New Roman" w:cs="Times New Roman"/>
        </w:rPr>
        <w:t xml:space="preserve"> 0.70 Area Under the Curve (AUC) </w:t>
      </w:r>
      <w:r w:rsidRPr="00F1506F">
        <w:rPr>
          <w:rFonts w:ascii="Times New Roman" w:hAnsi="Times New Roman" w:cs="Times New Roman"/>
        </w:rPr>
        <w:t>with an optimal risk score cut</w:t>
      </w:r>
      <w:r w:rsidRPr="00F1506F">
        <w:rPr>
          <w:rFonts w:ascii="Times New Roman" w:eastAsia="Calibri" w:hAnsi="Times New Roman" w:cs="Times New Roman"/>
        </w:rPr>
        <w:t>-</w:t>
      </w:r>
      <w:r w:rsidRPr="00F1506F">
        <w:rPr>
          <w:rFonts w:ascii="Times New Roman" w:hAnsi="Times New Roman" w:cs="Times New Roman"/>
        </w:rPr>
        <w:t xml:space="preserve">off of -0.22. The sensitivity of this risk score to discriminate hospitalizations within 365 days was 77% (95% CI:75%–80%), and </w:t>
      </w:r>
      <w:r w:rsidRPr="00F1506F">
        <w:rPr>
          <w:rFonts w:ascii="Times New Roman" w:eastAsia="Calibri" w:hAnsi="Times New Roman" w:cs="Times New Roman"/>
        </w:rPr>
        <w:t xml:space="preserve">the specificity </w:t>
      </w:r>
      <w:r w:rsidRPr="00F1506F">
        <w:rPr>
          <w:rFonts w:ascii="Times New Roman" w:hAnsi="Times New Roman" w:cs="Times New Roman"/>
        </w:rPr>
        <w:t>was 56% (95% CI:54%–59%).</w:t>
      </w:r>
      <w:r w:rsidRPr="00F1506F">
        <w:rPr>
          <w:rFonts w:ascii="Times New Roman" w:hAnsi="Times New Roman" w:cs="Times New Roman"/>
          <w:b/>
          <w:bCs/>
        </w:rPr>
        <w:br w:type="page"/>
      </w:r>
    </w:p>
    <w:p w14:paraId="3AAE5C0D" w14:textId="77777777" w:rsidR="00567BC5" w:rsidRPr="00F1506F" w:rsidRDefault="00567BC5" w:rsidP="00567BC5">
      <w:pPr>
        <w:pStyle w:val="Heading2"/>
        <w:rPr>
          <w:b w:val="0"/>
          <w:bCs w:val="0"/>
          <w:iCs/>
        </w:rPr>
      </w:pPr>
      <w:r w:rsidRPr="00F1506F">
        <w:rPr>
          <w:i w:val="0"/>
          <w:iCs/>
        </w:rPr>
        <w:t>2. Supplementary Tables and Figures</w:t>
      </w:r>
    </w:p>
    <w:tbl>
      <w:tblPr>
        <w:tblW w:w="9450" w:type="dxa"/>
        <w:tblBorders>
          <w:top w:val="single" w:sz="12" w:space="0" w:color="111111"/>
          <w:bottom w:val="single" w:sz="12" w:space="0" w:color="111111"/>
        </w:tblBorders>
        <w:tblLayout w:type="fixed"/>
        <w:tblCellMar>
          <w:top w:w="15" w:type="dxa"/>
          <w:left w:w="15" w:type="dxa"/>
          <w:bottom w:w="15" w:type="dxa"/>
          <w:right w:w="15" w:type="dxa"/>
        </w:tblCellMar>
        <w:tblLook w:val="04A0" w:firstRow="1" w:lastRow="0" w:firstColumn="1" w:lastColumn="0" w:noHBand="0" w:noVBand="1"/>
      </w:tblPr>
      <w:tblGrid>
        <w:gridCol w:w="4410"/>
        <w:gridCol w:w="1440"/>
        <w:gridCol w:w="1260"/>
        <w:gridCol w:w="1080"/>
        <w:gridCol w:w="1260"/>
      </w:tblGrid>
      <w:tr w:rsidR="00567BC5" w:rsidRPr="00F1506F" w14:paraId="2AA6A1F1" w14:textId="77777777" w:rsidTr="00B8371A">
        <w:trPr>
          <w:tblHeader/>
        </w:trPr>
        <w:tc>
          <w:tcPr>
            <w:tcW w:w="9450" w:type="dxa"/>
            <w:gridSpan w:val="5"/>
            <w:tcBorders>
              <w:top w:val="nil"/>
              <w:left w:val="nil"/>
              <w:bottom w:val="single" w:sz="12" w:space="0" w:color="111111"/>
              <w:right w:val="nil"/>
            </w:tcBorders>
            <w:shd w:val="clear" w:color="auto" w:fill="auto"/>
            <w:tcMar>
              <w:top w:w="0" w:type="dxa"/>
              <w:left w:w="75" w:type="dxa"/>
              <w:bottom w:w="0" w:type="dxa"/>
              <w:right w:w="75" w:type="dxa"/>
            </w:tcMar>
            <w:vAlign w:val="center"/>
            <w:hideMark/>
          </w:tcPr>
          <w:p w14:paraId="0F1EC635" w14:textId="77777777" w:rsidR="00567BC5" w:rsidRPr="00F1506F" w:rsidRDefault="00567BC5" w:rsidP="00B8371A">
            <w:pPr>
              <w:spacing w:after="0" w:line="360" w:lineRule="auto"/>
              <w:rPr>
                <w:rFonts w:ascii="Times New Roman" w:eastAsia="Times New Roman" w:hAnsi="Times New Roman" w:cs="Times New Roman"/>
                <w:b/>
                <w:bCs/>
                <w:color w:val="222222"/>
              </w:rPr>
            </w:pPr>
            <w:r w:rsidRPr="00F1506F">
              <w:rPr>
                <w:rFonts w:ascii="Times New Roman" w:eastAsia="Times New Roman" w:hAnsi="Times New Roman" w:cs="Times New Roman"/>
                <w:b/>
                <w:bCs/>
                <w:color w:val="222222"/>
              </w:rPr>
              <w:t>Table S1. Characteristics of Unique Patients with Positive CRE Specimens, Tennessee July 2015 – September 2019</w:t>
            </w:r>
          </w:p>
        </w:tc>
      </w:tr>
      <w:tr w:rsidR="00567BC5" w:rsidRPr="00F1506F" w14:paraId="05EAABF1" w14:textId="77777777" w:rsidTr="00B8371A">
        <w:trPr>
          <w:tblHeader/>
        </w:trPr>
        <w:tc>
          <w:tcPr>
            <w:tcW w:w="4410" w:type="dxa"/>
            <w:tcBorders>
              <w:top w:val="single" w:sz="12" w:space="0" w:color="111111"/>
              <w:bottom w:val="single" w:sz="12" w:space="0" w:color="111111"/>
            </w:tcBorders>
            <w:shd w:val="clear" w:color="auto" w:fill="auto"/>
            <w:tcMar>
              <w:top w:w="0" w:type="dxa"/>
              <w:left w:w="75" w:type="dxa"/>
              <w:bottom w:w="0" w:type="dxa"/>
              <w:right w:w="75" w:type="dxa"/>
            </w:tcMar>
            <w:vAlign w:val="center"/>
            <w:hideMark/>
          </w:tcPr>
          <w:p w14:paraId="559F675A"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Patient Characteristics</w:t>
            </w:r>
          </w:p>
        </w:tc>
        <w:tc>
          <w:tcPr>
            <w:tcW w:w="1440" w:type="dxa"/>
            <w:tcBorders>
              <w:top w:val="single" w:sz="12" w:space="0" w:color="111111"/>
              <w:bottom w:val="single" w:sz="12" w:space="0" w:color="111111"/>
            </w:tcBorders>
            <w:shd w:val="clear" w:color="auto" w:fill="auto"/>
            <w:tcMar>
              <w:top w:w="0" w:type="dxa"/>
              <w:left w:w="75" w:type="dxa"/>
              <w:bottom w:w="0" w:type="dxa"/>
              <w:right w:w="75" w:type="dxa"/>
            </w:tcMar>
            <w:vAlign w:val="center"/>
            <w:hideMark/>
          </w:tcPr>
          <w:p w14:paraId="5F4CC88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Inpatients</w:t>
            </w:r>
          </w:p>
        </w:tc>
        <w:tc>
          <w:tcPr>
            <w:tcW w:w="1260" w:type="dxa"/>
            <w:tcBorders>
              <w:top w:val="single" w:sz="12" w:space="0" w:color="111111"/>
              <w:bottom w:val="single" w:sz="12" w:space="0" w:color="111111"/>
            </w:tcBorders>
            <w:shd w:val="clear" w:color="auto" w:fill="auto"/>
            <w:tcMar>
              <w:top w:w="0" w:type="dxa"/>
              <w:left w:w="75" w:type="dxa"/>
              <w:bottom w:w="0" w:type="dxa"/>
              <w:right w:w="75" w:type="dxa"/>
            </w:tcMar>
            <w:vAlign w:val="center"/>
            <w:hideMark/>
          </w:tcPr>
          <w:p w14:paraId="1FB4CA6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Outpatients</w:t>
            </w:r>
          </w:p>
        </w:tc>
        <w:tc>
          <w:tcPr>
            <w:tcW w:w="1080" w:type="dxa"/>
            <w:tcBorders>
              <w:top w:val="single" w:sz="12" w:space="0" w:color="111111"/>
              <w:bottom w:val="single" w:sz="12" w:space="0" w:color="111111"/>
            </w:tcBorders>
            <w:shd w:val="clear" w:color="auto" w:fill="auto"/>
            <w:tcMar>
              <w:top w:w="0" w:type="dxa"/>
              <w:left w:w="75" w:type="dxa"/>
              <w:bottom w:w="0" w:type="dxa"/>
              <w:right w:w="75" w:type="dxa"/>
            </w:tcMar>
            <w:vAlign w:val="center"/>
            <w:hideMark/>
          </w:tcPr>
          <w:p w14:paraId="75C61E4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p-value*</w:t>
            </w:r>
          </w:p>
        </w:tc>
        <w:tc>
          <w:tcPr>
            <w:tcW w:w="1260" w:type="dxa"/>
            <w:tcBorders>
              <w:top w:val="single" w:sz="12" w:space="0" w:color="111111"/>
              <w:bottom w:val="single" w:sz="12" w:space="0" w:color="111111"/>
            </w:tcBorders>
            <w:shd w:val="clear" w:color="auto" w:fill="auto"/>
            <w:tcMar>
              <w:top w:w="0" w:type="dxa"/>
              <w:left w:w="75" w:type="dxa"/>
              <w:bottom w:w="0" w:type="dxa"/>
              <w:right w:w="75" w:type="dxa"/>
            </w:tcMar>
            <w:vAlign w:val="center"/>
            <w:hideMark/>
          </w:tcPr>
          <w:p w14:paraId="4C842E2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Overall</w:t>
            </w:r>
          </w:p>
        </w:tc>
      </w:tr>
      <w:tr w:rsidR="00567BC5" w:rsidRPr="00F1506F" w14:paraId="5FE7CCC0" w14:textId="77777777" w:rsidTr="00B8371A">
        <w:tc>
          <w:tcPr>
            <w:tcW w:w="4410" w:type="dxa"/>
            <w:shd w:val="clear" w:color="auto" w:fill="auto"/>
            <w:tcMar>
              <w:top w:w="0" w:type="dxa"/>
              <w:left w:w="75" w:type="dxa"/>
              <w:bottom w:w="0" w:type="dxa"/>
              <w:right w:w="75" w:type="dxa"/>
            </w:tcMar>
            <w:vAlign w:val="center"/>
            <w:hideMark/>
          </w:tcPr>
          <w:p w14:paraId="16D2EB02"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n</w:t>
            </w:r>
          </w:p>
        </w:tc>
        <w:tc>
          <w:tcPr>
            <w:tcW w:w="1440" w:type="dxa"/>
            <w:shd w:val="clear" w:color="auto" w:fill="auto"/>
            <w:tcMar>
              <w:top w:w="0" w:type="dxa"/>
              <w:left w:w="75" w:type="dxa"/>
              <w:bottom w:w="0" w:type="dxa"/>
              <w:right w:w="75" w:type="dxa"/>
            </w:tcMar>
            <w:vAlign w:val="center"/>
            <w:hideMark/>
          </w:tcPr>
          <w:p w14:paraId="348E76E1"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1506</w:t>
            </w:r>
          </w:p>
        </w:tc>
        <w:tc>
          <w:tcPr>
            <w:tcW w:w="1260" w:type="dxa"/>
            <w:shd w:val="clear" w:color="auto" w:fill="auto"/>
            <w:tcMar>
              <w:top w:w="0" w:type="dxa"/>
              <w:left w:w="75" w:type="dxa"/>
              <w:bottom w:w="0" w:type="dxa"/>
              <w:right w:w="75" w:type="dxa"/>
            </w:tcMar>
            <w:vAlign w:val="center"/>
            <w:hideMark/>
          </w:tcPr>
          <w:p w14:paraId="587376B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1297</w:t>
            </w:r>
          </w:p>
        </w:tc>
        <w:tc>
          <w:tcPr>
            <w:tcW w:w="1080" w:type="dxa"/>
            <w:shd w:val="clear" w:color="auto" w:fill="auto"/>
            <w:tcMar>
              <w:top w:w="0" w:type="dxa"/>
              <w:left w:w="75" w:type="dxa"/>
              <w:bottom w:w="0" w:type="dxa"/>
              <w:right w:w="75" w:type="dxa"/>
            </w:tcMar>
            <w:vAlign w:val="center"/>
            <w:hideMark/>
          </w:tcPr>
          <w:p w14:paraId="609D662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1164B7B1"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2803</w:t>
            </w:r>
          </w:p>
        </w:tc>
      </w:tr>
      <w:tr w:rsidR="00567BC5" w:rsidRPr="00F1506F" w14:paraId="25A8911B" w14:textId="77777777" w:rsidTr="00B8371A">
        <w:tc>
          <w:tcPr>
            <w:tcW w:w="4410" w:type="dxa"/>
            <w:shd w:val="clear" w:color="auto" w:fill="auto"/>
            <w:tcMar>
              <w:top w:w="0" w:type="dxa"/>
              <w:left w:w="75" w:type="dxa"/>
              <w:bottom w:w="0" w:type="dxa"/>
              <w:right w:w="75" w:type="dxa"/>
            </w:tcMar>
            <w:vAlign w:val="center"/>
            <w:hideMark/>
          </w:tcPr>
          <w:p w14:paraId="5AA6DE94"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Female sex (%)</w:t>
            </w:r>
          </w:p>
        </w:tc>
        <w:tc>
          <w:tcPr>
            <w:tcW w:w="1440" w:type="dxa"/>
            <w:shd w:val="clear" w:color="auto" w:fill="auto"/>
            <w:tcMar>
              <w:top w:w="0" w:type="dxa"/>
              <w:left w:w="75" w:type="dxa"/>
              <w:bottom w:w="0" w:type="dxa"/>
              <w:right w:w="75" w:type="dxa"/>
            </w:tcMar>
            <w:vAlign w:val="center"/>
            <w:hideMark/>
          </w:tcPr>
          <w:p w14:paraId="4EB5C52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849 (56.4)</w:t>
            </w:r>
          </w:p>
        </w:tc>
        <w:tc>
          <w:tcPr>
            <w:tcW w:w="1260" w:type="dxa"/>
            <w:shd w:val="clear" w:color="auto" w:fill="auto"/>
            <w:tcMar>
              <w:top w:w="0" w:type="dxa"/>
              <w:left w:w="75" w:type="dxa"/>
              <w:bottom w:w="0" w:type="dxa"/>
              <w:right w:w="75" w:type="dxa"/>
            </w:tcMar>
            <w:vAlign w:val="center"/>
            <w:hideMark/>
          </w:tcPr>
          <w:p w14:paraId="2E587C6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881 (67.9)</w:t>
            </w:r>
          </w:p>
        </w:tc>
        <w:tc>
          <w:tcPr>
            <w:tcW w:w="1080" w:type="dxa"/>
            <w:shd w:val="clear" w:color="auto" w:fill="auto"/>
            <w:tcMar>
              <w:top w:w="0" w:type="dxa"/>
              <w:left w:w="75" w:type="dxa"/>
              <w:bottom w:w="0" w:type="dxa"/>
              <w:right w:w="75" w:type="dxa"/>
            </w:tcMar>
            <w:vAlign w:val="center"/>
            <w:hideMark/>
          </w:tcPr>
          <w:p w14:paraId="13A82C3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35B6174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1730 (61.7)</w:t>
            </w:r>
          </w:p>
        </w:tc>
      </w:tr>
      <w:tr w:rsidR="00567BC5" w:rsidRPr="00F1506F" w14:paraId="0EF4CC58" w14:textId="77777777" w:rsidTr="00B8371A">
        <w:tc>
          <w:tcPr>
            <w:tcW w:w="4410" w:type="dxa"/>
            <w:shd w:val="clear" w:color="auto" w:fill="auto"/>
            <w:tcMar>
              <w:top w:w="0" w:type="dxa"/>
              <w:left w:w="75" w:type="dxa"/>
              <w:bottom w:w="0" w:type="dxa"/>
              <w:right w:w="75" w:type="dxa"/>
            </w:tcMar>
            <w:vAlign w:val="center"/>
            <w:hideMark/>
          </w:tcPr>
          <w:p w14:paraId="4ED3921F"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Age (median [IQR])</w:t>
            </w:r>
          </w:p>
        </w:tc>
        <w:tc>
          <w:tcPr>
            <w:tcW w:w="1440" w:type="dxa"/>
            <w:shd w:val="clear" w:color="auto" w:fill="auto"/>
            <w:tcMar>
              <w:top w:w="0" w:type="dxa"/>
              <w:left w:w="75" w:type="dxa"/>
              <w:bottom w:w="0" w:type="dxa"/>
              <w:right w:w="75" w:type="dxa"/>
            </w:tcMar>
            <w:vAlign w:val="center"/>
            <w:hideMark/>
          </w:tcPr>
          <w:p w14:paraId="25999CE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66 [55, 76]</w:t>
            </w:r>
          </w:p>
        </w:tc>
        <w:tc>
          <w:tcPr>
            <w:tcW w:w="1260" w:type="dxa"/>
            <w:shd w:val="clear" w:color="auto" w:fill="auto"/>
            <w:tcMar>
              <w:top w:w="0" w:type="dxa"/>
              <w:left w:w="75" w:type="dxa"/>
              <w:bottom w:w="0" w:type="dxa"/>
              <w:right w:w="75" w:type="dxa"/>
            </w:tcMar>
            <w:vAlign w:val="center"/>
            <w:hideMark/>
          </w:tcPr>
          <w:p w14:paraId="112459F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68 [52, 78]</w:t>
            </w:r>
          </w:p>
        </w:tc>
        <w:tc>
          <w:tcPr>
            <w:tcW w:w="1080" w:type="dxa"/>
            <w:shd w:val="clear" w:color="auto" w:fill="auto"/>
            <w:tcMar>
              <w:top w:w="0" w:type="dxa"/>
              <w:left w:w="75" w:type="dxa"/>
              <w:bottom w:w="0" w:type="dxa"/>
              <w:right w:w="75" w:type="dxa"/>
            </w:tcMar>
            <w:vAlign w:val="center"/>
            <w:hideMark/>
          </w:tcPr>
          <w:p w14:paraId="3A9C976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0.238</w:t>
            </w:r>
          </w:p>
        </w:tc>
        <w:tc>
          <w:tcPr>
            <w:tcW w:w="1260" w:type="dxa"/>
            <w:shd w:val="clear" w:color="auto" w:fill="auto"/>
            <w:tcMar>
              <w:top w:w="0" w:type="dxa"/>
              <w:left w:w="75" w:type="dxa"/>
              <w:bottom w:w="0" w:type="dxa"/>
              <w:right w:w="75" w:type="dxa"/>
            </w:tcMar>
            <w:vAlign w:val="center"/>
            <w:hideMark/>
          </w:tcPr>
          <w:p w14:paraId="2469EEA4"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67 [54, 77]</w:t>
            </w:r>
          </w:p>
        </w:tc>
      </w:tr>
      <w:tr w:rsidR="00567BC5" w:rsidRPr="00F1506F" w14:paraId="7026DDFD" w14:textId="77777777" w:rsidTr="00B8371A">
        <w:tc>
          <w:tcPr>
            <w:tcW w:w="4410" w:type="dxa"/>
            <w:shd w:val="clear" w:color="auto" w:fill="auto"/>
            <w:tcMar>
              <w:top w:w="0" w:type="dxa"/>
              <w:left w:w="75" w:type="dxa"/>
              <w:bottom w:w="0" w:type="dxa"/>
              <w:right w:w="75" w:type="dxa"/>
            </w:tcMar>
            <w:vAlign w:val="center"/>
            <w:hideMark/>
          </w:tcPr>
          <w:p w14:paraId="604FF960"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Race and Ethnicity (%)</w:t>
            </w:r>
          </w:p>
        </w:tc>
        <w:tc>
          <w:tcPr>
            <w:tcW w:w="1440" w:type="dxa"/>
            <w:shd w:val="clear" w:color="auto" w:fill="auto"/>
            <w:tcMar>
              <w:top w:w="0" w:type="dxa"/>
              <w:left w:w="75" w:type="dxa"/>
              <w:bottom w:w="0" w:type="dxa"/>
              <w:right w:w="75" w:type="dxa"/>
            </w:tcMar>
            <w:vAlign w:val="center"/>
            <w:hideMark/>
          </w:tcPr>
          <w:p w14:paraId="771EB48F" w14:textId="77777777" w:rsidR="00567BC5" w:rsidRPr="00F1506F" w:rsidRDefault="00567BC5" w:rsidP="00B8371A">
            <w:pPr>
              <w:spacing w:after="0" w:line="360" w:lineRule="auto"/>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7001C63C" w14:textId="77777777" w:rsidR="00567BC5" w:rsidRPr="00F1506F" w:rsidRDefault="00567BC5" w:rsidP="00B8371A">
            <w:pPr>
              <w:spacing w:after="0" w:line="360" w:lineRule="auto"/>
              <w:jc w:val="right"/>
              <w:rPr>
                <w:rFonts w:ascii="Times New Roman" w:eastAsia="Times New Roman" w:hAnsi="Times New Roman" w:cs="Times New Roman"/>
                <w:szCs w:val="20"/>
              </w:rPr>
            </w:pPr>
          </w:p>
        </w:tc>
        <w:tc>
          <w:tcPr>
            <w:tcW w:w="1080" w:type="dxa"/>
            <w:shd w:val="clear" w:color="auto" w:fill="auto"/>
            <w:tcMar>
              <w:top w:w="0" w:type="dxa"/>
              <w:left w:w="75" w:type="dxa"/>
              <w:bottom w:w="0" w:type="dxa"/>
              <w:right w:w="75" w:type="dxa"/>
            </w:tcMar>
            <w:vAlign w:val="center"/>
            <w:hideMark/>
          </w:tcPr>
          <w:p w14:paraId="0F1EE868"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2FC693F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r>
      <w:tr w:rsidR="00567BC5" w:rsidRPr="00F1506F" w14:paraId="53E57E4A" w14:textId="77777777" w:rsidTr="00B8371A">
        <w:tc>
          <w:tcPr>
            <w:tcW w:w="4410" w:type="dxa"/>
            <w:shd w:val="clear" w:color="auto" w:fill="auto"/>
            <w:tcMar>
              <w:top w:w="0" w:type="dxa"/>
              <w:left w:w="480" w:type="dxa"/>
              <w:bottom w:w="0" w:type="dxa"/>
              <w:right w:w="75" w:type="dxa"/>
            </w:tcMar>
            <w:vAlign w:val="center"/>
            <w:hideMark/>
          </w:tcPr>
          <w:p w14:paraId="1E1F37C3"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Non-Hispanic White</w:t>
            </w:r>
          </w:p>
        </w:tc>
        <w:tc>
          <w:tcPr>
            <w:tcW w:w="1440" w:type="dxa"/>
            <w:shd w:val="clear" w:color="auto" w:fill="auto"/>
            <w:tcMar>
              <w:top w:w="0" w:type="dxa"/>
              <w:left w:w="75" w:type="dxa"/>
              <w:bottom w:w="0" w:type="dxa"/>
              <w:right w:w="75" w:type="dxa"/>
            </w:tcMar>
            <w:vAlign w:val="center"/>
            <w:hideMark/>
          </w:tcPr>
          <w:p w14:paraId="2EAAE944"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1027 (68.2)</w:t>
            </w:r>
          </w:p>
        </w:tc>
        <w:tc>
          <w:tcPr>
            <w:tcW w:w="1260" w:type="dxa"/>
            <w:shd w:val="clear" w:color="auto" w:fill="auto"/>
            <w:tcMar>
              <w:top w:w="0" w:type="dxa"/>
              <w:left w:w="75" w:type="dxa"/>
              <w:bottom w:w="0" w:type="dxa"/>
              <w:right w:w="75" w:type="dxa"/>
            </w:tcMar>
            <w:vAlign w:val="center"/>
            <w:hideMark/>
          </w:tcPr>
          <w:p w14:paraId="6DC39CB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813 (62.7)</w:t>
            </w:r>
          </w:p>
        </w:tc>
        <w:tc>
          <w:tcPr>
            <w:tcW w:w="1080" w:type="dxa"/>
            <w:shd w:val="clear" w:color="auto" w:fill="auto"/>
            <w:tcMar>
              <w:top w:w="0" w:type="dxa"/>
              <w:left w:w="75" w:type="dxa"/>
              <w:bottom w:w="0" w:type="dxa"/>
              <w:right w:w="75" w:type="dxa"/>
            </w:tcMar>
            <w:vAlign w:val="center"/>
            <w:hideMark/>
          </w:tcPr>
          <w:p w14:paraId="0460B9A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0DBE2D88"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1840 (65.6)</w:t>
            </w:r>
          </w:p>
        </w:tc>
      </w:tr>
      <w:tr w:rsidR="00567BC5" w:rsidRPr="00F1506F" w14:paraId="3FACC538" w14:textId="77777777" w:rsidTr="00B8371A">
        <w:tc>
          <w:tcPr>
            <w:tcW w:w="4410" w:type="dxa"/>
            <w:shd w:val="clear" w:color="auto" w:fill="auto"/>
            <w:tcMar>
              <w:top w:w="0" w:type="dxa"/>
              <w:left w:w="480" w:type="dxa"/>
              <w:bottom w:w="0" w:type="dxa"/>
              <w:right w:w="75" w:type="dxa"/>
            </w:tcMar>
            <w:vAlign w:val="center"/>
            <w:hideMark/>
          </w:tcPr>
          <w:p w14:paraId="262ACC74"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Non-Hispanic Black</w:t>
            </w:r>
          </w:p>
        </w:tc>
        <w:tc>
          <w:tcPr>
            <w:tcW w:w="1440" w:type="dxa"/>
            <w:shd w:val="clear" w:color="auto" w:fill="auto"/>
            <w:tcMar>
              <w:top w:w="0" w:type="dxa"/>
              <w:left w:w="75" w:type="dxa"/>
              <w:bottom w:w="0" w:type="dxa"/>
              <w:right w:w="75" w:type="dxa"/>
            </w:tcMar>
            <w:vAlign w:val="center"/>
            <w:hideMark/>
          </w:tcPr>
          <w:p w14:paraId="52F2436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403 (26.8)</w:t>
            </w:r>
          </w:p>
        </w:tc>
        <w:tc>
          <w:tcPr>
            <w:tcW w:w="1260" w:type="dxa"/>
            <w:shd w:val="clear" w:color="auto" w:fill="auto"/>
            <w:tcMar>
              <w:top w:w="0" w:type="dxa"/>
              <w:left w:w="75" w:type="dxa"/>
              <w:bottom w:w="0" w:type="dxa"/>
              <w:right w:w="75" w:type="dxa"/>
            </w:tcMar>
            <w:vAlign w:val="center"/>
            <w:hideMark/>
          </w:tcPr>
          <w:p w14:paraId="330F8D6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157 (12.1)</w:t>
            </w:r>
          </w:p>
        </w:tc>
        <w:tc>
          <w:tcPr>
            <w:tcW w:w="1080" w:type="dxa"/>
            <w:shd w:val="clear" w:color="auto" w:fill="auto"/>
            <w:tcMar>
              <w:top w:w="0" w:type="dxa"/>
              <w:left w:w="75" w:type="dxa"/>
              <w:bottom w:w="0" w:type="dxa"/>
              <w:right w:w="75" w:type="dxa"/>
            </w:tcMar>
            <w:vAlign w:val="center"/>
            <w:hideMark/>
          </w:tcPr>
          <w:p w14:paraId="76B1300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068BE3B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560 (20.0)</w:t>
            </w:r>
          </w:p>
        </w:tc>
      </w:tr>
      <w:tr w:rsidR="00567BC5" w:rsidRPr="00F1506F" w14:paraId="7480DC40" w14:textId="77777777" w:rsidTr="00B8371A">
        <w:tc>
          <w:tcPr>
            <w:tcW w:w="4410" w:type="dxa"/>
            <w:shd w:val="clear" w:color="auto" w:fill="auto"/>
            <w:tcMar>
              <w:top w:w="0" w:type="dxa"/>
              <w:left w:w="480" w:type="dxa"/>
              <w:bottom w:w="0" w:type="dxa"/>
              <w:right w:w="75" w:type="dxa"/>
            </w:tcMar>
            <w:vAlign w:val="center"/>
            <w:hideMark/>
          </w:tcPr>
          <w:p w14:paraId="6216BCF9"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Hispanic/Other</w:t>
            </w:r>
          </w:p>
        </w:tc>
        <w:tc>
          <w:tcPr>
            <w:tcW w:w="1440" w:type="dxa"/>
            <w:shd w:val="clear" w:color="auto" w:fill="auto"/>
            <w:tcMar>
              <w:top w:w="0" w:type="dxa"/>
              <w:left w:w="75" w:type="dxa"/>
              <w:bottom w:w="0" w:type="dxa"/>
              <w:right w:w="75" w:type="dxa"/>
            </w:tcMar>
            <w:vAlign w:val="center"/>
            <w:hideMark/>
          </w:tcPr>
          <w:p w14:paraId="1D5C8F2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73 (4.8)</w:t>
            </w:r>
          </w:p>
        </w:tc>
        <w:tc>
          <w:tcPr>
            <w:tcW w:w="1260" w:type="dxa"/>
            <w:shd w:val="clear" w:color="auto" w:fill="auto"/>
            <w:tcMar>
              <w:top w:w="0" w:type="dxa"/>
              <w:left w:w="75" w:type="dxa"/>
              <w:bottom w:w="0" w:type="dxa"/>
              <w:right w:w="75" w:type="dxa"/>
            </w:tcMar>
            <w:vAlign w:val="center"/>
            <w:hideMark/>
          </w:tcPr>
          <w:p w14:paraId="02ED6859"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34 (2.6)</w:t>
            </w:r>
          </w:p>
        </w:tc>
        <w:tc>
          <w:tcPr>
            <w:tcW w:w="1080" w:type="dxa"/>
            <w:shd w:val="clear" w:color="auto" w:fill="auto"/>
            <w:tcMar>
              <w:top w:w="0" w:type="dxa"/>
              <w:left w:w="75" w:type="dxa"/>
              <w:bottom w:w="0" w:type="dxa"/>
              <w:right w:w="75" w:type="dxa"/>
            </w:tcMar>
            <w:vAlign w:val="center"/>
            <w:hideMark/>
          </w:tcPr>
          <w:p w14:paraId="68C8DE3E"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7D02EE67"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107 (3.8)</w:t>
            </w:r>
          </w:p>
        </w:tc>
      </w:tr>
      <w:tr w:rsidR="00567BC5" w:rsidRPr="00F1506F" w14:paraId="44E12EA6" w14:textId="77777777" w:rsidTr="00B8371A">
        <w:tc>
          <w:tcPr>
            <w:tcW w:w="4410" w:type="dxa"/>
            <w:shd w:val="clear" w:color="auto" w:fill="auto"/>
            <w:tcMar>
              <w:top w:w="0" w:type="dxa"/>
              <w:left w:w="480" w:type="dxa"/>
              <w:bottom w:w="0" w:type="dxa"/>
              <w:right w:w="75" w:type="dxa"/>
            </w:tcMar>
            <w:vAlign w:val="center"/>
            <w:hideMark/>
          </w:tcPr>
          <w:p w14:paraId="0E8E86C1"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Missing</w:t>
            </w:r>
          </w:p>
        </w:tc>
        <w:tc>
          <w:tcPr>
            <w:tcW w:w="1440" w:type="dxa"/>
            <w:shd w:val="clear" w:color="auto" w:fill="auto"/>
            <w:tcMar>
              <w:top w:w="0" w:type="dxa"/>
              <w:left w:w="75" w:type="dxa"/>
              <w:bottom w:w="0" w:type="dxa"/>
              <w:right w:w="75" w:type="dxa"/>
            </w:tcMar>
            <w:vAlign w:val="center"/>
            <w:hideMark/>
          </w:tcPr>
          <w:p w14:paraId="0CD4453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 (0.2)</w:t>
            </w:r>
          </w:p>
        </w:tc>
        <w:tc>
          <w:tcPr>
            <w:tcW w:w="1260" w:type="dxa"/>
            <w:shd w:val="clear" w:color="auto" w:fill="auto"/>
            <w:tcMar>
              <w:top w:w="0" w:type="dxa"/>
              <w:left w:w="75" w:type="dxa"/>
              <w:bottom w:w="0" w:type="dxa"/>
              <w:right w:w="75" w:type="dxa"/>
            </w:tcMar>
            <w:vAlign w:val="center"/>
            <w:hideMark/>
          </w:tcPr>
          <w:p w14:paraId="466F7A0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293 (22.6)</w:t>
            </w:r>
          </w:p>
        </w:tc>
        <w:tc>
          <w:tcPr>
            <w:tcW w:w="1080" w:type="dxa"/>
            <w:shd w:val="clear" w:color="auto" w:fill="auto"/>
            <w:tcMar>
              <w:top w:w="0" w:type="dxa"/>
              <w:left w:w="75" w:type="dxa"/>
              <w:bottom w:w="0" w:type="dxa"/>
              <w:right w:w="75" w:type="dxa"/>
            </w:tcMar>
            <w:vAlign w:val="center"/>
            <w:hideMark/>
          </w:tcPr>
          <w:p w14:paraId="3DA89FAE"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0902A0D8"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296 (10.6)</w:t>
            </w:r>
          </w:p>
        </w:tc>
      </w:tr>
      <w:tr w:rsidR="00567BC5" w:rsidRPr="00F1506F" w14:paraId="018E8216" w14:textId="77777777" w:rsidTr="00B8371A">
        <w:tc>
          <w:tcPr>
            <w:tcW w:w="4410" w:type="dxa"/>
            <w:shd w:val="clear" w:color="auto" w:fill="auto"/>
            <w:tcMar>
              <w:top w:w="0" w:type="dxa"/>
              <w:left w:w="75" w:type="dxa"/>
              <w:bottom w:w="0" w:type="dxa"/>
              <w:right w:w="75" w:type="dxa"/>
            </w:tcMar>
            <w:vAlign w:val="center"/>
            <w:hideMark/>
          </w:tcPr>
          <w:p w14:paraId="0DC76848"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Primary insurance (%)</w:t>
            </w:r>
          </w:p>
        </w:tc>
        <w:tc>
          <w:tcPr>
            <w:tcW w:w="1440" w:type="dxa"/>
            <w:shd w:val="clear" w:color="auto" w:fill="auto"/>
            <w:tcMar>
              <w:top w:w="0" w:type="dxa"/>
              <w:left w:w="75" w:type="dxa"/>
              <w:bottom w:w="0" w:type="dxa"/>
              <w:right w:w="75" w:type="dxa"/>
            </w:tcMar>
            <w:vAlign w:val="center"/>
            <w:hideMark/>
          </w:tcPr>
          <w:p w14:paraId="35F83AB2" w14:textId="77777777" w:rsidR="00567BC5" w:rsidRPr="00F1506F" w:rsidRDefault="00567BC5" w:rsidP="00B8371A">
            <w:pPr>
              <w:spacing w:after="0" w:line="360" w:lineRule="auto"/>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0EF07C69" w14:textId="77777777" w:rsidR="00567BC5" w:rsidRPr="00F1506F" w:rsidRDefault="00567BC5" w:rsidP="00B8371A">
            <w:pPr>
              <w:spacing w:after="0" w:line="360" w:lineRule="auto"/>
              <w:jc w:val="right"/>
              <w:rPr>
                <w:rFonts w:ascii="Times New Roman" w:eastAsia="Times New Roman" w:hAnsi="Times New Roman" w:cs="Times New Roman"/>
                <w:szCs w:val="20"/>
              </w:rPr>
            </w:pPr>
          </w:p>
        </w:tc>
        <w:tc>
          <w:tcPr>
            <w:tcW w:w="1080" w:type="dxa"/>
            <w:shd w:val="clear" w:color="auto" w:fill="auto"/>
            <w:tcMar>
              <w:top w:w="0" w:type="dxa"/>
              <w:left w:w="75" w:type="dxa"/>
              <w:bottom w:w="0" w:type="dxa"/>
              <w:right w:w="75" w:type="dxa"/>
            </w:tcMar>
            <w:vAlign w:val="center"/>
            <w:hideMark/>
          </w:tcPr>
          <w:p w14:paraId="3AE16F08"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756D6A28"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r>
      <w:tr w:rsidR="00567BC5" w:rsidRPr="00F1506F" w14:paraId="357A0F51" w14:textId="77777777" w:rsidTr="00B8371A">
        <w:tc>
          <w:tcPr>
            <w:tcW w:w="4410" w:type="dxa"/>
            <w:shd w:val="clear" w:color="auto" w:fill="auto"/>
            <w:tcMar>
              <w:top w:w="0" w:type="dxa"/>
              <w:left w:w="480" w:type="dxa"/>
              <w:bottom w:w="0" w:type="dxa"/>
              <w:right w:w="75" w:type="dxa"/>
            </w:tcMar>
            <w:vAlign w:val="center"/>
            <w:hideMark/>
          </w:tcPr>
          <w:p w14:paraId="53213BB7"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 xml:space="preserve">Medicare/ </w:t>
            </w:r>
            <w:proofErr w:type="spellStart"/>
            <w:r w:rsidRPr="00F1506F">
              <w:rPr>
                <w:rFonts w:ascii="Times New Roman" w:eastAsia="Times New Roman" w:hAnsi="Times New Roman" w:cs="Times New Roman"/>
                <w:color w:val="222222"/>
                <w:szCs w:val="20"/>
              </w:rPr>
              <w:t>Tenncare</w:t>
            </w:r>
            <w:proofErr w:type="spellEnd"/>
          </w:p>
        </w:tc>
        <w:tc>
          <w:tcPr>
            <w:tcW w:w="1440" w:type="dxa"/>
            <w:shd w:val="clear" w:color="auto" w:fill="auto"/>
            <w:tcMar>
              <w:top w:w="0" w:type="dxa"/>
              <w:left w:w="75" w:type="dxa"/>
              <w:bottom w:w="0" w:type="dxa"/>
              <w:right w:w="75" w:type="dxa"/>
            </w:tcMar>
            <w:vAlign w:val="center"/>
            <w:hideMark/>
          </w:tcPr>
          <w:p w14:paraId="3CFCBE6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1187 (78.8)</w:t>
            </w:r>
          </w:p>
        </w:tc>
        <w:tc>
          <w:tcPr>
            <w:tcW w:w="1260" w:type="dxa"/>
            <w:shd w:val="clear" w:color="auto" w:fill="auto"/>
            <w:tcMar>
              <w:top w:w="0" w:type="dxa"/>
              <w:left w:w="75" w:type="dxa"/>
              <w:bottom w:w="0" w:type="dxa"/>
              <w:right w:w="75" w:type="dxa"/>
            </w:tcMar>
            <w:vAlign w:val="center"/>
            <w:hideMark/>
          </w:tcPr>
          <w:p w14:paraId="4720B847"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697 (53.7)</w:t>
            </w:r>
          </w:p>
        </w:tc>
        <w:tc>
          <w:tcPr>
            <w:tcW w:w="1080" w:type="dxa"/>
            <w:shd w:val="clear" w:color="auto" w:fill="auto"/>
            <w:tcMar>
              <w:top w:w="0" w:type="dxa"/>
              <w:left w:w="75" w:type="dxa"/>
              <w:bottom w:w="0" w:type="dxa"/>
              <w:right w:w="75" w:type="dxa"/>
            </w:tcMar>
            <w:vAlign w:val="center"/>
            <w:hideMark/>
          </w:tcPr>
          <w:p w14:paraId="4D4A4D3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3682080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1884 (67.2)</w:t>
            </w:r>
          </w:p>
        </w:tc>
      </w:tr>
      <w:tr w:rsidR="00567BC5" w:rsidRPr="00F1506F" w14:paraId="594599BB" w14:textId="77777777" w:rsidTr="00B8371A">
        <w:tc>
          <w:tcPr>
            <w:tcW w:w="4410" w:type="dxa"/>
            <w:shd w:val="clear" w:color="auto" w:fill="auto"/>
            <w:tcMar>
              <w:top w:w="0" w:type="dxa"/>
              <w:left w:w="480" w:type="dxa"/>
              <w:bottom w:w="0" w:type="dxa"/>
              <w:right w:w="75" w:type="dxa"/>
            </w:tcMar>
            <w:vAlign w:val="center"/>
            <w:hideMark/>
          </w:tcPr>
          <w:p w14:paraId="26AA610E"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Commercial</w:t>
            </w:r>
          </w:p>
        </w:tc>
        <w:tc>
          <w:tcPr>
            <w:tcW w:w="1440" w:type="dxa"/>
            <w:shd w:val="clear" w:color="auto" w:fill="auto"/>
            <w:tcMar>
              <w:top w:w="0" w:type="dxa"/>
              <w:left w:w="75" w:type="dxa"/>
              <w:bottom w:w="0" w:type="dxa"/>
              <w:right w:w="75" w:type="dxa"/>
            </w:tcMar>
            <w:vAlign w:val="center"/>
            <w:hideMark/>
          </w:tcPr>
          <w:p w14:paraId="715A2CA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249 (16.5)</w:t>
            </w:r>
          </w:p>
        </w:tc>
        <w:tc>
          <w:tcPr>
            <w:tcW w:w="1260" w:type="dxa"/>
            <w:shd w:val="clear" w:color="auto" w:fill="auto"/>
            <w:tcMar>
              <w:top w:w="0" w:type="dxa"/>
              <w:left w:w="75" w:type="dxa"/>
              <w:bottom w:w="0" w:type="dxa"/>
              <w:right w:w="75" w:type="dxa"/>
            </w:tcMar>
            <w:vAlign w:val="center"/>
            <w:hideMark/>
          </w:tcPr>
          <w:p w14:paraId="2B6EEE7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224 (17.3)</w:t>
            </w:r>
          </w:p>
        </w:tc>
        <w:tc>
          <w:tcPr>
            <w:tcW w:w="1080" w:type="dxa"/>
            <w:shd w:val="clear" w:color="auto" w:fill="auto"/>
            <w:tcMar>
              <w:top w:w="0" w:type="dxa"/>
              <w:left w:w="75" w:type="dxa"/>
              <w:bottom w:w="0" w:type="dxa"/>
              <w:right w:w="75" w:type="dxa"/>
            </w:tcMar>
            <w:vAlign w:val="center"/>
            <w:hideMark/>
          </w:tcPr>
          <w:p w14:paraId="59BEF3E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0DA04A0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473 (16.9)</w:t>
            </w:r>
          </w:p>
        </w:tc>
      </w:tr>
      <w:tr w:rsidR="00567BC5" w:rsidRPr="00F1506F" w14:paraId="49BD695E" w14:textId="77777777" w:rsidTr="00B8371A">
        <w:tc>
          <w:tcPr>
            <w:tcW w:w="4410" w:type="dxa"/>
            <w:shd w:val="clear" w:color="auto" w:fill="auto"/>
            <w:tcMar>
              <w:top w:w="0" w:type="dxa"/>
              <w:left w:w="480" w:type="dxa"/>
              <w:bottom w:w="0" w:type="dxa"/>
              <w:right w:w="75" w:type="dxa"/>
            </w:tcMar>
            <w:vAlign w:val="center"/>
            <w:hideMark/>
          </w:tcPr>
          <w:p w14:paraId="5E277FEF"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Uninsured</w:t>
            </w:r>
          </w:p>
        </w:tc>
        <w:tc>
          <w:tcPr>
            <w:tcW w:w="1440" w:type="dxa"/>
            <w:shd w:val="clear" w:color="auto" w:fill="auto"/>
            <w:tcMar>
              <w:top w:w="0" w:type="dxa"/>
              <w:left w:w="75" w:type="dxa"/>
              <w:bottom w:w="0" w:type="dxa"/>
              <w:right w:w="75" w:type="dxa"/>
            </w:tcMar>
            <w:vAlign w:val="center"/>
            <w:hideMark/>
          </w:tcPr>
          <w:p w14:paraId="2C63EE5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70 (4.6)</w:t>
            </w:r>
          </w:p>
        </w:tc>
        <w:tc>
          <w:tcPr>
            <w:tcW w:w="1260" w:type="dxa"/>
            <w:shd w:val="clear" w:color="auto" w:fill="auto"/>
            <w:tcMar>
              <w:top w:w="0" w:type="dxa"/>
              <w:left w:w="75" w:type="dxa"/>
              <w:bottom w:w="0" w:type="dxa"/>
              <w:right w:w="75" w:type="dxa"/>
            </w:tcMar>
            <w:vAlign w:val="center"/>
            <w:hideMark/>
          </w:tcPr>
          <w:p w14:paraId="10BB0C0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54 (4.2)</w:t>
            </w:r>
          </w:p>
        </w:tc>
        <w:tc>
          <w:tcPr>
            <w:tcW w:w="1080" w:type="dxa"/>
            <w:shd w:val="clear" w:color="auto" w:fill="auto"/>
            <w:tcMar>
              <w:top w:w="0" w:type="dxa"/>
              <w:left w:w="75" w:type="dxa"/>
              <w:bottom w:w="0" w:type="dxa"/>
              <w:right w:w="75" w:type="dxa"/>
            </w:tcMar>
            <w:vAlign w:val="center"/>
            <w:hideMark/>
          </w:tcPr>
          <w:p w14:paraId="72C9E1A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45E3A854"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124 (4.4)</w:t>
            </w:r>
          </w:p>
        </w:tc>
      </w:tr>
      <w:tr w:rsidR="00567BC5" w:rsidRPr="00F1506F" w14:paraId="64D7256C" w14:textId="77777777" w:rsidTr="00B8371A">
        <w:tc>
          <w:tcPr>
            <w:tcW w:w="4410" w:type="dxa"/>
            <w:shd w:val="clear" w:color="auto" w:fill="auto"/>
            <w:tcMar>
              <w:top w:w="0" w:type="dxa"/>
              <w:left w:w="480" w:type="dxa"/>
              <w:bottom w:w="0" w:type="dxa"/>
              <w:right w:w="75" w:type="dxa"/>
            </w:tcMar>
            <w:vAlign w:val="center"/>
            <w:hideMark/>
          </w:tcPr>
          <w:p w14:paraId="0280269A"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Missing</w:t>
            </w:r>
          </w:p>
        </w:tc>
        <w:tc>
          <w:tcPr>
            <w:tcW w:w="1440" w:type="dxa"/>
            <w:shd w:val="clear" w:color="auto" w:fill="auto"/>
            <w:tcMar>
              <w:top w:w="0" w:type="dxa"/>
              <w:left w:w="75" w:type="dxa"/>
              <w:bottom w:w="0" w:type="dxa"/>
              <w:right w:w="75" w:type="dxa"/>
            </w:tcMar>
            <w:vAlign w:val="center"/>
            <w:hideMark/>
          </w:tcPr>
          <w:p w14:paraId="0955813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 (0.0)</w:t>
            </w:r>
          </w:p>
        </w:tc>
        <w:tc>
          <w:tcPr>
            <w:tcW w:w="1260" w:type="dxa"/>
            <w:shd w:val="clear" w:color="auto" w:fill="auto"/>
            <w:tcMar>
              <w:top w:w="0" w:type="dxa"/>
              <w:left w:w="75" w:type="dxa"/>
              <w:bottom w:w="0" w:type="dxa"/>
              <w:right w:w="75" w:type="dxa"/>
            </w:tcMar>
            <w:vAlign w:val="center"/>
            <w:hideMark/>
          </w:tcPr>
          <w:p w14:paraId="304A04D4"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322 (24.8)</w:t>
            </w:r>
          </w:p>
        </w:tc>
        <w:tc>
          <w:tcPr>
            <w:tcW w:w="1080" w:type="dxa"/>
            <w:shd w:val="clear" w:color="auto" w:fill="auto"/>
            <w:tcMar>
              <w:top w:w="0" w:type="dxa"/>
              <w:left w:w="75" w:type="dxa"/>
              <w:bottom w:w="0" w:type="dxa"/>
              <w:right w:w="75" w:type="dxa"/>
            </w:tcMar>
            <w:vAlign w:val="center"/>
            <w:hideMark/>
          </w:tcPr>
          <w:p w14:paraId="22A8033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shd w:val="clear" w:color="auto" w:fill="auto"/>
            <w:tcMar>
              <w:top w:w="0" w:type="dxa"/>
              <w:left w:w="75" w:type="dxa"/>
              <w:bottom w:w="0" w:type="dxa"/>
              <w:right w:w="75" w:type="dxa"/>
            </w:tcMar>
            <w:vAlign w:val="center"/>
            <w:hideMark/>
          </w:tcPr>
          <w:p w14:paraId="228F0C4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322 (11.5)</w:t>
            </w:r>
          </w:p>
        </w:tc>
      </w:tr>
      <w:tr w:rsidR="00567BC5" w:rsidRPr="00F1506F" w14:paraId="0BF8B99E" w14:textId="77777777" w:rsidTr="00B8371A">
        <w:tc>
          <w:tcPr>
            <w:tcW w:w="4410" w:type="dxa"/>
            <w:shd w:val="clear" w:color="auto" w:fill="auto"/>
            <w:tcMar>
              <w:top w:w="0" w:type="dxa"/>
              <w:left w:w="75" w:type="dxa"/>
              <w:bottom w:w="0" w:type="dxa"/>
              <w:right w:w="75" w:type="dxa"/>
            </w:tcMar>
            <w:vAlign w:val="center"/>
            <w:hideMark/>
          </w:tcPr>
          <w:p w14:paraId="2CC37AB6" w14:textId="77777777" w:rsidR="00567BC5" w:rsidRPr="00F1506F" w:rsidRDefault="00567BC5" w:rsidP="00B8371A">
            <w:pPr>
              <w:spacing w:after="0" w:line="360" w:lineRule="auto"/>
              <w:rPr>
                <w:rFonts w:ascii="Times New Roman" w:eastAsia="Times New Roman" w:hAnsi="Times New Roman" w:cs="Times New Roman"/>
                <w:color w:val="222222"/>
              </w:rPr>
            </w:pPr>
            <w:r w:rsidRPr="00F1506F">
              <w:rPr>
                <w:rFonts w:ascii="Times New Roman" w:eastAsia="Times New Roman" w:hAnsi="Times New Roman" w:cs="Times New Roman"/>
                <w:color w:val="222222"/>
              </w:rPr>
              <w:t>Had specimen(s) positive for Carbapenemase-Producing CRE (%)</w:t>
            </w:r>
          </w:p>
        </w:tc>
        <w:tc>
          <w:tcPr>
            <w:tcW w:w="1440" w:type="dxa"/>
            <w:shd w:val="clear" w:color="auto" w:fill="auto"/>
            <w:tcMar>
              <w:top w:w="0" w:type="dxa"/>
              <w:left w:w="75" w:type="dxa"/>
              <w:bottom w:w="0" w:type="dxa"/>
              <w:right w:w="75" w:type="dxa"/>
            </w:tcMar>
            <w:vAlign w:val="center"/>
            <w:hideMark/>
          </w:tcPr>
          <w:p w14:paraId="62476B7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528 (35.1)</w:t>
            </w:r>
          </w:p>
        </w:tc>
        <w:tc>
          <w:tcPr>
            <w:tcW w:w="1260" w:type="dxa"/>
            <w:shd w:val="clear" w:color="auto" w:fill="auto"/>
            <w:tcMar>
              <w:top w:w="0" w:type="dxa"/>
              <w:left w:w="75" w:type="dxa"/>
              <w:bottom w:w="0" w:type="dxa"/>
              <w:right w:w="75" w:type="dxa"/>
            </w:tcMar>
            <w:vAlign w:val="center"/>
            <w:hideMark/>
          </w:tcPr>
          <w:p w14:paraId="68F180E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186 (14.3)</w:t>
            </w:r>
          </w:p>
        </w:tc>
        <w:tc>
          <w:tcPr>
            <w:tcW w:w="1080" w:type="dxa"/>
            <w:shd w:val="clear" w:color="auto" w:fill="auto"/>
            <w:tcMar>
              <w:top w:w="0" w:type="dxa"/>
              <w:left w:w="75" w:type="dxa"/>
              <w:bottom w:w="0" w:type="dxa"/>
              <w:right w:w="75" w:type="dxa"/>
            </w:tcMar>
            <w:vAlign w:val="center"/>
            <w:hideMark/>
          </w:tcPr>
          <w:p w14:paraId="13EBEAC1"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5C999BBE"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714 (25.5)</w:t>
            </w:r>
          </w:p>
        </w:tc>
      </w:tr>
      <w:tr w:rsidR="00567BC5" w:rsidRPr="00F1506F" w14:paraId="6567C1AE" w14:textId="77777777" w:rsidTr="00B8371A">
        <w:tc>
          <w:tcPr>
            <w:tcW w:w="4410" w:type="dxa"/>
            <w:shd w:val="clear" w:color="auto" w:fill="auto"/>
            <w:tcMar>
              <w:top w:w="0" w:type="dxa"/>
              <w:left w:w="75" w:type="dxa"/>
              <w:bottom w:w="0" w:type="dxa"/>
              <w:right w:w="75" w:type="dxa"/>
            </w:tcMar>
            <w:vAlign w:val="center"/>
            <w:hideMark/>
          </w:tcPr>
          <w:p w14:paraId="5FF5A3F6"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Sepsis during Index Hospitalization (%)</w:t>
            </w:r>
          </w:p>
        </w:tc>
        <w:tc>
          <w:tcPr>
            <w:tcW w:w="1440" w:type="dxa"/>
            <w:shd w:val="clear" w:color="auto" w:fill="auto"/>
            <w:tcMar>
              <w:top w:w="0" w:type="dxa"/>
              <w:left w:w="75" w:type="dxa"/>
              <w:bottom w:w="0" w:type="dxa"/>
              <w:right w:w="75" w:type="dxa"/>
            </w:tcMar>
            <w:vAlign w:val="center"/>
            <w:hideMark/>
          </w:tcPr>
          <w:p w14:paraId="6D9FEBB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627 (41.6)</w:t>
            </w:r>
          </w:p>
        </w:tc>
        <w:tc>
          <w:tcPr>
            <w:tcW w:w="1260" w:type="dxa"/>
            <w:shd w:val="clear" w:color="auto" w:fill="auto"/>
            <w:tcMar>
              <w:top w:w="0" w:type="dxa"/>
              <w:left w:w="75" w:type="dxa"/>
              <w:bottom w:w="0" w:type="dxa"/>
              <w:right w:w="75" w:type="dxa"/>
            </w:tcMar>
            <w:vAlign w:val="center"/>
            <w:hideMark/>
          </w:tcPr>
          <w:p w14:paraId="2B235D3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 (0.0)</w:t>
            </w:r>
          </w:p>
        </w:tc>
        <w:tc>
          <w:tcPr>
            <w:tcW w:w="1080" w:type="dxa"/>
            <w:shd w:val="clear" w:color="auto" w:fill="auto"/>
            <w:tcMar>
              <w:top w:w="0" w:type="dxa"/>
              <w:left w:w="75" w:type="dxa"/>
              <w:bottom w:w="0" w:type="dxa"/>
              <w:right w:w="75" w:type="dxa"/>
            </w:tcMar>
            <w:vAlign w:val="center"/>
            <w:hideMark/>
          </w:tcPr>
          <w:p w14:paraId="06BB0F2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5141D3D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627 (22.4)</w:t>
            </w:r>
          </w:p>
        </w:tc>
      </w:tr>
      <w:tr w:rsidR="00567BC5" w:rsidRPr="00F1506F" w14:paraId="7F8EBA2B" w14:textId="77777777" w:rsidTr="00B8371A">
        <w:tc>
          <w:tcPr>
            <w:tcW w:w="4410" w:type="dxa"/>
            <w:shd w:val="clear" w:color="auto" w:fill="auto"/>
            <w:tcMar>
              <w:top w:w="0" w:type="dxa"/>
              <w:left w:w="75" w:type="dxa"/>
              <w:bottom w:w="0" w:type="dxa"/>
              <w:right w:w="75" w:type="dxa"/>
            </w:tcMar>
            <w:vAlign w:val="center"/>
            <w:hideMark/>
          </w:tcPr>
          <w:p w14:paraId="587E185C"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Died Within 365 Days (%)</w:t>
            </w:r>
          </w:p>
        </w:tc>
        <w:tc>
          <w:tcPr>
            <w:tcW w:w="1440" w:type="dxa"/>
            <w:shd w:val="clear" w:color="auto" w:fill="auto"/>
            <w:tcMar>
              <w:top w:w="0" w:type="dxa"/>
              <w:left w:w="75" w:type="dxa"/>
              <w:bottom w:w="0" w:type="dxa"/>
              <w:right w:w="75" w:type="dxa"/>
            </w:tcMar>
            <w:vAlign w:val="center"/>
            <w:hideMark/>
          </w:tcPr>
          <w:p w14:paraId="78796DB1"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606 (40.2)</w:t>
            </w:r>
          </w:p>
        </w:tc>
        <w:tc>
          <w:tcPr>
            <w:tcW w:w="1260" w:type="dxa"/>
            <w:shd w:val="clear" w:color="auto" w:fill="auto"/>
            <w:tcMar>
              <w:top w:w="0" w:type="dxa"/>
              <w:left w:w="75" w:type="dxa"/>
              <w:bottom w:w="0" w:type="dxa"/>
              <w:right w:w="75" w:type="dxa"/>
            </w:tcMar>
            <w:vAlign w:val="center"/>
            <w:hideMark/>
          </w:tcPr>
          <w:p w14:paraId="65720B3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136 (10.5)</w:t>
            </w:r>
          </w:p>
        </w:tc>
        <w:tc>
          <w:tcPr>
            <w:tcW w:w="1080" w:type="dxa"/>
            <w:shd w:val="clear" w:color="auto" w:fill="auto"/>
            <w:tcMar>
              <w:top w:w="0" w:type="dxa"/>
              <w:left w:w="75" w:type="dxa"/>
              <w:bottom w:w="0" w:type="dxa"/>
              <w:right w:w="75" w:type="dxa"/>
            </w:tcMar>
            <w:vAlign w:val="center"/>
            <w:hideMark/>
          </w:tcPr>
          <w:p w14:paraId="63246C9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07666DC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742 (26.5)</w:t>
            </w:r>
          </w:p>
        </w:tc>
      </w:tr>
      <w:tr w:rsidR="00567BC5" w:rsidRPr="00F1506F" w14:paraId="3829D9D4" w14:textId="77777777" w:rsidTr="00B8371A">
        <w:tc>
          <w:tcPr>
            <w:tcW w:w="4410" w:type="dxa"/>
            <w:shd w:val="clear" w:color="auto" w:fill="auto"/>
            <w:tcMar>
              <w:top w:w="0" w:type="dxa"/>
              <w:left w:w="75" w:type="dxa"/>
              <w:bottom w:w="0" w:type="dxa"/>
              <w:right w:w="75" w:type="dxa"/>
            </w:tcMar>
            <w:vAlign w:val="center"/>
            <w:hideMark/>
          </w:tcPr>
          <w:p w14:paraId="2188F105"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Hospitalized within 365 Days (%)</w:t>
            </w:r>
          </w:p>
        </w:tc>
        <w:tc>
          <w:tcPr>
            <w:tcW w:w="1440" w:type="dxa"/>
            <w:shd w:val="clear" w:color="auto" w:fill="auto"/>
            <w:tcMar>
              <w:top w:w="0" w:type="dxa"/>
              <w:left w:w="75" w:type="dxa"/>
              <w:bottom w:w="0" w:type="dxa"/>
              <w:right w:w="75" w:type="dxa"/>
            </w:tcMar>
            <w:vAlign w:val="center"/>
            <w:hideMark/>
          </w:tcPr>
          <w:p w14:paraId="1D9307C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825 (54.8)</w:t>
            </w:r>
          </w:p>
        </w:tc>
        <w:tc>
          <w:tcPr>
            <w:tcW w:w="1260" w:type="dxa"/>
            <w:shd w:val="clear" w:color="auto" w:fill="auto"/>
            <w:tcMar>
              <w:top w:w="0" w:type="dxa"/>
              <w:left w:w="75" w:type="dxa"/>
              <w:bottom w:w="0" w:type="dxa"/>
              <w:right w:w="75" w:type="dxa"/>
            </w:tcMar>
            <w:vAlign w:val="center"/>
            <w:hideMark/>
          </w:tcPr>
          <w:p w14:paraId="2C9E81F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344 (26.5)</w:t>
            </w:r>
          </w:p>
        </w:tc>
        <w:tc>
          <w:tcPr>
            <w:tcW w:w="1080" w:type="dxa"/>
            <w:shd w:val="clear" w:color="auto" w:fill="auto"/>
            <w:tcMar>
              <w:top w:w="0" w:type="dxa"/>
              <w:left w:w="75" w:type="dxa"/>
              <w:bottom w:w="0" w:type="dxa"/>
              <w:right w:w="75" w:type="dxa"/>
            </w:tcMar>
            <w:vAlign w:val="center"/>
            <w:hideMark/>
          </w:tcPr>
          <w:p w14:paraId="57ED83D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4DE72957"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1169 (41.7)</w:t>
            </w:r>
          </w:p>
        </w:tc>
      </w:tr>
      <w:tr w:rsidR="00567BC5" w:rsidRPr="00F1506F" w14:paraId="7E7D0F03" w14:textId="77777777" w:rsidTr="00B8371A">
        <w:tc>
          <w:tcPr>
            <w:tcW w:w="9450" w:type="dxa"/>
            <w:gridSpan w:val="5"/>
            <w:tcBorders>
              <w:bottom w:val="nil"/>
            </w:tcBorders>
            <w:shd w:val="clear" w:color="auto" w:fill="auto"/>
            <w:tcMar>
              <w:top w:w="0" w:type="dxa"/>
              <w:left w:w="75" w:type="dxa"/>
              <w:bottom w:w="0" w:type="dxa"/>
              <w:right w:w="75" w:type="dxa"/>
            </w:tcMar>
            <w:vAlign w:val="center"/>
            <w:hideMark/>
          </w:tcPr>
          <w:p w14:paraId="38967115"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b/>
                <w:bCs/>
                <w:color w:val="222222"/>
                <w:szCs w:val="20"/>
              </w:rPr>
              <w:t>Healthcare Utilization within the Previous 365 days</w:t>
            </w:r>
          </w:p>
        </w:tc>
      </w:tr>
      <w:tr w:rsidR="00567BC5" w:rsidRPr="00F1506F" w14:paraId="13444538" w14:textId="77777777" w:rsidTr="00B8371A">
        <w:tc>
          <w:tcPr>
            <w:tcW w:w="4410" w:type="dxa"/>
            <w:shd w:val="clear" w:color="auto" w:fill="auto"/>
            <w:tcMar>
              <w:top w:w="0" w:type="dxa"/>
              <w:left w:w="75" w:type="dxa"/>
              <w:bottom w:w="0" w:type="dxa"/>
              <w:right w:w="75" w:type="dxa"/>
            </w:tcMar>
            <w:vAlign w:val="center"/>
            <w:hideMark/>
          </w:tcPr>
          <w:p w14:paraId="1EB5E4DF"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Inpatient Hospitalization(s) (%)</w:t>
            </w:r>
          </w:p>
        </w:tc>
        <w:tc>
          <w:tcPr>
            <w:tcW w:w="1440" w:type="dxa"/>
            <w:shd w:val="clear" w:color="auto" w:fill="auto"/>
            <w:tcMar>
              <w:top w:w="0" w:type="dxa"/>
              <w:left w:w="75" w:type="dxa"/>
              <w:bottom w:w="0" w:type="dxa"/>
              <w:right w:w="75" w:type="dxa"/>
            </w:tcMar>
            <w:vAlign w:val="center"/>
            <w:hideMark/>
          </w:tcPr>
          <w:p w14:paraId="4319FF6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1083 (71.9)</w:t>
            </w:r>
          </w:p>
        </w:tc>
        <w:tc>
          <w:tcPr>
            <w:tcW w:w="1260" w:type="dxa"/>
            <w:shd w:val="clear" w:color="auto" w:fill="auto"/>
            <w:tcMar>
              <w:top w:w="0" w:type="dxa"/>
              <w:left w:w="75" w:type="dxa"/>
              <w:bottom w:w="0" w:type="dxa"/>
              <w:right w:w="75" w:type="dxa"/>
            </w:tcMar>
            <w:vAlign w:val="center"/>
            <w:hideMark/>
          </w:tcPr>
          <w:p w14:paraId="5766E0D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467 (36.0)</w:t>
            </w:r>
          </w:p>
        </w:tc>
        <w:tc>
          <w:tcPr>
            <w:tcW w:w="1080" w:type="dxa"/>
            <w:shd w:val="clear" w:color="auto" w:fill="auto"/>
            <w:tcMar>
              <w:top w:w="0" w:type="dxa"/>
              <w:left w:w="75" w:type="dxa"/>
              <w:bottom w:w="0" w:type="dxa"/>
              <w:right w:w="75" w:type="dxa"/>
            </w:tcMar>
            <w:vAlign w:val="center"/>
            <w:hideMark/>
          </w:tcPr>
          <w:p w14:paraId="20CC5F37"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5B6D82E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1550 (55.3)</w:t>
            </w:r>
          </w:p>
        </w:tc>
      </w:tr>
      <w:tr w:rsidR="00567BC5" w:rsidRPr="00F1506F" w14:paraId="2F2C342A" w14:textId="77777777" w:rsidTr="00B8371A">
        <w:tc>
          <w:tcPr>
            <w:tcW w:w="4410" w:type="dxa"/>
            <w:shd w:val="clear" w:color="auto" w:fill="auto"/>
            <w:tcMar>
              <w:top w:w="0" w:type="dxa"/>
              <w:left w:w="75" w:type="dxa"/>
              <w:bottom w:w="0" w:type="dxa"/>
              <w:right w:w="75" w:type="dxa"/>
            </w:tcMar>
            <w:vAlign w:val="center"/>
            <w:hideMark/>
          </w:tcPr>
          <w:p w14:paraId="3D2032A3" w14:textId="77777777" w:rsidR="00567BC5" w:rsidRPr="00F1506F" w:rsidRDefault="00567BC5" w:rsidP="00B8371A">
            <w:pPr>
              <w:spacing w:after="0" w:line="360" w:lineRule="auto"/>
              <w:rPr>
                <w:rFonts w:ascii="Times New Roman" w:eastAsia="Times New Roman" w:hAnsi="Times New Roman" w:cs="Times New Roman"/>
                <w:color w:val="222222"/>
                <w:szCs w:val="20"/>
                <w:vertAlign w:val="superscript"/>
              </w:rPr>
            </w:pPr>
            <w:r w:rsidRPr="00F1506F">
              <w:rPr>
                <w:rFonts w:ascii="Times New Roman" w:eastAsia="Times New Roman" w:hAnsi="Times New Roman" w:cs="Times New Roman"/>
                <w:color w:val="222222"/>
                <w:szCs w:val="20"/>
              </w:rPr>
              <w:t>LOS at Short-</w:t>
            </w:r>
            <w:proofErr w:type="spellStart"/>
            <w:r w:rsidRPr="00F1506F">
              <w:rPr>
                <w:rFonts w:ascii="Times New Roman" w:eastAsia="Times New Roman" w:hAnsi="Times New Roman" w:cs="Times New Roman"/>
                <w:color w:val="222222"/>
                <w:szCs w:val="20"/>
              </w:rPr>
              <w:t>termACH</w:t>
            </w:r>
            <w:proofErr w:type="spellEnd"/>
            <w:r w:rsidRPr="00F1506F">
              <w:rPr>
                <w:rFonts w:ascii="Times New Roman" w:eastAsia="Times New Roman" w:hAnsi="Times New Roman" w:cs="Times New Roman"/>
                <w:color w:val="222222"/>
                <w:szCs w:val="20"/>
              </w:rPr>
              <w:t>, days (median [IQR</w:t>
            </w:r>
            <w:proofErr w:type="gramStart"/>
            <w:r w:rsidRPr="00F1506F">
              <w:rPr>
                <w:rFonts w:ascii="Times New Roman" w:eastAsia="Times New Roman" w:hAnsi="Times New Roman" w:cs="Times New Roman"/>
                <w:color w:val="222222"/>
                <w:szCs w:val="20"/>
              </w:rPr>
              <w:t>])</w:t>
            </w:r>
            <w:r w:rsidRPr="00F1506F">
              <w:rPr>
                <w:rFonts w:ascii="Times New Roman" w:eastAsia="Times New Roman" w:hAnsi="Times New Roman" w:cs="Times New Roman"/>
                <w:color w:val="222222"/>
                <w:szCs w:val="20"/>
                <w:vertAlign w:val="superscript"/>
              </w:rPr>
              <w:t>$</w:t>
            </w:r>
            <w:proofErr w:type="gramEnd"/>
          </w:p>
        </w:tc>
        <w:tc>
          <w:tcPr>
            <w:tcW w:w="1440" w:type="dxa"/>
            <w:shd w:val="clear" w:color="auto" w:fill="auto"/>
            <w:tcMar>
              <w:top w:w="0" w:type="dxa"/>
              <w:left w:w="75" w:type="dxa"/>
              <w:bottom w:w="0" w:type="dxa"/>
              <w:right w:w="75" w:type="dxa"/>
            </w:tcMar>
            <w:vAlign w:val="center"/>
            <w:hideMark/>
          </w:tcPr>
          <w:p w14:paraId="1743610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25 [10, 52]</w:t>
            </w:r>
          </w:p>
        </w:tc>
        <w:tc>
          <w:tcPr>
            <w:tcW w:w="1260" w:type="dxa"/>
            <w:shd w:val="clear" w:color="auto" w:fill="auto"/>
            <w:tcMar>
              <w:top w:w="0" w:type="dxa"/>
              <w:left w:w="75" w:type="dxa"/>
              <w:bottom w:w="0" w:type="dxa"/>
              <w:right w:w="75" w:type="dxa"/>
            </w:tcMar>
            <w:vAlign w:val="center"/>
            <w:hideMark/>
          </w:tcPr>
          <w:p w14:paraId="0EEDD37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14 [5, 30]</w:t>
            </w:r>
          </w:p>
        </w:tc>
        <w:tc>
          <w:tcPr>
            <w:tcW w:w="1080" w:type="dxa"/>
            <w:shd w:val="clear" w:color="auto" w:fill="auto"/>
            <w:tcMar>
              <w:top w:w="0" w:type="dxa"/>
              <w:left w:w="75" w:type="dxa"/>
              <w:bottom w:w="0" w:type="dxa"/>
              <w:right w:w="75" w:type="dxa"/>
            </w:tcMar>
            <w:vAlign w:val="center"/>
            <w:hideMark/>
          </w:tcPr>
          <w:p w14:paraId="54D5224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0F90557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21 [8, 45]</w:t>
            </w:r>
          </w:p>
        </w:tc>
      </w:tr>
      <w:tr w:rsidR="00567BC5" w:rsidRPr="00F1506F" w14:paraId="49008C44" w14:textId="77777777" w:rsidTr="00B8371A">
        <w:tc>
          <w:tcPr>
            <w:tcW w:w="4410" w:type="dxa"/>
            <w:shd w:val="clear" w:color="auto" w:fill="auto"/>
            <w:tcMar>
              <w:top w:w="0" w:type="dxa"/>
              <w:left w:w="75" w:type="dxa"/>
              <w:bottom w:w="0" w:type="dxa"/>
              <w:right w:w="75" w:type="dxa"/>
            </w:tcMar>
            <w:vAlign w:val="center"/>
            <w:hideMark/>
          </w:tcPr>
          <w:p w14:paraId="4DD9F8FD"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Previous LTACH Stays (%)</w:t>
            </w:r>
          </w:p>
        </w:tc>
        <w:tc>
          <w:tcPr>
            <w:tcW w:w="1440" w:type="dxa"/>
            <w:shd w:val="clear" w:color="auto" w:fill="auto"/>
            <w:tcMar>
              <w:top w:w="0" w:type="dxa"/>
              <w:left w:w="75" w:type="dxa"/>
              <w:bottom w:w="0" w:type="dxa"/>
              <w:right w:w="75" w:type="dxa"/>
            </w:tcMar>
            <w:vAlign w:val="center"/>
            <w:hideMark/>
          </w:tcPr>
          <w:p w14:paraId="3E31D18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104 (6.9)</w:t>
            </w:r>
          </w:p>
        </w:tc>
        <w:tc>
          <w:tcPr>
            <w:tcW w:w="1260" w:type="dxa"/>
            <w:shd w:val="clear" w:color="auto" w:fill="auto"/>
            <w:tcMar>
              <w:top w:w="0" w:type="dxa"/>
              <w:left w:w="75" w:type="dxa"/>
              <w:bottom w:w="0" w:type="dxa"/>
              <w:right w:w="75" w:type="dxa"/>
            </w:tcMar>
            <w:vAlign w:val="center"/>
            <w:hideMark/>
          </w:tcPr>
          <w:p w14:paraId="1841380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29 (2.2)</w:t>
            </w:r>
          </w:p>
        </w:tc>
        <w:tc>
          <w:tcPr>
            <w:tcW w:w="1080" w:type="dxa"/>
            <w:shd w:val="clear" w:color="auto" w:fill="auto"/>
            <w:tcMar>
              <w:top w:w="0" w:type="dxa"/>
              <w:left w:w="75" w:type="dxa"/>
              <w:bottom w:w="0" w:type="dxa"/>
              <w:right w:w="75" w:type="dxa"/>
            </w:tcMar>
            <w:vAlign w:val="center"/>
            <w:hideMark/>
          </w:tcPr>
          <w:p w14:paraId="190E957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5F89EAC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133 (4.7)</w:t>
            </w:r>
          </w:p>
        </w:tc>
      </w:tr>
      <w:tr w:rsidR="00567BC5" w:rsidRPr="00F1506F" w14:paraId="196663C1" w14:textId="77777777" w:rsidTr="00B8371A">
        <w:tc>
          <w:tcPr>
            <w:tcW w:w="4410" w:type="dxa"/>
            <w:shd w:val="clear" w:color="auto" w:fill="auto"/>
            <w:tcMar>
              <w:top w:w="0" w:type="dxa"/>
              <w:left w:w="75" w:type="dxa"/>
              <w:bottom w:w="0" w:type="dxa"/>
              <w:right w:w="75" w:type="dxa"/>
            </w:tcMar>
            <w:vAlign w:val="center"/>
            <w:hideMark/>
          </w:tcPr>
          <w:p w14:paraId="3511DA7B" w14:textId="77777777" w:rsidR="00567BC5" w:rsidRPr="00F1506F" w:rsidRDefault="00567BC5" w:rsidP="00B8371A">
            <w:pPr>
              <w:spacing w:after="0" w:line="360" w:lineRule="auto"/>
              <w:rPr>
                <w:rFonts w:ascii="Times New Roman" w:eastAsia="Times New Roman" w:hAnsi="Times New Roman" w:cs="Times New Roman"/>
                <w:color w:val="222222"/>
                <w:szCs w:val="20"/>
                <w:vertAlign w:val="superscript"/>
              </w:rPr>
            </w:pPr>
            <w:r w:rsidRPr="00F1506F">
              <w:rPr>
                <w:rFonts w:ascii="Times New Roman" w:eastAsia="Times New Roman" w:hAnsi="Times New Roman" w:cs="Times New Roman"/>
                <w:color w:val="222222"/>
                <w:szCs w:val="20"/>
              </w:rPr>
              <w:t>LOS at LTACH, days (median [IQR</w:t>
            </w:r>
            <w:proofErr w:type="gramStart"/>
            <w:r w:rsidRPr="00F1506F">
              <w:rPr>
                <w:rFonts w:ascii="Times New Roman" w:eastAsia="Times New Roman" w:hAnsi="Times New Roman" w:cs="Times New Roman"/>
                <w:color w:val="222222"/>
                <w:szCs w:val="20"/>
              </w:rPr>
              <w:t>])</w:t>
            </w:r>
            <w:r w:rsidRPr="00F1506F">
              <w:rPr>
                <w:rFonts w:ascii="Times New Roman" w:eastAsia="Times New Roman" w:hAnsi="Times New Roman" w:cs="Times New Roman"/>
                <w:color w:val="222222"/>
                <w:szCs w:val="20"/>
                <w:vertAlign w:val="superscript"/>
              </w:rPr>
              <w:t>$</w:t>
            </w:r>
            <w:proofErr w:type="gramEnd"/>
          </w:p>
        </w:tc>
        <w:tc>
          <w:tcPr>
            <w:tcW w:w="1440" w:type="dxa"/>
            <w:shd w:val="clear" w:color="auto" w:fill="auto"/>
            <w:tcMar>
              <w:top w:w="0" w:type="dxa"/>
              <w:left w:w="75" w:type="dxa"/>
              <w:bottom w:w="0" w:type="dxa"/>
              <w:right w:w="75" w:type="dxa"/>
            </w:tcMar>
            <w:vAlign w:val="center"/>
            <w:hideMark/>
          </w:tcPr>
          <w:p w14:paraId="08F768FE"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64 [47, 101]</w:t>
            </w:r>
          </w:p>
        </w:tc>
        <w:tc>
          <w:tcPr>
            <w:tcW w:w="1260" w:type="dxa"/>
            <w:shd w:val="clear" w:color="auto" w:fill="auto"/>
            <w:tcMar>
              <w:top w:w="0" w:type="dxa"/>
              <w:left w:w="75" w:type="dxa"/>
              <w:bottom w:w="0" w:type="dxa"/>
              <w:right w:w="75" w:type="dxa"/>
            </w:tcMar>
            <w:vAlign w:val="center"/>
            <w:hideMark/>
          </w:tcPr>
          <w:p w14:paraId="1683969E"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70 [45, 112]</w:t>
            </w:r>
          </w:p>
        </w:tc>
        <w:tc>
          <w:tcPr>
            <w:tcW w:w="1080" w:type="dxa"/>
            <w:shd w:val="clear" w:color="auto" w:fill="auto"/>
            <w:tcMar>
              <w:top w:w="0" w:type="dxa"/>
              <w:left w:w="75" w:type="dxa"/>
              <w:bottom w:w="0" w:type="dxa"/>
              <w:right w:w="75" w:type="dxa"/>
            </w:tcMar>
            <w:vAlign w:val="center"/>
            <w:hideMark/>
          </w:tcPr>
          <w:p w14:paraId="5135E3A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0.605</w:t>
            </w:r>
          </w:p>
        </w:tc>
        <w:tc>
          <w:tcPr>
            <w:tcW w:w="1260" w:type="dxa"/>
            <w:shd w:val="clear" w:color="auto" w:fill="auto"/>
            <w:tcMar>
              <w:top w:w="0" w:type="dxa"/>
              <w:left w:w="75" w:type="dxa"/>
              <w:bottom w:w="0" w:type="dxa"/>
              <w:right w:w="75" w:type="dxa"/>
            </w:tcMar>
            <w:vAlign w:val="center"/>
            <w:hideMark/>
          </w:tcPr>
          <w:p w14:paraId="1B6C00C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65 [46, 105]</w:t>
            </w:r>
          </w:p>
        </w:tc>
      </w:tr>
      <w:tr w:rsidR="00567BC5" w:rsidRPr="00F1506F" w14:paraId="2812625D" w14:textId="77777777" w:rsidTr="00B8371A">
        <w:tc>
          <w:tcPr>
            <w:tcW w:w="4410" w:type="dxa"/>
            <w:shd w:val="clear" w:color="auto" w:fill="auto"/>
            <w:tcMar>
              <w:top w:w="0" w:type="dxa"/>
              <w:left w:w="75" w:type="dxa"/>
              <w:bottom w:w="0" w:type="dxa"/>
              <w:right w:w="75" w:type="dxa"/>
            </w:tcMar>
            <w:vAlign w:val="center"/>
            <w:hideMark/>
          </w:tcPr>
          <w:p w14:paraId="080DA2F5"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Emergency Department Visits (%)</w:t>
            </w:r>
          </w:p>
        </w:tc>
        <w:tc>
          <w:tcPr>
            <w:tcW w:w="1440" w:type="dxa"/>
            <w:shd w:val="clear" w:color="auto" w:fill="auto"/>
            <w:tcMar>
              <w:top w:w="0" w:type="dxa"/>
              <w:left w:w="75" w:type="dxa"/>
              <w:bottom w:w="0" w:type="dxa"/>
              <w:right w:w="75" w:type="dxa"/>
            </w:tcMar>
            <w:vAlign w:val="center"/>
            <w:hideMark/>
          </w:tcPr>
          <w:p w14:paraId="0E313B31"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903 (60.0)</w:t>
            </w:r>
          </w:p>
        </w:tc>
        <w:tc>
          <w:tcPr>
            <w:tcW w:w="1260" w:type="dxa"/>
            <w:shd w:val="clear" w:color="auto" w:fill="auto"/>
            <w:tcMar>
              <w:top w:w="0" w:type="dxa"/>
              <w:left w:w="75" w:type="dxa"/>
              <w:bottom w:w="0" w:type="dxa"/>
              <w:right w:w="75" w:type="dxa"/>
            </w:tcMar>
            <w:vAlign w:val="center"/>
            <w:hideMark/>
          </w:tcPr>
          <w:p w14:paraId="11B8846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470 (36.2)</w:t>
            </w:r>
          </w:p>
        </w:tc>
        <w:tc>
          <w:tcPr>
            <w:tcW w:w="1080" w:type="dxa"/>
            <w:shd w:val="clear" w:color="auto" w:fill="auto"/>
            <w:tcMar>
              <w:top w:w="0" w:type="dxa"/>
              <w:left w:w="75" w:type="dxa"/>
              <w:bottom w:w="0" w:type="dxa"/>
              <w:right w:w="75" w:type="dxa"/>
            </w:tcMar>
            <w:vAlign w:val="center"/>
            <w:hideMark/>
          </w:tcPr>
          <w:p w14:paraId="6EBBD601"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370DD0D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1373 (49.0)</w:t>
            </w:r>
          </w:p>
        </w:tc>
      </w:tr>
      <w:tr w:rsidR="00567BC5" w:rsidRPr="00F1506F" w14:paraId="0C020587" w14:textId="77777777" w:rsidTr="00B8371A">
        <w:tc>
          <w:tcPr>
            <w:tcW w:w="4410" w:type="dxa"/>
            <w:tcBorders>
              <w:bottom w:val="single" w:sz="12" w:space="0" w:color="111111"/>
            </w:tcBorders>
            <w:shd w:val="clear" w:color="auto" w:fill="auto"/>
            <w:tcMar>
              <w:top w:w="0" w:type="dxa"/>
              <w:left w:w="75" w:type="dxa"/>
              <w:bottom w:w="0" w:type="dxa"/>
              <w:right w:w="75" w:type="dxa"/>
            </w:tcMar>
            <w:vAlign w:val="center"/>
            <w:hideMark/>
          </w:tcPr>
          <w:p w14:paraId="6454467A"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SNF Stays (%)</w:t>
            </w:r>
          </w:p>
        </w:tc>
        <w:tc>
          <w:tcPr>
            <w:tcW w:w="1440" w:type="dxa"/>
            <w:tcBorders>
              <w:bottom w:val="single" w:sz="12" w:space="0" w:color="111111"/>
            </w:tcBorders>
            <w:shd w:val="clear" w:color="auto" w:fill="auto"/>
            <w:tcMar>
              <w:top w:w="0" w:type="dxa"/>
              <w:left w:w="75" w:type="dxa"/>
              <w:bottom w:w="0" w:type="dxa"/>
              <w:right w:w="75" w:type="dxa"/>
            </w:tcMar>
            <w:vAlign w:val="center"/>
            <w:hideMark/>
          </w:tcPr>
          <w:p w14:paraId="1020951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630 (41.8)</w:t>
            </w:r>
          </w:p>
        </w:tc>
        <w:tc>
          <w:tcPr>
            <w:tcW w:w="1260" w:type="dxa"/>
            <w:tcBorders>
              <w:bottom w:val="single" w:sz="12" w:space="0" w:color="111111"/>
            </w:tcBorders>
            <w:shd w:val="clear" w:color="auto" w:fill="auto"/>
            <w:tcMar>
              <w:top w:w="0" w:type="dxa"/>
              <w:left w:w="75" w:type="dxa"/>
              <w:bottom w:w="0" w:type="dxa"/>
              <w:right w:w="75" w:type="dxa"/>
            </w:tcMar>
            <w:vAlign w:val="center"/>
            <w:hideMark/>
          </w:tcPr>
          <w:p w14:paraId="4D04FE08"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228 (17.6)</w:t>
            </w:r>
          </w:p>
        </w:tc>
        <w:tc>
          <w:tcPr>
            <w:tcW w:w="1080" w:type="dxa"/>
            <w:tcBorders>
              <w:bottom w:val="single" w:sz="12" w:space="0" w:color="111111"/>
            </w:tcBorders>
            <w:shd w:val="clear" w:color="auto" w:fill="auto"/>
            <w:tcMar>
              <w:top w:w="0" w:type="dxa"/>
              <w:left w:w="75" w:type="dxa"/>
              <w:bottom w:w="0" w:type="dxa"/>
              <w:right w:w="75" w:type="dxa"/>
            </w:tcMar>
            <w:vAlign w:val="center"/>
            <w:hideMark/>
          </w:tcPr>
          <w:p w14:paraId="53924ED9"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tcBorders>
              <w:bottom w:val="single" w:sz="12" w:space="0" w:color="111111"/>
            </w:tcBorders>
            <w:shd w:val="clear" w:color="auto" w:fill="auto"/>
            <w:tcMar>
              <w:top w:w="0" w:type="dxa"/>
              <w:left w:w="75" w:type="dxa"/>
              <w:bottom w:w="0" w:type="dxa"/>
              <w:right w:w="75" w:type="dxa"/>
            </w:tcMar>
            <w:vAlign w:val="center"/>
            <w:hideMark/>
          </w:tcPr>
          <w:p w14:paraId="2EE7C1C9"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858 (30.6)</w:t>
            </w:r>
          </w:p>
        </w:tc>
      </w:tr>
      <w:tr w:rsidR="00567BC5" w:rsidRPr="00F1506F" w14:paraId="00C8F673" w14:textId="77777777" w:rsidTr="00B8371A">
        <w:tc>
          <w:tcPr>
            <w:tcW w:w="9450" w:type="dxa"/>
            <w:gridSpan w:val="5"/>
            <w:tcBorders>
              <w:top w:val="single" w:sz="12" w:space="0" w:color="111111"/>
              <w:bottom w:val="single" w:sz="12" w:space="0" w:color="111111"/>
            </w:tcBorders>
            <w:shd w:val="clear" w:color="auto" w:fill="auto"/>
            <w:tcMar>
              <w:top w:w="0" w:type="dxa"/>
              <w:left w:w="75" w:type="dxa"/>
              <w:bottom w:w="0" w:type="dxa"/>
              <w:right w:w="75" w:type="dxa"/>
            </w:tcMar>
            <w:vAlign w:val="center"/>
            <w:hideMark/>
          </w:tcPr>
          <w:p w14:paraId="449AC6C9"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b/>
                <w:bCs/>
                <w:color w:val="222222"/>
                <w:szCs w:val="20"/>
              </w:rPr>
              <w:t>Characteristics Among Patients &gt;=1 Admission During the Study Period</w:t>
            </w:r>
          </w:p>
        </w:tc>
      </w:tr>
      <w:tr w:rsidR="00567BC5" w:rsidRPr="00F1506F" w14:paraId="34C862E2" w14:textId="77777777" w:rsidTr="00B8371A">
        <w:tc>
          <w:tcPr>
            <w:tcW w:w="4410" w:type="dxa"/>
            <w:tcBorders>
              <w:top w:val="single" w:sz="12" w:space="0" w:color="111111"/>
            </w:tcBorders>
            <w:shd w:val="clear" w:color="auto" w:fill="auto"/>
            <w:tcMar>
              <w:top w:w="0" w:type="dxa"/>
              <w:left w:w="75" w:type="dxa"/>
              <w:bottom w:w="0" w:type="dxa"/>
              <w:right w:w="75" w:type="dxa"/>
            </w:tcMar>
            <w:vAlign w:val="center"/>
            <w:hideMark/>
          </w:tcPr>
          <w:p w14:paraId="38A33CB2"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n</w:t>
            </w:r>
          </w:p>
        </w:tc>
        <w:tc>
          <w:tcPr>
            <w:tcW w:w="1440" w:type="dxa"/>
            <w:tcBorders>
              <w:top w:val="single" w:sz="12" w:space="0" w:color="111111"/>
            </w:tcBorders>
            <w:shd w:val="clear" w:color="auto" w:fill="auto"/>
            <w:tcMar>
              <w:top w:w="0" w:type="dxa"/>
              <w:left w:w="75" w:type="dxa"/>
              <w:bottom w:w="0" w:type="dxa"/>
              <w:right w:w="75" w:type="dxa"/>
            </w:tcMar>
            <w:vAlign w:val="center"/>
            <w:hideMark/>
          </w:tcPr>
          <w:p w14:paraId="695C44D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1506</w:t>
            </w:r>
          </w:p>
        </w:tc>
        <w:tc>
          <w:tcPr>
            <w:tcW w:w="1260" w:type="dxa"/>
            <w:tcBorders>
              <w:top w:val="single" w:sz="12" w:space="0" w:color="111111"/>
            </w:tcBorders>
            <w:shd w:val="clear" w:color="auto" w:fill="auto"/>
            <w:tcMar>
              <w:top w:w="0" w:type="dxa"/>
              <w:left w:w="75" w:type="dxa"/>
              <w:bottom w:w="0" w:type="dxa"/>
              <w:right w:w="75" w:type="dxa"/>
            </w:tcMar>
            <w:vAlign w:val="center"/>
            <w:hideMark/>
          </w:tcPr>
          <w:p w14:paraId="13CAD38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1012</w:t>
            </w:r>
          </w:p>
        </w:tc>
        <w:tc>
          <w:tcPr>
            <w:tcW w:w="1080" w:type="dxa"/>
            <w:tcBorders>
              <w:top w:val="single" w:sz="12" w:space="0" w:color="111111"/>
            </w:tcBorders>
            <w:shd w:val="clear" w:color="auto" w:fill="auto"/>
            <w:tcMar>
              <w:top w:w="0" w:type="dxa"/>
              <w:left w:w="75" w:type="dxa"/>
              <w:bottom w:w="0" w:type="dxa"/>
              <w:right w:w="75" w:type="dxa"/>
            </w:tcMar>
            <w:vAlign w:val="center"/>
            <w:hideMark/>
          </w:tcPr>
          <w:p w14:paraId="6722154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p>
        </w:tc>
        <w:tc>
          <w:tcPr>
            <w:tcW w:w="1260" w:type="dxa"/>
            <w:tcBorders>
              <w:top w:val="single" w:sz="12" w:space="0" w:color="111111"/>
            </w:tcBorders>
            <w:shd w:val="clear" w:color="auto" w:fill="auto"/>
            <w:tcMar>
              <w:top w:w="0" w:type="dxa"/>
              <w:left w:w="75" w:type="dxa"/>
              <w:bottom w:w="0" w:type="dxa"/>
              <w:right w:w="75" w:type="dxa"/>
            </w:tcMar>
            <w:vAlign w:val="center"/>
            <w:hideMark/>
          </w:tcPr>
          <w:p w14:paraId="2196E47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2518</w:t>
            </w:r>
          </w:p>
        </w:tc>
      </w:tr>
      <w:tr w:rsidR="00567BC5" w:rsidRPr="00F1506F" w14:paraId="6642476A" w14:textId="77777777" w:rsidTr="00B8371A">
        <w:tc>
          <w:tcPr>
            <w:tcW w:w="9450" w:type="dxa"/>
            <w:gridSpan w:val="5"/>
            <w:tcBorders>
              <w:bottom w:val="nil"/>
            </w:tcBorders>
            <w:shd w:val="clear" w:color="auto" w:fill="auto"/>
            <w:tcMar>
              <w:top w:w="0" w:type="dxa"/>
              <w:left w:w="75" w:type="dxa"/>
              <w:bottom w:w="0" w:type="dxa"/>
              <w:right w:w="75" w:type="dxa"/>
            </w:tcMar>
            <w:vAlign w:val="center"/>
            <w:hideMark/>
          </w:tcPr>
          <w:p w14:paraId="068638EB"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b/>
                <w:bCs/>
                <w:color w:val="222222"/>
                <w:szCs w:val="20"/>
              </w:rPr>
              <w:t>Healthcare Procedures within the Previous 365 days</w:t>
            </w:r>
          </w:p>
        </w:tc>
      </w:tr>
      <w:tr w:rsidR="00567BC5" w:rsidRPr="00F1506F" w14:paraId="679112BF" w14:textId="77777777" w:rsidTr="00B8371A">
        <w:tc>
          <w:tcPr>
            <w:tcW w:w="4410" w:type="dxa"/>
            <w:shd w:val="clear" w:color="auto" w:fill="auto"/>
            <w:tcMar>
              <w:top w:w="0" w:type="dxa"/>
              <w:left w:w="75" w:type="dxa"/>
              <w:bottom w:w="0" w:type="dxa"/>
              <w:right w:w="75" w:type="dxa"/>
            </w:tcMar>
            <w:vAlign w:val="center"/>
            <w:hideMark/>
          </w:tcPr>
          <w:p w14:paraId="17BAA89E"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Dialysis (%)</w:t>
            </w:r>
          </w:p>
        </w:tc>
        <w:tc>
          <w:tcPr>
            <w:tcW w:w="1440" w:type="dxa"/>
            <w:shd w:val="clear" w:color="auto" w:fill="auto"/>
            <w:tcMar>
              <w:top w:w="0" w:type="dxa"/>
              <w:left w:w="75" w:type="dxa"/>
              <w:bottom w:w="0" w:type="dxa"/>
              <w:right w:w="75" w:type="dxa"/>
            </w:tcMar>
            <w:vAlign w:val="center"/>
            <w:hideMark/>
          </w:tcPr>
          <w:p w14:paraId="6EE3799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145 (9.6)</w:t>
            </w:r>
          </w:p>
        </w:tc>
        <w:tc>
          <w:tcPr>
            <w:tcW w:w="1260" w:type="dxa"/>
            <w:shd w:val="clear" w:color="auto" w:fill="auto"/>
            <w:tcMar>
              <w:top w:w="0" w:type="dxa"/>
              <w:left w:w="75" w:type="dxa"/>
              <w:bottom w:w="0" w:type="dxa"/>
              <w:right w:w="75" w:type="dxa"/>
            </w:tcMar>
            <w:vAlign w:val="center"/>
            <w:hideMark/>
          </w:tcPr>
          <w:p w14:paraId="27BC2E3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25 (2.5)</w:t>
            </w:r>
          </w:p>
        </w:tc>
        <w:tc>
          <w:tcPr>
            <w:tcW w:w="1080" w:type="dxa"/>
            <w:shd w:val="clear" w:color="auto" w:fill="auto"/>
            <w:tcMar>
              <w:top w:w="0" w:type="dxa"/>
              <w:left w:w="75" w:type="dxa"/>
              <w:bottom w:w="0" w:type="dxa"/>
              <w:right w:w="75" w:type="dxa"/>
            </w:tcMar>
            <w:vAlign w:val="center"/>
            <w:hideMark/>
          </w:tcPr>
          <w:p w14:paraId="7945827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7AAA050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170 (6.8)</w:t>
            </w:r>
          </w:p>
        </w:tc>
      </w:tr>
      <w:tr w:rsidR="00567BC5" w:rsidRPr="00F1506F" w14:paraId="0E3A09AE" w14:textId="77777777" w:rsidTr="00B8371A">
        <w:tc>
          <w:tcPr>
            <w:tcW w:w="4410" w:type="dxa"/>
            <w:shd w:val="clear" w:color="auto" w:fill="auto"/>
            <w:tcMar>
              <w:top w:w="0" w:type="dxa"/>
              <w:left w:w="75" w:type="dxa"/>
              <w:bottom w:w="0" w:type="dxa"/>
              <w:right w:w="75" w:type="dxa"/>
            </w:tcMar>
            <w:vAlign w:val="center"/>
            <w:hideMark/>
          </w:tcPr>
          <w:p w14:paraId="438924CB"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Urinary Catheters (%)</w:t>
            </w:r>
          </w:p>
        </w:tc>
        <w:tc>
          <w:tcPr>
            <w:tcW w:w="1440" w:type="dxa"/>
            <w:shd w:val="clear" w:color="auto" w:fill="auto"/>
            <w:tcMar>
              <w:top w:w="0" w:type="dxa"/>
              <w:left w:w="75" w:type="dxa"/>
              <w:bottom w:w="0" w:type="dxa"/>
              <w:right w:w="75" w:type="dxa"/>
            </w:tcMar>
            <w:vAlign w:val="center"/>
            <w:hideMark/>
          </w:tcPr>
          <w:p w14:paraId="7F555FC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169 (11.2)</w:t>
            </w:r>
          </w:p>
        </w:tc>
        <w:tc>
          <w:tcPr>
            <w:tcW w:w="1260" w:type="dxa"/>
            <w:shd w:val="clear" w:color="auto" w:fill="auto"/>
            <w:tcMar>
              <w:top w:w="0" w:type="dxa"/>
              <w:left w:w="75" w:type="dxa"/>
              <w:bottom w:w="0" w:type="dxa"/>
              <w:right w:w="75" w:type="dxa"/>
            </w:tcMar>
            <w:vAlign w:val="center"/>
            <w:hideMark/>
          </w:tcPr>
          <w:p w14:paraId="0949366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72 (7.1)</w:t>
            </w:r>
          </w:p>
        </w:tc>
        <w:tc>
          <w:tcPr>
            <w:tcW w:w="1080" w:type="dxa"/>
            <w:shd w:val="clear" w:color="auto" w:fill="auto"/>
            <w:tcMar>
              <w:top w:w="0" w:type="dxa"/>
              <w:left w:w="75" w:type="dxa"/>
              <w:bottom w:w="0" w:type="dxa"/>
              <w:right w:w="75" w:type="dxa"/>
            </w:tcMar>
            <w:vAlign w:val="center"/>
            <w:hideMark/>
          </w:tcPr>
          <w:p w14:paraId="58B9F6A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0.001</w:t>
            </w:r>
          </w:p>
        </w:tc>
        <w:tc>
          <w:tcPr>
            <w:tcW w:w="1260" w:type="dxa"/>
            <w:shd w:val="clear" w:color="auto" w:fill="auto"/>
            <w:tcMar>
              <w:top w:w="0" w:type="dxa"/>
              <w:left w:w="75" w:type="dxa"/>
              <w:bottom w:w="0" w:type="dxa"/>
              <w:right w:w="75" w:type="dxa"/>
            </w:tcMar>
            <w:vAlign w:val="center"/>
            <w:hideMark/>
          </w:tcPr>
          <w:p w14:paraId="71380C3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241 (9.6)</w:t>
            </w:r>
          </w:p>
        </w:tc>
      </w:tr>
      <w:tr w:rsidR="00567BC5" w:rsidRPr="00F1506F" w14:paraId="0A6DE7DB" w14:textId="77777777" w:rsidTr="00B8371A">
        <w:tc>
          <w:tcPr>
            <w:tcW w:w="4410" w:type="dxa"/>
            <w:shd w:val="clear" w:color="auto" w:fill="auto"/>
            <w:tcMar>
              <w:top w:w="0" w:type="dxa"/>
              <w:left w:w="75" w:type="dxa"/>
              <w:bottom w:w="0" w:type="dxa"/>
              <w:right w:w="75" w:type="dxa"/>
            </w:tcMar>
            <w:vAlign w:val="center"/>
            <w:hideMark/>
          </w:tcPr>
          <w:p w14:paraId="63920E62"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Central Venous Access (%)</w:t>
            </w:r>
          </w:p>
        </w:tc>
        <w:tc>
          <w:tcPr>
            <w:tcW w:w="1440" w:type="dxa"/>
            <w:shd w:val="clear" w:color="auto" w:fill="auto"/>
            <w:tcMar>
              <w:top w:w="0" w:type="dxa"/>
              <w:left w:w="75" w:type="dxa"/>
              <w:bottom w:w="0" w:type="dxa"/>
              <w:right w:w="75" w:type="dxa"/>
            </w:tcMar>
            <w:vAlign w:val="center"/>
            <w:hideMark/>
          </w:tcPr>
          <w:p w14:paraId="753EABF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287 (19.1)</w:t>
            </w:r>
          </w:p>
        </w:tc>
        <w:tc>
          <w:tcPr>
            <w:tcW w:w="1260" w:type="dxa"/>
            <w:shd w:val="clear" w:color="auto" w:fill="auto"/>
            <w:tcMar>
              <w:top w:w="0" w:type="dxa"/>
              <w:left w:w="75" w:type="dxa"/>
              <w:bottom w:w="0" w:type="dxa"/>
              <w:right w:w="75" w:type="dxa"/>
            </w:tcMar>
            <w:vAlign w:val="center"/>
            <w:hideMark/>
          </w:tcPr>
          <w:p w14:paraId="00578E21"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73 (7.2)</w:t>
            </w:r>
          </w:p>
        </w:tc>
        <w:tc>
          <w:tcPr>
            <w:tcW w:w="1080" w:type="dxa"/>
            <w:shd w:val="clear" w:color="auto" w:fill="auto"/>
            <w:tcMar>
              <w:top w:w="0" w:type="dxa"/>
              <w:left w:w="75" w:type="dxa"/>
              <w:bottom w:w="0" w:type="dxa"/>
              <w:right w:w="75" w:type="dxa"/>
            </w:tcMar>
            <w:vAlign w:val="center"/>
            <w:hideMark/>
          </w:tcPr>
          <w:p w14:paraId="39F43D6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69E4D28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360 (14.3)</w:t>
            </w:r>
          </w:p>
        </w:tc>
      </w:tr>
      <w:tr w:rsidR="00567BC5" w:rsidRPr="00F1506F" w14:paraId="512F06D0" w14:textId="77777777" w:rsidTr="00B8371A">
        <w:tc>
          <w:tcPr>
            <w:tcW w:w="4410" w:type="dxa"/>
            <w:shd w:val="clear" w:color="auto" w:fill="auto"/>
            <w:tcMar>
              <w:top w:w="0" w:type="dxa"/>
              <w:left w:w="75" w:type="dxa"/>
              <w:bottom w:w="0" w:type="dxa"/>
              <w:right w:w="75" w:type="dxa"/>
            </w:tcMar>
            <w:vAlign w:val="center"/>
            <w:hideMark/>
          </w:tcPr>
          <w:p w14:paraId="3564695E"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Any Mechanical Ventilation (%)</w:t>
            </w:r>
          </w:p>
        </w:tc>
        <w:tc>
          <w:tcPr>
            <w:tcW w:w="1440" w:type="dxa"/>
            <w:shd w:val="clear" w:color="auto" w:fill="auto"/>
            <w:tcMar>
              <w:top w:w="0" w:type="dxa"/>
              <w:left w:w="75" w:type="dxa"/>
              <w:bottom w:w="0" w:type="dxa"/>
              <w:right w:w="75" w:type="dxa"/>
            </w:tcMar>
            <w:vAlign w:val="center"/>
            <w:hideMark/>
          </w:tcPr>
          <w:p w14:paraId="682B067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209 (13.9)</w:t>
            </w:r>
          </w:p>
        </w:tc>
        <w:tc>
          <w:tcPr>
            <w:tcW w:w="1260" w:type="dxa"/>
            <w:shd w:val="clear" w:color="auto" w:fill="auto"/>
            <w:tcMar>
              <w:top w:w="0" w:type="dxa"/>
              <w:left w:w="75" w:type="dxa"/>
              <w:bottom w:w="0" w:type="dxa"/>
              <w:right w:w="75" w:type="dxa"/>
            </w:tcMar>
            <w:vAlign w:val="center"/>
            <w:hideMark/>
          </w:tcPr>
          <w:p w14:paraId="55A358A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52 (5.1)</w:t>
            </w:r>
          </w:p>
        </w:tc>
        <w:tc>
          <w:tcPr>
            <w:tcW w:w="1080" w:type="dxa"/>
            <w:shd w:val="clear" w:color="auto" w:fill="auto"/>
            <w:tcMar>
              <w:top w:w="0" w:type="dxa"/>
              <w:left w:w="75" w:type="dxa"/>
              <w:bottom w:w="0" w:type="dxa"/>
              <w:right w:w="75" w:type="dxa"/>
            </w:tcMar>
            <w:vAlign w:val="center"/>
            <w:hideMark/>
          </w:tcPr>
          <w:p w14:paraId="768D91B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301C853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261 (10.4)</w:t>
            </w:r>
          </w:p>
        </w:tc>
      </w:tr>
      <w:tr w:rsidR="00567BC5" w:rsidRPr="00F1506F" w14:paraId="0DB31ABA" w14:textId="77777777" w:rsidTr="00B8371A">
        <w:tc>
          <w:tcPr>
            <w:tcW w:w="4410" w:type="dxa"/>
            <w:shd w:val="clear" w:color="auto" w:fill="auto"/>
            <w:tcMar>
              <w:top w:w="0" w:type="dxa"/>
              <w:left w:w="75" w:type="dxa"/>
              <w:bottom w:w="0" w:type="dxa"/>
              <w:right w:w="75" w:type="dxa"/>
            </w:tcMar>
            <w:vAlign w:val="center"/>
            <w:hideMark/>
          </w:tcPr>
          <w:p w14:paraId="14253B1F"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GI Endoscopy (%)</w:t>
            </w:r>
          </w:p>
        </w:tc>
        <w:tc>
          <w:tcPr>
            <w:tcW w:w="1440" w:type="dxa"/>
            <w:shd w:val="clear" w:color="auto" w:fill="auto"/>
            <w:tcMar>
              <w:top w:w="0" w:type="dxa"/>
              <w:left w:w="75" w:type="dxa"/>
              <w:bottom w:w="0" w:type="dxa"/>
              <w:right w:w="75" w:type="dxa"/>
            </w:tcMar>
            <w:vAlign w:val="center"/>
            <w:hideMark/>
          </w:tcPr>
          <w:p w14:paraId="7359DAC4"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175 (11.6)</w:t>
            </w:r>
          </w:p>
        </w:tc>
        <w:tc>
          <w:tcPr>
            <w:tcW w:w="1260" w:type="dxa"/>
            <w:shd w:val="clear" w:color="auto" w:fill="auto"/>
            <w:tcMar>
              <w:top w:w="0" w:type="dxa"/>
              <w:left w:w="75" w:type="dxa"/>
              <w:bottom w:w="0" w:type="dxa"/>
              <w:right w:w="75" w:type="dxa"/>
            </w:tcMar>
            <w:vAlign w:val="center"/>
            <w:hideMark/>
          </w:tcPr>
          <w:p w14:paraId="592A8E7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64 (6.3)</w:t>
            </w:r>
          </w:p>
        </w:tc>
        <w:tc>
          <w:tcPr>
            <w:tcW w:w="1080" w:type="dxa"/>
            <w:shd w:val="clear" w:color="auto" w:fill="auto"/>
            <w:tcMar>
              <w:top w:w="0" w:type="dxa"/>
              <w:left w:w="75" w:type="dxa"/>
              <w:bottom w:w="0" w:type="dxa"/>
              <w:right w:w="75" w:type="dxa"/>
            </w:tcMar>
            <w:vAlign w:val="center"/>
            <w:hideMark/>
          </w:tcPr>
          <w:p w14:paraId="50A8F97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7D785DC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239 (9.5)</w:t>
            </w:r>
          </w:p>
        </w:tc>
      </w:tr>
      <w:tr w:rsidR="00567BC5" w:rsidRPr="00F1506F" w14:paraId="61ABA0CE" w14:textId="77777777" w:rsidTr="00B8371A">
        <w:tc>
          <w:tcPr>
            <w:tcW w:w="9450" w:type="dxa"/>
            <w:gridSpan w:val="5"/>
            <w:tcBorders>
              <w:bottom w:val="nil"/>
            </w:tcBorders>
            <w:shd w:val="clear" w:color="auto" w:fill="auto"/>
            <w:tcMar>
              <w:top w:w="0" w:type="dxa"/>
              <w:left w:w="75" w:type="dxa"/>
              <w:bottom w:w="0" w:type="dxa"/>
              <w:right w:w="75" w:type="dxa"/>
            </w:tcMar>
            <w:vAlign w:val="center"/>
            <w:hideMark/>
          </w:tcPr>
          <w:p w14:paraId="2B150D4A"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b/>
                <w:bCs/>
                <w:color w:val="222222"/>
                <w:szCs w:val="20"/>
              </w:rPr>
              <w:t>Underlying Conditions</w:t>
            </w:r>
          </w:p>
        </w:tc>
      </w:tr>
      <w:tr w:rsidR="00567BC5" w:rsidRPr="00F1506F" w14:paraId="11F498EF" w14:textId="77777777" w:rsidTr="00B8371A">
        <w:tc>
          <w:tcPr>
            <w:tcW w:w="4410" w:type="dxa"/>
            <w:shd w:val="clear" w:color="auto" w:fill="auto"/>
            <w:tcMar>
              <w:top w:w="0" w:type="dxa"/>
              <w:left w:w="75" w:type="dxa"/>
              <w:bottom w:w="0" w:type="dxa"/>
              <w:right w:w="75" w:type="dxa"/>
            </w:tcMar>
            <w:vAlign w:val="center"/>
            <w:hideMark/>
          </w:tcPr>
          <w:p w14:paraId="1044DF46"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Congestive Heart Failure (%)</w:t>
            </w:r>
          </w:p>
        </w:tc>
        <w:tc>
          <w:tcPr>
            <w:tcW w:w="1440" w:type="dxa"/>
            <w:shd w:val="clear" w:color="auto" w:fill="auto"/>
            <w:tcMar>
              <w:top w:w="0" w:type="dxa"/>
              <w:left w:w="75" w:type="dxa"/>
              <w:bottom w:w="0" w:type="dxa"/>
              <w:right w:w="75" w:type="dxa"/>
            </w:tcMar>
            <w:vAlign w:val="center"/>
            <w:hideMark/>
          </w:tcPr>
          <w:p w14:paraId="3D362B24"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621 (41.2)</w:t>
            </w:r>
          </w:p>
        </w:tc>
        <w:tc>
          <w:tcPr>
            <w:tcW w:w="1260" w:type="dxa"/>
            <w:shd w:val="clear" w:color="auto" w:fill="auto"/>
            <w:tcMar>
              <w:top w:w="0" w:type="dxa"/>
              <w:left w:w="75" w:type="dxa"/>
              <w:bottom w:w="0" w:type="dxa"/>
              <w:right w:w="75" w:type="dxa"/>
            </w:tcMar>
            <w:vAlign w:val="center"/>
            <w:hideMark/>
          </w:tcPr>
          <w:p w14:paraId="6221CC1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234 (23.1)</w:t>
            </w:r>
          </w:p>
        </w:tc>
        <w:tc>
          <w:tcPr>
            <w:tcW w:w="1080" w:type="dxa"/>
            <w:shd w:val="clear" w:color="auto" w:fill="auto"/>
            <w:tcMar>
              <w:top w:w="0" w:type="dxa"/>
              <w:left w:w="75" w:type="dxa"/>
              <w:bottom w:w="0" w:type="dxa"/>
              <w:right w:w="75" w:type="dxa"/>
            </w:tcMar>
            <w:vAlign w:val="center"/>
            <w:hideMark/>
          </w:tcPr>
          <w:p w14:paraId="459F30D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0720D769"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855 (34.0)</w:t>
            </w:r>
          </w:p>
        </w:tc>
      </w:tr>
      <w:tr w:rsidR="00567BC5" w:rsidRPr="00F1506F" w14:paraId="2A6C1F47" w14:textId="77777777" w:rsidTr="00B8371A">
        <w:tc>
          <w:tcPr>
            <w:tcW w:w="4410" w:type="dxa"/>
            <w:shd w:val="clear" w:color="auto" w:fill="auto"/>
            <w:tcMar>
              <w:top w:w="0" w:type="dxa"/>
              <w:left w:w="75" w:type="dxa"/>
              <w:bottom w:w="0" w:type="dxa"/>
              <w:right w:w="75" w:type="dxa"/>
            </w:tcMar>
            <w:vAlign w:val="center"/>
            <w:hideMark/>
          </w:tcPr>
          <w:p w14:paraId="6F9BCEBB"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Dementia (%)</w:t>
            </w:r>
          </w:p>
        </w:tc>
        <w:tc>
          <w:tcPr>
            <w:tcW w:w="1440" w:type="dxa"/>
            <w:shd w:val="clear" w:color="auto" w:fill="auto"/>
            <w:tcMar>
              <w:top w:w="0" w:type="dxa"/>
              <w:left w:w="75" w:type="dxa"/>
              <w:bottom w:w="0" w:type="dxa"/>
              <w:right w:w="75" w:type="dxa"/>
            </w:tcMar>
            <w:vAlign w:val="center"/>
            <w:hideMark/>
          </w:tcPr>
          <w:p w14:paraId="4756C7D5"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221 (14.7)</w:t>
            </w:r>
          </w:p>
        </w:tc>
        <w:tc>
          <w:tcPr>
            <w:tcW w:w="1260" w:type="dxa"/>
            <w:shd w:val="clear" w:color="auto" w:fill="auto"/>
            <w:tcMar>
              <w:top w:w="0" w:type="dxa"/>
              <w:left w:w="75" w:type="dxa"/>
              <w:bottom w:w="0" w:type="dxa"/>
              <w:right w:w="75" w:type="dxa"/>
            </w:tcMar>
            <w:vAlign w:val="center"/>
            <w:hideMark/>
          </w:tcPr>
          <w:p w14:paraId="673CFF6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103 (10.2)</w:t>
            </w:r>
          </w:p>
        </w:tc>
        <w:tc>
          <w:tcPr>
            <w:tcW w:w="1080" w:type="dxa"/>
            <w:shd w:val="clear" w:color="auto" w:fill="auto"/>
            <w:tcMar>
              <w:top w:w="0" w:type="dxa"/>
              <w:left w:w="75" w:type="dxa"/>
              <w:bottom w:w="0" w:type="dxa"/>
              <w:right w:w="75" w:type="dxa"/>
            </w:tcMar>
            <w:vAlign w:val="center"/>
            <w:hideMark/>
          </w:tcPr>
          <w:p w14:paraId="2A2022F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0.001</w:t>
            </w:r>
          </w:p>
        </w:tc>
        <w:tc>
          <w:tcPr>
            <w:tcW w:w="1260" w:type="dxa"/>
            <w:shd w:val="clear" w:color="auto" w:fill="auto"/>
            <w:tcMar>
              <w:top w:w="0" w:type="dxa"/>
              <w:left w:w="75" w:type="dxa"/>
              <w:bottom w:w="0" w:type="dxa"/>
              <w:right w:w="75" w:type="dxa"/>
            </w:tcMar>
            <w:vAlign w:val="center"/>
            <w:hideMark/>
          </w:tcPr>
          <w:p w14:paraId="2DEAF95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324 (12.9)</w:t>
            </w:r>
          </w:p>
        </w:tc>
      </w:tr>
      <w:tr w:rsidR="00567BC5" w:rsidRPr="00F1506F" w14:paraId="4CA59587" w14:textId="77777777" w:rsidTr="00B8371A">
        <w:tc>
          <w:tcPr>
            <w:tcW w:w="4410" w:type="dxa"/>
            <w:shd w:val="clear" w:color="auto" w:fill="auto"/>
            <w:tcMar>
              <w:top w:w="0" w:type="dxa"/>
              <w:left w:w="75" w:type="dxa"/>
              <w:bottom w:w="0" w:type="dxa"/>
              <w:right w:w="75" w:type="dxa"/>
            </w:tcMar>
            <w:vAlign w:val="center"/>
            <w:hideMark/>
          </w:tcPr>
          <w:p w14:paraId="10F8A1C4"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Chronic Pulmonary Disease (%)</w:t>
            </w:r>
          </w:p>
        </w:tc>
        <w:tc>
          <w:tcPr>
            <w:tcW w:w="1440" w:type="dxa"/>
            <w:shd w:val="clear" w:color="auto" w:fill="auto"/>
            <w:tcMar>
              <w:top w:w="0" w:type="dxa"/>
              <w:left w:w="75" w:type="dxa"/>
              <w:bottom w:w="0" w:type="dxa"/>
              <w:right w:w="75" w:type="dxa"/>
            </w:tcMar>
            <w:vAlign w:val="center"/>
            <w:hideMark/>
          </w:tcPr>
          <w:p w14:paraId="2D628DCF"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657 (43.6)</w:t>
            </w:r>
          </w:p>
        </w:tc>
        <w:tc>
          <w:tcPr>
            <w:tcW w:w="1260" w:type="dxa"/>
            <w:shd w:val="clear" w:color="auto" w:fill="auto"/>
            <w:tcMar>
              <w:top w:w="0" w:type="dxa"/>
              <w:left w:w="75" w:type="dxa"/>
              <w:bottom w:w="0" w:type="dxa"/>
              <w:right w:w="75" w:type="dxa"/>
            </w:tcMar>
            <w:vAlign w:val="center"/>
            <w:hideMark/>
          </w:tcPr>
          <w:p w14:paraId="38E6FB1E"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282 (27.9)</w:t>
            </w:r>
          </w:p>
        </w:tc>
        <w:tc>
          <w:tcPr>
            <w:tcW w:w="1080" w:type="dxa"/>
            <w:shd w:val="clear" w:color="auto" w:fill="auto"/>
            <w:tcMar>
              <w:top w:w="0" w:type="dxa"/>
              <w:left w:w="75" w:type="dxa"/>
              <w:bottom w:w="0" w:type="dxa"/>
              <w:right w:w="75" w:type="dxa"/>
            </w:tcMar>
            <w:vAlign w:val="center"/>
            <w:hideMark/>
          </w:tcPr>
          <w:p w14:paraId="103C7B3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7B5024E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939 (37.3)</w:t>
            </w:r>
          </w:p>
        </w:tc>
      </w:tr>
      <w:tr w:rsidR="00567BC5" w:rsidRPr="00F1506F" w14:paraId="64D1A1C0" w14:textId="77777777" w:rsidTr="00B8371A">
        <w:tc>
          <w:tcPr>
            <w:tcW w:w="4410" w:type="dxa"/>
            <w:shd w:val="clear" w:color="auto" w:fill="auto"/>
            <w:tcMar>
              <w:top w:w="0" w:type="dxa"/>
              <w:left w:w="75" w:type="dxa"/>
              <w:bottom w:w="0" w:type="dxa"/>
              <w:right w:w="75" w:type="dxa"/>
            </w:tcMar>
            <w:vAlign w:val="center"/>
            <w:hideMark/>
          </w:tcPr>
          <w:p w14:paraId="07663895"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Paralysis (%)</w:t>
            </w:r>
          </w:p>
        </w:tc>
        <w:tc>
          <w:tcPr>
            <w:tcW w:w="1440" w:type="dxa"/>
            <w:shd w:val="clear" w:color="auto" w:fill="auto"/>
            <w:tcMar>
              <w:top w:w="0" w:type="dxa"/>
              <w:left w:w="75" w:type="dxa"/>
              <w:bottom w:w="0" w:type="dxa"/>
              <w:right w:w="75" w:type="dxa"/>
            </w:tcMar>
            <w:vAlign w:val="center"/>
            <w:hideMark/>
          </w:tcPr>
          <w:p w14:paraId="77956C1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242 (16.1)</w:t>
            </w:r>
          </w:p>
        </w:tc>
        <w:tc>
          <w:tcPr>
            <w:tcW w:w="1260" w:type="dxa"/>
            <w:shd w:val="clear" w:color="auto" w:fill="auto"/>
            <w:tcMar>
              <w:top w:w="0" w:type="dxa"/>
              <w:left w:w="75" w:type="dxa"/>
              <w:bottom w:w="0" w:type="dxa"/>
              <w:right w:w="75" w:type="dxa"/>
            </w:tcMar>
            <w:vAlign w:val="center"/>
            <w:hideMark/>
          </w:tcPr>
          <w:p w14:paraId="3A61996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78 (7.7)</w:t>
            </w:r>
          </w:p>
        </w:tc>
        <w:tc>
          <w:tcPr>
            <w:tcW w:w="1080" w:type="dxa"/>
            <w:shd w:val="clear" w:color="auto" w:fill="auto"/>
            <w:tcMar>
              <w:top w:w="0" w:type="dxa"/>
              <w:left w:w="75" w:type="dxa"/>
              <w:bottom w:w="0" w:type="dxa"/>
              <w:right w:w="75" w:type="dxa"/>
            </w:tcMar>
            <w:vAlign w:val="center"/>
            <w:hideMark/>
          </w:tcPr>
          <w:p w14:paraId="4D462063"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1655635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320 (12.7)</w:t>
            </w:r>
          </w:p>
        </w:tc>
      </w:tr>
      <w:tr w:rsidR="00567BC5" w:rsidRPr="00F1506F" w14:paraId="6E8B983B" w14:textId="77777777" w:rsidTr="00B8371A">
        <w:tc>
          <w:tcPr>
            <w:tcW w:w="4410" w:type="dxa"/>
            <w:shd w:val="clear" w:color="auto" w:fill="auto"/>
            <w:tcMar>
              <w:top w:w="0" w:type="dxa"/>
              <w:left w:w="75" w:type="dxa"/>
              <w:bottom w:w="0" w:type="dxa"/>
              <w:right w:w="75" w:type="dxa"/>
            </w:tcMar>
            <w:vAlign w:val="center"/>
            <w:hideMark/>
          </w:tcPr>
          <w:p w14:paraId="59374114"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Renal Disease (%)</w:t>
            </w:r>
          </w:p>
        </w:tc>
        <w:tc>
          <w:tcPr>
            <w:tcW w:w="1440" w:type="dxa"/>
            <w:shd w:val="clear" w:color="auto" w:fill="auto"/>
            <w:tcMar>
              <w:top w:w="0" w:type="dxa"/>
              <w:left w:w="75" w:type="dxa"/>
              <w:bottom w:w="0" w:type="dxa"/>
              <w:right w:w="75" w:type="dxa"/>
            </w:tcMar>
            <w:vAlign w:val="center"/>
            <w:hideMark/>
          </w:tcPr>
          <w:p w14:paraId="37C87F8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658 (43.7)</w:t>
            </w:r>
          </w:p>
        </w:tc>
        <w:tc>
          <w:tcPr>
            <w:tcW w:w="1260" w:type="dxa"/>
            <w:shd w:val="clear" w:color="auto" w:fill="auto"/>
            <w:tcMar>
              <w:top w:w="0" w:type="dxa"/>
              <w:left w:w="75" w:type="dxa"/>
              <w:bottom w:w="0" w:type="dxa"/>
              <w:right w:w="75" w:type="dxa"/>
            </w:tcMar>
            <w:vAlign w:val="center"/>
            <w:hideMark/>
          </w:tcPr>
          <w:p w14:paraId="21D1EB3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224 (22.1)</w:t>
            </w:r>
          </w:p>
        </w:tc>
        <w:tc>
          <w:tcPr>
            <w:tcW w:w="1080" w:type="dxa"/>
            <w:shd w:val="clear" w:color="auto" w:fill="auto"/>
            <w:tcMar>
              <w:top w:w="0" w:type="dxa"/>
              <w:left w:w="75" w:type="dxa"/>
              <w:bottom w:w="0" w:type="dxa"/>
              <w:right w:w="75" w:type="dxa"/>
            </w:tcMar>
            <w:vAlign w:val="center"/>
            <w:hideMark/>
          </w:tcPr>
          <w:p w14:paraId="0D38554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452D1BA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882 (35.0)</w:t>
            </w:r>
          </w:p>
        </w:tc>
      </w:tr>
      <w:tr w:rsidR="00567BC5" w:rsidRPr="00F1506F" w14:paraId="2FD7E5EE" w14:textId="77777777" w:rsidTr="00B8371A">
        <w:tc>
          <w:tcPr>
            <w:tcW w:w="4410" w:type="dxa"/>
            <w:shd w:val="clear" w:color="auto" w:fill="auto"/>
            <w:tcMar>
              <w:top w:w="0" w:type="dxa"/>
              <w:left w:w="75" w:type="dxa"/>
              <w:bottom w:w="0" w:type="dxa"/>
              <w:right w:w="75" w:type="dxa"/>
            </w:tcMar>
            <w:vAlign w:val="center"/>
            <w:hideMark/>
          </w:tcPr>
          <w:p w14:paraId="7C5C0E35"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HIV/AIDS (%)</w:t>
            </w:r>
          </w:p>
        </w:tc>
        <w:tc>
          <w:tcPr>
            <w:tcW w:w="1440" w:type="dxa"/>
            <w:shd w:val="clear" w:color="auto" w:fill="auto"/>
            <w:tcMar>
              <w:top w:w="0" w:type="dxa"/>
              <w:left w:w="75" w:type="dxa"/>
              <w:bottom w:w="0" w:type="dxa"/>
              <w:right w:w="75" w:type="dxa"/>
            </w:tcMar>
            <w:vAlign w:val="center"/>
            <w:hideMark/>
          </w:tcPr>
          <w:p w14:paraId="729A1457"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 (0.7)</w:t>
            </w:r>
          </w:p>
        </w:tc>
        <w:tc>
          <w:tcPr>
            <w:tcW w:w="1260" w:type="dxa"/>
            <w:shd w:val="clear" w:color="auto" w:fill="auto"/>
            <w:tcMar>
              <w:top w:w="0" w:type="dxa"/>
              <w:left w:w="75" w:type="dxa"/>
              <w:bottom w:w="0" w:type="dxa"/>
              <w:right w:w="75" w:type="dxa"/>
            </w:tcMar>
            <w:vAlign w:val="center"/>
            <w:hideMark/>
          </w:tcPr>
          <w:p w14:paraId="1C0B4F02"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 (0.2)</w:t>
            </w:r>
          </w:p>
        </w:tc>
        <w:tc>
          <w:tcPr>
            <w:tcW w:w="1080" w:type="dxa"/>
            <w:shd w:val="clear" w:color="auto" w:fill="auto"/>
            <w:tcMar>
              <w:top w:w="0" w:type="dxa"/>
              <w:left w:w="75" w:type="dxa"/>
              <w:bottom w:w="0" w:type="dxa"/>
              <w:right w:w="75" w:type="dxa"/>
            </w:tcMar>
            <w:vAlign w:val="center"/>
            <w:hideMark/>
          </w:tcPr>
          <w:p w14:paraId="78E2CDE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0.170</w:t>
            </w:r>
          </w:p>
        </w:tc>
        <w:tc>
          <w:tcPr>
            <w:tcW w:w="1260" w:type="dxa"/>
            <w:shd w:val="clear" w:color="auto" w:fill="auto"/>
            <w:tcMar>
              <w:top w:w="0" w:type="dxa"/>
              <w:left w:w="75" w:type="dxa"/>
              <w:bottom w:w="0" w:type="dxa"/>
              <w:right w:w="75" w:type="dxa"/>
            </w:tcMar>
            <w:vAlign w:val="center"/>
            <w:hideMark/>
          </w:tcPr>
          <w:p w14:paraId="3000F58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12 (0.5)</w:t>
            </w:r>
          </w:p>
        </w:tc>
      </w:tr>
      <w:tr w:rsidR="00567BC5" w:rsidRPr="00F1506F" w14:paraId="2C414869" w14:textId="77777777" w:rsidTr="00B8371A">
        <w:tc>
          <w:tcPr>
            <w:tcW w:w="4410" w:type="dxa"/>
            <w:shd w:val="clear" w:color="auto" w:fill="auto"/>
            <w:tcMar>
              <w:top w:w="0" w:type="dxa"/>
              <w:left w:w="75" w:type="dxa"/>
              <w:bottom w:w="0" w:type="dxa"/>
              <w:right w:w="75" w:type="dxa"/>
            </w:tcMar>
            <w:vAlign w:val="center"/>
            <w:hideMark/>
          </w:tcPr>
          <w:p w14:paraId="089CA38C"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Diabetes (%)</w:t>
            </w:r>
          </w:p>
        </w:tc>
        <w:tc>
          <w:tcPr>
            <w:tcW w:w="1440" w:type="dxa"/>
            <w:shd w:val="clear" w:color="auto" w:fill="auto"/>
            <w:tcMar>
              <w:top w:w="0" w:type="dxa"/>
              <w:left w:w="75" w:type="dxa"/>
              <w:bottom w:w="0" w:type="dxa"/>
              <w:right w:w="75" w:type="dxa"/>
            </w:tcMar>
            <w:vAlign w:val="center"/>
            <w:hideMark/>
          </w:tcPr>
          <w:p w14:paraId="7C3ADB4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576 (38.2)</w:t>
            </w:r>
          </w:p>
        </w:tc>
        <w:tc>
          <w:tcPr>
            <w:tcW w:w="1260" w:type="dxa"/>
            <w:shd w:val="clear" w:color="auto" w:fill="auto"/>
            <w:tcMar>
              <w:top w:w="0" w:type="dxa"/>
              <w:left w:w="75" w:type="dxa"/>
              <w:bottom w:w="0" w:type="dxa"/>
              <w:right w:w="75" w:type="dxa"/>
            </w:tcMar>
            <w:vAlign w:val="center"/>
            <w:hideMark/>
          </w:tcPr>
          <w:p w14:paraId="78FBB73E"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273 (27.0)</w:t>
            </w:r>
          </w:p>
        </w:tc>
        <w:tc>
          <w:tcPr>
            <w:tcW w:w="1080" w:type="dxa"/>
            <w:shd w:val="clear" w:color="auto" w:fill="auto"/>
            <w:tcMar>
              <w:top w:w="0" w:type="dxa"/>
              <w:left w:w="75" w:type="dxa"/>
              <w:bottom w:w="0" w:type="dxa"/>
              <w:right w:w="75" w:type="dxa"/>
            </w:tcMar>
            <w:vAlign w:val="center"/>
            <w:hideMark/>
          </w:tcPr>
          <w:p w14:paraId="6BB1AE0C"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1A6EEB3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849 (33.7)</w:t>
            </w:r>
          </w:p>
        </w:tc>
      </w:tr>
      <w:tr w:rsidR="00567BC5" w:rsidRPr="00F1506F" w14:paraId="1ECFD384" w14:textId="77777777" w:rsidTr="00B8371A">
        <w:tc>
          <w:tcPr>
            <w:tcW w:w="4410" w:type="dxa"/>
            <w:shd w:val="clear" w:color="auto" w:fill="auto"/>
            <w:tcMar>
              <w:top w:w="0" w:type="dxa"/>
              <w:left w:w="75" w:type="dxa"/>
              <w:bottom w:w="0" w:type="dxa"/>
              <w:right w:w="75" w:type="dxa"/>
            </w:tcMar>
            <w:vAlign w:val="center"/>
            <w:hideMark/>
          </w:tcPr>
          <w:p w14:paraId="5F83B1EB"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Any Malignancy (%)</w:t>
            </w:r>
          </w:p>
        </w:tc>
        <w:tc>
          <w:tcPr>
            <w:tcW w:w="1440" w:type="dxa"/>
            <w:shd w:val="clear" w:color="auto" w:fill="auto"/>
            <w:tcMar>
              <w:top w:w="0" w:type="dxa"/>
              <w:left w:w="75" w:type="dxa"/>
              <w:bottom w:w="0" w:type="dxa"/>
              <w:right w:w="75" w:type="dxa"/>
            </w:tcMar>
            <w:vAlign w:val="center"/>
            <w:hideMark/>
          </w:tcPr>
          <w:p w14:paraId="5A4D730A"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261 (17.3)</w:t>
            </w:r>
          </w:p>
        </w:tc>
        <w:tc>
          <w:tcPr>
            <w:tcW w:w="1260" w:type="dxa"/>
            <w:shd w:val="clear" w:color="auto" w:fill="auto"/>
            <w:tcMar>
              <w:top w:w="0" w:type="dxa"/>
              <w:left w:w="75" w:type="dxa"/>
              <w:bottom w:w="0" w:type="dxa"/>
              <w:right w:w="75" w:type="dxa"/>
            </w:tcMar>
            <w:vAlign w:val="center"/>
            <w:hideMark/>
          </w:tcPr>
          <w:p w14:paraId="68432B5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101 (10.0)</w:t>
            </w:r>
          </w:p>
        </w:tc>
        <w:tc>
          <w:tcPr>
            <w:tcW w:w="1080" w:type="dxa"/>
            <w:shd w:val="clear" w:color="auto" w:fill="auto"/>
            <w:tcMar>
              <w:top w:w="0" w:type="dxa"/>
              <w:left w:w="75" w:type="dxa"/>
              <w:bottom w:w="0" w:type="dxa"/>
              <w:right w:w="75" w:type="dxa"/>
            </w:tcMar>
            <w:vAlign w:val="center"/>
            <w:hideMark/>
          </w:tcPr>
          <w:p w14:paraId="73E260E0"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4EAB5B06"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362 (14.4)</w:t>
            </w:r>
          </w:p>
        </w:tc>
      </w:tr>
      <w:tr w:rsidR="00567BC5" w:rsidRPr="00F1506F" w14:paraId="68CB38DF" w14:textId="77777777" w:rsidTr="00B8371A">
        <w:tc>
          <w:tcPr>
            <w:tcW w:w="4410" w:type="dxa"/>
            <w:shd w:val="clear" w:color="auto" w:fill="auto"/>
            <w:tcMar>
              <w:top w:w="0" w:type="dxa"/>
              <w:left w:w="75" w:type="dxa"/>
              <w:bottom w:w="0" w:type="dxa"/>
              <w:right w:w="75" w:type="dxa"/>
            </w:tcMar>
            <w:vAlign w:val="center"/>
            <w:hideMark/>
          </w:tcPr>
          <w:p w14:paraId="25F23CBB"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Charlson Comorbidity Index (median [IQR])</w:t>
            </w:r>
          </w:p>
        </w:tc>
        <w:tc>
          <w:tcPr>
            <w:tcW w:w="1440" w:type="dxa"/>
            <w:shd w:val="clear" w:color="auto" w:fill="auto"/>
            <w:tcMar>
              <w:top w:w="0" w:type="dxa"/>
              <w:left w:w="75" w:type="dxa"/>
              <w:bottom w:w="0" w:type="dxa"/>
              <w:right w:w="75" w:type="dxa"/>
            </w:tcMar>
            <w:vAlign w:val="center"/>
            <w:hideMark/>
          </w:tcPr>
          <w:p w14:paraId="59109A3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4 [2, 7]</w:t>
            </w:r>
          </w:p>
        </w:tc>
        <w:tc>
          <w:tcPr>
            <w:tcW w:w="1260" w:type="dxa"/>
            <w:shd w:val="clear" w:color="auto" w:fill="auto"/>
            <w:tcMar>
              <w:top w:w="0" w:type="dxa"/>
              <w:left w:w="75" w:type="dxa"/>
              <w:bottom w:w="0" w:type="dxa"/>
              <w:right w:w="75" w:type="dxa"/>
            </w:tcMar>
            <w:vAlign w:val="center"/>
            <w:hideMark/>
          </w:tcPr>
          <w:p w14:paraId="6CF9FADD"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 [0, 4]</w:t>
            </w:r>
          </w:p>
        </w:tc>
        <w:tc>
          <w:tcPr>
            <w:tcW w:w="1080" w:type="dxa"/>
            <w:shd w:val="clear" w:color="auto" w:fill="auto"/>
            <w:tcMar>
              <w:top w:w="0" w:type="dxa"/>
              <w:left w:w="75" w:type="dxa"/>
              <w:bottom w:w="0" w:type="dxa"/>
              <w:right w:w="75" w:type="dxa"/>
            </w:tcMar>
            <w:vAlign w:val="center"/>
            <w:hideMark/>
          </w:tcPr>
          <w:p w14:paraId="4D19CEEB"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60" w:type="dxa"/>
            <w:shd w:val="clear" w:color="auto" w:fill="auto"/>
            <w:tcMar>
              <w:top w:w="0" w:type="dxa"/>
              <w:left w:w="75" w:type="dxa"/>
              <w:bottom w:w="0" w:type="dxa"/>
              <w:right w:w="75" w:type="dxa"/>
            </w:tcMar>
            <w:vAlign w:val="center"/>
            <w:hideMark/>
          </w:tcPr>
          <w:p w14:paraId="7223F718" w14:textId="77777777" w:rsidR="00567BC5" w:rsidRPr="00F1506F" w:rsidRDefault="00567BC5" w:rsidP="00B8371A">
            <w:pPr>
              <w:spacing w:after="0" w:line="360" w:lineRule="auto"/>
              <w:jc w:val="right"/>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 [1, 6]</w:t>
            </w:r>
          </w:p>
        </w:tc>
      </w:tr>
    </w:tbl>
    <w:p w14:paraId="5751A53E" w14:textId="77777777" w:rsidR="00567BC5" w:rsidRPr="00F1506F" w:rsidRDefault="00567BC5" w:rsidP="00567BC5">
      <w:pPr>
        <w:spacing w:after="0" w:line="360" w:lineRule="auto"/>
        <w:rPr>
          <w:rFonts w:ascii="Times New Roman" w:hAnsi="Times New Roman" w:cs="Times New Roman"/>
          <w:szCs w:val="20"/>
        </w:rPr>
      </w:pPr>
      <w:r w:rsidRPr="00F1506F">
        <w:rPr>
          <w:rFonts w:ascii="Times New Roman" w:hAnsi="Times New Roman" w:cs="Times New Roman"/>
          <w:b/>
          <w:bCs/>
          <w:szCs w:val="20"/>
        </w:rPr>
        <w:t>Abbreviations:</w:t>
      </w:r>
      <w:r w:rsidRPr="00F1506F">
        <w:rPr>
          <w:rFonts w:ascii="Times New Roman" w:hAnsi="Times New Roman" w:cs="Times New Roman"/>
          <w:szCs w:val="20"/>
        </w:rPr>
        <w:t xml:space="preserve"> IQR, interquartile range; CP-CRE, carbapenemase-producing CRE; LOS, length of stay; Short-term ACHs, short-term acute care hospitals; LTACHs, long-term acute ate hospitals; SNF, skilled nursing facilities</w:t>
      </w:r>
      <w:r w:rsidRPr="00F1506F">
        <w:rPr>
          <w:rFonts w:ascii="Times New Roman" w:eastAsia="Calibri" w:hAnsi="Times New Roman" w:cs="Times New Roman"/>
          <w:szCs w:val="20"/>
        </w:rPr>
        <w:t>.</w:t>
      </w:r>
    </w:p>
    <w:p w14:paraId="723D1A61" w14:textId="77777777" w:rsidR="00567BC5" w:rsidRPr="00F1506F" w:rsidRDefault="00567BC5" w:rsidP="00567BC5">
      <w:pPr>
        <w:spacing w:after="0" w:line="360" w:lineRule="auto"/>
        <w:rPr>
          <w:rFonts w:ascii="Times New Roman" w:hAnsi="Times New Roman" w:cs="Times New Roman"/>
          <w:szCs w:val="20"/>
        </w:rPr>
      </w:pPr>
      <w:r w:rsidRPr="00F1506F">
        <w:rPr>
          <w:rFonts w:ascii="Times New Roman" w:hAnsi="Times New Roman" w:cs="Times New Roman"/>
          <w:szCs w:val="20"/>
        </w:rPr>
        <w:t>*p-values were calculated using Kruskal-Wallis test for continuous variables and Chi-square for categorical variable.</w:t>
      </w:r>
    </w:p>
    <w:p w14:paraId="2D29F9CB" w14:textId="77777777" w:rsidR="00567BC5" w:rsidRPr="00F1506F" w:rsidRDefault="00567BC5" w:rsidP="00567BC5">
      <w:pPr>
        <w:spacing w:after="0" w:line="360" w:lineRule="auto"/>
        <w:rPr>
          <w:rFonts w:ascii="Times New Roman" w:hAnsi="Times New Roman" w:cs="Times New Roman"/>
          <w:szCs w:val="20"/>
        </w:rPr>
      </w:pPr>
      <w:r w:rsidRPr="00F1506F">
        <w:rPr>
          <w:rFonts w:ascii="Times New Roman" w:hAnsi="Times New Roman" w:cs="Times New Roman"/>
          <w:szCs w:val="20"/>
          <w:vertAlign w:val="superscript"/>
        </w:rPr>
        <w:t>$</w:t>
      </w:r>
      <w:r w:rsidRPr="00F1506F">
        <w:rPr>
          <w:rFonts w:ascii="Times New Roman" w:hAnsi="Times New Roman" w:cs="Times New Roman"/>
          <w:szCs w:val="20"/>
        </w:rPr>
        <w:t xml:space="preserve"> The displayed median total length of stay at LTACHs and SHORT-TERM ACHs was calculated among patients with previous LTACH and SHORT-TERM ACH stays only, respectively.</w:t>
      </w:r>
    </w:p>
    <w:p w14:paraId="3E60B2A5" w14:textId="77777777" w:rsidR="00567BC5" w:rsidRPr="00F1506F" w:rsidRDefault="00567BC5" w:rsidP="00567BC5">
      <w:pPr>
        <w:rPr>
          <w:rFonts w:ascii="Times New Roman" w:hAnsi="Times New Roman" w:cs="Times New Roman"/>
          <w:szCs w:val="20"/>
        </w:rPr>
      </w:pPr>
      <w:r w:rsidRPr="00F1506F">
        <w:rPr>
          <w:rFonts w:ascii="Times New Roman" w:hAnsi="Times New Roman" w:cs="Times New Roman"/>
          <w:szCs w:val="20"/>
        </w:rPr>
        <w:br w:type="page"/>
      </w:r>
    </w:p>
    <w:p w14:paraId="1EB22BE0" w14:textId="77777777" w:rsidR="00567BC5" w:rsidRPr="00F1506F" w:rsidRDefault="00567BC5" w:rsidP="00567BC5">
      <w:pPr>
        <w:spacing w:line="360" w:lineRule="auto"/>
        <w:rPr>
          <w:rFonts w:ascii="Times New Roman" w:hAnsi="Times New Roman" w:cs="Times New Roman"/>
          <w:szCs w:val="24"/>
        </w:rPr>
        <w:sectPr w:rsidR="00567BC5" w:rsidRPr="00F1506F" w:rsidSect="00567BC5">
          <w:headerReference w:type="default" r:id="rId5"/>
          <w:pgSz w:w="12240" w:h="15840" w:code="1"/>
          <w:pgMar w:top="1440" w:right="1440" w:bottom="990" w:left="1440" w:header="720" w:footer="720" w:gutter="0"/>
          <w:cols w:space="720"/>
          <w:docGrid w:linePitch="360"/>
        </w:sectPr>
      </w:pPr>
    </w:p>
    <w:p w14:paraId="3449F23D" w14:textId="77777777" w:rsidR="00567BC5" w:rsidRPr="00F1506F" w:rsidRDefault="00567BC5" w:rsidP="00567BC5">
      <w:pPr>
        <w:spacing w:line="360" w:lineRule="auto"/>
        <w:rPr>
          <w:rFonts w:ascii="Times New Roman" w:hAnsi="Times New Roman" w:cs="Times New Roman"/>
          <w:b/>
          <w:bCs/>
          <w:szCs w:val="24"/>
        </w:rPr>
      </w:pPr>
      <w:r w:rsidRPr="00F1506F">
        <w:rPr>
          <w:rFonts w:ascii="Times New Roman" w:hAnsi="Times New Roman" w:cs="Times New Roman"/>
          <w:b/>
          <w:bCs/>
          <w:szCs w:val="24"/>
        </w:rPr>
        <w:t xml:space="preserve">Table S2. Multivariable Cox Regression Model Estimating the Readmissions of CRE cases within 365 days (Risk Factor Model) July 2015 – September 2019, </w:t>
      </w:r>
      <w:proofErr w:type="spellStart"/>
      <w:r w:rsidRPr="00F1506F">
        <w:rPr>
          <w:rFonts w:ascii="Times New Roman" w:hAnsi="Times New Roman" w:cs="Times New Roman"/>
          <w:b/>
          <w:bCs/>
          <w:szCs w:val="24"/>
        </w:rPr>
        <w:t>Tennesssee</w:t>
      </w:r>
      <w:proofErr w:type="spellEnd"/>
    </w:p>
    <w:tbl>
      <w:tblPr>
        <w:tblW w:w="12240" w:type="dxa"/>
        <w:tblInd w:w="-180" w:type="dxa"/>
        <w:tblBorders>
          <w:top w:val="single" w:sz="12" w:space="0" w:color="111111"/>
          <w:bottom w:val="single" w:sz="12" w:space="0" w:color="111111"/>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09"/>
        <w:gridCol w:w="1531"/>
        <w:gridCol w:w="1866"/>
        <w:gridCol w:w="990"/>
        <w:gridCol w:w="1215"/>
        <w:gridCol w:w="1967"/>
        <w:gridCol w:w="1162"/>
      </w:tblGrid>
      <w:tr w:rsidR="00567BC5" w:rsidRPr="00F1506F" w14:paraId="5C359085" w14:textId="77777777" w:rsidTr="00B8371A">
        <w:trPr>
          <w:tblHeader/>
        </w:trPr>
        <w:tc>
          <w:tcPr>
            <w:tcW w:w="3509" w:type="dxa"/>
            <w:vMerge w:val="restart"/>
            <w:tcBorders>
              <w:top w:val="single" w:sz="12" w:space="0" w:color="111111"/>
              <w:bottom w:val="single" w:sz="12" w:space="0" w:color="111111"/>
            </w:tcBorders>
            <w:shd w:val="clear" w:color="auto" w:fill="FFFFFF" w:themeFill="background1"/>
            <w:tcMar>
              <w:top w:w="0" w:type="dxa"/>
              <w:left w:w="75" w:type="dxa"/>
              <w:bottom w:w="0" w:type="dxa"/>
              <w:right w:w="75" w:type="dxa"/>
            </w:tcMar>
            <w:vAlign w:val="center"/>
            <w:hideMark/>
          </w:tcPr>
          <w:p w14:paraId="13DEDB0A" w14:textId="77777777" w:rsidR="00567BC5" w:rsidRPr="00F1506F" w:rsidRDefault="00567BC5" w:rsidP="00B8371A">
            <w:pPr>
              <w:spacing w:after="0" w:line="360" w:lineRule="auto"/>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Patient Characteristics</w:t>
            </w:r>
          </w:p>
        </w:tc>
        <w:tc>
          <w:tcPr>
            <w:tcW w:w="4387" w:type="dxa"/>
            <w:gridSpan w:val="3"/>
            <w:tcBorders>
              <w:top w:val="single" w:sz="12" w:space="0" w:color="auto"/>
              <w:bottom w:val="single" w:sz="12" w:space="0" w:color="auto"/>
            </w:tcBorders>
            <w:shd w:val="clear" w:color="auto" w:fill="FFFFFF" w:themeFill="background1"/>
            <w:tcMar>
              <w:top w:w="0" w:type="dxa"/>
              <w:left w:w="45" w:type="dxa"/>
              <w:bottom w:w="0" w:type="dxa"/>
              <w:right w:w="45" w:type="dxa"/>
            </w:tcMar>
            <w:vAlign w:val="center"/>
            <w:hideMark/>
          </w:tcPr>
          <w:p w14:paraId="6785D00B"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Univariable Model</w:t>
            </w:r>
          </w:p>
        </w:tc>
        <w:tc>
          <w:tcPr>
            <w:tcW w:w="4344" w:type="dxa"/>
            <w:gridSpan w:val="3"/>
            <w:tcBorders>
              <w:top w:val="single" w:sz="12" w:space="0" w:color="auto"/>
              <w:bottom w:val="single" w:sz="12" w:space="0" w:color="auto"/>
            </w:tcBorders>
            <w:shd w:val="clear" w:color="auto" w:fill="FFFFFF" w:themeFill="background1"/>
            <w:tcMar>
              <w:top w:w="0" w:type="dxa"/>
              <w:left w:w="45" w:type="dxa"/>
              <w:bottom w:w="0" w:type="dxa"/>
              <w:right w:w="45" w:type="dxa"/>
            </w:tcMar>
            <w:vAlign w:val="center"/>
            <w:hideMark/>
          </w:tcPr>
          <w:p w14:paraId="138B25CB"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Multivariable Imputed Model</w:t>
            </w:r>
          </w:p>
        </w:tc>
      </w:tr>
      <w:tr w:rsidR="00567BC5" w:rsidRPr="00F1506F" w14:paraId="09AF2778" w14:textId="77777777" w:rsidTr="00B8371A">
        <w:trPr>
          <w:tblHeader/>
        </w:trPr>
        <w:tc>
          <w:tcPr>
            <w:tcW w:w="3509" w:type="dxa"/>
            <w:vMerge/>
            <w:tcBorders>
              <w:top w:val="single" w:sz="4" w:space="0" w:color="auto"/>
              <w:bottom w:val="single" w:sz="12" w:space="0" w:color="111111"/>
            </w:tcBorders>
            <w:tcMar>
              <w:top w:w="0" w:type="dxa"/>
              <w:left w:w="75" w:type="dxa"/>
              <w:bottom w:w="0" w:type="dxa"/>
              <w:right w:w="75" w:type="dxa"/>
            </w:tcMar>
            <w:vAlign w:val="center"/>
            <w:hideMark/>
          </w:tcPr>
          <w:p w14:paraId="0DF62BDD" w14:textId="77777777" w:rsidR="00567BC5" w:rsidRPr="00F1506F" w:rsidRDefault="00567BC5" w:rsidP="00B8371A">
            <w:pPr>
              <w:spacing w:after="0" w:line="360" w:lineRule="auto"/>
              <w:rPr>
                <w:rFonts w:ascii="Times New Roman" w:eastAsia="Times New Roman" w:hAnsi="Times New Roman" w:cs="Times New Roman"/>
                <w:b/>
                <w:bCs/>
                <w:color w:val="222222"/>
                <w:szCs w:val="20"/>
              </w:rPr>
            </w:pPr>
          </w:p>
        </w:tc>
        <w:tc>
          <w:tcPr>
            <w:tcW w:w="1531" w:type="dxa"/>
            <w:tcBorders>
              <w:bottom w:val="single" w:sz="12" w:space="0" w:color="111111"/>
            </w:tcBorders>
            <w:shd w:val="clear" w:color="auto" w:fill="FFFFFF" w:themeFill="background1"/>
            <w:tcMar>
              <w:top w:w="0" w:type="dxa"/>
              <w:left w:w="75" w:type="dxa"/>
              <w:bottom w:w="0" w:type="dxa"/>
              <w:right w:w="75" w:type="dxa"/>
            </w:tcMar>
            <w:vAlign w:val="center"/>
            <w:hideMark/>
          </w:tcPr>
          <w:p w14:paraId="37FD8631"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Unadjusted HR</w:t>
            </w:r>
          </w:p>
        </w:tc>
        <w:tc>
          <w:tcPr>
            <w:tcW w:w="1866" w:type="dxa"/>
            <w:tcBorders>
              <w:bottom w:val="single" w:sz="12" w:space="0" w:color="111111"/>
            </w:tcBorders>
            <w:shd w:val="clear" w:color="auto" w:fill="FFFFFF" w:themeFill="background1"/>
            <w:tcMar>
              <w:top w:w="0" w:type="dxa"/>
              <w:left w:w="75" w:type="dxa"/>
              <w:bottom w:w="0" w:type="dxa"/>
              <w:right w:w="75" w:type="dxa"/>
            </w:tcMar>
            <w:vAlign w:val="center"/>
            <w:hideMark/>
          </w:tcPr>
          <w:p w14:paraId="1411D587"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(95% CI)</w:t>
            </w:r>
          </w:p>
        </w:tc>
        <w:tc>
          <w:tcPr>
            <w:tcW w:w="990" w:type="dxa"/>
            <w:tcBorders>
              <w:bottom w:val="single" w:sz="12" w:space="0" w:color="111111"/>
            </w:tcBorders>
            <w:shd w:val="clear" w:color="auto" w:fill="FFFFFF" w:themeFill="background1"/>
            <w:tcMar>
              <w:top w:w="0" w:type="dxa"/>
              <w:left w:w="75" w:type="dxa"/>
              <w:bottom w:w="0" w:type="dxa"/>
              <w:right w:w="75" w:type="dxa"/>
            </w:tcMar>
            <w:vAlign w:val="center"/>
            <w:hideMark/>
          </w:tcPr>
          <w:p w14:paraId="0B3959B6"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p-value</w:t>
            </w:r>
          </w:p>
        </w:tc>
        <w:tc>
          <w:tcPr>
            <w:tcW w:w="1215" w:type="dxa"/>
            <w:tcBorders>
              <w:bottom w:val="single" w:sz="12" w:space="0" w:color="111111"/>
            </w:tcBorders>
            <w:shd w:val="clear" w:color="auto" w:fill="FFFFFF" w:themeFill="background1"/>
            <w:tcMar>
              <w:top w:w="0" w:type="dxa"/>
              <w:left w:w="75" w:type="dxa"/>
              <w:bottom w:w="0" w:type="dxa"/>
              <w:right w:w="75" w:type="dxa"/>
            </w:tcMar>
            <w:vAlign w:val="center"/>
            <w:hideMark/>
          </w:tcPr>
          <w:p w14:paraId="32336167"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Adjusted HR</w:t>
            </w:r>
          </w:p>
        </w:tc>
        <w:tc>
          <w:tcPr>
            <w:tcW w:w="1967" w:type="dxa"/>
            <w:tcBorders>
              <w:bottom w:val="single" w:sz="12" w:space="0" w:color="111111"/>
            </w:tcBorders>
            <w:shd w:val="clear" w:color="auto" w:fill="FFFFFF" w:themeFill="background1"/>
            <w:tcMar>
              <w:top w:w="0" w:type="dxa"/>
              <w:left w:w="75" w:type="dxa"/>
              <w:bottom w:w="0" w:type="dxa"/>
              <w:right w:w="75" w:type="dxa"/>
            </w:tcMar>
            <w:vAlign w:val="center"/>
            <w:hideMark/>
          </w:tcPr>
          <w:p w14:paraId="782C6E6D"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(95% CI)</w:t>
            </w:r>
          </w:p>
        </w:tc>
        <w:tc>
          <w:tcPr>
            <w:tcW w:w="1162" w:type="dxa"/>
            <w:tcBorders>
              <w:bottom w:val="single" w:sz="12" w:space="0" w:color="111111"/>
            </w:tcBorders>
            <w:shd w:val="clear" w:color="auto" w:fill="FFFFFF" w:themeFill="background1"/>
            <w:tcMar>
              <w:top w:w="0" w:type="dxa"/>
              <w:left w:w="75" w:type="dxa"/>
              <w:bottom w:w="0" w:type="dxa"/>
              <w:right w:w="75" w:type="dxa"/>
            </w:tcMar>
            <w:vAlign w:val="center"/>
            <w:hideMark/>
          </w:tcPr>
          <w:p w14:paraId="5B954CC6" w14:textId="77777777" w:rsidR="00567BC5" w:rsidRPr="00F1506F" w:rsidRDefault="00567BC5" w:rsidP="00B8371A">
            <w:pPr>
              <w:spacing w:after="0" w:line="360" w:lineRule="auto"/>
              <w:jc w:val="center"/>
              <w:rPr>
                <w:rFonts w:ascii="Times New Roman" w:eastAsia="Times New Roman" w:hAnsi="Times New Roman" w:cs="Times New Roman"/>
                <w:b/>
                <w:bCs/>
                <w:color w:val="222222"/>
                <w:szCs w:val="20"/>
              </w:rPr>
            </w:pPr>
            <w:r w:rsidRPr="00F1506F">
              <w:rPr>
                <w:rFonts w:ascii="Times New Roman" w:eastAsia="Times New Roman" w:hAnsi="Times New Roman" w:cs="Times New Roman"/>
                <w:b/>
                <w:bCs/>
                <w:color w:val="222222"/>
                <w:szCs w:val="20"/>
              </w:rPr>
              <w:t>p-value</w:t>
            </w:r>
          </w:p>
        </w:tc>
      </w:tr>
      <w:tr w:rsidR="00567BC5" w:rsidRPr="00F1506F" w14:paraId="1DBE71F5" w14:textId="77777777" w:rsidTr="00B8371A">
        <w:tc>
          <w:tcPr>
            <w:tcW w:w="3509" w:type="dxa"/>
            <w:tcBorders>
              <w:top w:val="single" w:sz="12" w:space="0" w:color="111111"/>
            </w:tcBorders>
            <w:shd w:val="clear" w:color="auto" w:fill="FFFFFF" w:themeFill="background1"/>
            <w:tcMar>
              <w:top w:w="0" w:type="dxa"/>
              <w:left w:w="75" w:type="dxa"/>
              <w:bottom w:w="0" w:type="dxa"/>
              <w:right w:w="75" w:type="dxa"/>
            </w:tcMar>
            <w:vAlign w:val="center"/>
            <w:hideMark/>
          </w:tcPr>
          <w:p w14:paraId="1F89CA69"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Deyo-Charlson Comorbidity Index</w:t>
            </w:r>
          </w:p>
        </w:tc>
        <w:tc>
          <w:tcPr>
            <w:tcW w:w="1531" w:type="dxa"/>
            <w:shd w:val="clear" w:color="auto" w:fill="FFFFFF" w:themeFill="background1"/>
            <w:tcMar>
              <w:top w:w="0" w:type="dxa"/>
              <w:left w:w="75" w:type="dxa"/>
              <w:bottom w:w="0" w:type="dxa"/>
              <w:right w:w="75" w:type="dxa"/>
            </w:tcMar>
            <w:vAlign w:val="center"/>
            <w:hideMark/>
          </w:tcPr>
          <w:p w14:paraId="0426F13E"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1.118</w:t>
            </w:r>
          </w:p>
        </w:tc>
        <w:tc>
          <w:tcPr>
            <w:tcW w:w="1866" w:type="dxa"/>
            <w:shd w:val="clear" w:color="auto" w:fill="FFFFFF" w:themeFill="background1"/>
            <w:tcMar>
              <w:top w:w="0" w:type="dxa"/>
              <w:left w:w="75" w:type="dxa"/>
              <w:bottom w:w="0" w:type="dxa"/>
              <w:right w:w="75" w:type="dxa"/>
            </w:tcMar>
            <w:vAlign w:val="center"/>
            <w:hideMark/>
          </w:tcPr>
          <w:p w14:paraId="65019BDB"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(1.1, 1.135)</w:t>
            </w:r>
          </w:p>
        </w:tc>
        <w:tc>
          <w:tcPr>
            <w:tcW w:w="990" w:type="dxa"/>
            <w:shd w:val="clear" w:color="auto" w:fill="FFFFFF" w:themeFill="background1"/>
            <w:tcMar>
              <w:top w:w="0" w:type="dxa"/>
              <w:left w:w="75" w:type="dxa"/>
              <w:bottom w:w="0" w:type="dxa"/>
              <w:right w:w="75" w:type="dxa"/>
            </w:tcMar>
            <w:vAlign w:val="center"/>
            <w:hideMark/>
          </w:tcPr>
          <w:p w14:paraId="09C51394"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15" w:type="dxa"/>
            <w:shd w:val="clear" w:color="auto" w:fill="FFFFFF" w:themeFill="background1"/>
            <w:tcMar>
              <w:top w:w="0" w:type="dxa"/>
              <w:left w:w="75" w:type="dxa"/>
              <w:bottom w:w="0" w:type="dxa"/>
              <w:right w:w="75" w:type="dxa"/>
            </w:tcMar>
            <w:vAlign w:val="center"/>
            <w:hideMark/>
          </w:tcPr>
          <w:p w14:paraId="688CC14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1.062</w:t>
            </w:r>
          </w:p>
        </w:tc>
        <w:tc>
          <w:tcPr>
            <w:tcW w:w="1967" w:type="dxa"/>
            <w:shd w:val="clear" w:color="auto" w:fill="FFFFFF" w:themeFill="background1"/>
            <w:tcMar>
              <w:top w:w="0" w:type="dxa"/>
              <w:left w:w="75" w:type="dxa"/>
              <w:bottom w:w="0" w:type="dxa"/>
              <w:right w:w="75" w:type="dxa"/>
            </w:tcMar>
            <w:vAlign w:val="center"/>
            <w:hideMark/>
          </w:tcPr>
          <w:p w14:paraId="7ADF7038"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(1.042, 1.083)</w:t>
            </w:r>
          </w:p>
        </w:tc>
        <w:tc>
          <w:tcPr>
            <w:tcW w:w="1162" w:type="dxa"/>
            <w:shd w:val="clear" w:color="auto" w:fill="FFFFFF" w:themeFill="background1"/>
            <w:tcMar>
              <w:top w:w="0" w:type="dxa"/>
              <w:left w:w="75" w:type="dxa"/>
              <w:bottom w:w="0" w:type="dxa"/>
              <w:right w:w="75" w:type="dxa"/>
            </w:tcMar>
            <w:vAlign w:val="center"/>
            <w:hideMark/>
          </w:tcPr>
          <w:p w14:paraId="68E113B8"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r>
      <w:tr w:rsidR="00567BC5" w:rsidRPr="00F1506F" w14:paraId="78170401" w14:textId="77777777" w:rsidTr="00B8371A">
        <w:tc>
          <w:tcPr>
            <w:tcW w:w="3509" w:type="dxa"/>
            <w:shd w:val="clear" w:color="auto" w:fill="FFFFFF" w:themeFill="background1"/>
            <w:tcMar>
              <w:top w:w="0" w:type="dxa"/>
              <w:left w:w="75" w:type="dxa"/>
              <w:bottom w:w="0" w:type="dxa"/>
              <w:right w:w="75" w:type="dxa"/>
            </w:tcMar>
            <w:vAlign w:val="center"/>
            <w:hideMark/>
          </w:tcPr>
          <w:p w14:paraId="2E267E00"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Chronic Lung Diseases</w:t>
            </w:r>
          </w:p>
        </w:tc>
        <w:tc>
          <w:tcPr>
            <w:tcW w:w="1531" w:type="dxa"/>
            <w:shd w:val="clear" w:color="auto" w:fill="FFFFFF" w:themeFill="background1"/>
            <w:tcMar>
              <w:top w:w="0" w:type="dxa"/>
              <w:left w:w="75" w:type="dxa"/>
              <w:bottom w:w="0" w:type="dxa"/>
              <w:right w:w="75" w:type="dxa"/>
            </w:tcMar>
            <w:vAlign w:val="center"/>
            <w:hideMark/>
          </w:tcPr>
          <w:p w14:paraId="15BC901B"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1.637</w:t>
            </w:r>
          </w:p>
        </w:tc>
        <w:tc>
          <w:tcPr>
            <w:tcW w:w="1866" w:type="dxa"/>
            <w:shd w:val="clear" w:color="auto" w:fill="FFFFFF" w:themeFill="background1"/>
            <w:tcMar>
              <w:top w:w="0" w:type="dxa"/>
              <w:left w:w="75" w:type="dxa"/>
              <w:bottom w:w="0" w:type="dxa"/>
              <w:right w:w="75" w:type="dxa"/>
            </w:tcMar>
            <w:vAlign w:val="center"/>
            <w:hideMark/>
          </w:tcPr>
          <w:p w14:paraId="7DF127EF"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(1.457, 1.841)</w:t>
            </w:r>
          </w:p>
        </w:tc>
        <w:tc>
          <w:tcPr>
            <w:tcW w:w="990" w:type="dxa"/>
            <w:shd w:val="clear" w:color="auto" w:fill="FFFFFF" w:themeFill="background1"/>
            <w:tcMar>
              <w:top w:w="0" w:type="dxa"/>
              <w:left w:w="75" w:type="dxa"/>
              <w:bottom w:w="0" w:type="dxa"/>
              <w:right w:w="75" w:type="dxa"/>
            </w:tcMar>
            <w:vAlign w:val="center"/>
            <w:hideMark/>
          </w:tcPr>
          <w:p w14:paraId="2795EAA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15" w:type="dxa"/>
            <w:shd w:val="clear" w:color="auto" w:fill="FFFFFF" w:themeFill="background1"/>
            <w:tcMar>
              <w:top w:w="0" w:type="dxa"/>
              <w:left w:w="75" w:type="dxa"/>
              <w:bottom w:w="0" w:type="dxa"/>
              <w:right w:w="75" w:type="dxa"/>
            </w:tcMar>
            <w:vAlign w:val="center"/>
            <w:hideMark/>
          </w:tcPr>
          <w:p w14:paraId="3D57884B"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1.197</w:t>
            </w:r>
          </w:p>
        </w:tc>
        <w:tc>
          <w:tcPr>
            <w:tcW w:w="1967" w:type="dxa"/>
            <w:shd w:val="clear" w:color="auto" w:fill="FFFFFF" w:themeFill="background1"/>
            <w:tcMar>
              <w:top w:w="0" w:type="dxa"/>
              <w:left w:w="75" w:type="dxa"/>
              <w:bottom w:w="0" w:type="dxa"/>
              <w:right w:w="75" w:type="dxa"/>
            </w:tcMar>
            <w:vAlign w:val="center"/>
            <w:hideMark/>
          </w:tcPr>
          <w:p w14:paraId="6214829B"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(1.056, 1.356)</w:t>
            </w:r>
          </w:p>
        </w:tc>
        <w:tc>
          <w:tcPr>
            <w:tcW w:w="1162" w:type="dxa"/>
            <w:shd w:val="clear" w:color="auto" w:fill="FFFFFF" w:themeFill="background1"/>
            <w:tcMar>
              <w:top w:w="0" w:type="dxa"/>
              <w:left w:w="75" w:type="dxa"/>
              <w:bottom w:w="0" w:type="dxa"/>
              <w:right w:w="75" w:type="dxa"/>
            </w:tcMar>
            <w:vAlign w:val="center"/>
            <w:hideMark/>
          </w:tcPr>
          <w:p w14:paraId="47E35A96"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&lt;.01</w:t>
            </w:r>
          </w:p>
        </w:tc>
      </w:tr>
      <w:tr w:rsidR="00567BC5" w:rsidRPr="00F1506F" w14:paraId="59D21E65" w14:textId="77777777" w:rsidTr="00B8371A">
        <w:tc>
          <w:tcPr>
            <w:tcW w:w="3509" w:type="dxa"/>
            <w:shd w:val="clear" w:color="auto" w:fill="FFFFFF" w:themeFill="background1"/>
            <w:tcMar>
              <w:top w:w="0" w:type="dxa"/>
              <w:left w:w="75" w:type="dxa"/>
              <w:bottom w:w="0" w:type="dxa"/>
              <w:right w:w="75" w:type="dxa"/>
            </w:tcMar>
            <w:vAlign w:val="center"/>
            <w:hideMark/>
          </w:tcPr>
          <w:p w14:paraId="2601A090"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Sepsis at Index Hospitalization</w:t>
            </w:r>
          </w:p>
        </w:tc>
        <w:tc>
          <w:tcPr>
            <w:tcW w:w="1531" w:type="dxa"/>
            <w:shd w:val="clear" w:color="auto" w:fill="FFFFFF" w:themeFill="background1"/>
            <w:tcMar>
              <w:top w:w="0" w:type="dxa"/>
              <w:left w:w="75" w:type="dxa"/>
              <w:bottom w:w="0" w:type="dxa"/>
              <w:right w:w="75" w:type="dxa"/>
            </w:tcMar>
            <w:vAlign w:val="center"/>
            <w:hideMark/>
          </w:tcPr>
          <w:p w14:paraId="27797414"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1.260</w:t>
            </w:r>
          </w:p>
        </w:tc>
        <w:tc>
          <w:tcPr>
            <w:tcW w:w="1866" w:type="dxa"/>
            <w:shd w:val="clear" w:color="auto" w:fill="FFFFFF" w:themeFill="background1"/>
            <w:tcMar>
              <w:top w:w="0" w:type="dxa"/>
              <w:left w:w="75" w:type="dxa"/>
              <w:bottom w:w="0" w:type="dxa"/>
              <w:right w:w="75" w:type="dxa"/>
            </w:tcMar>
            <w:vAlign w:val="center"/>
            <w:hideMark/>
          </w:tcPr>
          <w:p w14:paraId="7966ECD8"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(1.095, 1.45)</w:t>
            </w:r>
          </w:p>
        </w:tc>
        <w:tc>
          <w:tcPr>
            <w:tcW w:w="990" w:type="dxa"/>
            <w:shd w:val="clear" w:color="auto" w:fill="FFFFFF" w:themeFill="background1"/>
            <w:tcMar>
              <w:top w:w="0" w:type="dxa"/>
              <w:left w:w="75" w:type="dxa"/>
              <w:bottom w:w="0" w:type="dxa"/>
              <w:right w:w="75" w:type="dxa"/>
            </w:tcMar>
            <w:vAlign w:val="center"/>
            <w:hideMark/>
          </w:tcPr>
          <w:p w14:paraId="7C99028A"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&lt;.01</w:t>
            </w:r>
          </w:p>
        </w:tc>
        <w:tc>
          <w:tcPr>
            <w:tcW w:w="1215" w:type="dxa"/>
            <w:shd w:val="clear" w:color="auto" w:fill="FFFFFF" w:themeFill="background1"/>
            <w:tcMar>
              <w:top w:w="0" w:type="dxa"/>
              <w:left w:w="75" w:type="dxa"/>
              <w:bottom w:w="0" w:type="dxa"/>
              <w:right w:w="75" w:type="dxa"/>
            </w:tcMar>
            <w:vAlign w:val="center"/>
            <w:hideMark/>
          </w:tcPr>
          <w:p w14:paraId="150373E1"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1.219</w:t>
            </w:r>
          </w:p>
        </w:tc>
        <w:tc>
          <w:tcPr>
            <w:tcW w:w="1967" w:type="dxa"/>
            <w:shd w:val="clear" w:color="auto" w:fill="FFFFFF" w:themeFill="background1"/>
            <w:tcMar>
              <w:top w:w="0" w:type="dxa"/>
              <w:left w:w="75" w:type="dxa"/>
              <w:bottom w:w="0" w:type="dxa"/>
              <w:right w:w="75" w:type="dxa"/>
            </w:tcMar>
            <w:vAlign w:val="center"/>
            <w:hideMark/>
          </w:tcPr>
          <w:p w14:paraId="40812913"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(1.056, 1.406)</w:t>
            </w:r>
          </w:p>
        </w:tc>
        <w:tc>
          <w:tcPr>
            <w:tcW w:w="1162" w:type="dxa"/>
            <w:shd w:val="clear" w:color="auto" w:fill="FFFFFF" w:themeFill="background1"/>
            <w:tcMar>
              <w:top w:w="0" w:type="dxa"/>
              <w:left w:w="75" w:type="dxa"/>
              <w:bottom w:w="0" w:type="dxa"/>
              <w:right w:w="75" w:type="dxa"/>
            </w:tcMar>
            <w:vAlign w:val="center"/>
            <w:hideMark/>
          </w:tcPr>
          <w:p w14:paraId="3611896E"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&lt;.01</w:t>
            </w:r>
          </w:p>
        </w:tc>
      </w:tr>
      <w:tr w:rsidR="00567BC5" w:rsidRPr="00F1506F" w14:paraId="26BBCB96" w14:textId="77777777" w:rsidTr="00B8371A">
        <w:tc>
          <w:tcPr>
            <w:tcW w:w="12240" w:type="dxa"/>
            <w:gridSpan w:val="7"/>
            <w:tcBorders>
              <w:bottom w:val="nil"/>
            </w:tcBorders>
            <w:shd w:val="clear" w:color="auto" w:fill="FFFFFF" w:themeFill="background1"/>
            <w:tcMar>
              <w:top w:w="0" w:type="dxa"/>
              <w:left w:w="75" w:type="dxa"/>
              <w:bottom w:w="0" w:type="dxa"/>
              <w:right w:w="75" w:type="dxa"/>
            </w:tcMar>
            <w:vAlign w:val="center"/>
            <w:hideMark/>
          </w:tcPr>
          <w:p w14:paraId="6CE4F5EF"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Primary Insurance, Ref: Medicare/TennCare</w:t>
            </w:r>
          </w:p>
        </w:tc>
      </w:tr>
      <w:tr w:rsidR="00567BC5" w:rsidRPr="00F1506F" w14:paraId="3CA93D23" w14:textId="77777777" w:rsidTr="00B8371A">
        <w:tc>
          <w:tcPr>
            <w:tcW w:w="3509" w:type="dxa"/>
            <w:shd w:val="clear" w:color="auto" w:fill="FFFFFF" w:themeFill="background1"/>
            <w:tcMar>
              <w:top w:w="0" w:type="dxa"/>
              <w:left w:w="480" w:type="dxa"/>
              <w:bottom w:w="0" w:type="dxa"/>
              <w:right w:w="75" w:type="dxa"/>
            </w:tcMar>
            <w:vAlign w:val="center"/>
            <w:hideMark/>
          </w:tcPr>
          <w:p w14:paraId="0D7DF36A"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Commercial Insurance</w:t>
            </w:r>
          </w:p>
        </w:tc>
        <w:tc>
          <w:tcPr>
            <w:tcW w:w="1531" w:type="dxa"/>
            <w:shd w:val="clear" w:color="auto" w:fill="FFFFFF" w:themeFill="background1"/>
            <w:tcMar>
              <w:top w:w="0" w:type="dxa"/>
              <w:left w:w="75" w:type="dxa"/>
              <w:bottom w:w="0" w:type="dxa"/>
              <w:right w:w="75" w:type="dxa"/>
            </w:tcMar>
            <w:vAlign w:val="center"/>
            <w:hideMark/>
          </w:tcPr>
          <w:p w14:paraId="33EFECA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0.616</w:t>
            </w:r>
          </w:p>
        </w:tc>
        <w:tc>
          <w:tcPr>
            <w:tcW w:w="1866" w:type="dxa"/>
            <w:shd w:val="clear" w:color="auto" w:fill="FFFFFF" w:themeFill="background1"/>
            <w:tcMar>
              <w:top w:w="0" w:type="dxa"/>
              <w:left w:w="75" w:type="dxa"/>
              <w:bottom w:w="0" w:type="dxa"/>
              <w:right w:w="75" w:type="dxa"/>
            </w:tcMar>
            <w:vAlign w:val="center"/>
            <w:hideMark/>
          </w:tcPr>
          <w:p w14:paraId="16564631"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(0.522, 0.728)</w:t>
            </w:r>
          </w:p>
        </w:tc>
        <w:tc>
          <w:tcPr>
            <w:tcW w:w="990" w:type="dxa"/>
            <w:shd w:val="clear" w:color="auto" w:fill="FFFFFF" w:themeFill="background1"/>
            <w:tcMar>
              <w:top w:w="0" w:type="dxa"/>
              <w:left w:w="75" w:type="dxa"/>
              <w:bottom w:w="0" w:type="dxa"/>
              <w:right w:w="75" w:type="dxa"/>
            </w:tcMar>
            <w:vAlign w:val="center"/>
            <w:hideMark/>
          </w:tcPr>
          <w:p w14:paraId="06CF8DE3"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15" w:type="dxa"/>
            <w:shd w:val="clear" w:color="auto" w:fill="FFFFFF" w:themeFill="background1"/>
            <w:tcMar>
              <w:top w:w="0" w:type="dxa"/>
              <w:left w:w="75" w:type="dxa"/>
              <w:bottom w:w="0" w:type="dxa"/>
              <w:right w:w="75" w:type="dxa"/>
            </w:tcMar>
            <w:vAlign w:val="center"/>
            <w:hideMark/>
          </w:tcPr>
          <w:p w14:paraId="6382E6E6"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0.773</w:t>
            </w:r>
          </w:p>
        </w:tc>
        <w:tc>
          <w:tcPr>
            <w:tcW w:w="1967" w:type="dxa"/>
            <w:shd w:val="clear" w:color="auto" w:fill="FFFFFF" w:themeFill="background1"/>
            <w:tcMar>
              <w:top w:w="0" w:type="dxa"/>
              <w:left w:w="75" w:type="dxa"/>
              <w:bottom w:w="0" w:type="dxa"/>
              <w:right w:w="75" w:type="dxa"/>
            </w:tcMar>
            <w:vAlign w:val="center"/>
            <w:hideMark/>
          </w:tcPr>
          <w:p w14:paraId="2FE0F08E"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(0.652, 0.918)</w:t>
            </w:r>
          </w:p>
        </w:tc>
        <w:tc>
          <w:tcPr>
            <w:tcW w:w="1162" w:type="dxa"/>
            <w:shd w:val="clear" w:color="auto" w:fill="FFFFFF" w:themeFill="background1"/>
            <w:tcMar>
              <w:top w:w="0" w:type="dxa"/>
              <w:left w:w="75" w:type="dxa"/>
              <w:bottom w:w="0" w:type="dxa"/>
              <w:right w:w="75" w:type="dxa"/>
            </w:tcMar>
            <w:vAlign w:val="center"/>
            <w:hideMark/>
          </w:tcPr>
          <w:p w14:paraId="637939BF"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&lt;.01</w:t>
            </w:r>
          </w:p>
        </w:tc>
      </w:tr>
      <w:tr w:rsidR="00567BC5" w:rsidRPr="00F1506F" w14:paraId="5BD268BE" w14:textId="77777777" w:rsidTr="00B8371A">
        <w:tc>
          <w:tcPr>
            <w:tcW w:w="3509" w:type="dxa"/>
            <w:shd w:val="clear" w:color="auto" w:fill="FFFFFF" w:themeFill="background1"/>
            <w:tcMar>
              <w:top w:w="0" w:type="dxa"/>
              <w:left w:w="480" w:type="dxa"/>
              <w:bottom w:w="0" w:type="dxa"/>
              <w:right w:w="75" w:type="dxa"/>
            </w:tcMar>
            <w:vAlign w:val="center"/>
            <w:hideMark/>
          </w:tcPr>
          <w:p w14:paraId="439B3F02"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Uninsured</w:t>
            </w:r>
          </w:p>
        </w:tc>
        <w:tc>
          <w:tcPr>
            <w:tcW w:w="1531" w:type="dxa"/>
            <w:shd w:val="clear" w:color="auto" w:fill="FFFFFF" w:themeFill="background1"/>
            <w:tcMar>
              <w:top w:w="0" w:type="dxa"/>
              <w:left w:w="75" w:type="dxa"/>
              <w:bottom w:w="0" w:type="dxa"/>
              <w:right w:w="75" w:type="dxa"/>
            </w:tcMar>
            <w:vAlign w:val="center"/>
            <w:hideMark/>
          </w:tcPr>
          <w:p w14:paraId="35CCFAA8"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0.757</w:t>
            </w:r>
          </w:p>
        </w:tc>
        <w:tc>
          <w:tcPr>
            <w:tcW w:w="1866" w:type="dxa"/>
            <w:shd w:val="clear" w:color="auto" w:fill="FFFFFF" w:themeFill="background1"/>
            <w:tcMar>
              <w:top w:w="0" w:type="dxa"/>
              <w:left w:w="75" w:type="dxa"/>
              <w:bottom w:w="0" w:type="dxa"/>
              <w:right w:w="75" w:type="dxa"/>
            </w:tcMar>
            <w:vAlign w:val="center"/>
            <w:hideMark/>
          </w:tcPr>
          <w:p w14:paraId="13B8CB16"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(0.572, 1.001)</w:t>
            </w:r>
          </w:p>
        </w:tc>
        <w:tc>
          <w:tcPr>
            <w:tcW w:w="990" w:type="dxa"/>
            <w:shd w:val="clear" w:color="auto" w:fill="FFFFFF" w:themeFill="background1"/>
            <w:tcMar>
              <w:top w:w="0" w:type="dxa"/>
              <w:left w:w="75" w:type="dxa"/>
              <w:bottom w:w="0" w:type="dxa"/>
              <w:right w:w="75" w:type="dxa"/>
            </w:tcMar>
            <w:vAlign w:val="center"/>
            <w:hideMark/>
          </w:tcPr>
          <w:p w14:paraId="3353CC7B"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0.0504</w:t>
            </w:r>
          </w:p>
        </w:tc>
        <w:tc>
          <w:tcPr>
            <w:tcW w:w="1215" w:type="dxa"/>
            <w:shd w:val="clear" w:color="auto" w:fill="FFFFFF" w:themeFill="background1"/>
            <w:tcMar>
              <w:top w:w="0" w:type="dxa"/>
              <w:left w:w="75" w:type="dxa"/>
              <w:bottom w:w="0" w:type="dxa"/>
              <w:right w:w="75" w:type="dxa"/>
            </w:tcMar>
            <w:vAlign w:val="center"/>
            <w:hideMark/>
          </w:tcPr>
          <w:p w14:paraId="30D85B1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1.065</w:t>
            </w:r>
          </w:p>
        </w:tc>
        <w:tc>
          <w:tcPr>
            <w:tcW w:w="1967" w:type="dxa"/>
            <w:shd w:val="clear" w:color="auto" w:fill="FFFFFF" w:themeFill="background1"/>
            <w:tcMar>
              <w:top w:w="0" w:type="dxa"/>
              <w:left w:w="75" w:type="dxa"/>
              <w:bottom w:w="0" w:type="dxa"/>
              <w:right w:w="75" w:type="dxa"/>
            </w:tcMar>
            <w:vAlign w:val="center"/>
            <w:hideMark/>
          </w:tcPr>
          <w:p w14:paraId="772B0AA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(0.795, 1.426)</w:t>
            </w:r>
          </w:p>
        </w:tc>
        <w:tc>
          <w:tcPr>
            <w:tcW w:w="1162" w:type="dxa"/>
            <w:shd w:val="clear" w:color="auto" w:fill="FFFFFF" w:themeFill="background1"/>
            <w:tcMar>
              <w:top w:w="0" w:type="dxa"/>
              <w:left w:w="75" w:type="dxa"/>
              <w:bottom w:w="0" w:type="dxa"/>
              <w:right w:w="75" w:type="dxa"/>
            </w:tcMar>
            <w:vAlign w:val="center"/>
            <w:hideMark/>
          </w:tcPr>
          <w:p w14:paraId="494449DC"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0.6733</w:t>
            </w:r>
          </w:p>
        </w:tc>
      </w:tr>
      <w:tr w:rsidR="00567BC5" w:rsidRPr="00F1506F" w14:paraId="2488E8BE" w14:textId="77777777" w:rsidTr="00B8371A">
        <w:tc>
          <w:tcPr>
            <w:tcW w:w="12240" w:type="dxa"/>
            <w:gridSpan w:val="7"/>
            <w:tcBorders>
              <w:bottom w:val="nil"/>
            </w:tcBorders>
            <w:shd w:val="clear" w:color="auto" w:fill="FFFFFF" w:themeFill="background1"/>
            <w:tcMar>
              <w:top w:w="0" w:type="dxa"/>
              <w:left w:w="75" w:type="dxa"/>
              <w:bottom w:w="0" w:type="dxa"/>
              <w:right w:w="75" w:type="dxa"/>
            </w:tcMar>
            <w:vAlign w:val="center"/>
            <w:hideMark/>
          </w:tcPr>
          <w:p w14:paraId="3209297A"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b/>
                <w:bCs/>
                <w:color w:val="222222"/>
                <w:szCs w:val="20"/>
              </w:rPr>
              <w:t>Prior Healthcare Exposures within 365 days</w:t>
            </w:r>
          </w:p>
        </w:tc>
      </w:tr>
      <w:tr w:rsidR="00567BC5" w:rsidRPr="00F1506F" w14:paraId="64711A07" w14:textId="77777777" w:rsidTr="00B8371A">
        <w:tc>
          <w:tcPr>
            <w:tcW w:w="3509" w:type="dxa"/>
            <w:shd w:val="clear" w:color="auto" w:fill="FFFFFF" w:themeFill="background1"/>
            <w:tcMar>
              <w:top w:w="0" w:type="dxa"/>
              <w:left w:w="75" w:type="dxa"/>
              <w:bottom w:w="0" w:type="dxa"/>
              <w:right w:w="75" w:type="dxa"/>
            </w:tcMar>
            <w:vAlign w:val="center"/>
            <w:hideMark/>
          </w:tcPr>
          <w:p w14:paraId="33557613"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Inpatient Hospitalization</w:t>
            </w:r>
          </w:p>
        </w:tc>
        <w:tc>
          <w:tcPr>
            <w:tcW w:w="1531" w:type="dxa"/>
            <w:shd w:val="clear" w:color="auto" w:fill="FFFFFF" w:themeFill="background1"/>
            <w:tcMar>
              <w:top w:w="0" w:type="dxa"/>
              <w:left w:w="75" w:type="dxa"/>
              <w:bottom w:w="0" w:type="dxa"/>
              <w:right w:w="75" w:type="dxa"/>
            </w:tcMar>
            <w:vAlign w:val="center"/>
            <w:hideMark/>
          </w:tcPr>
          <w:p w14:paraId="709F8174"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3.266</w:t>
            </w:r>
          </w:p>
        </w:tc>
        <w:tc>
          <w:tcPr>
            <w:tcW w:w="1866" w:type="dxa"/>
            <w:shd w:val="clear" w:color="auto" w:fill="FFFFFF" w:themeFill="background1"/>
            <w:tcMar>
              <w:top w:w="0" w:type="dxa"/>
              <w:left w:w="75" w:type="dxa"/>
              <w:bottom w:w="0" w:type="dxa"/>
              <w:right w:w="75" w:type="dxa"/>
            </w:tcMar>
            <w:vAlign w:val="center"/>
            <w:hideMark/>
          </w:tcPr>
          <w:p w14:paraId="32363514"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(2.837, 3.761)</w:t>
            </w:r>
          </w:p>
        </w:tc>
        <w:tc>
          <w:tcPr>
            <w:tcW w:w="990" w:type="dxa"/>
            <w:shd w:val="clear" w:color="auto" w:fill="FFFFFF" w:themeFill="background1"/>
            <w:tcMar>
              <w:top w:w="0" w:type="dxa"/>
              <w:left w:w="75" w:type="dxa"/>
              <w:bottom w:w="0" w:type="dxa"/>
              <w:right w:w="75" w:type="dxa"/>
            </w:tcMar>
            <w:vAlign w:val="center"/>
            <w:hideMark/>
          </w:tcPr>
          <w:p w14:paraId="649F1682"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15" w:type="dxa"/>
            <w:shd w:val="clear" w:color="auto" w:fill="FFFFFF" w:themeFill="background1"/>
            <w:tcMar>
              <w:top w:w="0" w:type="dxa"/>
              <w:left w:w="75" w:type="dxa"/>
              <w:bottom w:w="0" w:type="dxa"/>
              <w:right w:w="75" w:type="dxa"/>
            </w:tcMar>
            <w:vAlign w:val="center"/>
            <w:hideMark/>
          </w:tcPr>
          <w:p w14:paraId="462F55B0"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1.919</w:t>
            </w:r>
          </w:p>
        </w:tc>
        <w:tc>
          <w:tcPr>
            <w:tcW w:w="1967" w:type="dxa"/>
            <w:shd w:val="clear" w:color="auto" w:fill="FFFFFF" w:themeFill="background1"/>
            <w:tcMar>
              <w:top w:w="0" w:type="dxa"/>
              <w:left w:w="75" w:type="dxa"/>
              <w:bottom w:w="0" w:type="dxa"/>
              <w:right w:w="75" w:type="dxa"/>
            </w:tcMar>
            <w:vAlign w:val="center"/>
            <w:hideMark/>
          </w:tcPr>
          <w:p w14:paraId="20F72053"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(1.646, 2.238)</w:t>
            </w:r>
          </w:p>
        </w:tc>
        <w:tc>
          <w:tcPr>
            <w:tcW w:w="1162" w:type="dxa"/>
            <w:shd w:val="clear" w:color="auto" w:fill="FFFFFF" w:themeFill="background1"/>
            <w:tcMar>
              <w:top w:w="0" w:type="dxa"/>
              <w:left w:w="75" w:type="dxa"/>
              <w:bottom w:w="0" w:type="dxa"/>
              <w:right w:w="75" w:type="dxa"/>
            </w:tcMar>
            <w:vAlign w:val="center"/>
            <w:hideMark/>
          </w:tcPr>
          <w:p w14:paraId="439FCC6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r>
      <w:tr w:rsidR="00567BC5" w:rsidRPr="00F1506F" w14:paraId="547D2F2F" w14:textId="77777777" w:rsidTr="00B8371A">
        <w:tc>
          <w:tcPr>
            <w:tcW w:w="3509" w:type="dxa"/>
            <w:shd w:val="clear" w:color="auto" w:fill="FFFFFF" w:themeFill="background1"/>
            <w:tcMar>
              <w:top w:w="0" w:type="dxa"/>
              <w:left w:w="75" w:type="dxa"/>
              <w:bottom w:w="0" w:type="dxa"/>
              <w:right w:w="75" w:type="dxa"/>
            </w:tcMar>
            <w:vAlign w:val="center"/>
            <w:hideMark/>
          </w:tcPr>
          <w:p w14:paraId="6200687D"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Total Length of SHORT-TERM ACH Stays</w:t>
            </w:r>
          </w:p>
        </w:tc>
        <w:tc>
          <w:tcPr>
            <w:tcW w:w="1531" w:type="dxa"/>
            <w:shd w:val="clear" w:color="auto" w:fill="FFFFFF" w:themeFill="background1"/>
            <w:tcMar>
              <w:top w:w="0" w:type="dxa"/>
              <w:left w:w="75" w:type="dxa"/>
              <w:bottom w:w="0" w:type="dxa"/>
              <w:right w:w="75" w:type="dxa"/>
            </w:tcMar>
            <w:vAlign w:val="center"/>
            <w:hideMark/>
          </w:tcPr>
          <w:p w14:paraId="44B57D78"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1.006</w:t>
            </w:r>
          </w:p>
        </w:tc>
        <w:tc>
          <w:tcPr>
            <w:tcW w:w="1866" w:type="dxa"/>
            <w:shd w:val="clear" w:color="auto" w:fill="FFFFFF" w:themeFill="background1"/>
            <w:tcMar>
              <w:top w:w="0" w:type="dxa"/>
              <w:left w:w="75" w:type="dxa"/>
              <w:bottom w:w="0" w:type="dxa"/>
              <w:right w:w="75" w:type="dxa"/>
            </w:tcMar>
            <w:vAlign w:val="center"/>
            <w:hideMark/>
          </w:tcPr>
          <w:p w14:paraId="019B3A51"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(1.005, 1.006)</w:t>
            </w:r>
          </w:p>
        </w:tc>
        <w:tc>
          <w:tcPr>
            <w:tcW w:w="990" w:type="dxa"/>
            <w:shd w:val="clear" w:color="auto" w:fill="FFFFFF" w:themeFill="background1"/>
            <w:tcMar>
              <w:top w:w="0" w:type="dxa"/>
              <w:left w:w="75" w:type="dxa"/>
              <w:bottom w:w="0" w:type="dxa"/>
              <w:right w:w="75" w:type="dxa"/>
            </w:tcMar>
            <w:vAlign w:val="center"/>
            <w:hideMark/>
          </w:tcPr>
          <w:p w14:paraId="3B18E11C"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15" w:type="dxa"/>
            <w:shd w:val="clear" w:color="auto" w:fill="FFFFFF" w:themeFill="background1"/>
            <w:tcMar>
              <w:top w:w="0" w:type="dxa"/>
              <w:left w:w="75" w:type="dxa"/>
              <w:bottom w:w="0" w:type="dxa"/>
              <w:right w:w="75" w:type="dxa"/>
            </w:tcMar>
            <w:vAlign w:val="center"/>
            <w:hideMark/>
          </w:tcPr>
          <w:p w14:paraId="4480C50A"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1.003</w:t>
            </w:r>
          </w:p>
        </w:tc>
        <w:tc>
          <w:tcPr>
            <w:tcW w:w="1967" w:type="dxa"/>
            <w:shd w:val="clear" w:color="auto" w:fill="FFFFFF" w:themeFill="background1"/>
            <w:tcMar>
              <w:top w:w="0" w:type="dxa"/>
              <w:left w:w="75" w:type="dxa"/>
              <w:bottom w:w="0" w:type="dxa"/>
              <w:right w:w="75" w:type="dxa"/>
            </w:tcMar>
            <w:vAlign w:val="center"/>
            <w:hideMark/>
          </w:tcPr>
          <w:p w14:paraId="1B13FC1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(1.002, 1.004)</w:t>
            </w:r>
          </w:p>
        </w:tc>
        <w:tc>
          <w:tcPr>
            <w:tcW w:w="1162" w:type="dxa"/>
            <w:shd w:val="clear" w:color="auto" w:fill="FFFFFF" w:themeFill="background1"/>
            <w:tcMar>
              <w:top w:w="0" w:type="dxa"/>
              <w:left w:w="75" w:type="dxa"/>
              <w:bottom w:w="0" w:type="dxa"/>
              <w:right w:w="75" w:type="dxa"/>
            </w:tcMar>
            <w:vAlign w:val="center"/>
            <w:hideMark/>
          </w:tcPr>
          <w:p w14:paraId="68BA773C"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r>
      <w:tr w:rsidR="00567BC5" w:rsidRPr="00F1506F" w14:paraId="125A05E9" w14:textId="77777777" w:rsidTr="00B8371A">
        <w:tc>
          <w:tcPr>
            <w:tcW w:w="3509" w:type="dxa"/>
            <w:shd w:val="clear" w:color="auto" w:fill="FFFFFF" w:themeFill="background1"/>
            <w:tcMar>
              <w:top w:w="0" w:type="dxa"/>
              <w:left w:w="75" w:type="dxa"/>
              <w:bottom w:w="0" w:type="dxa"/>
              <w:right w:w="75" w:type="dxa"/>
            </w:tcMar>
            <w:vAlign w:val="center"/>
            <w:hideMark/>
          </w:tcPr>
          <w:p w14:paraId="6187F79D"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Total Length of LTACH Stays</w:t>
            </w:r>
          </w:p>
        </w:tc>
        <w:tc>
          <w:tcPr>
            <w:tcW w:w="1531" w:type="dxa"/>
            <w:shd w:val="clear" w:color="auto" w:fill="FFFFFF" w:themeFill="background1"/>
            <w:tcMar>
              <w:top w:w="0" w:type="dxa"/>
              <w:left w:w="75" w:type="dxa"/>
              <w:bottom w:w="0" w:type="dxa"/>
              <w:right w:w="75" w:type="dxa"/>
            </w:tcMar>
            <w:vAlign w:val="center"/>
            <w:hideMark/>
          </w:tcPr>
          <w:p w14:paraId="38331E33"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1.002</w:t>
            </w:r>
          </w:p>
        </w:tc>
        <w:tc>
          <w:tcPr>
            <w:tcW w:w="1866" w:type="dxa"/>
            <w:shd w:val="clear" w:color="auto" w:fill="FFFFFF" w:themeFill="background1"/>
            <w:tcMar>
              <w:top w:w="0" w:type="dxa"/>
              <w:left w:w="75" w:type="dxa"/>
              <w:bottom w:w="0" w:type="dxa"/>
              <w:right w:w="75" w:type="dxa"/>
            </w:tcMar>
            <w:vAlign w:val="center"/>
            <w:hideMark/>
          </w:tcPr>
          <w:p w14:paraId="1C1A4E0A"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(1, 1.005)</w:t>
            </w:r>
          </w:p>
        </w:tc>
        <w:tc>
          <w:tcPr>
            <w:tcW w:w="990" w:type="dxa"/>
            <w:shd w:val="clear" w:color="auto" w:fill="FFFFFF" w:themeFill="background1"/>
            <w:tcMar>
              <w:top w:w="0" w:type="dxa"/>
              <w:left w:w="75" w:type="dxa"/>
              <w:bottom w:w="0" w:type="dxa"/>
              <w:right w:w="75" w:type="dxa"/>
            </w:tcMar>
            <w:vAlign w:val="center"/>
            <w:hideMark/>
          </w:tcPr>
          <w:p w14:paraId="3830A25C"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0.0653</w:t>
            </w:r>
          </w:p>
        </w:tc>
        <w:tc>
          <w:tcPr>
            <w:tcW w:w="1215" w:type="dxa"/>
            <w:shd w:val="clear" w:color="auto" w:fill="FFFFFF" w:themeFill="background1"/>
            <w:tcMar>
              <w:top w:w="0" w:type="dxa"/>
              <w:left w:w="75" w:type="dxa"/>
              <w:bottom w:w="0" w:type="dxa"/>
              <w:right w:w="75" w:type="dxa"/>
            </w:tcMar>
            <w:vAlign w:val="center"/>
            <w:hideMark/>
          </w:tcPr>
          <w:p w14:paraId="3CD17D43"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0.998</w:t>
            </w:r>
          </w:p>
        </w:tc>
        <w:tc>
          <w:tcPr>
            <w:tcW w:w="1967" w:type="dxa"/>
            <w:shd w:val="clear" w:color="auto" w:fill="FFFFFF" w:themeFill="background1"/>
            <w:tcMar>
              <w:top w:w="0" w:type="dxa"/>
              <w:left w:w="75" w:type="dxa"/>
              <w:bottom w:w="0" w:type="dxa"/>
              <w:right w:w="75" w:type="dxa"/>
            </w:tcMar>
            <w:vAlign w:val="center"/>
            <w:hideMark/>
          </w:tcPr>
          <w:p w14:paraId="4BBF4503"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(0.995, 1)</w:t>
            </w:r>
          </w:p>
        </w:tc>
        <w:tc>
          <w:tcPr>
            <w:tcW w:w="1162" w:type="dxa"/>
            <w:shd w:val="clear" w:color="auto" w:fill="FFFFFF" w:themeFill="background1"/>
            <w:tcMar>
              <w:top w:w="0" w:type="dxa"/>
              <w:left w:w="75" w:type="dxa"/>
              <w:bottom w:w="0" w:type="dxa"/>
              <w:right w:w="75" w:type="dxa"/>
            </w:tcMar>
            <w:vAlign w:val="center"/>
            <w:hideMark/>
          </w:tcPr>
          <w:p w14:paraId="03C75D7C"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0.0768</w:t>
            </w:r>
          </w:p>
        </w:tc>
      </w:tr>
      <w:tr w:rsidR="00567BC5" w:rsidRPr="00F1506F" w14:paraId="08CFB70A" w14:textId="77777777" w:rsidTr="00B8371A">
        <w:tc>
          <w:tcPr>
            <w:tcW w:w="3509" w:type="dxa"/>
            <w:shd w:val="clear" w:color="auto" w:fill="FFFFFF" w:themeFill="background1"/>
            <w:tcMar>
              <w:top w:w="0" w:type="dxa"/>
              <w:left w:w="75" w:type="dxa"/>
              <w:bottom w:w="0" w:type="dxa"/>
              <w:right w:w="75" w:type="dxa"/>
            </w:tcMar>
            <w:vAlign w:val="center"/>
            <w:hideMark/>
          </w:tcPr>
          <w:p w14:paraId="22A18766" w14:textId="77777777" w:rsidR="00567BC5" w:rsidRPr="00F1506F" w:rsidRDefault="00567BC5" w:rsidP="00B8371A">
            <w:pPr>
              <w:spacing w:after="0" w:line="360" w:lineRule="auto"/>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Urinary Catheter</w:t>
            </w:r>
          </w:p>
        </w:tc>
        <w:tc>
          <w:tcPr>
            <w:tcW w:w="1531" w:type="dxa"/>
            <w:shd w:val="clear" w:color="auto" w:fill="FFFFFF" w:themeFill="background1"/>
            <w:tcMar>
              <w:top w:w="0" w:type="dxa"/>
              <w:left w:w="75" w:type="dxa"/>
              <w:bottom w:w="0" w:type="dxa"/>
              <w:right w:w="75" w:type="dxa"/>
            </w:tcMar>
            <w:vAlign w:val="center"/>
            <w:hideMark/>
          </w:tcPr>
          <w:p w14:paraId="29D42009"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1.822</w:t>
            </w:r>
          </w:p>
        </w:tc>
        <w:tc>
          <w:tcPr>
            <w:tcW w:w="1866" w:type="dxa"/>
            <w:shd w:val="clear" w:color="auto" w:fill="FFFFFF" w:themeFill="background1"/>
            <w:tcMar>
              <w:top w:w="0" w:type="dxa"/>
              <w:left w:w="75" w:type="dxa"/>
              <w:bottom w:w="0" w:type="dxa"/>
              <w:right w:w="75" w:type="dxa"/>
            </w:tcMar>
            <w:vAlign w:val="center"/>
            <w:hideMark/>
          </w:tcPr>
          <w:p w14:paraId="49DDB3CA"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(1.543, 2.151)</w:t>
            </w:r>
          </w:p>
        </w:tc>
        <w:tc>
          <w:tcPr>
            <w:tcW w:w="990" w:type="dxa"/>
            <w:shd w:val="clear" w:color="auto" w:fill="FFFFFF" w:themeFill="background1"/>
            <w:tcMar>
              <w:top w:w="0" w:type="dxa"/>
              <w:left w:w="75" w:type="dxa"/>
              <w:bottom w:w="0" w:type="dxa"/>
              <w:right w:w="75" w:type="dxa"/>
            </w:tcMar>
            <w:vAlign w:val="center"/>
            <w:hideMark/>
          </w:tcPr>
          <w:p w14:paraId="594720E7"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&lt;.0001</w:t>
            </w:r>
          </w:p>
        </w:tc>
        <w:tc>
          <w:tcPr>
            <w:tcW w:w="1215" w:type="dxa"/>
            <w:shd w:val="clear" w:color="auto" w:fill="FFFFFF" w:themeFill="background1"/>
            <w:tcMar>
              <w:top w:w="0" w:type="dxa"/>
              <w:left w:w="75" w:type="dxa"/>
              <w:bottom w:w="0" w:type="dxa"/>
              <w:right w:w="75" w:type="dxa"/>
            </w:tcMar>
            <w:vAlign w:val="center"/>
            <w:hideMark/>
          </w:tcPr>
          <w:p w14:paraId="18C61390"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1.260</w:t>
            </w:r>
          </w:p>
        </w:tc>
        <w:tc>
          <w:tcPr>
            <w:tcW w:w="1967" w:type="dxa"/>
            <w:shd w:val="clear" w:color="auto" w:fill="FFFFFF" w:themeFill="background1"/>
            <w:tcMar>
              <w:top w:w="0" w:type="dxa"/>
              <w:left w:w="75" w:type="dxa"/>
              <w:bottom w:w="0" w:type="dxa"/>
              <w:right w:w="75" w:type="dxa"/>
            </w:tcMar>
            <w:vAlign w:val="center"/>
            <w:hideMark/>
          </w:tcPr>
          <w:p w14:paraId="01E94665"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(1.062, 1.495)</w:t>
            </w:r>
          </w:p>
        </w:tc>
        <w:tc>
          <w:tcPr>
            <w:tcW w:w="1162" w:type="dxa"/>
            <w:shd w:val="clear" w:color="auto" w:fill="FFFFFF" w:themeFill="background1"/>
            <w:tcMar>
              <w:top w:w="0" w:type="dxa"/>
              <w:left w:w="75" w:type="dxa"/>
              <w:bottom w:w="0" w:type="dxa"/>
              <w:right w:w="75" w:type="dxa"/>
            </w:tcMar>
            <w:vAlign w:val="center"/>
            <w:hideMark/>
          </w:tcPr>
          <w:p w14:paraId="6D3E4451" w14:textId="77777777" w:rsidR="00567BC5" w:rsidRPr="00F1506F" w:rsidRDefault="00567BC5" w:rsidP="00B8371A">
            <w:pPr>
              <w:spacing w:after="0" w:line="360" w:lineRule="auto"/>
              <w:jc w:val="center"/>
              <w:rPr>
                <w:rFonts w:ascii="Times New Roman" w:eastAsia="Times New Roman" w:hAnsi="Times New Roman" w:cs="Times New Roman"/>
                <w:color w:val="222222"/>
                <w:szCs w:val="20"/>
              </w:rPr>
            </w:pPr>
            <w:r w:rsidRPr="00F1506F">
              <w:rPr>
                <w:rFonts w:ascii="Times New Roman" w:eastAsia="Times New Roman" w:hAnsi="Times New Roman" w:cs="Times New Roman"/>
                <w:color w:val="222222"/>
                <w:szCs w:val="20"/>
              </w:rPr>
              <w:t>&lt;.01</w:t>
            </w:r>
          </w:p>
        </w:tc>
      </w:tr>
    </w:tbl>
    <w:p w14:paraId="23ADBC7F" w14:textId="77777777" w:rsidR="00567BC5" w:rsidRPr="00F1506F" w:rsidRDefault="00567BC5" w:rsidP="00567BC5">
      <w:pPr>
        <w:spacing w:after="0" w:line="360" w:lineRule="auto"/>
        <w:rPr>
          <w:rFonts w:ascii="Times New Roman" w:hAnsi="Times New Roman" w:cs="Times New Roman"/>
        </w:rPr>
      </w:pPr>
      <w:r w:rsidRPr="00F1506F">
        <w:rPr>
          <w:rFonts w:ascii="Times New Roman" w:hAnsi="Times New Roman" w:cs="Times New Roman"/>
        </w:rPr>
        <w:t>Abbreviation</w:t>
      </w:r>
      <w:r w:rsidRPr="00F1506F">
        <w:rPr>
          <w:rFonts w:ascii="Times New Roman" w:eastAsia="Calibri" w:hAnsi="Times New Roman" w:cs="Times New Roman"/>
        </w:rPr>
        <w:t xml:space="preserve">s: HR, hazard ratio; 95% CI (95% </w:t>
      </w:r>
      <w:r w:rsidRPr="00F1506F">
        <w:rPr>
          <w:rFonts w:ascii="Times New Roman" w:hAnsi="Times New Roman" w:cs="Times New Roman"/>
        </w:rPr>
        <w:t xml:space="preserve">confidence interval); Ref, reference group; LOS, length of stay; SHORT-TERM ACH, short-term acute care hospitals; LTACH, long-term acute care hospitals. </w:t>
      </w:r>
    </w:p>
    <w:p w14:paraId="5B252103" w14:textId="77777777" w:rsidR="00567BC5" w:rsidRPr="00F1506F" w:rsidRDefault="00567BC5" w:rsidP="00567BC5">
      <w:pPr>
        <w:rPr>
          <w:rFonts w:ascii="Times New Roman" w:hAnsi="Times New Roman" w:cs="Times New Roman"/>
          <w:szCs w:val="24"/>
        </w:rPr>
      </w:pPr>
    </w:p>
    <w:p w14:paraId="3A7057DE" w14:textId="77777777" w:rsidR="00567BC5" w:rsidRPr="00F1506F" w:rsidRDefault="00567BC5" w:rsidP="00567BC5">
      <w:pPr>
        <w:spacing w:line="360" w:lineRule="auto"/>
        <w:rPr>
          <w:rFonts w:ascii="Times New Roman" w:hAnsi="Times New Roman" w:cs="Times New Roman"/>
          <w:szCs w:val="24"/>
        </w:rPr>
      </w:pPr>
    </w:p>
    <w:p w14:paraId="02E7A915" w14:textId="77777777" w:rsidR="00567BC5" w:rsidRPr="00F1506F" w:rsidRDefault="00567BC5" w:rsidP="00567BC5">
      <w:pPr>
        <w:spacing w:after="0" w:line="360" w:lineRule="auto"/>
        <w:rPr>
          <w:rFonts w:ascii="Times New Roman" w:hAnsi="Times New Roman" w:cs="Times New Roman"/>
          <w:b/>
          <w:bCs/>
          <w:szCs w:val="24"/>
        </w:rPr>
        <w:sectPr w:rsidR="00567BC5" w:rsidRPr="00F1506F" w:rsidSect="00567BC5">
          <w:headerReference w:type="default" r:id="rId6"/>
          <w:pgSz w:w="15840" w:h="12240" w:orient="landscape"/>
          <w:pgMar w:top="1440" w:right="1440" w:bottom="1440" w:left="1440" w:header="720" w:footer="720" w:gutter="0"/>
          <w:cols w:space="720"/>
          <w:docGrid w:linePitch="360"/>
        </w:sectPr>
      </w:pPr>
    </w:p>
    <w:p w14:paraId="0C4E3E68" w14:textId="4A4D0460" w:rsidR="00567BC5" w:rsidRPr="00F1506F" w:rsidRDefault="00567BC5" w:rsidP="00567BC5">
      <w:pPr>
        <w:spacing w:after="0" w:line="360" w:lineRule="auto"/>
        <w:rPr>
          <w:rFonts w:ascii="Times New Roman" w:hAnsi="Times New Roman" w:cs="Times New Roman"/>
          <w:b/>
          <w:bCs/>
          <w:szCs w:val="24"/>
        </w:rPr>
      </w:pPr>
      <w:r w:rsidRPr="00F1506F">
        <w:rPr>
          <w:rFonts w:ascii="Times New Roman" w:hAnsi="Times New Roman" w:cs="Times New Roman"/>
          <w:b/>
          <w:bCs/>
          <w:szCs w:val="24"/>
        </w:rPr>
        <w:t>Supplementary Material 3. Directed Acyclic Graph of the Causal Association between Centrality Measures and CRE Prevalence</w:t>
      </w:r>
      <w:r w:rsidR="00F1506F" w:rsidRPr="00F1506F">
        <w:rPr>
          <w:rFonts w:ascii="Times New Roman" w:hAnsi="Times New Roman" w:cs="Times New Roman"/>
          <w:b/>
          <w:bCs/>
          <w:szCs w:val="24"/>
        </w:rPr>
        <w:t>.</w:t>
      </w:r>
    </w:p>
    <w:p w14:paraId="30BCE2F7" w14:textId="77777777" w:rsidR="00567BC5" w:rsidRPr="00F1506F" w:rsidRDefault="00567BC5" w:rsidP="00567BC5">
      <w:pPr>
        <w:pStyle w:val="NormalWeb"/>
        <w:spacing w:line="360" w:lineRule="auto"/>
        <w:jc w:val="center"/>
      </w:pPr>
      <w:r w:rsidRPr="00F1506F">
        <w:rPr>
          <w:noProof/>
        </w:rPr>
        <w:drawing>
          <wp:inline distT="0" distB="0" distL="0" distR="0" wp14:anchorId="47B755AF" wp14:editId="5F5EE62D">
            <wp:extent cx="5547253" cy="4365836"/>
            <wp:effectExtent l="0" t="0" r="0" b="0"/>
            <wp:docPr id="1143222262" name="Picture 114322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3866" b="4616"/>
                    <a:stretch/>
                  </pic:blipFill>
                  <pic:spPr bwMode="auto">
                    <a:xfrm>
                      <a:off x="0" y="0"/>
                      <a:ext cx="5571275" cy="4384742"/>
                    </a:xfrm>
                    <a:prstGeom prst="rect">
                      <a:avLst/>
                    </a:prstGeom>
                    <a:noFill/>
                    <a:ln>
                      <a:noFill/>
                    </a:ln>
                    <a:extLst>
                      <a:ext uri="{53640926-AAD7-44D8-BBD7-CCE9431645EC}">
                        <a14:shadowObscured xmlns:a14="http://schemas.microsoft.com/office/drawing/2010/main"/>
                      </a:ext>
                    </a:extLst>
                  </pic:spPr>
                </pic:pic>
              </a:graphicData>
            </a:graphic>
          </wp:inline>
        </w:drawing>
      </w:r>
    </w:p>
    <w:p w14:paraId="595BFDA1" w14:textId="77777777" w:rsidR="00567BC5" w:rsidRPr="00F1506F" w:rsidRDefault="00567BC5" w:rsidP="00567BC5">
      <w:pPr>
        <w:spacing w:line="360" w:lineRule="auto"/>
        <w:rPr>
          <w:rFonts w:ascii="Times New Roman" w:hAnsi="Times New Roman" w:cs="Times New Roman"/>
        </w:rPr>
      </w:pPr>
    </w:p>
    <w:p w14:paraId="391DE743" w14:textId="77777777" w:rsidR="00567BC5" w:rsidRPr="00F1506F" w:rsidRDefault="00567BC5" w:rsidP="00567BC5">
      <w:pPr>
        <w:rPr>
          <w:rFonts w:ascii="Times New Roman" w:hAnsi="Times New Roman" w:cs="Times New Roman"/>
        </w:rPr>
      </w:pPr>
    </w:p>
    <w:p w14:paraId="4B3DC85C" w14:textId="77777777" w:rsidR="00567BC5" w:rsidRPr="00F1506F" w:rsidRDefault="00567BC5" w:rsidP="00567BC5">
      <w:pPr>
        <w:spacing w:line="360" w:lineRule="auto"/>
        <w:rPr>
          <w:rFonts w:ascii="Times New Roman" w:hAnsi="Times New Roman" w:cs="Times New Roman"/>
          <w:szCs w:val="24"/>
        </w:rPr>
      </w:pPr>
    </w:p>
    <w:p w14:paraId="1C3C5527" w14:textId="77777777" w:rsidR="00567BC5" w:rsidRPr="00F1506F" w:rsidRDefault="00567BC5" w:rsidP="00567BC5">
      <w:pPr>
        <w:spacing w:line="360" w:lineRule="auto"/>
        <w:rPr>
          <w:rFonts w:ascii="Times New Roman" w:hAnsi="Times New Roman" w:cs="Times New Roman"/>
        </w:rPr>
      </w:pPr>
    </w:p>
    <w:p w14:paraId="519B89F1" w14:textId="77777777" w:rsidR="00567BC5" w:rsidRPr="00F1506F" w:rsidRDefault="00567BC5" w:rsidP="00567BC5">
      <w:pPr>
        <w:spacing w:line="360" w:lineRule="auto"/>
        <w:rPr>
          <w:rFonts w:ascii="Times New Roman" w:hAnsi="Times New Roman" w:cs="Times New Roman"/>
        </w:rPr>
      </w:pPr>
    </w:p>
    <w:p w14:paraId="5707B50C" w14:textId="77777777" w:rsidR="00567BC5" w:rsidRPr="00F1506F" w:rsidRDefault="00567BC5" w:rsidP="00567BC5">
      <w:pPr>
        <w:spacing w:line="360" w:lineRule="auto"/>
        <w:rPr>
          <w:rFonts w:ascii="Times New Roman" w:hAnsi="Times New Roman" w:cs="Times New Roman"/>
        </w:rPr>
      </w:pPr>
      <w:r w:rsidRPr="00F1506F">
        <w:rPr>
          <w:rFonts w:ascii="Times New Roman" w:hAnsi="Times New Roman" w:cs="Times New Roman"/>
        </w:rPr>
        <w:fldChar w:fldCharType="begin"/>
      </w:r>
      <w:r w:rsidRPr="00F1506F">
        <w:rPr>
          <w:rFonts w:ascii="Times New Roman" w:hAnsi="Times New Roman" w:cs="Times New Roman"/>
        </w:rPr>
        <w:instrText>ADDIN EN.REFLIST</w:instrText>
      </w:r>
      <w:r w:rsidRPr="00F1506F">
        <w:rPr>
          <w:rFonts w:ascii="Times New Roman" w:hAnsi="Times New Roman" w:cs="Times New Roman"/>
        </w:rPr>
        <w:fldChar w:fldCharType="separate"/>
      </w:r>
      <w:r w:rsidRPr="00F1506F">
        <w:rPr>
          <w:rFonts w:ascii="Times New Roman" w:hAnsi="Times New Roman" w:cs="Times New Roman"/>
        </w:rPr>
        <w:fldChar w:fldCharType="end"/>
      </w:r>
    </w:p>
    <w:p w14:paraId="5DB966AC" w14:textId="77777777" w:rsidR="00567BC5" w:rsidRPr="00F1506F" w:rsidRDefault="00567BC5" w:rsidP="00567BC5">
      <w:pPr>
        <w:rPr>
          <w:rFonts w:ascii="Times New Roman" w:hAnsi="Times New Roman" w:cs="Times New Roman"/>
        </w:rPr>
      </w:pPr>
    </w:p>
    <w:p w14:paraId="2CA4C21B" w14:textId="77777777" w:rsidR="00567BC5" w:rsidRPr="00F1506F" w:rsidRDefault="00567BC5" w:rsidP="00567BC5">
      <w:pPr>
        <w:pStyle w:val="Caption"/>
        <w:keepNext/>
        <w:spacing w:before="240" w:line="360" w:lineRule="auto"/>
        <w:jc w:val="left"/>
        <w:rPr>
          <w:rFonts w:cs="Times New Roman"/>
        </w:rPr>
      </w:pPr>
    </w:p>
    <w:p w14:paraId="01883BC9" w14:textId="77777777" w:rsidR="009426C8" w:rsidRPr="00F1506F" w:rsidRDefault="009426C8" w:rsidP="00567BC5">
      <w:pPr>
        <w:rPr>
          <w:rFonts w:ascii="Times New Roman" w:hAnsi="Times New Roman" w:cs="Times New Roman"/>
        </w:rPr>
      </w:pPr>
    </w:p>
    <w:sectPr w:rsidR="009426C8" w:rsidRPr="00F1506F" w:rsidSect="00567BC5">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30C0" w14:textId="77777777" w:rsidR="00F1506F" w:rsidRDefault="00F1506F" w:rsidP="00493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F830E01" w14:paraId="3C5A6940" w14:textId="77777777" w:rsidTr="004931B0">
      <w:trPr>
        <w:trHeight w:val="300"/>
      </w:trPr>
      <w:tc>
        <w:tcPr>
          <w:tcW w:w="4320" w:type="dxa"/>
        </w:tcPr>
        <w:p w14:paraId="5AB54B25" w14:textId="77777777" w:rsidR="00F1506F" w:rsidRDefault="00F1506F" w:rsidP="004931B0">
          <w:pPr>
            <w:pStyle w:val="Header"/>
            <w:ind w:left="-115"/>
          </w:pPr>
        </w:p>
      </w:tc>
      <w:tc>
        <w:tcPr>
          <w:tcW w:w="4320" w:type="dxa"/>
        </w:tcPr>
        <w:p w14:paraId="7810A720" w14:textId="77777777" w:rsidR="00F1506F" w:rsidRDefault="00F1506F" w:rsidP="004931B0">
          <w:pPr>
            <w:pStyle w:val="Header"/>
            <w:jc w:val="center"/>
          </w:pPr>
        </w:p>
      </w:tc>
      <w:tc>
        <w:tcPr>
          <w:tcW w:w="4320" w:type="dxa"/>
        </w:tcPr>
        <w:p w14:paraId="31E86AEA" w14:textId="77777777" w:rsidR="00F1506F" w:rsidRDefault="00F1506F" w:rsidP="004931B0">
          <w:pPr>
            <w:pStyle w:val="Header"/>
            <w:ind w:right="-115"/>
            <w:jc w:val="right"/>
          </w:pPr>
        </w:p>
      </w:tc>
    </w:tr>
  </w:tbl>
  <w:p w14:paraId="738498B5" w14:textId="77777777" w:rsidR="00F1506F" w:rsidRDefault="00F1506F" w:rsidP="00493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DA2E" w14:textId="77777777" w:rsidR="00F1506F" w:rsidRDefault="00F1506F" w:rsidP="004931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zE3MzY0NDUyMjZV0lEKTi0uzszPAykwqQUAb5VNbywAAAA="/>
  </w:docVars>
  <w:rsids>
    <w:rsidRoot w:val="0064622E"/>
    <w:rsid w:val="00007107"/>
    <w:rsid w:val="000F31F5"/>
    <w:rsid w:val="001756C2"/>
    <w:rsid w:val="001B4533"/>
    <w:rsid w:val="002D4FFC"/>
    <w:rsid w:val="002E1F91"/>
    <w:rsid w:val="00304C3D"/>
    <w:rsid w:val="00380227"/>
    <w:rsid w:val="003A26C0"/>
    <w:rsid w:val="0053502F"/>
    <w:rsid w:val="00561CB5"/>
    <w:rsid w:val="00567BC5"/>
    <w:rsid w:val="00586273"/>
    <w:rsid w:val="005A5870"/>
    <w:rsid w:val="00613A45"/>
    <w:rsid w:val="0064622E"/>
    <w:rsid w:val="00687E33"/>
    <w:rsid w:val="00693142"/>
    <w:rsid w:val="006D7378"/>
    <w:rsid w:val="006F0AE9"/>
    <w:rsid w:val="00703254"/>
    <w:rsid w:val="00785275"/>
    <w:rsid w:val="00790047"/>
    <w:rsid w:val="007E33F3"/>
    <w:rsid w:val="00802CF0"/>
    <w:rsid w:val="00810937"/>
    <w:rsid w:val="00841EB1"/>
    <w:rsid w:val="00852B51"/>
    <w:rsid w:val="008838BA"/>
    <w:rsid w:val="0089234B"/>
    <w:rsid w:val="008C6B86"/>
    <w:rsid w:val="008E1675"/>
    <w:rsid w:val="009426C8"/>
    <w:rsid w:val="009433E3"/>
    <w:rsid w:val="00970609"/>
    <w:rsid w:val="00990DCD"/>
    <w:rsid w:val="009B0228"/>
    <w:rsid w:val="00A038F0"/>
    <w:rsid w:val="00A544D5"/>
    <w:rsid w:val="00B6667C"/>
    <w:rsid w:val="00C32801"/>
    <w:rsid w:val="00CA408F"/>
    <w:rsid w:val="00D5035E"/>
    <w:rsid w:val="00D66BD8"/>
    <w:rsid w:val="00E16329"/>
    <w:rsid w:val="00E41F03"/>
    <w:rsid w:val="00E4498C"/>
    <w:rsid w:val="00E56925"/>
    <w:rsid w:val="00E936DA"/>
    <w:rsid w:val="00EF5B02"/>
    <w:rsid w:val="00F1506F"/>
    <w:rsid w:val="00FB07B4"/>
    <w:rsid w:val="00FD1E60"/>
    <w:rsid w:val="01538D49"/>
    <w:rsid w:val="0400A8B5"/>
    <w:rsid w:val="10AA41B0"/>
    <w:rsid w:val="222B1411"/>
    <w:rsid w:val="2BC24F17"/>
    <w:rsid w:val="2F5AF44B"/>
    <w:rsid w:val="30142489"/>
    <w:rsid w:val="30ABF33F"/>
    <w:rsid w:val="3173E7A0"/>
    <w:rsid w:val="31C0FDEB"/>
    <w:rsid w:val="3C7FB701"/>
    <w:rsid w:val="3EF21F95"/>
    <w:rsid w:val="47B2C268"/>
    <w:rsid w:val="53A44113"/>
    <w:rsid w:val="582A0473"/>
    <w:rsid w:val="5CAB3547"/>
    <w:rsid w:val="6B0BC8DB"/>
    <w:rsid w:val="6D582BA8"/>
    <w:rsid w:val="75F945DB"/>
    <w:rsid w:val="7E68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D800"/>
  <w15:chartTrackingRefBased/>
  <w15:docId w15:val="{FA01A3A8-42F9-46BF-BB78-35896F4A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BC5"/>
    <w:pPr>
      <w:keepNext/>
      <w:keepLines/>
      <w:spacing w:before="240" w:after="0" w:line="276" w:lineRule="auto"/>
      <w:outlineLvl w:val="0"/>
    </w:pPr>
    <w:rPr>
      <w:rFonts w:ascii="Times New Roman" w:eastAsiaTheme="majorEastAsia" w:hAnsi="Times New Roman" w:cstheme="majorBidi"/>
      <w:b/>
      <w:sz w:val="24"/>
      <w:szCs w:val="32"/>
    </w:rPr>
  </w:style>
  <w:style w:type="paragraph" w:styleId="Heading2">
    <w:name w:val="heading 2"/>
    <w:basedOn w:val="Normal"/>
    <w:link w:val="Heading2Char"/>
    <w:uiPriority w:val="9"/>
    <w:qFormat/>
    <w:rsid w:val="00567BC5"/>
    <w:pPr>
      <w:spacing w:before="100" w:beforeAutospacing="1" w:after="100" w:afterAutospacing="1" w:line="240" w:lineRule="auto"/>
      <w:outlineLvl w:val="1"/>
    </w:pPr>
    <w:rPr>
      <w:rFonts w:ascii="Times New Roman" w:eastAsia="Times New Roman" w:hAnsi="Times New Roman" w:cs="Times New Roman"/>
      <w:b/>
      <w:bCs/>
      <w:i/>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038F0"/>
    <w:pPr>
      <w:spacing w:line="240" w:lineRule="auto"/>
    </w:pPr>
    <w:rPr>
      <w:sz w:val="20"/>
      <w:szCs w:val="20"/>
    </w:rPr>
  </w:style>
  <w:style w:type="character" w:customStyle="1" w:styleId="CommentTextChar">
    <w:name w:val="Comment Text Char"/>
    <w:basedOn w:val="DefaultParagraphFont"/>
    <w:link w:val="CommentText"/>
    <w:uiPriority w:val="99"/>
    <w:rsid w:val="00A038F0"/>
    <w:rPr>
      <w:sz w:val="20"/>
      <w:szCs w:val="20"/>
    </w:rPr>
  </w:style>
  <w:style w:type="character" w:styleId="CommentReference">
    <w:name w:val="annotation reference"/>
    <w:basedOn w:val="DefaultParagraphFont"/>
    <w:uiPriority w:val="99"/>
    <w:semiHidden/>
    <w:unhideWhenUsed/>
    <w:rsid w:val="00A038F0"/>
    <w:rPr>
      <w:sz w:val="16"/>
      <w:szCs w:val="16"/>
    </w:rPr>
  </w:style>
  <w:style w:type="paragraph" w:styleId="CommentSubject">
    <w:name w:val="annotation subject"/>
    <w:basedOn w:val="CommentText"/>
    <w:next w:val="CommentText"/>
    <w:link w:val="CommentSubjectChar"/>
    <w:uiPriority w:val="99"/>
    <w:semiHidden/>
    <w:unhideWhenUsed/>
    <w:rsid w:val="00802CF0"/>
    <w:rPr>
      <w:b/>
      <w:bCs/>
    </w:rPr>
  </w:style>
  <w:style w:type="character" w:customStyle="1" w:styleId="CommentSubjectChar">
    <w:name w:val="Comment Subject Char"/>
    <w:basedOn w:val="CommentTextChar"/>
    <w:link w:val="CommentSubject"/>
    <w:uiPriority w:val="99"/>
    <w:semiHidden/>
    <w:rsid w:val="00802CF0"/>
    <w:rPr>
      <w:b/>
      <w:bCs/>
      <w:sz w:val="20"/>
      <w:szCs w:val="20"/>
    </w:rPr>
  </w:style>
  <w:style w:type="paragraph" w:styleId="NormalWeb">
    <w:name w:val="Normal (Web)"/>
    <w:basedOn w:val="Normal"/>
    <w:uiPriority w:val="99"/>
    <w:unhideWhenUsed/>
    <w:rsid w:val="00942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67BC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67BC5"/>
    <w:rPr>
      <w:rFonts w:ascii="Times New Roman" w:eastAsia="Times New Roman" w:hAnsi="Times New Roman" w:cs="Times New Roman"/>
      <w:b/>
      <w:bCs/>
      <w:i/>
      <w:sz w:val="24"/>
      <w:szCs w:val="36"/>
    </w:rPr>
  </w:style>
  <w:style w:type="paragraph" w:styleId="Header">
    <w:name w:val="header"/>
    <w:basedOn w:val="Normal"/>
    <w:link w:val="HeaderChar"/>
    <w:uiPriority w:val="99"/>
    <w:unhideWhenUsed/>
    <w:rsid w:val="00567BC5"/>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567BC5"/>
    <w:rPr>
      <w:rFonts w:ascii="Times New Roman" w:hAnsi="Times New Roman"/>
      <w:sz w:val="24"/>
    </w:rPr>
  </w:style>
  <w:style w:type="paragraph" w:styleId="ListParagraph">
    <w:name w:val="List Paragraph"/>
    <w:basedOn w:val="Normal"/>
    <w:uiPriority w:val="34"/>
    <w:qFormat/>
    <w:rsid w:val="00567BC5"/>
    <w:pPr>
      <w:spacing w:line="480" w:lineRule="auto"/>
      <w:ind w:left="720"/>
      <w:contextualSpacing/>
    </w:pPr>
    <w:rPr>
      <w:rFonts w:ascii="Times New Roman" w:hAnsi="Times New Roman"/>
      <w:sz w:val="24"/>
    </w:rPr>
  </w:style>
  <w:style w:type="paragraph" w:styleId="Caption">
    <w:name w:val="caption"/>
    <w:basedOn w:val="Normal"/>
    <w:next w:val="Normal"/>
    <w:uiPriority w:val="35"/>
    <w:unhideWhenUsed/>
    <w:qFormat/>
    <w:rsid w:val="00567BC5"/>
    <w:pPr>
      <w:spacing w:after="200" w:line="240" w:lineRule="auto"/>
      <w:jc w:val="center"/>
    </w:pPr>
    <w:rPr>
      <w:rFonts w:ascii="Times New Roman" w:hAnsi="Times New Roman"/>
      <w:b/>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3876">
      <w:bodyDiv w:val="1"/>
      <w:marLeft w:val="0"/>
      <w:marRight w:val="0"/>
      <w:marTop w:val="0"/>
      <w:marBottom w:val="0"/>
      <w:divBdr>
        <w:top w:val="none" w:sz="0" w:space="0" w:color="auto"/>
        <w:left w:val="none" w:sz="0" w:space="0" w:color="auto"/>
        <w:bottom w:val="none" w:sz="0" w:space="0" w:color="auto"/>
        <w:right w:val="none" w:sz="0" w:space="0" w:color="auto"/>
      </w:divBdr>
    </w:div>
    <w:div w:id="628173347">
      <w:bodyDiv w:val="1"/>
      <w:marLeft w:val="0"/>
      <w:marRight w:val="0"/>
      <w:marTop w:val="0"/>
      <w:marBottom w:val="0"/>
      <w:divBdr>
        <w:top w:val="none" w:sz="0" w:space="0" w:color="auto"/>
        <w:left w:val="none" w:sz="0" w:space="0" w:color="auto"/>
        <w:bottom w:val="none" w:sz="0" w:space="0" w:color="auto"/>
        <w:right w:val="none" w:sz="0" w:space="0" w:color="auto"/>
      </w:divBdr>
    </w:div>
    <w:div w:id="20701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1AC4-530F-4F16-AB45-006C8360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3425</Words>
  <Characters>19764</Characters>
  <Application>Microsoft Office Word</Application>
  <DocSecurity>0</DocSecurity>
  <Lines>941</Lines>
  <Paragraphs>799</Paragraphs>
  <ScaleCrop>false</ScaleCrop>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Octaria, Rany (CDC/NCEZID/DHQP/ERIB)</dc:creator>
  <cp:keywords/>
  <dc:description/>
  <cp:lastModifiedBy>Octaria, Rany (CDC/NCEZID/DHQP/ERIB)</cp:lastModifiedBy>
  <cp:revision>33</cp:revision>
  <dcterms:created xsi:type="dcterms:W3CDTF">2023-11-20T20:26:00Z</dcterms:created>
  <dcterms:modified xsi:type="dcterms:W3CDTF">2024-12-13T18:12:00Z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2023-11-20T17:49:00Z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c80a36cf-5e61-4c86-8cf0-d42390411ab5</vt:lpwstr>
  </property>
  <property fmtid="{D5CDD505-2E9C-101B-9397-08002B2CF9AE}" pid="8" name="MSIP_Label_7b94a7b8-f06c-4dfe-bdcc-9b548fd58c31_ContentBits">
    <vt:lpwstr>0</vt:lpwstr>
  </property>
  <property fmtid="{D5CDD505-2E9C-101B-9397-08002B2CF9AE}" pid="9" name="GrammarlyDocumentId">
    <vt:lpwstr>9b456338b40a229f950123d82a9a1f390af18fcafa331b087336873d89dff879</vt:lpwstr>
  </property>
</Properties>
</file>