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FB6C" w14:textId="1C0FEC94" w:rsidR="008421A3" w:rsidRDefault="00595208">
      <w:pPr>
        <w:rPr>
          <w:rFonts w:ascii="Arial" w:hAnsi="Arial" w:cs="Arial"/>
          <w:b/>
          <w:bCs/>
        </w:rPr>
      </w:pPr>
      <w:r w:rsidRPr="00595208">
        <w:rPr>
          <w:rFonts w:ascii="Arial" w:hAnsi="Arial" w:cs="Arial"/>
          <w:b/>
          <w:bCs/>
        </w:rPr>
        <w:t xml:space="preserve">SUPPLEMENTARY </w:t>
      </w:r>
      <w:r>
        <w:rPr>
          <w:rFonts w:ascii="Arial" w:hAnsi="Arial" w:cs="Arial"/>
          <w:b/>
          <w:bCs/>
        </w:rPr>
        <w:t>MATERIALS</w:t>
      </w:r>
    </w:p>
    <w:p w14:paraId="640FC094" w14:textId="77777777" w:rsidR="00595208" w:rsidRDefault="00595208">
      <w:pPr>
        <w:rPr>
          <w:rFonts w:ascii="Arial" w:hAnsi="Arial" w:cs="Arial"/>
          <w:b/>
          <w:bCs/>
        </w:rPr>
      </w:pPr>
    </w:p>
    <w:p w14:paraId="1CC00311" w14:textId="25E9E21E" w:rsidR="00595208" w:rsidRPr="00595208" w:rsidRDefault="00595208">
      <w:pPr>
        <w:rPr>
          <w:rFonts w:ascii="Arial" w:hAnsi="Arial" w:cs="Arial"/>
          <w:b/>
          <w:bCs/>
        </w:rPr>
      </w:pPr>
      <w:r w:rsidRPr="00595208">
        <w:rPr>
          <w:rFonts w:ascii="Arial" w:hAnsi="Arial" w:cs="Arial"/>
          <w:b/>
          <w:bCs/>
        </w:rPr>
        <w:t>MANUSCRIPT TITLE:</w:t>
      </w:r>
    </w:p>
    <w:p w14:paraId="04B2BCF4" w14:textId="77777777" w:rsidR="00595208" w:rsidRPr="00050F6A" w:rsidRDefault="00595208" w:rsidP="00595208">
      <w:pPr>
        <w:spacing w:after="0" w:line="480" w:lineRule="auto"/>
        <w:rPr>
          <w:rFonts w:ascii="Arial" w:hAnsi="Arial" w:cs="Arial"/>
        </w:rPr>
      </w:pPr>
      <w:r w:rsidRPr="00050F6A">
        <w:rPr>
          <w:rFonts w:ascii="Arial" w:hAnsi="Arial" w:cs="Arial"/>
        </w:rPr>
        <w:t xml:space="preserve">Whole-genome sequencing surveillance of vancomycin-resistant </w:t>
      </w:r>
      <w:r w:rsidRPr="00050F6A">
        <w:rPr>
          <w:rFonts w:ascii="Arial" w:hAnsi="Arial" w:cs="Arial"/>
          <w:i/>
          <w:iCs/>
        </w:rPr>
        <w:t xml:space="preserve">Enterococcus faecium </w:t>
      </w:r>
      <w:r w:rsidRPr="00050F6A">
        <w:rPr>
          <w:rFonts w:ascii="Arial" w:hAnsi="Arial" w:cs="Arial"/>
        </w:rPr>
        <w:t>(VRE) detects hospital outbreaks and identifies the post-anesthesia care unit as a transmission locus</w:t>
      </w:r>
    </w:p>
    <w:p w14:paraId="0F2E2EED" w14:textId="77777777" w:rsidR="00595208" w:rsidRPr="00595208" w:rsidRDefault="00595208">
      <w:pPr>
        <w:rPr>
          <w:rFonts w:ascii="Arial" w:hAnsi="Arial" w:cs="Arial"/>
        </w:rPr>
      </w:pPr>
    </w:p>
    <w:p w14:paraId="795F2E31" w14:textId="70AE33BD" w:rsidR="00595208" w:rsidRPr="00595208" w:rsidRDefault="00595208">
      <w:pPr>
        <w:rPr>
          <w:rFonts w:ascii="Arial" w:hAnsi="Arial" w:cs="Arial"/>
          <w:b/>
          <w:bCs/>
        </w:rPr>
      </w:pPr>
      <w:r w:rsidRPr="00595208">
        <w:rPr>
          <w:rFonts w:ascii="Arial" w:hAnsi="Arial" w:cs="Arial"/>
          <w:b/>
          <w:bCs/>
        </w:rPr>
        <w:t>AUTHORS:</w:t>
      </w:r>
    </w:p>
    <w:p w14:paraId="67DF22A9" w14:textId="5A46F173" w:rsidR="00595208" w:rsidRPr="00050F6A" w:rsidRDefault="00595208" w:rsidP="00595208">
      <w:pPr>
        <w:spacing w:after="0" w:line="480" w:lineRule="auto"/>
        <w:rPr>
          <w:rFonts w:ascii="Arial" w:hAnsi="Arial" w:cs="Arial"/>
        </w:rPr>
      </w:pPr>
      <w:r w:rsidRPr="00050F6A">
        <w:rPr>
          <w:rFonts w:ascii="Arial" w:hAnsi="Arial" w:cs="Arial"/>
        </w:rPr>
        <w:t xml:space="preserve">Sarah </w:t>
      </w:r>
      <w:r w:rsidR="00B805EC">
        <w:rPr>
          <w:rFonts w:ascii="Arial" w:hAnsi="Arial" w:cs="Arial"/>
        </w:rPr>
        <w:t xml:space="preserve">M. </w:t>
      </w:r>
      <w:r w:rsidRPr="00050F6A">
        <w:rPr>
          <w:rFonts w:ascii="Arial" w:hAnsi="Arial" w:cs="Arial"/>
        </w:rPr>
        <w:t>Schrader, MD, PhD</w:t>
      </w:r>
      <w:r>
        <w:rPr>
          <w:rFonts w:ascii="Arial" w:hAnsi="Arial" w:cs="Arial"/>
        </w:rPr>
        <w:t>,</w:t>
      </w:r>
      <w:r w:rsidRPr="00050F6A">
        <w:rPr>
          <w:rFonts w:ascii="Arial" w:hAnsi="Arial" w:cs="Arial"/>
        </w:rPr>
        <w:t xml:space="preserve"> Meghan </w:t>
      </w:r>
      <w:r w:rsidR="00B805EC">
        <w:rPr>
          <w:rFonts w:ascii="Arial" w:hAnsi="Arial" w:cs="Arial"/>
        </w:rPr>
        <w:t xml:space="preserve">A. </w:t>
      </w:r>
      <w:r w:rsidRPr="00050F6A">
        <w:rPr>
          <w:rFonts w:ascii="Arial" w:hAnsi="Arial" w:cs="Arial"/>
        </w:rPr>
        <w:t>Baker, MD, ScD</w:t>
      </w:r>
      <w:r>
        <w:rPr>
          <w:rFonts w:ascii="Arial" w:hAnsi="Arial" w:cs="Arial"/>
        </w:rPr>
        <w:t>,</w:t>
      </w:r>
      <w:r w:rsidRPr="00050F6A">
        <w:rPr>
          <w:rFonts w:ascii="Arial" w:hAnsi="Arial" w:cs="Arial"/>
        </w:rPr>
        <w:t xml:space="preserve"> Chanu Rhee, MD, MPH</w:t>
      </w:r>
      <w:r>
        <w:rPr>
          <w:rFonts w:ascii="Arial" w:hAnsi="Arial" w:cs="Arial"/>
        </w:rPr>
        <w:t xml:space="preserve">, </w:t>
      </w:r>
      <w:r w:rsidRPr="00050F6A">
        <w:rPr>
          <w:rFonts w:ascii="Arial" w:hAnsi="Arial" w:cs="Arial"/>
        </w:rPr>
        <w:t>Michael Klompas, MD</w:t>
      </w:r>
      <w:r>
        <w:rPr>
          <w:rFonts w:ascii="Arial" w:hAnsi="Arial" w:cs="Arial"/>
        </w:rPr>
        <w:t>,</w:t>
      </w:r>
      <w:r w:rsidRPr="00050F6A">
        <w:rPr>
          <w:rFonts w:ascii="Arial" w:hAnsi="Arial" w:cs="Arial"/>
        </w:rPr>
        <w:t xml:space="preserve"> Samantha Taffner, MS, Zachary Pearson, BS, MLT(ASCP), Jay Worley, PhD, Lynn Bry, MD, PhD, Sanjat Kanjilal, MD, MPH</w:t>
      </w:r>
      <w:r>
        <w:rPr>
          <w:rFonts w:ascii="Arial" w:hAnsi="Arial" w:cs="Arial"/>
        </w:rPr>
        <w:t>,</w:t>
      </w:r>
      <w:r w:rsidRPr="00050F6A">
        <w:rPr>
          <w:rFonts w:ascii="Arial" w:hAnsi="Arial" w:cs="Arial"/>
        </w:rPr>
        <w:t xml:space="preserve"> Manfred Brigl, MD, Nicole Pecora, MD, PhD</w:t>
      </w:r>
    </w:p>
    <w:p w14:paraId="74426599" w14:textId="77777777" w:rsidR="00595208" w:rsidRPr="00595208" w:rsidRDefault="00595208">
      <w:pPr>
        <w:rPr>
          <w:rFonts w:ascii="Arial" w:hAnsi="Arial" w:cs="Arial"/>
        </w:rPr>
      </w:pPr>
    </w:p>
    <w:p w14:paraId="7509CBE6" w14:textId="553D2294" w:rsidR="00595208" w:rsidRPr="00595208" w:rsidRDefault="00595208">
      <w:pPr>
        <w:rPr>
          <w:rFonts w:ascii="Arial" w:hAnsi="Arial" w:cs="Arial"/>
          <w:b/>
          <w:bCs/>
        </w:rPr>
      </w:pPr>
      <w:r w:rsidRPr="00595208">
        <w:rPr>
          <w:rFonts w:ascii="Arial" w:hAnsi="Arial" w:cs="Arial"/>
          <w:b/>
          <w:bCs/>
        </w:rPr>
        <w:t>CONTENTS:</w:t>
      </w:r>
    </w:p>
    <w:p w14:paraId="06E10D36" w14:textId="746CC59F" w:rsidR="00BA2D00" w:rsidRDefault="00BA2D00" w:rsidP="00595208">
      <w:pPr>
        <w:pStyle w:val="ListParagraph"/>
        <w:numPr>
          <w:ilvl w:val="0"/>
          <w:numId w:val="1"/>
        </w:numPr>
        <w:spacing w:after="0" w:line="480" w:lineRule="auto"/>
        <w:rPr>
          <w:rFonts w:ascii="Arial" w:hAnsi="Arial" w:cs="Arial"/>
          <w:color w:val="000000" w:themeColor="text1"/>
        </w:rPr>
      </w:pPr>
      <w:r>
        <w:rPr>
          <w:rFonts w:ascii="Arial" w:hAnsi="Arial" w:cs="Arial"/>
          <w:color w:val="000000" w:themeColor="text1"/>
        </w:rPr>
        <w:t>Supplementary methods</w:t>
      </w:r>
    </w:p>
    <w:p w14:paraId="23472295" w14:textId="1E57A947" w:rsidR="00A07FD3" w:rsidRDefault="000F1BDD" w:rsidP="00595208">
      <w:pPr>
        <w:pStyle w:val="ListParagraph"/>
        <w:numPr>
          <w:ilvl w:val="0"/>
          <w:numId w:val="1"/>
        </w:numPr>
        <w:spacing w:after="0" w:line="480" w:lineRule="auto"/>
        <w:rPr>
          <w:rFonts w:ascii="Arial" w:hAnsi="Arial" w:cs="Arial"/>
          <w:color w:val="000000" w:themeColor="text1"/>
        </w:rPr>
      </w:pPr>
      <w:r>
        <w:rPr>
          <w:rFonts w:ascii="Arial" w:hAnsi="Arial" w:cs="Arial"/>
          <w:color w:val="000000" w:themeColor="text1"/>
        </w:rPr>
        <w:t>T</w:t>
      </w:r>
      <w:r w:rsidR="00A07FD3">
        <w:rPr>
          <w:rFonts w:ascii="Arial" w:hAnsi="Arial" w:cs="Arial"/>
          <w:color w:val="000000" w:themeColor="text1"/>
        </w:rPr>
        <w:t xml:space="preserve">able </w:t>
      </w:r>
      <w:r>
        <w:rPr>
          <w:rFonts w:ascii="Arial" w:hAnsi="Arial" w:cs="Arial"/>
          <w:color w:val="000000" w:themeColor="text1"/>
        </w:rPr>
        <w:t>s</w:t>
      </w:r>
      <w:r w:rsidR="00A07FD3">
        <w:rPr>
          <w:rFonts w:ascii="Arial" w:hAnsi="Arial" w:cs="Arial"/>
          <w:color w:val="000000" w:themeColor="text1"/>
        </w:rPr>
        <w:t>1: legend &amp; separate Microsoft Excel file</w:t>
      </w:r>
    </w:p>
    <w:p w14:paraId="17B41FBA" w14:textId="282DBD59" w:rsidR="00595208" w:rsidRPr="00595208" w:rsidRDefault="000F1BDD" w:rsidP="00595208">
      <w:pPr>
        <w:pStyle w:val="ListParagraph"/>
        <w:numPr>
          <w:ilvl w:val="0"/>
          <w:numId w:val="1"/>
        </w:numPr>
        <w:spacing w:after="0" w:line="480" w:lineRule="auto"/>
        <w:rPr>
          <w:rFonts w:ascii="Arial" w:hAnsi="Arial" w:cs="Arial"/>
          <w:color w:val="000000" w:themeColor="text1"/>
        </w:rPr>
      </w:pPr>
      <w:r>
        <w:rPr>
          <w:rFonts w:ascii="Arial" w:hAnsi="Arial" w:cs="Arial"/>
          <w:color w:val="000000" w:themeColor="text1"/>
        </w:rPr>
        <w:t>T</w:t>
      </w:r>
      <w:r w:rsidR="00595208" w:rsidRPr="00595208">
        <w:rPr>
          <w:rFonts w:ascii="Arial" w:hAnsi="Arial" w:cs="Arial"/>
          <w:color w:val="000000" w:themeColor="text1"/>
        </w:rPr>
        <w:t xml:space="preserve">able </w:t>
      </w:r>
      <w:r>
        <w:rPr>
          <w:rFonts w:ascii="Arial" w:hAnsi="Arial" w:cs="Arial"/>
          <w:color w:val="000000" w:themeColor="text1"/>
        </w:rPr>
        <w:t>s</w:t>
      </w:r>
      <w:r w:rsidR="00A07FD3">
        <w:rPr>
          <w:rFonts w:ascii="Arial" w:hAnsi="Arial" w:cs="Arial"/>
          <w:color w:val="000000" w:themeColor="text1"/>
        </w:rPr>
        <w:t>2</w:t>
      </w:r>
      <w:r w:rsidR="00595208" w:rsidRPr="00595208">
        <w:rPr>
          <w:rFonts w:ascii="Arial" w:hAnsi="Arial" w:cs="Arial"/>
          <w:color w:val="000000" w:themeColor="text1"/>
        </w:rPr>
        <w:t>: legend &amp; separate Microsoft Excel file</w:t>
      </w:r>
    </w:p>
    <w:p w14:paraId="7DB8B508" w14:textId="063C71D8" w:rsidR="00595208" w:rsidRPr="00595208" w:rsidRDefault="000F1BDD" w:rsidP="00595208">
      <w:pPr>
        <w:pStyle w:val="ListParagraph"/>
        <w:numPr>
          <w:ilvl w:val="0"/>
          <w:numId w:val="1"/>
        </w:numPr>
        <w:spacing w:after="0" w:line="480" w:lineRule="auto"/>
        <w:rPr>
          <w:rFonts w:ascii="Arial" w:hAnsi="Arial" w:cs="Arial"/>
          <w:color w:val="000000" w:themeColor="text1"/>
        </w:rPr>
      </w:pPr>
      <w:r>
        <w:rPr>
          <w:rFonts w:ascii="Arial" w:hAnsi="Arial" w:cs="Arial"/>
          <w:color w:val="000000" w:themeColor="text1"/>
        </w:rPr>
        <w:t>T</w:t>
      </w:r>
      <w:r w:rsidR="00595208" w:rsidRPr="00595208">
        <w:rPr>
          <w:rFonts w:ascii="Arial" w:hAnsi="Arial" w:cs="Arial"/>
          <w:color w:val="000000" w:themeColor="text1"/>
        </w:rPr>
        <w:t xml:space="preserve">able </w:t>
      </w:r>
      <w:r>
        <w:rPr>
          <w:rFonts w:ascii="Arial" w:hAnsi="Arial" w:cs="Arial"/>
          <w:color w:val="000000" w:themeColor="text1"/>
        </w:rPr>
        <w:t>s</w:t>
      </w:r>
      <w:r w:rsidR="00A07FD3">
        <w:rPr>
          <w:rFonts w:ascii="Arial" w:hAnsi="Arial" w:cs="Arial"/>
          <w:color w:val="000000" w:themeColor="text1"/>
        </w:rPr>
        <w:t>3</w:t>
      </w:r>
      <w:r w:rsidR="00595208" w:rsidRPr="00595208">
        <w:rPr>
          <w:rFonts w:ascii="Arial" w:hAnsi="Arial" w:cs="Arial"/>
          <w:color w:val="000000" w:themeColor="text1"/>
        </w:rPr>
        <w:t>: legend &amp; separate Microsoft Excel file</w:t>
      </w:r>
    </w:p>
    <w:p w14:paraId="5B05C49A" w14:textId="70EE8415" w:rsidR="00595208" w:rsidRPr="00595208" w:rsidRDefault="000F1BDD" w:rsidP="00595208">
      <w:pPr>
        <w:pStyle w:val="ListParagraph"/>
        <w:numPr>
          <w:ilvl w:val="0"/>
          <w:numId w:val="1"/>
        </w:numPr>
        <w:spacing w:after="0" w:line="480" w:lineRule="auto"/>
        <w:rPr>
          <w:rFonts w:ascii="Arial" w:hAnsi="Arial" w:cs="Arial"/>
          <w:color w:val="000000" w:themeColor="text1"/>
        </w:rPr>
      </w:pPr>
      <w:r>
        <w:rPr>
          <w:rFonts w:ascii="Arial" w:hAnsi="Arial" w:cs="Arial"/>
          <w:color w:val="000000" w:themeColor="text1"/>
        </w:rPr>
        <w:t>F</w:t>
      </w:r>
      <w:r w:rsidR="00595208" w:rsidRPr="00595208">
        <w:rPr>
          <w:rFonts w:ascii="Arial" w:hAnsi="Arial" w:cs="Arial"/>
          <w:color w:val="000000" w:themeColor="text1"/>
        </w:rPr>
        <w:t xml:space="preserve">igure </w:t>
      </w:r>
      <w:r>
        <w:rPr>
          <w:rFonts w:ascii="Arial" w:hAnsi="Arial" w:cs="Arial"/>
          <w:color w:val="000000" w:themeColor="text1"/>
        </w:rPr>
        <w:t>s</w:t>
      </w:r>
      <w:r w:rsidR="00595208" w:rsidRPr="00595208">
        <w:rPr>
          <w:rFonts w:ascii="Arial" w:hAnsi="Arial" w:cs="Arial"/>
          <w:color w:val="000000" w:themeColor="text1"/>
        </w:rPr>
        <w:t>1</w:t>
      </w:r>
      <w:r>
        <w:rPr>
          <w:rFonts w:ascii="Arial" w:hAnsi="Arial" w:cs="Arial"/>
          <w:color w:val="000000" w:themeColor="text1"/>
        </w:rPr>
        <w:t>: legend &amp; figure</w:t>
      </w:r>
    </w:p>
    <w:p w14:paraId="5BFC3F0A" w14:textId="41926BF4" w:rsidR="00595208" w:rsidRPr="00595208" w:rsidRDefault="000F1BDD" w:rsidP="00595208">
      <w:pPr>
        <w:pStyle w:val="ListParagraph"/>
        <w:numPr>
          <w:ilvl w:val="0"/>
          <w:numId w:val="1"/>
        </w:numPr>
        <w:spacing w:after="0" w:line="480" w:lineRule="auto"/>
        <w:rPr>
          <w:rFonts w:ascii="Arial" w:hAnsi="Arial" w:cs="Arial"/>
          <w:color w:val="000000" w:themeColor="text1"/>
        </w:rPr>
      </w:pPr>
      <w:r>
        <w:rPr>
          <w:rFonts w:ascii="Arial" w:hAnsi="Arial" w:cs="Arial"/>
          <w:color w:val="000000" w:themeColor="text1"/>
        </w:rPr>
        <w:t>F</w:t>
      </w:r>
      <w:r w:rsidR="00595208" w:rsidRPr="00595208">
        <w:rPr>
          <w:rFonts w:ascii="Arial" w:hAnsi="Arial" w:cs="Arial"/>
          <w:color w:val="000000" w:themeColor="text1"/>
        </w:rPr>
        <w:t xml:space="preserve">igure </w:t>
      </w:r>
      <w:r>
        <w:rPr>
          <w:rFonts w:ascii="Arial" w:hAnsi="Arial" w:cs="Arial"/>
          <w:color w:val="000000" w:themeColor="text1"/>
        </w:rPr>
        <w:t>s</w:t>
      </w:r>
      <w:r w:rsidR="00595208" w:rsidRPr="00595208">
        <w:rPr>
          <w:rFonts w:ascii="Arial" w:hAnsi="Arial" w:cs="Arial"/>
          <w:color w:val="000000" w:themeColor="text1"/>
        </w:rPr>
        <w:t>2</w:t>
      </w:r>
      <w:r>
        <w:rPr>
          <w:rFonts w:ascii="Arial" w:hAnsi="Arial" w:cs="Arial"/>
          <w:color w:val="000000" w:themeColor="text1"/>
        </w:rPr>
        <w:t>: legend &amp; figure</w:t>
      </w:r>
    </w:p>
    <w:p w14:paraId="0667B136" w14:textId="77777777" w:rsidR="00595208" w:rsidRDefault="00595208">
      <w:pPr>
        <w:rPr>
          <w:rFonts w:ascii="Arial" w:hAnsi="Arial" w:cs="Arial"/>
          <w:b/>
          <w:bCs/>
          <w:color w:val="000000" w:themeColor="text1"/>
        </w:rPr>
      </w:pPr>
      <w:r>
        <w:rPr>
          <w:rFonts w:ascii="Arial" w:hAnsi="Arial" w:cs="Arial"/>
          <w:b/>
          <w:bCs/>
          <w:color w:val="000000" w:themeColor="text1"/>
        </w:rPr>
        <w:br w:type="page"/>
      </w:r>
    </w:p>
    <w:p w14:paraId="04D10CF3" w14:textId="1682073D" w:rsidR="00664CE7" w:rsidRDefault="00664CE7" w:rsidP="00664CE7">
      <w:pPr>
        <w:spacing w:after="0" w:line="480" w:lineRule="auto"/>
        <w:rPr>
          <w:rFonts w:ascii="Arial" w:hAnsi="Arial" w:cs="Arial"/>
          <w:b/>
          <w:bCs/>
          <w:color w:val="000000" w:themeColor="text1"/>
        </w:rPr>
      </w:pPr>
      <w:r>
        <w:rPr>
          <w:rFonts w:ascii="Arial" w:hAnsi="Arial" w:cs="Arial"/>
          <w:b/>
          <w:bCs/>
          <w:color w:val="000000" w:themeColor="text1"/>
        </w:rPr>
        <w:lastRenderedPageBreak/>
        <w:t>SUPPLEMENTARY METHODS</w:t>
      </w:r>
    </w:p>
    <w:p w14:paraId="1268F808" w14:textId="77777777" w:rsidR="00664CE7" w:rsidRDefault="00664CE7" w:rsidP="00664CE7">
      <w:pPr>
        <w:spacing w:after="0" w:line="480" w:lineRule="auto"/>
        <w:rPr>
          <w:rFonts w:ascii="Arial" w:hAnsi="Arial" w:cs="Arial"/>
          <w:b/>
          <w:bCs/>
        </w:rPr>
      </w:pPr>
    </w:p>
    <w:p w14:paraId="62EA6B11" w14:textId="04626727" w:rsidR="00664CE7" w:rsidRPr="00664CE7" w:rsidRDefault="00664CE7" w:rsidP="00664CE7">
      <w:pPr>
        <w:spacing w:after="0" w:line="480" w:lineRule="auto"/>
        <w:rPr>
          <w:rFonts w:ascii="Arial" w:hAnsi="Arial" w:cs="Arial"/>
          <w:b/>
          <w:bCs/>
        </w:rPr>
      </w:pPr>
      <w:r w:rsidRPr="00664CE7">
        <w:rPr>
          <w:rFonts w:ascii="Arial" w:hAnsi="Arial" w:cs="Arial"/>
          <w:b/>
          <w:bCs/>
        </w:rPr>
        <w:t xml:space="preserve">Additional details on study setting and </w:t>
      </w:r>
      <w:r w:rsidR="00A35C4F">
        <w:rPr>
          <w:rFonts w:ascii="Arial" w:hAnsi="Arial" w:cs="Arial"/>
          <w:b/>
          <w:bCs/>
        </w:rPr>
        <w:t>Brigham and Women’s Hospital (</w:t>
      </w:r>
      <w:r w:rsidRPr="00664CE7">
        <w:rPr>
          <w:rFonts w:ascii="Arial" w:hAnsi="Arial" w:cs="Arial"/>
          <w:b/>
          <w:bCs/>
        </w:rPr>
        <w:t>BWH</w:t>
      </w:r>
      <w:r w:rsidR="00A35C4F">
        <w:rPr>
          <w:rFonts w:ascii="Arial" w:hAnsi="Arial" w:cs="Arial"/>
          <w:b/>
          <w:bCs/>
        </w:rPr>
        <w:t>) vancomycin-resistant enterococci</w:t>
      </w:r>
      <w:r w:rsidRPr="00664CE7">
        <w:rPr>
          <w:rFonts w:ascii="Arial" w:hAnsi="Arial" w:cs="Arial"/>
          <w:b/>
          <w:bCs/>
        </w:rPr>
        <w:t xml:space="preserve"> </w:t>
      </w:r>
      <w:r w:rsidR="00A35C4F">
        <w:rPr>
          <w:rFonts w:ascii="Arial" w:hAnsi="Arial" w:cs="Arial"/>
          <w:b/>
          <w:bCs/>
        </w:rPr>
        <w:t>(</w:t>
      </w:r>
      <w:r w:rsidRPr="00664CE7">
        <w:rPr>
          <w:rFonts w:ascii="Arial" w:hAnsi="Arial" w:cs="Arial"/>
          <w:b/>
          <w:bCs/>
        </w:rPr>
        <w:t>VRE</w:t>
      </w:r>
      <w:r w:rsidR="00A35C4F">
        <w:rPr>
          <w:rFonts w:ascii="Arial" w:hAnsi="Arial" w:cs="Arial"/>
          <w:b/>
          <w:bCs/>
        </w:rPr>
        <w:t>)</w:t>
      </w:r>
      <w:r w:rsidRPr="00664CE7">
        <w:rPr>
          <w:rFonts w:ascii="Arial" w:hAnsi="Arial" w:cs="Arial"/>
          <w:b/>
          <w:bCs/>
        </w:rPr>
        <w:t xml:space="preserve"> screening protocols during the period of this study</w:t>
      </w:r>
    </w:p>
    <w:p w14:paraId="561A4C22" w14:textId="2C7E1E2B" w:rsidR="00664CE7" w:rsidRPr="00664CE7" w:rsidRDefault="00664CE7" w:rsidP="00664CE7">
      <w:pPr>
        <w:spacing w:after="0" w:line="480" w:lineRule="auto"/>
        <w:ind w:firstLine="720"/>
        <w:rPr>
          <w:rFonts w:ascii="Arial" w:hAnsi="Arial" w:cs="Arial"/>
        </w:rPr>
      </w:pPr>
      <w:r w:rsidRPr="00664CE7">
        <w:rPr>
          <w:rFonts w:ascii="Arial" w:hAnsi="Arial" w:cs="Arial"/>
        </w:rPr>
        <w:t>Per BWH infection control policy, all adult patients admitted to intensive care</w:t>
      </w:r>
      <w:r w:rsidR="002F259C">
        <w:rPr>
          <w:rFonts w:ascii="Arial" w:hAnsi="Arial" w:cs="Arial"/>
        </w:rPr>
        <w:t xml:space="preserve"> units (ICUs)</w:t>
      </w:r>
      <w:r w:rsidRPr="00664CE7">
        <w:rPr>
          <w:rFonts w:ascii="Arial" w:hAnsi="Arial" w:cs="Arial"/>
        </w:rPr>
        <w:t xml:space="preserve"> and oncology units are screened for VRE via rectal swab or stool sampling upon admission and weekly thereafter. Patients known to be colonized with VRE are considered persistently colonized unless cleared by three sets of negative cultures (including rectal swab or stool and from any previously positive sites except urine or blood) and are therefore exempt from screening. </w:t>
      </w:r>
      <w:r w:rsidR="00DD61AF">
        <w:rPr>
          <w:rFonts w:ascii="Arial" w:hAnsi="Arial" w:cs="Arial"/>
        </w:rPr>
        <w:t xml:space="preserve">A patient not admitted to an ICU or oncology unit can also be screened for VRE </w:t>
      </w:r>
      <w:r w:rsidRPr="00664CE7">
        <w:rPr>
          <w:rFonts w:ascii="Arial" w:hAnsi="Arial" w:cs="Arial"/>
        </w:rPr>
        <w:t>at the discretion of infection control or the</w:t>
      </w:r>
      <w:r w:rsidR="00DD61AF">
        <w:rPr>
          <w:rFonts w:ascii="Arial" w:hAnsi="Arial" w:cs="Arial"/>
        </w:rPr>
        <w:t xml:space="preserve"> clinical</w:t>
      </w:r>
      <w:r w:rsidRPr="00664CE7">
        <w:rPr>
          <w:rFonts w:ascii="Arial" w:hAnsi="Arial" w:cs="Arial"/>
        </w:rPr>
        <w:t xml:space="preserve"> team caring for a patient. BWH has 11 dedicated oncology units and ten </w:t>
      </w:r>
      <w:r w:rsidR="002F259C">
        <w:rPr>
          <w:rFonts w:ascii="Arial" w:hAnsi="Arial" w:cs="Arial"/>
        </w:rPr>
        <w:t>adult</w:t>
      </w:r>
      <w:r w:rsidR="00A35C4F">
        <w:rPr>
          <w:rFonts w:ascii="Arial" w:hAnsi="Arial" w:cs="Arial"/>
        </w:rPr>
        <w:t xml:space="preserve"> </w:t>
      </w:r>
      <w:r w:rsidRPr="00664CE7">
        <w:rPr>
          <w:rFonts w:ascii="Arial" w:hAnsi="Arial" w:cs="Arial"/>
        </w:rPr>
        <w:t xml:space="preserve">ICUs, including </w:t>
      </w:r>
      <w:r w:rsidRPr="00664CE7">
        <w:rPr>
          <w:rFonts w:ascii="Arial" w:eastAsia="Times New Roman" w:hAnsi="Arial" w:cs="Arial"/>
          <w:color w:val="212121"/>
          <w:kern w:val="0"/>
          <w14:ligatures w14:val="none"/>
        </w:rPr>
        <w:t>two medical ICUs, two surgical ICUs, one combined medical and surgical ICU, two neurologic/neurosurgical ICUs, one cardiothoracic ICU, one cardiac ICU, and one cardiac surgical ICU</w:t>
      </w:r>
      <w:r w:rsidRPr="00664CE7">
        <w:rPr>
          <w:rFonts w:ascii="Arial" w:hAnsi="Arial" w:cs="Arial"/>
        </w:rPr>
        <w:t xml:space="preserve">. Patients in ICUs </w:t>
      </w:r>
      <w:r w:rsidR="0062208C">
        <w:rPr>
          <w:rFonts w:ascii="Arial" w:hAnsi="Arial" w:cs="Arial"/>
        </w:rPr>
        <w:t xml:space="preserve">and most oncology patients </w:t>
      </w:r>
      <w:r w:rsidRPr="00664CE7">
        <w:rPr>
          <w:rFonts w:ascii="Arial" w:hAnsi="Arial" w:cs="Arial"/>
        </w:rPr>
        <w:t>are housed in single-occupancy rooms</w:t>
      </w:r>
      <w:r w:rsidR="0062208C">
        <w:rPr>
          <w:rFonts w:ascii="Arial" w:hAnsi="Arial" w:cs="Arial"/>
        </w:rPr>
        <w:t>; a minority of oncology patients stay in double-occupancy rooms with one bathroom per room.</w:t>
      </w:r>
    </w:p>
    <w:p w14:paraId="49E78FD7" w14:textId="07522A01" w:rsidR="00664CE7" w:rsidRPr="00664CE7" w:rsidRDefault="0062208C" w:rsidP="00664CE7">
      <w:pPr>
        <w:spacing w:after="0" w:line="480" w:lineRule="auto"/>
        <w:ind w:firstLine="720"/>
        <w:rPr>
          <w:rFonts w:ascii="Arial" w:hAnsi="Arial" w:cs="Arial"/>
        </w:rPr>
      </w:pPr>
      <w:r>
        <w:rPr>
          <w:rFonts w:ascii="Arial" w:hAnsi="Arial" w:cs="Arial"/>
        </w:rPr>
        <w:t>VRE screening is conducted by the</w:t>
      </w:r>
      <w:r w:rsidR="00664CE7" w:rsidRPr="00664CE7">
        <w:rPr>
          <w:rFonts w:ascii="Arial" w:hAnsi="Arial" w:cs="Arial"/>
        </w:rPr>
        <w:t xml:space="preserve"> nursing staff </w:t>
      </w:r>
      <w:r>
        <w:rPr>
          <w:rFonts w:ascii="Arial" w:hAnsi="Arial" w:cs="Arial"/>
        </w:rPr>
        <w:t xml:space="preserve">via either rectal swab or stool sample. All specimens are </w:t>
      </w:r>
      <w:r w:rsidR="00664CE7" w:rsidRPr="00664CE7">
        <w:rPr>
          <w:rFonts w:ascii="Arial" w:hAnsi="Arial" w:cs="Arial"/>
        </w:rPr>
        <w:t xml:space="preserve">submitted to the BWH clinical microbiology laboratory for processing. </w:t>
      </w:r>
      <w:r>
        <w:rPr>
          <w:rFonts w:ascii="Arial" w:hAnsi="Arial" w:cs="Arial"/>
        </w:rPr>
        <w:t>Perirectal sampling and e</w:t>
      </w:r>
      <w:r w:rsidR="00664CE7" w:rsidRPr="00664CE7">
        <w:rPr>
          <w:rFonts w:ascii="Arial" w:hAnsi="Arial" w:cs="Arial"/>
        </w:rPr>
        <w:t xml:space="preserve">nvironmental sampling </w:t>
      </w:r>
      <w:r>
        <w:rPr>
          <w:rFonts w:ascii="Arial" w:hAnsi="Arial" w:cs="Arial"/>
        </w:rPr>
        <w:t>are</w:t>
      </w:r>
      <w:r w:rsidR="00664CE7" w:rsidRPr="00664CE7">
        <w:rPr>
          <w:rFonts w:ascii="Arial" w:hAnsi="Arial" w:cs="Arial"/>
        </w:rPr>
        <w:t xml:space="preserve"> not routinely performed as part of VRE surveillance programs at BWH. During the period over which the</w:t>
      </w:r>
      <w:r w:rsidR="00A35C4F">
        <w:rPr>
          <w:rFonts w:ascii="Arial" w:hAnsi="Arial" w:cs="Arial"/>
        </w:rPr>
        <w:t xml:space="preserve"> vancomycin-resistant </w:t>
      </w:r>
      <w:r w:rsidR="00A35C4F">
        <w:rPr>
          <w:rFonts w:ascii="Arial" w:hAnsi="Arial" w:cs="Arial"/>
          <w:i/>
          <w:iCs/>
        </w:rPr>
        <w:t xml:space="preserve">Enterococcus faecium </w:t>
      </w:r>
      <w:r w:rsidR="00A35C4F">
        <w:rPr>
          <w:rFonts w:ascii="Arial" w:hAnsi="Arial" w:cs="Arial"/>
        </w:rPr>
        <w:t>(</w:t>
      </w:r>
      <w:r w:rsidR="00664CE7" w:rsidRPr="00664CE7">
        <w:rPr>
          <w:rFonts w:ascii="Arial" w:hAnsi="Arial" w:cs="Arial"/>
        </w:rPr>
        <w:t>VREfm</w:t>
      </w:r>
      <w:r w:rsidR="00A35C4F">
        <w:rPr>
          <w:rFonts w:ascii="Arial" w:hAnsi="Arial" w:cs="Arial"/>
        </w:rPr>
        <w:t>)</w:t>
      </w:r>
      <w:r w:rsidR="00664CE7" w:rsidRPr="00664CE7">
        <w:rPr>
          <w:rFonts w:ascii="Arial" w:hAnsi="Arial" w:cs="Arial"/>
        </w:rPr>
        <w:t xml:space="preserve"> isolates included in this study </w:t>
      </w:r>
      <w:r w:rsidR="00664CE7" w:rsidRPr="00664CE7">
        <w:rPr>
          <w:rFonts w:ascii="Arial" w:hAnsi="Arial" w:cs="Arial"/>
        </w:rPr>
        <w:lastRenderedPageBreak/>
        <w:t>were obtained (June 2022-September 2023), the VRE screening protocols described above were continuously in place across all intensive care and oncology units. Compliance with VRE screening protocols is not monitored by infection control personnel.</w:t>
      </w:r>
    </w:p>
    <w:p w14:paraId="5385FCA0" w14:textId="6F34CB69" w:rsidR="00664CE7" w:rsidRPr="00664CE7" w:rsidRDefault="00664CE7" w:rsidP="0062208C">
      <w:pPr>
        <w:spacing w:after="0" w:line="480" w:lineRule="auto"/>
        <w:ind w:firstLine="720"/>
        <w:rPr>
          <w:rFonts w:ascii="Arial" w:hAnsi="Arial" w:cs="Arial"/>
        </w:rPr>
      </w:pPr>
      <w:r w:rsidRPr="00664CE7">
        <w:rPr>
          <w:rFonts w:ascii="Arial" w:hAnsi="Arial" w:cs="Arial"/>
        </w:rPr>
        <w:t xml:space="preserve">Most of the isolates sequenced for this study (143/159, or 91.7%, including 129 isolates from rectal screens and 14 isolates from diagnostic specimens) were obtained from June 2022 to January 2023. The 129 isolates obtained from </w:t>
      </w:r>
      <w:r w:rsidR="00A35C4F">
        <w:rPr>
          <w:rFonts w:ascii="Arial" w:hAnsi="Arial" w:cs="Arial"/>
        </w:rPr>
        <w:t>screening specimens</w:t>
      </w:r>
      <w:r w:rsidRPr="00664CE7">
        <w:rPr>
          <w:rFonts w:ascii="Arial" w:hAnsi="Arial" w:cs="Arial"/>
        </w:rPr>
        <w:t xml:space="preserve"> represented 60.8% of the total number of isolates obtained from </w:t>
      </w:r>
      <w:r w:rsidR="00A35C4F">
        <w:rPr>
          <w:rFonts w:ascii="Arial" w:hAnsi="Arial" w:cs="Arial"/>
        </w:rPr>
        <w:t>screening specimens</w:t>
      </w:r>
      <w:r w:rsidRPr="00664CE7">
        <w:rPr>
          <w:rFonts w:ascii="Arial" w:hAnsi="Arial" w:cs="Arial"/>
        </w:rPr>
        <w:t xml:space="preserve"> from unique patients during this period and are best classified as a convenience sample.</w:t>
      </w:r>
    </w:p>
    <w:p w14:paraId="7C447675" w14:textId="77777777" w:rsidR="00664CE7" w:rsidRDefault="00664CE7" w:rsidP="00664CE7">
      <w:pPr>
        <w:spacing w:after="0" w:line="480" w:lineRule="auto"/>
        <w:rPr>
          <w:rFonts w:ascii="Arial" w:hAnsi="Arial" w:cs="Arial"/>
          <w:b/>
          <w:bCs/>
        </w:rPr>
      </w:pPr>
    </w:p>
    <w:p w14:paraId="563977F1" w14:textId="7F5D8965" w:rsidR="00664CE7" w:rsidRPr="00664CE7" w:rsidRDefault="00664CE7" w:rsidP="00664CE7">
      <w:pPr>
        <w:spacing w:after="0" w:line="480" w:lineRule="auto"/>
        <w:rPr>
          <w:rFonts w:ascii="Arial" w:hAnsi="Arial" w:cs="Arial"/>
          <w:b/>
          <w:bCs/>
        </w:rPr>
      </w:pPr>
      <w:r w:rsidRPr="00664CE7">
        <w:rPr>
          <w:rFonts w:ascii="Arial" w:hAnsi="Arial" w:cs="Arial"/>
          <w:b/>
          <w:bCs/>
        </w:rPr>
        <w:t xml:space="preserve">BWH </w:t>
      </w:r>
      <w:r w:rsidR="00B805EC">
        <w:rPr>
          <w:rFonts w:ascii="Arial" w:hAnsi="Arial" w:cs="Arial"/>
          <w:b/>
          <w:bCs/>
        </w:rPr>
        <w:t xml:space="preserve">contact </w:t>
      </w:r>
      <w:r w:rsidRPr="00664CE7">
        <w:rPr>
          <w:rFonts w:ascii="Arial" w:hAnsi="Arial" w:cs="Arial"/>
          <w:b/>
          <w:bCs/>
        </w:rPr>
        <w:t>precautions and environmental disinfection protocols for patients known to be colonized or infected with VRE</w:t>
      </w:r>
    </w:p>
    <w:p w14:paraId="75BB2F04" w14:textId="2402B0C1" w:rsidR="00664CE7" w:rsidRPr="00664CE7" w:rsidRDefault="00664CE7" w:rsidP="00664CE7">
      <w:pPr>
        <w:spacing w:after="0" w:line="480" w:lineRule="auto"/>
        <w:ind w:firstLine="720"/>
        <w:rPr>
          <w:rFonts w:ascii="Arial" w:hAnsi="Arial" w:cs="Arial"/>
        </w:rPr>
      </w:pPr>
      <w:r w:rsidRPr="00664CE7">
        <w:rPr>
          <w:rFonts w:ascii="Arial" w:hAnsi="Arial" w:cs="Arial"/>
        </w:rPr>
        <w:t>Patients for whom screening or diagnostic cultures are positive for VRE have a flag placed in the EHR to indicate the need for appropriate precautions. Per BWH infection control protocol, adult patients known to be colonized or infected with VRE must be housed in a private room</w:t>
      </w:r>
      <w:r w:rsidR="0062208C">
        <w:rPr>
          <w:rFonts w:ascii="Arial" w:hAnsi="Arial" w:cs="Arial"/>
        </w:rPr>
        <w:t xml:space="preserve"> or with another patient known to be colonized or infected with VRE</w:t>
      </w:r>
      <w:r w:rsidRPr="00664CE7">
        <w:rPr>
          <w:rFonts w:ascii="Arial" w:hAnsi="Arial" w:cs="Arial"/>
        </w:rPr>
        <w:t>. All individuals must disinfect their hands with an alcohol-based hand sanitizer before entering and upon leaving the room, and gowns and gloves must be worn while in the room</w:t>
      </w:r>
      <w:r w:rsidR="00B805EC">
        <w:rPr>
          <w:rFonts w:ascii="Arial" w:hAnsi="Arial" w:cs="Arial"/>
        </w:rPr>
        <w:t xml:space="preserve"> per BWH contact precautions</w:t>
      </w:r>
      <w:r w:rsidRPr="00664CE7">
        <w:rPr>
          <w:rFonts w:ascii="Arial" w:hAnsi="Arial" w:cs="Arial"/>
        </w:rPr>
        <w:t xml:space="preserve">. Patients must don a clean cover gown and disinfect their hands with an alcohol-based hand sanitizer prior to transport within the hospital. Reusable patient care equipment must be disinfected with a </w:t>
      </w:r>
      <w:r w:rsidR="00B805EC">
        <w:rPr>
          <w:rFonts w:ascii="Arial" w:hAnsi="Arial" w:cs="Arial"/>
        </w:rPr>
        <w:t>quaternary ammonium</w:t>
      </w:r>
      <w:r w:rsidRPr="00664CE7">
        <w:rPr>
          <w:rFonts w:ascii="Arial" w:hAnsi="Arial" w:cs="Arial"/>
        </w:rPr>
        <w:t xml:space="preserve"> disinfectant before use on another patient.</w:t>
      </w:r>
      <w:r w:rsidR="00B805EC">
        <w:rPr>
          <w:rFonts w:ascii="Arial" w:hAnsi="Arial" w:cs="Arial"/>
        </w:rPr>
        <w:t xml:space="preserve"> Daily and terminal </w:t>
      </w:r>
      <w:r w:rsidR="00B805EC">
        <w:rPr>
          <w:rFonts w:ascii="Arial" w:hAnsi="Arial" w:cs="Arial"/>
        </w:rPr>
        <w:lastRenderedPageBreak/>
        <w:t>environmental disinfection consists of wipe down of high-touch surfaces (daily) or all surfaces (terminal) with a quaternary ammonium disinfectant applied to a microfiber cloth.</w:t>
      </w:r>
    </w:p>
    <w:p w14:paraId="0AE8C788" w14:textId="2D9F999E" w:rsidR="00B805EC" w:rsidRPr="00B805EC" w:rsidRDefault="00664CE7" w:rsidP="00B805EC">
      <w:pPr>
        <w:spacing w:after="0" w:line="480" w:lineRule="auto"/>
        <w:ind w:firstLine="720"/>
        <w:rPr>
          <w:rFonts w:ascii="Arial" w:hAnsi="Arial" w:cs="Arial"/>
        </w:rPr>
      </w:pPr>
      <w:r w:rsidRPr="00664CE7">
        <w:rPr>
          <w:rFonts w:ascii="Arial" w:hAnsi="Arial" w:cs="Arial"/>
        </w:rPr>
        <w:t>To discontinue precautions, cultures can be obtained from patients who have no known VRE-positive cultures in the previous 90 days and have not received antibiotics effective against VRE in the past 48 hours (linezolid, daptomycin, tigecycline, quinupristin</w:t>
      </w:r>
      <w:r>
        <w:rPr>
          <w:rFonts w:ascii="Arial" w:hAnsi="Arial" w:cs="Arial"/>
        </w:rPr>
        <w:t>-</w:t>
      </w:r>
      <w:r w:rsidRPr="00664CE7">
        <w:rPr>
          <w:rFonts w:ascii="Arial" w:hAnsi="Arial" w:cs="Arial"/>
        </w:rPr>
        <w:t>dalfopristin, telavancin). Cultures must be performed from rectal swab or stool and from any previously positive site except for urine and blood. If three sets of cultures obtained on different days are negative for VRE, the patient can have the VRE flag removed by infection control and is eligible for inclusion in routine screening protocols.</w:t>
      </w:r>
    </w:p>
    <w:p w14:paraId="1A96EF70" w14:textId="77777777" w:rsidR="00664CE7" w:rsidRDefault="00664CE7" w:rsidP="00664CE7">
      <w:pPr>
        <w:spacing w:after="0" w:line="480" w:lineRule="auto"/>
        <w:rPr>
          <w:rFonts w:ascii="Arial" w:hAnsi="Arial" w:cs="Arial"/>
          <w:b/>
          <w:bCs/>
        </w:rPr>
      </w:pPr>
    </w:p>
    <w:p w14:paraId="06381E4E" w14:textId="1B5B59F6" w:rsidR="00664CE7" w:rsidRPr="00664CE7" w:rsidRDefault="00664CE7" w:rsidP="00664CE7">
      <w:pPr>
        <w:spacing w:after="0" w:line="480" w:lineRule="auto"/>
        <w:rPr>
          <w:rFonts w:ascii="Arial" w:hAnsi="Arial" w:cs="Arial"/>
          <w:b/>
          <w:bCs/>
        </w:rPr>
      </w:pPr>
      <w:r w:rsidRPr="00664CE7">
        <w:rPr>
          <w:rFonts w:ascii="Arial" w:hAnsi="Arial" w:cs="Arial"/>
          <w:b/>
          <w:bCs/>
        </w:rPr>
        <w:t>Infection control surveillance methods</w:t>
      </w:r>
    </w:p>
    <w:p w14:paraId="31EF3CA0" w14:textId="72F78B44" w:rsidR="00664CE7" w:rsidRPr="001759A6" w:rsidRDefault="00664CE7" w:rsidP="00664CE7">
      <w:pPr>
        <w:spacing w:after="0" w:line="480" w:lineRule="auto"/>
        <w:ind w:firstLine="720"/>
        <w:rPr>
          <w:rFonts w:ascii="Arial" w:hAnsi="Arial" w:cs="Arial"/>
        </w:rPr>
      </w:pPr>
      <w:r w:rsidRPr="00664CE7">
        <w:rPr>
          <w:rFonts w:ascii="Arial" w:hAnsi="Arial" w:cs="Arial"/>
        </w:rPr>
        <w:t xml:space="preserve">Positive culture screening results are routinely reviewed by infection control staff. The colonization status of other patients on the unit is reviewed to determine whether transmission from another patient on the unit might have occurred. During the study period, infection control personnel could request </w:t>
      </w:r>
      <w:r w:rsidR="0062208C">
        <w:rPr>
          <w:rFonts w:ascii="Arial" w:hAnsi="Arial" w:cs="Arial"/>
        </w:rPr>
        <w:t>sequencing of isolate</w:t>
      </w:r>
      <w:r w:rsidRPr="00664CE7">
        <w:rPr>
          <w:rFonts w:ascii="Arial" w:hAnsi="Arial" w:cs="Arial"/>
        </w:rPr>
        <w:t xml:space="preserve"> genomes </w:t>
      </w:r>
      <w:r w:rsidR="0062208C">
        <w:rPr>
          <w:rFonts w:ascii="Arial" w:hAnsi="Arial" w:cs="Arial"/>
        </w:rPr>
        <w:t>if there was concern for a cluster of healthcare associated cases (</w:t>
      </w:r>
      <w:r w:rsidR="0062208C">
        <w:rPr>
          <w:rFonts w:ascii="Arial" w:hAnsi="Arial" w:cs="Arial"/>
          <w:i/>
          <w:iCs/>
        </w:rPr>
        <w:t>e.g.</w:t>
      </w:r>
      <w:r w:rsidR="0062208C">
        <w:rPr>
          <w:rFonts w:ascii="Arial" w:hAnsi="Arial" w:cs="Arial"/>
        </w:rPr>
        <w:t xml:space="preserve">, positive screens </w:t>
      </w:r>
      <w:r w:rsidRPr="00664CE7">
        <w:rPr>
          <w:rFonts w:ascii="Arial" w:hAnsi="Arial" w:cs="Arial"/>
        </w:rPr>
        <w:t xml:space="preserve">from </w:t>
      </w:r>
      <w:r w:rsidR="0062208C">
        <w:rPr>
          <w:rFonts w:ascii="Arial" w:hAnsi="Arial" w:cs="Arial"/>
        </w:rPr>
        <w:t xml:space="preserve">three </w:t>
      </w:r>
      <w:r w:rsidR="003A6EC7">
        <w:rPr>
          <w:rFonts w:ascii="Arial" w:hAnsi="Arial" w:cs="Arial"/>
        </w:rPr>
        <w:t xml:space="preserve">or more </w:t>
      </w:r>
      <w:r w:rsidR="0062208C">
        <w:rPr>
          <w:rFonts w:ascii="Arial" w:hAnsi="Arial" w:cs="Arial"/>
        </w:rPr>
        <w:t>patients on the same unit within a 14-day period).</w:t>
      </w:r>
    </w:p>
    <w:p w14:paraId="79CF41FA" w14:textId="515D56A0" w:rsidR="002B6748" w:rsidRDefault="002B6748">
      <w:pPr>
        <w:rPr>
          <w:rFonts w:ascii="Arial" w:hAnsi="Arial" w:cs="Arial"/>
          <w:b/>
          <w:bCs/>
          <w:color w:val="000000" w:themeColor="text1"/>
        </w:rPr>
      </w:pPr>
      <w:r>
        <w:rPr>
          <w:rFonts w:ascii="Arial" w:hAnsi="Arial" w:cs="Arial"/>
          <w:b/>
          <w:bCs/>
          <w:color w:val="000000" w:themeColor="text1"/>
        </w:rPr>
        <w:br w:type="page"/>
      </w:r>
    </w:p>
    <w:p w14:paraId="112F7170" w14:textId="74B5000F" w:rsidR="00F4485B" w:rsidRDefault="001B223F" w:rsidP="00F4485B">
      <w:pPr>
        <w:spacing w:after="0" w:line="480" w:lineRule="auto"/>
        <w:rPr>
          <w:rFonts w:ascii="Arial" w:hAnsi="Arial" w:cs="Arial"/>
          <w:color w:val="000000" w:themeColor="text1"/>
        </w:rPr>
      </w:pPr>
      <w:r>
        <w:rPr>
          <w:rFonts w:ascii="Arial" w:hAnsi="Arial" w:cs="Arial"/>
          <w:b/>
          <w:bCs/>
          <w:color w:val="000000" w:themeColor="text1"/>
        </w:rPr>
        <w:lastRenderedPageBreak/>
        <w:t>T</w:t>
      </w:r>
      <w:r w:rsidR="00A07FD3">
        <w:rPr>
          <w:rFonts w:ascii="Arial" w:hAnsi="Arial" w:cs="Arial"/>
          <w:b/>
          <w:bCs/>
          <w:color w:val="000000" w:themeColor="text1"/>
        </w:rPr>
        <w:t xml:space="preserve">able </w:t>
      </w:r>
      <w:r>
        <w:rPr>
          <w:rFonts w:ascii="Arial" w:hAnsi="Arial" w:cs="Arial"/>
          <w:b/>
          <w:bCs/>
          <w:color w:val="000000" w:themeColor="text1"/>
        </w:rPr>
        <w:t>s</w:t>
      </w:r>
      <w:r w:rsidR="00A07FD3">
        <w:rPr>
          <w:rFonts w:ascii="Arial" w:hAnsi="Arial" w:cs="Arial"/>
          <w:b/>
          <w:bCs/>
          <w:color w:val="000000" w:themeColor="text1"/>
        </w:rPr>
        <w:t>1.</w:t>
      </w:r>
      <w:r w:rsidR="00F4485B">
        <w:rPr>
          <w:rFonts w:ascii="Arial" w:hAnsi="Arial" w:cs="Arial"/>
          <w:b/>
          <w:bCs/>
          <w:color w:val="000000" w:themeColor="text1"/>
        </w:rPr>
        <w:t xml:space="preserve"> Hospital unit designations and descriptions.</w:t>
      </w:r>
      <w:r w:rsidR="00F4485B">
        <w:rPr>
          <w:rFonts w:ascii="Arial" w:hAnsi="Arial" w:cs="Arial"/>
          <w:color w:val="000000" w:themeColor="text1"/>
        </w:rPr>
        <w:t xml:space="preserve"> </w:t>
      </w:r>
      <w:r w:rsidR="00F4485B">
        <w:rPr>
          <w:rFonts w:ascii="Arial" w:hAnsi="Arial" w:cs="Arial"/>
          <w:color w:val="000000" w:themeColor="text1"/>
          <w:u w:val="single"/>
        </w:rPr>
        <w:t>Designation in figures and text</w:t>
      </w:r>
      <w:r w:rsidR="00F4485B">
        <w:rPr>
          <w:rFonts w:ascii="Arial" w:hAnsi="Arial" w:cs="Arial"/>
          <w:color w:val="000000" w:themeColor="text1"/>
        </w:rPr>
        <w:t xml:space="preserve">: the abbreviation used to refer to the unit in the manuscript figures and text. Intensive care units (ICUs) and dedicated oncology units (onc) are specified and assigned arbitrary numbers. All other main hospital units are given arbitrary unit numbers. Units at an affiliated rehabilitation (rehab) hospital and an affiliated full hospital (AH) are designated separately. </w:t>
      </w:r>
      <w:r w:rsidR="00F4485B">
        <w:rPr>
          <w:rFonts w:ascii="Arial" w:hAnsi="Arial" w:cs="Arial"/>
          <w:color w:val="000000" w:themeColor="text1"/>
          <w:u w:val="single"/>
        </w:rPr>
        <w:t>Unit description</w:t>
      </w:r>
      <w:r w:rsidR="00F4485B">
        <w:rPr>
          <w:rFonts w:ascii="Arial" w:hAnsi="Arial" w:cs="Arial"/>
          <w:color w:val="000000" w:themeColor="text1"/>
        </w:rPr>
        <w:t xml:space="preserve">: the medical specialty to which patients on the unit are admitted. </w:t>
      </w:r>
      <w:r w:rsidR="00F4485B">
        <w:rPr>
          <w:rFonts w:ascii="Arial" w:hAnsi="Arial" w:cs="Arial"/>
          <w:color w:val="000000" w:themeColor="text1"/>
          <w:u w:val="single"/>
        </w:rPr>
        <w:t>Included in BWH VRE screening protocol?</w:t>
      </w:r>
      <w:r w:rsidR="00F4485B">
        <w:rPr>
          <w:rFonts w:ascii="Arial" w:hAnsi="Arial" w:cs="Arial"/>
          <w:color w:val="000000" w:themeColor="text1"/>
        </w:rPr>
        <w:t>: whether or not patients on the unit are screened for VRE via the protocols described in the supplementary methods.</w:t>
      </w:r>
    </w:p>
    <w:p w14:paraId="2AA6ED5E" w14:textId="77777777" w:rsidR="00F4485B" w:rsidRDefault="00F4485B" w:rsidP="00F4485B">
      <w:pPr>
        <w:spacing w:after="0" w:line="480" w:lineRule="auto"/>
        <w:rPr>
          <w:rFonts w:ascii="Arial" w:hAnsi="Arial" w:cs="Arial"/>
          <w:color w:val="000000" w:themeColor="text1"/>
        </w:rPr>
      </w:pPr>
    </w:p>
    <w:p w14:paraId="2BAACD70" w14:textId="24283321" w:rsidR="00A07FD3" w:rsidRPr="00F4485B" w:rsidRDefault="00F4485B" w:rsidP="00F4485B">
      <w:pPr>
        <w:spacing w:after="0" w:line="480" w:lineRule="auto"/>
        <w:rPr>
          <w:rFonts w:ascii="Arial" w:hAnsi="Arial" w:cs="Arial"/>
          <w:color w:val="000000" w:themeColor="text1"/>
        </w:rPr>
      </w:pPr>
      <w:r>
        <w:rPr>
          <w:rFonts w:ascii="Arial" w:hAnsi="Arial" w:cs="Arial"/>
          <w:color w:val="000000" w:themeColor="text1"/>
        </w:rPr>
        <w:t xml:space="preserve">TABLE IN SEPARATE FILE: </w:t>
      </w:r>
      <w:r w:rsidR="001B223F">
        <w:rPr>
          <w:rFonts w:ascii="Arial" w:hAnsi="Arial" w:cs="Arial"/>
          <w:color w:val="000000" w:themeColor="text1"/>
        </w:rPr>
        <w:t>T</w:t>
      </w:r>
      <w:r w:rsidRPr="00595208">
        <w:rPr>
          <w:rFonts w:ascii="Arial" w:hAnsi="Arial" w:cs="Arial"/>
          <w:color w:val="000000" w:themeColor="text1"/>
        </w:rPr>
        <w:t>able</w:t>
      </w:r>
      <w:r w:rsidR="001B223F">
        <w:rPr>
          <w:rFonts w:ascii="Arial" w:hAnsi="Arial" w:cs="Arial"/>
          <w:color w:val="000000" w:themeColor="text1"/>
        </w:rPr>
        <w:t>_s</w:t>
      </w:r>
      <w:r>
        <w:rPr>
          <w:rFonts w:ascii="Arial" w:hAnsi="Arial" w:cs="Arial"/>
          <w:color w:val="000000" w:themeColor="text1"/>
        </w:rPr>
        <w:t>1</w:t>
      </w:r>
      <w:r w:rsidRPr="00595208">
        <w:rPr>
          <w:rFonts w:ascii="Arial" w:hAnsi="Arial" w:cs="Arial"/>
          <w:color w:val="000000" w:themeColor="text1"/>
        </w:rPr>
        <w:t>.xlsx</w:t>
      </w:r>
      <w:r w:rsidR="00A07FD3">
        <w:rPr>
          <w:rFonts w:ascii="Arial" w:hAnsi="Arial" w:cs="Arial"/>
          <w:b/>
          <w:bCs/>
          <w:color w:val="000000" w:themeColor="text1"/>
        </w:rPr>
        <w:br w:type="page"/>
      </w:r>
    </w:p>
    <w:p w14:paraId="23A10305" w14:textId="045495FD" w:rsidR="00595208" w:rsidRDefault="001B223F" w:rsidP="00595208">
      <w:pPr>
        <w:spacing w:after="0" w:line="480" w:lineRule="auto"/>
        <w:rPr>
          <w:rFonts w:ascii="Arial" w:hAnsi="Arial" w:cs="Arial"/>
        </w:rPr>
      </w:pPr>
      <w:r>
        <w:rPr>
          <w:rFonts w:ascii="Arial" w:hAnsi="Arial" w:cs="Arial"/>
          <w:b/>
          <w:bCs/>
          <w:color w:val="000000" w:themeColor="text1"/>
        </w:rPr>
        <w:lastRenderedPageBreak/>
        <w:t>T</w:t>
      </w:r>
      <w:r w:rsidR="00595208" w:rsidRPr="00050F6A">
        <w:rPr>
          <w:rFonts w:ascii="Arial" w:hAnsi="Arial" w:cs="Arial"/>
          <w:b/>
          <w:bCs/>
          <w:color w:val="000000" w:themeColor="text1"/>
        </w:rPr>
        <w:t xml:space="preserve">able </w:t>
      </w:r>
      <w:r>
        <w:rPr>
          <w:rFonts w:ascii="Arial" w:hAnsi="Arial" w:cs="Arial"/>
          <w:b/>
          <w:bCs/>
          <w:color w:val="000000" w:themeColor="text1"/>
        </w:rPr>
        <w:t>s</w:t>
      </w:r>
      <w:r w:rsidR="00A07FD3">
        <w:rPr>
          <w:rFonts w:ascii="Arial" w:hAnsi="Arial" w:cs="Arial"/>
          <w:b/>
          <w:bCs/>
          <w:color w:val="000000" w:themeColor="text1"/>
        </w:rPr>
        <w:t>2</w:t>
      </w:r>
      <w:r w:rsidR="00595208" w:rsidRPr="00050F6A">
        <w:rPr>
          <w:rFonts w:ascii="Arial" w:hAnsi="Arial" w:cs="Arial"/>
          <w:b/>
          <w:bCs/>
          <w:color w:val="000000" w:themeColor="text1"/>
        </w:rPr>
        <w:t xml:space="preserve">. Vancomycin-resistant </w:t>
      </w:r>
      <w:r w:rsidR="00595208" w:rsidRPr="00050F6A">
        <w:rPr>
          <w:rFonts w:ascii="Arial" w:hAnsi="Arial" w:cs="Arial"/>
          <w:b/>
          <w:bCs/>
          <w:i/>
          <w:iCs/>
          <w:color w:val="000000" w:themeColor="text1"/>
        </w:rPr>
        <w:t xml:space="preserve">Enterococcus faecium </w:t>
      </w:r>
      <w:r w:rsidR="00595208" w:rsidRPr="00050F6A">
        <w:rPr>
          <w:rFonts w:ascii="Arial" w:hAnsi="Arial" w:cs="Arial"/>
          <w:b/>
          <w:bCs/>
          <w:color w:val="000000" w:themeColor="text1"/>
        </w:rPr>
        <w:t xml:space="preserve">isolates included in this study. </w:t>
      </w:r>
      <w:r w:rsidR="00595208" w:rsidRPr="00BA2D00">
        <w:rPr>
          <w:rFonts w:ascii="Arial" w:hAnsi="Arial" w:cs="Arial"/>
          <w:color w:val="000000" w:themeColor="text1"/>
          <w:u w:val="single"/>
        </w:rPr>
        <w:t>Isolate ID</w:t>
      </w:r>
      <w:r w:rsidR="00595208" w:rsidRPr="00050F6A">
        <w:rPr>
          <w:rFonts w:ascii="Arial" w:hAnsi="Arial" w:cs="Arial"/>
          <w:color w:val="000000" w:themeColor="text1"/>
        </w:rPr>
        <w:t xml:space="preserve">: the number given to the isolate and used throughout the manuscript to refer to it. </w:t>
      </w:r>
      <w:r w:rsidR="00A07FD3">
        <w:rPr>
          <w:rFonts w:ascii="Arial" w:hAnsi="Arial" w:cs="Arial"/>
          <w:color w:val="000000" w:themeColor="text1"/>
          <w:u w:val="single"/>
        </w:rPr>
        <w:t>NCBI BioSample ID</w:t>
      </w:r>
      <w:r w:rsidR="00A07FD3">
        <w:rPr>
          <w:rFonts w:ascii="Arial" w:hAnsi="Arial" w:cs="Arial"/>
          <w:color w:val="000000" w:themeColor="text1"/>
        </w:rPr>
        <w:t>: an identifier assigned by the NCBI Pathogen Detection website that can be used to retrieve the isolate in the Pathogen Detection database (</w:t>
      </w:r>
      <w:hyperlink r:id="rId7" w:history="1">
        <w:r w:rsidR="00A07FD3" w:rsidRPr="009D4410">
          <w:rPr>
            <w:rStyle w:val="Hyperlink"/>
            <w:rFonts w:ascii="Arial" w:hAnsi="Arial" w:cs="Arial"/>
          </w:rPr>
          <w:t>https://www.ncbi.nlm.nih.gov/pathogens/</w:t>
        </w:r>
      </w:hyperlink>
      <w:r w:rsidR="00A07FD3">
        <w:rPr>
          <w:rFonts w:ascii="Arial" w:hAnsi="Arial" w:cs="Arial"/>
          <w:color w:val="000000" w:themeColor="text1"/>
        </w:rPr>
        <w:t>).</w:t>
      </w:r>
      <w:r w:rsidR="00A07FD3" w:rsidRPr="00A07FD3">
        <w:rPr>
          <w:rFonts w:ascii="Arial" w:hAnsi="Arial" w:cs="Arial"/>
          <w:color w:val="000000" w:themeColor="text1"/>
        </w:rPr>
        <w:t xml:space="preserve"> </w:t>
      </w:r>
      <w:r w:rsidR="00595208" w:rsidRPr="00A07FD3">
        <w:rPr>
          <w:rFonts w:ascii="Arial" w:hAnsi="Arial" w:cs="Arial"/>
          <w:color w:val="000000" w:themeColor="text1"/>
          <w:u w:val="single"/>
        </w:rPr>
        <w:t>Source</w:t>
      </w:r>
      <w:r w:rsidR="00BA2D00" w:rsidRPr="00A07FD3">
        <w:rPr>
          <w:rFonts w:ascii="Arial" w:hAnsi="Arial" w:cs="Arial"/>
          <w:color w:val="000000" w:themeColor="text1"/>
          <w:u w:val="single"/>
        </w:rPr>
        <w:t>:</w:t>
      </w:r>
      <w:r w:rsidR="00595208" w:rsidRPr="00050F6A">
        <w:rPr>
          <w:rFonts w:ascii="Arial" w:hAnsi="Arial" w:cs="Arial"/>
          <w:color w:val="000000" w:themeColor="text1"/>
        </w:rPr>
        <w:t xml:space="preserve"> sample type from which the isolate was recovered. </w:t>
      </w:r>
      <w:r w:rsidR="00595208" w:rsidRPr="00BA2D00">
        <w:rPr>
          <w:rFonts w:ascii="Arial" w:hAnsi="Arial" w:cs="Arial"/>
          <w:color w:val="000000" w:themeColor="text1"/>
          <w:u w:val="single"/>
        </w:rPr>
        <w:t>IC request</w:t>
      </w:r>
      <w:r w:rsidR="00595208" w:rsidRPr="00050F6A">
        <w:rPr>
          <w:rFonts w:ascii="Arial" w:hAnsi="Arial" w:cs="Arial"/>
          <w:color w:val="000000" w:themeColor="text1"/>
        </w:rPr>
        <w:t xml:space="preserve">: whether sequencing of the sample was requested by infection control (IC). </w:t>
      </w:r>
      <w:r w:rsidR="00595208" w:rsidRPr="00BA2D00">
        <w:rPr>
          <w:rFonts w:ascii="Arial" w:hAnsi="Arial" w:cs="Arial"/>
          <w:color w:val="000000" w:themeColor="text1"/>
          <w:u w:val="single"/>
        </w:rPr>
        <w:t>ST</w:t>
      </w:r>
      <w:r w:rsidR="00595208" w:rsidRPr="00050F6A">
        <w:rPr>
          <w:rFonts w:ascii="Arial" w:hAnsi="Arial" w:cs="Arial"/>
          <w:color w:val="000000" w:themeColor="text1"/>
        </w:rPr>
        <w:t xml:space="preserve">: multilocus sequence type. </w:t>
      </w:r>
      <w:r w:rsidR="00595208" w:rsidRPr="00125639">
        <w:rPr>
          <w:rFonts w:ascii="Arial" w:hAnsi="Arial" w:cs="Arial"/>
          <w:color w:val="000000" w:themeColor="text1"/>
          <w:u w:val="single"/>
        </w:rPr>
        <w:t>Genomic + epi cluster</w:t>
      </w:r>
      <w:r w:rsidR="00595208" w:rsidRPr="00050F6A">
        <w:rPr>
          <w:rFonts w:ascii="Arial" w:hAnsi="Arial" w:cs="Arial"/>
          <w:color w:val="000000" w:themeColor="text1"/>
        </w:rPr>
        <w:t xml:space="preserve">: the putative transmission cluster to which the isolate belongs based on genomic relatedness and epidemiologic (epi) links. </w:t>
      </w:r>
      <w:r w:rsidR="00595208" w:rsidRPr="00BA2D00">
        <w:rPr>
          <w:rFonts w:ascii="Arial" w:hAnsi="Arial" w:cs="Arial"/>
          <w:color w:val="000000" w:themeColor="text1"/>
          <w:u w:val="single"/>
        </w:rPr>
        <w:t>Associated figure(s)</w:t>
      </w:r>
      <w:r w:rsidR="00595208" w:rsidRPr="00050F6A">
        <w:rPr>
          <w:rFonts w:ascii="Arial" w:hAnsi="Arial" w:cs="Arial"/>
          <w:color w:val="000000" w:themeColor="text1"/>
        </w:rPr>
        <w:t xml:space="preserve">: the figures in which the isolate appears in the manuscript. </w:t>
      </w:r>
      <w:r w:rsidR="00595208" w:rsidRPr="00BA2D00">
        <w:rPr>
          <w:rFonts w:ascii="Arial" w:hAnsi="Arial" w:cs="Arial"/>
          <w:color w:val="000000" w:themeColor="text1"/>
          <w:u w:val="single"/>
        </w:rPr>
        <w:t>Isolates separated by ≤ 15 SNPs (CFSAN, SKA, or CFSAN &amp; SKA)</w:t>
      </w:r>
      <w:r w:rsidR="00595208" w:rsidRPr="00050F6A">
        <w:rPr>
          <w:rFonts w:ascii="Arial" w:hAnsi="Arial" w:cs="Arial"/>
          <w:color w:val="000000" w:themeColor="text1"/>
        </w:rPr>
        <w:t xml:space="preserve">: isolates that are ≤ 15 single nucleotide polymorphisms (SNPs) away from the isolate by referenced-based alignment (CFSAN) or split k-mer analysis (SKA), ordered by increasing SNP distance (in parenthesis; in the “CFSAN &amp; SKA” column, the CFSAN SNP distance is listed first). Isolates for which epidemiologic links were identified are in bold. </w:t>
      </w:r>
      <w:r w:rsidR="00595208" w:rsidRPr="00BA2D00">
        <w:rPr>
          <w:rFonts w:ascii="Arial" w:hAnsi="Arial" w:cs="Arial"/>
          <w:color w:val="000000" w:themeColor="text1"/>
          <w:u w:val="single"/>
        </w:rPr>
        <w:t>N50</w:t>
      </w:r>
      <w:r w:rsidR="00595208" w:rsidRPr="00050F6A">
        <w:rPr>
          <w:rFonts w:ascii="Arial" w:hAnsi="Arial" w:cs="Arial"/>
          <w:color w:val="000000" w:themeColor="text1"/>
        </w:rPr>
        <w:t xml:space="preserve">: a measure of contiguity defined as the length of the shortest contig that must be included along with contigs of equal or greater length to achieve 50% coverage. </w:t>
      </w:r>
      <w:r w:rsidR="00595208" w:rsidRPr="00BA2D00">
        <w:rPr>
          <w:rFonts w:ascii="Arial" w:hAnsi="Arial" w:cs="Arial"/>
          <w:color w:val="000000" w:themeColor="text1"/>
          <w:u w:val="single"/>
        </w:rPr>
        <w:t>Coverage at 12x</w:t>
      </w:r>
      <w:r w:rsidR="00595208" w:rsidRPr="00050F6A">
        <w:rPr>
          <w:rFonts w:ascii="Arial" w:hAnsi="Arial" w:cs="Arial"/>
          <w:color w:val="000000" w:themeColor="text1"/>
        </w:rPr>
        <w:t xml:space="preserve">: percent of the reference covered at a minimum depth of 12 reads. </w:t>
      </w:r>
      <w:r w:rsidR="00595208" w:rsidRPr="00BA2D00">
        <w:rPr>
          <w:rFonts w:ascii="Arial" w:hAnsi="Arial" w:cs="Arial"/>
          <w:color w:val="000000" w:themeColor="text1"/>
          <w:u w:val="single"/>
        </w:rPr>
        <w:t>Average depth at min 12x</w:t>
      </w:r>
      <w:r w:rsidR="00595208" w:rsidRPr="00050F6A">
        <w:rPr>
          <w:rFonts w:ascii="Arial" w:hAnsi="Arial" w:cs="Arial"/>
          <w:color w:val="000000" w:themeColor="text1"/>
        </w:rPr>
        <w:t xml:space="preserve">: average coverage at a minimum depth of 12 reads. </w:t>
      </w:r>
      <w:r w:rsidR="00595208" w:rsidRPr="00BA2D00">
        <w:rPr>
          <w:rFonts w:ascii="Arial" w:hAnsi="Arial" w:cs="Arial"/>
          <w:color w:val="000000" w:themeColor="text1"/>
          <w:u w:val="single"/>
        </w:rPr>
        <w:t>Maximum depth</w:t>
      </w:r>
      <w:r w:rsidR="00595208" w:rsidRPr="00050F6A">
        <w:rPr>
          <w:rFonts w:ascii="Arial" w:hAnsi="Arial" w:cs="Arial"/>
          <w:color w:val="000000" w:themeColor="text1"/>
        </w:rPr>
        <w:t>: maximum number of reads. Across all isolates, t</w:t>
      </w:r>
      <w:r w:rsidR="00595208" w:rsidRPr="00050F6A">
        <w:rPr>
          <w:rFonts w:ascii="Arial" w:hAnsi="Arial" w:cs="Arial"/>
        </w:rPr>
        <w:t>he average coverage at a minimum depth of 12 reads was 94% of the reference (minimum 80.02%). Excluding loci with read depth &lt; 12, the average read depth was 122.72 (minimum 30.65).</w:t>
      </w:r>
    </w:p>
    <w:p w14:paraId="3BB0DF7A" w14:textId="77777777" w:rsidR="00AE47ED" w:rsidRDefault="00AE47ED" w:rsidP="00595208">
      <w:pPr>
        <w:spacing w:after="0" w:line="480" w:lineRule="auto"/>
        <w:rPr>
          <w:rFonts w:ascii="Arial" w:hAnsi="Arial" w:cs="Arial"/>
        </w:rPr>
      </w:pPr>
    </w:p>
    <w:p w14:paraId="35B9C9DF" w14:textId="5B0C036F" w:rsidR="00595208" w:rsidRPr="00595208" w:rsidRDefault="00595208" w:rsidP="00595208">
      <w:pPr>
        <w:spacing w:after="0" w:line="480" w:lineRule="auto"/>
        <w:rPr>
          <w:rFonts w:ascii="Arial" w:hAnsi="Arial" w:cs="Arial"/>
        </w:rPr>
      </w:pPr>
      <w:r>
        <w:rPr>
          <w:rFonts w:ascii="Arial" w:hAnsi="Arial" w:cs="Arial"/>
        </w:rPr>
        <w:lastRenderedPageBreak/>
        <w:t xml:space="preserve">TABLE IN SEPARATE FILE: </w:t>
      </w:r>
      <w:r w:rsidR="001B223F">
        <w:rPr>
          <w:rFonts w:ascii="Arial" w:hAnsi="Arial" w:cs="Arial"/>
        </w:rPr>
        <w:t>T</w:t>
      </w:r>
      <w:r w:rsidRPr="00595208">
        <w:rPr>
          <w:rFonts w:ascii="Arial" w:hAnsi="Arial" w:cs="Arial"/>
        </w:rPr>
        <w:t>able</w:t>
      </w:r>
      <w:r w:rsidR="001B223F">
        <w:rPr>
          <w:rFonts w:ascii="Arial" w:hAnsi="Arial" w:cs="Arial"/>
        </w:rPr>
        <w:t>_s2</w:t>
      </w:r>
      <w:r w:rsidRPr="00595208">
        <w:rPr>
          <w:rFonts w:ascii="Arial" w:hAnsi="Arial" w:cs="Arial"/>
        </w:rPr>
        <w:t>.xlsx</w:t>
      </w:r>
    </w:p>
    <w:p w14:paraId="678CF52B" w14:textId="77777777" w:rsidR="00595208" w:rsidRPr="00050F6A" w:rsidRDefault="00595208" w:rsidP="00595208">
      <w:pPr>
        <w:spacing w:after="0" w:line="480" w:lineRule="auto"/>
        <w:rPr>
          <w:rFonts w:ascii="Arial" w:hAnsi="Arial" w:cs="Arial"/>
          <w:b/>
          <w:bCs/>
          <w:color w:val="000000" w:themeColor="text1"/>
        </w:rPr>
      </w:pPr>
    </w:p>
    <w:p w14:paraId="7A80E403" w14:textId="77777777" w:rsidR="00595208" w:rsidRDefault="00595208">
      <w:pPr>
        <w:rPr>
          <w:rFonts w:ascii="Arial" w:hAnsi="Arial" w:cs="Arial"/>
          <w:b/>
          <w:bCs/>
          <w:color w:val="000000" w:themeColor="text1"/>
        </w:rPr>
      </w:pPr>
      <w:r>
        <w:rPr>
          <w:rFonts w:ascii="Arial" w:hAnsi="Arial" w:cs="Arial"/>
          <w:b/>
          <w:bCs/>
          <w:color w:val="000000" w:themeColor="text1"/>
        </w:rPr>
        <w:br w:type="page"/>
      </w:r>
    </w:p>
    <w:p w14:paraId="25A656F4" w14:textId="17151AFA" w:rsidR="00595208" w:rsidRDefault="001B223F" w:rsidP="00595208">
      <w:pPr>
        <w:spacing w:after="0" w:line="480" w:lineRule="auto"/>
        <w:rPr>
          <w:rFonts w:ascii="Arial" w:hAnsi="Arial" w:cs="Arial"/>
          <w:color w:val="000000" w:themeColor="text1"/>
        </w:rPr>
      </w:pPr>
      <w:r>
        <w:rPr>
          <w:rFonts w:ascii="Arial" w:hAnsi="Arial" w:cs="Arial"/>
          <w:b/>
          <w:bCs/>
          <w:color w:val="000000" w:themeColor="text1"/>
        </w:rPr>
        <w:lastRenderedPageBreak/>
        <w:t>T</w:t>
      </w:r>
      <w:r w:rsidR="00595208" w:rsidRPr="00050F6A">
        <w:rPr>
          <w:rFonts w:ascii="Arial" w:hAnsi="Arial" w:cs="Arial"/>
          <w:b/>
          <w:bCs/>
          <w:color w:val="000000" w:themeColor="text1"/>
        </w:rPr>
        <w:t xml:space="preserve">able </w:t>
      </w:r>
      <w:r>
        <w:rPr>
          <w:rFonts w:ascii="Arial" w:hAnsi="Arial" w:cs="Arial"/>
          <w:b/>
          <w:bCs/>
          <w:color w:val="000000" w:themeColor="text1"/>
        </w:rPr>
        <w:t>s</w:t>
      </w:r>
      <w:r w:rsidR="00595208" w:rsidRPr="00050F6A">
        <w:rPr>
          <w:rFonts w:ascii="Arial" w:hAnsi="Arial" w:cs="Arial"/>
          <w:b/>
          <w:bCs/>
          <w:color w:val="000000" w:themeColor="text1"/>
        </w:rPr>
        <w:t>2.</w:t>
      </w:r>
      <w:r w:rsidR="00595208" w:rsidRPr="00050F6A">
        <w:rPr>
          <w:rFonts w:ascii="Arial" w:hAnsi="Arial" w:cs="Arial"/>
          <w:color w:val="000000" w:themeColor="text1"/>
        </w:rPr>
        <w:t xml:space="preserve"> </w:t>
      </w:r>
      <w:r w:rsidR="00595208" w:rsidRPr="00050F6A">
        <w:rPr>
          <w:rFonts w:ascii="Arial" w:hAnsi="Arial" w:cs="Arial"/>
          <w:b/>
          <w:bCs/>
          <w:color w:val="000000" w:themeColor="text1"/>
        </w:rPr>
        <w:t>Single nucleotide polymorphism (SNP) distances for all pairwise comparisons between the 156 isolates in this study.</w:t>
      </w:r>
      <w:r w:rsidR="00595208" w:rsidRPr="00050F6A">
        <w:rPr>
          <w:rFonts w:ascii="Arial" w:hAnsi="Arial" w:cs="Arial"/>
          <w:color w:val="000000" w:themeColor="text1"/>
        </w:rPr>
        <w:t xml:space="preserve"> In the column “Isolate pair”, isolate pairs are formatted with the two isolate IDs in numerical order separated by an underscore. The column “CFSAN” contains the SNP distance calculated by reference-based alignment. The column “SKA” contains the SNP distance calculated by split k-mer analysis. The column “Difference” is the CFSAN SNP distance minus the SKA SNP distance.</w:t>
      </w:r>
    </w:p>
    <w:p w14:paraId="74D0008A" w14:textId="77777777" w:rsidR="00AE47ED" w:rsidRDefault="00AE47ED" w:rsidP="00595208">
      <w:pPr>
        <w:spacing w:after="0" w:line="480" w:lineRule="auto"/>
        <w:rPr>
          <w:rFonts w:ascii="Arial" w:hAnsi="Arial" w:cs="Arial"/>
          <w:color w:val="000000" w:themeColor="text1"/>
        </w:rPr>
      </w:pPr>
    </w:p>
    <w:p w14:paraId="02B47AC6" w14:textId="10E01755" w:rsidR="00595208" w:rsidRPr="00050F6A" w:rsidRDefault="00595208" w:rsidP="00595208">
      <w:pPr>
        <w:spacing w:after="0" w:line="480" w:lineRule="auto"/>
        <w:rPr>
          <w:rFonts w:ascii="Arial" w:hAnsi="Arial" w:cs="Arial"/>
          <w:color w:val="000000" w:themeColor="text1"/>
        </w:rPr>
      </w:pPr>
      <w:r>
        <w:rPr>
          <w:rFonts w:ascii="Arial" w:hAnsi="Arial" w:cs="Arial"/>
          <w:color w:val="000000" w:themeColor="text1"/>
        </w:rPr>
        <w:t xml:space="preserve">TABLE IN SEPARATE FILE: </w:t>
      </w:r>
      <w:r w:rsidR="001B223F">
        <w:rPr>
          <w:rFonts w:ascii="Arial" w:hAnsi="Arial" w:cs="Arial"/>
          <w:color w:val="000000" w:themeColor="text1"/>
        </w:rPr>
        <w:t>T</w:t>
      </w:r>
      <w:r w:rsidRPr="00595208">
        <w:rPr>
          <w:rFonts w:ascii="Arial" w:hAnsi="Arial" w:cs="Arial"/>
          <w:color w:val="000000" w:themeColor="text1"/>
        </w:rPr>
        <w:t>able</w:t>
      </w:r>
      <w:r w:rsidR="001B223F">
        <w:rPr>
          <w:rFonts w:ascii="Arial" w:hAnsi="Arial" w:cs="Arial"/>
          <w:color w:val="000000" w:themeColor="text1"/>
        </w:rPr>
        <w:t>_s3</w:t>
      </w:r>
      <w:r w:rsidRPr="00595208">
        <w:rPr>
          <w:rFonts w:ascii="Arial" w:hAnsi="Arial" w:cs="Arial"/>
          <w:color w:val="000000" w:themeColor="text1"/>
        </w:rPr>
        <w:t>.xlsx</w:t>
      </w:r>
    </w:p>
    <w:p w14:paraId="79628A6E" w14:textId="77777777" w:rsidR="00595208" w:rsidRPr="00050F6A" w:rsidRDefault="00595208" w:rsidP="00595208">
      <w:pPr>
        <w:spacing w:after="0" w:line="480" w:lineRule="auto"/>
        <w:rPr>
          <w:rFonts w:ascii="Arial" w:hAnsi="Arial" w:cs="Arial"/>
          <w:color w:val="000000" w:themeColor="text1"/>
        </w:rPr>
      </w:pPr>
    </w:p>
    <w:p w14:paraId="60CD82FD" w14:textId="77777777" w:rsidR="00595208" w:rsidRDefault="00595208">
      <w:pPr>
        <w:rPr>
          <w:rFonts w:ascii="Arial" w:hAnsi="Arial" w:cs="Arial"/>
          <w:b/>
          <w:bCs/>
          <w:color w:val="000000" w:themeColor="text1"/>
        </w:rPr>
      </w:pPr>
      <w:r>
        <w:rPr>
          <w:rFonts w:ascii="Arial" w:hAnsi="Arial" w:cs="Arial"/>
          <w:b/>
          <w:bCs/>
          <w:color w:val="000000" w:themeColor="text1"/>
        </w:rPr>
        <w:br w:type="page"/>
      </w:r>
    </w:p>
    <w:p w14:paraId="7CD1F47F" w14:textId="3C2E049D" w:rsidR="00AE47ED" w:rsidRDefault="001B223F" w:rsidP="00595208">
      <w:pPr>
        <w:spacing w:after="0" w:line="480" w:lineRule="auto"/>
        <w:rPr>
          <w:rFonts w:ascii="Arial" w:hAnsi="Arial" w:cs="Arial"/>
          <w:color w:val="000000" w:themeColor="text1"/>
        </w:rPr>
      </w:pPr>
      <w:r>
        <w:rPr>
          <w:rFonts w:ascii="Arial" w:hAnsi="Arial" w:cs="Arial"/>
          <w:b/>
          <w:bCs/>
          <w:color w:val="000000" w:themeColor="text1"/>
        </w:rPr>
        <w:lastRenderedPageBreak/>
        <w:t>F</w:t>
      </w:r>
      <w:r w:rsidR="00595208" w:rsidRPr="00050F6A">
        <w:rPr>
          <w:rFonts w:ascii="Arial" w:hAnsi="Arial" w:cs="Arial"/>
          <w:b/>
          <w:bCs/>
          <w:color w:val="000000" w:themeColor="text1"/>
        </w:rPr>
        <w:t xml:space="preserve">igure </w:t>
      </w:r>
      <w:r>
        <w:rPr>
          <w:rFonts w:ascii="Arial" w:hAnsi="Arial" w:cs="Arial"/>
          <w:b/>
          <w:bCs/>
          <w:color w:val="000000" w:themeColor="text1"/>
        </w:rPr>
        <w:t>s</w:t>
      </w:r>
      <w:r w:rsidR="00595208" w:rsidRPr="00050F6A">
        <w:rPr>
          <w:rFonts w:ascii="Arial" w:hAnsi="Arial" w:cs="Arial"/>
          <w:b/>
          <w:bCs/>
          <w:color w:val="000000" w:themeColor="text1"/>
        </w:rPr>
        <w:t xml:space="preserve">1. Vancomycin-resistant </w:t>
      </w:r>
      <w:r w:rsidR="00595208" w:rsidRPr="00050F6A">
        <w:rPr>
          <w:rFonts w:ascii="Arial" w:hAnsi="Arial" w:cs="Arial"/>
          <w:b/>
          <w:bCs/>
          <w:i/>
          <w:iCs/>
          <w:color w:val="000000" w:themeColor="text1"/>
        </w:rPr>
        <w:t xml:space="preserve">Enterococcus faecium </w:t>
      </w:r>
      <w:r w:rsidR="00595208" w:rsidRPr="00050F6A">
        <w:rPr>
          <w:rFonts w:ascii="Arial" w:hAnsi="Arial" w:cs="Arial"/>
          <w:b/>
          <w:bCs/>
          <w:color w:val="000000" w:themeColor="text1"/>
        </w:rPr>
        <w:t>isolate pairs meeting the threshold of ≤ 15 single nucleotide polymorphisms (SNPs) by split k-mer analysis (SKA), reference-based alignment (CFSAN), or both.</w:t>
      </w:r>
      <w:r w:rsidR="00595208" w:rsidRPr="00050F6A">
        <w:rPr>
          <w:rFonts w:ascii="Arial" w:hAnsi="Arial" w:cs="Arial"/>
          <w:color w:val="000000" w:themeColor="text1"/>
        </w:rPr>
        <w:t xml:space="preserve"> A) Isolates with and without epidemiologic (epi) links in each group. The percentage in parenthesis is the percent of the total number of isolates in the row. B) and C) Comparison of SNP distances calculated using each method for isolates with SNP distance ≤ 15 by SKA (B) or CFSAN (C). Isolates in the orange area (including those on the boundary) are the 82 with SNP distance ≤ 15 by both methods. Isolates in the red or yellow areas are those with SNP distance ≤ 15 by SKA (red) or CFSAN (yellow) only. Numbers inside dots indicate the number of isolate pairs with that combination of CFSAN and SKA SNP distance. Dots with no numbers represent one isolate pair. Dark blue dots represent pairs for which an epidemiologic link was identified, while light blue dots represent pairs for which an epidemiologic link was not identified. For dark blue dots that represent multiple isolate pairs, the number of pairs with an epidemiologic link is indicated in dark blue text to the right of the dot.</w:t>
      </w:r>
    </w:p>
    <w:p w14:paraId="72C3C689" w14:textId="77777777" w:rsidR="00AE47ED" w:rsidRDefault="00AE47ED">
      <w:pPr>
        <w:rPr>
          <w:rFonts w:ascii="Arial" w:hAnsi="Arial" w:cs="Arial"/>
          <w:color w:val="000000" w:themeColor="text1"/>
        </w:rPr>
      </w:pPr>
      <w:r>
        <w:rPr>
          <w:rFonts w:ascii="Arial" w:hAnsi="Arial" w:cs="Arial"/>
          <w:color w:val="000000" w:themeColor="text1"/>
        </w:rPr>
        <w:br w:type="page"/>
      </w:r>
    </w:p>
    <w:p w14:paraId="571AFE65" w14:textId="4F2C24C1" w:rsidR="00AE47ED" w:rsidRPr="00050F6A" w:rsidRDefault="00AE47ED" w:rsidP="00595208">
      <w:pPr>
        <w:spacing w:after="0" w:line="480" w:lineRule="auto"/>
        <w:rPr>
          <w:rFonts w:ascii="Arial" w:hAnsi="Arial" w:cs="Arial"/>
          <w:color w:val="000000" w:themeColor="text1"/>
        </w:rPr>
      </w:pPr>
      <w:r>
        <w:rPr>
          <w:rFonts w:ascii="Arial" w:hAnsi="Arial" w:cs="Arial"/>
          <w:noProof/>
          <w:color w:val="000000" w:themeColor="text1"/>
        </w:rPr>
        <w:lastRenderedPageBreak/>
        <w:drawing>
          <wp:inline distT="0" distB="0" distL="0" distR="0" wp14:anchorId="6B8AEB8F" wp14:editId="65DD44E7">
            <wp:extent cx="5943600" cy="4476750"/>
            <wp:effectExtent l="0" t="0" r="0" b="6350"/>
            <wp:docPr id="124401335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13357" name="Picture 1" descr="A screenshot of a grap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76750"/>
                    </a:xfrm>
                    <a:prstGeom prst="rect">
                      <a:avLst/>
                    </a:prstGeom>
                  </pic:spPr>
                </pic:pic>
              </a:graphicData>
            </a:graphic>
          </wp:inline>
        </w:drawing>
      </w:r>
    </w:p>
    <w:p w14:paraId="5926C65E" w14:textId="77777777" w:rsidR="00595208" w:rsidRPr="00050F6A" w:rsidRDefault="00595208" w:rsidP="00595208">
      <w:pPr>
        <w:spacing w:after="0" w:line="480" w:lineRule="auto"/>
        <w:rPr>
          <w:rFonts w:ascii="Arial" w:hAnsi="Arial" w:cs="Arial"/>
          <w:color w:val="000000" w:themeColor="text1"/>
        </w:rPr>
      </w:pPr>
    </w:p>
    <w:p w14:paraId="42456DDB" w14:textId="77777777" w:rsidR="00595208" w:rsidRDefault="00595208">
      <w:pPr>
        <w:rPr>
          <w:rFonts w:ascii="Arial" w:hAnsi="Arial" w:cs="Arial"/>
          <w:b/>
          <w:bCs/>
          <w:color w:val="000000" w:themeColor="text1"/>
        </w:rPr>
      </w:pPr>
      <w:r>
        <w:rPr>
          <w:rFonts w:ascii="Arial" w:hAnsi="Arial" w:cs="Arial"/>
          <w:b/>
          <w:bCs/>
          <w:color w:val="000000" w:themeColor="text1"/>
        </w:rPr>
        <w:br w:type="page"/>
      </w:r>
    </w:p>
    <w:p w14:paraId="3F94DC90" w14:textId="25CC35A7" w:rsidR="00AE47ED" w:rsidRDefault="001B223F" w:rsidP="00595208">
      <w:pPr>
        <w:spacing w:after="0" w:line="480" w:lineRule="auto"/>
        <w:rPr>
          <w:rFonts w:ascii="Arial" w:hAnsi="Arial" w:cs="Arial"/>
          <w:color w:val="000000" w:themeColor="text1"/>
        </w:rPr>
      </w:pPr>
      <w:r>
        <w:rPr>
          <w:rFonts w:ascii="Arial" w:hAnsi="Arial" w:cs="Arial"/>
          <w:b/>
          <w:bCs/>
          <w:color w:val="000000" w:themeColor="text1"/>
        </w:rPr>
        <w:lastRenderedPageBreak/>
        <w:t>F</w:t>
      </w:r>
      <w:r w:rsidR="00595208" w:rsidRPr="00050F6A">
        <w:rPr>
          <w:rFonts w:ascii="Arial" w:hAnsi="Arial" w:cs="Arial"/>
          <w:b/>
          <w:bCs/>
          <w:color w:val="000000" w:themeColor="text1"/>
        </w:rPr>
        <w:t xml:space="preserve">igure </w:t>
      </w:r>
      <w:r>
        <w:rPr>
          <w:rFonts w:ascii="Arial" w:hAnsi="Arial" w:cs="Arial"/>
          <w:b/>
          <w:bCs/>
          <w:color w:val="000000" w:themeColor="text1"/>
        </w:rPr>
        <w:t>s</w:t>
      </w:r>
      <w:r w:rsidR="00595208" w:rsidRPr="00050F6A">
        <w:rPr>
          <w:rFonts w:ascii="Arial" w:hAnsi="Arial" w:cs="Arial"/>
          <w:b/>
          <w:bCs/>
          <w:color w:val="000000" w:themeColor="text1"/>
        </w:rPr>
        <w:t xml:space="preserve">2. Additional transmission clusters identified via surveillance whole-genome sequencing of vancomycin-resistant </w:t>
      </w:r>
      <w:r w:rsidR="00595208" w:rsidRPr="00050F6A">
        <w:rPr>
          <w:rFonts w:ascii="Arial" w:hAnsi="Arial" w:cs="Arial"/>
          <w:b/>
          <w:bCs/>
          <w:i/>
          <w:iCs/>
          <w:color w:val="000000" w:themeColor="text1"/>
        </w:rPr>
        <w:t>Enterococcus faecium</w:t>
      </w:r>
      <w:r w:rsidR="00595208" w:rsidRPr="00050F6A">
        <w:rPr>
          <w:rFonts w:ascii="Arial" w:hAnsi="Arial" w:cs="Arial"/>
          <w:b/>
          <w:bCs/>
          <w:color w:val="000000" w:themeColor="text1"/>
        </w:rPr>
        <w:t xml:space="preserve">. </w:t>
      </w:r>
      <w:r w:rsidR="00595208" w:rsidRPr="00050F6A">
        <w:rPr>
          <w:rFonts w:ascii="Arial" w:hAnsi="Arial" w:cs="Arial"/>
          <w:color w:val="000000" w:themeColor="text1"/>
        </w:rPr>
        <w:t xml:space="preserve">Refer to Figure 3A for key to transmission cluster maps. AH, Brigham and Women’s Hospital (BWH)-affiliated partner hospital (units numbered separately from BWH units). ED, emergency department. GI surg, gastrointestinal surgery. Int, intensive care. Med, medicine. Neuro, neurology. Onc, oncology. </w:t>
      </w:r>
      <w:r w:rsidR="00595208" w:rsidRPr="00050F6A">
        <w:rPr>
          <w:rFonts w:ascii="Arial" w:hAnsi="Arial" w:cs="Arial"/>
        </w:rPr>
        <w:t xml:space="preserve">PACU, post-anesthesia care unit. </w:t>
      </w:r>
      <w:r w:rsidR="00595208" w:rsidRPr="00050F6A">
        <w:rPr>
          <w:rFonts w:ascii="Arial" w:hAnsi="Arial" w:cs="Arial"/>
          <w:color w:val="000000" w:themeColor="text1"/>
        </w:rPr>
        <w:t>Thorac surg, thoracic surgery.</w:t>
      </w:r>
    </w:p>
    <w:p w14:paraId="7DD43A2C" w14:textId="77777777" w:rsidR="00971DDA" w:rsidRDefault="00971DDA">
      <w:pPr>
        <w:rPr>
          <w:rFonts w:ascii="Arial" w:hAnsi="Arial" w:cs="Arial"/>
          <w:color w:val="000000" w:themeColor="text1"/>
        </w:rPr>
        <w:sectPr w:rsidR="00971DDA">
          <w:footerReference w:type="even" r:id="rId9"/>
          <w:footerReference w:type="default" r:id="rId10"/>
          <w:pgSz w:w="12240" w:h="15840"/>
          <w:pgMar w:top="1440" w:right="1440" w:bottom="1440" w:left="1440" w:header="720" w:footer="720" w:gutter="0"/>
          <w:cols w:space="720"/>
          <w:docGrid w:linePitch="360"/>
        </w:sectPr>
      </w:pPr>
    </w:p>
    <w:p w14:paraId="3F5CB4F0" w14:textId="33B04897" w:rsidR="00595208" w:rsidRPr="00AE47ED" w:rsidRDefault="00971DDA" w:rsidP="00971DDA">
      <w:pPr>
        <w:rPr>
          <w:rFonts w:ascii="Arial" w:hAnsi="Arial" w:cs="Arial"/>
          <w:color w:val="000000" w:themeColor="text1"/>
        </w:rPr>
      </w:pPr>
      <w:r>
        <w:rPr>
          <w:rFonts w:ascii="Arial" w:hAnsi="Arial" w:cs="Arial"/>
          <w:noProof/>
          <w:color w:val="000000" w:themeColor="text1"/>
        </w:rPr>
        <w:lastRenderedPageBreak/>
        <w:drawing>
          <wp:inline distT="0" distB="0" distL="0" distR="0" wp14:anchorId="311D905C" wp14:editId="0CDD876D">
            <wp:extent cx="8108995" cy="1677718"/>
            <wp:effectExtent l="0" t="0" r="0" b="0"/>
            <wp:docPr id="16054910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91044"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21340" cy="1700962"/>
                    </a:xfrm>
                    <a:prstGeom prst="rect">
                      <a:avLst/>
                    </a:prstGeom>
                  </pic:spPr>
                </pic:pic>
              </a:graphicData>
            </a:graphic>
          </wp:inline>
        </w:drawing>
      </w:r>
    </w:p>
    <w:sectPr w:rsidR="00595208" w:rsidRPr="00AE47ED" w:rsidSect="00971DD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F0E3A" w14:textId="77777777" w:rsidR="00523357" w:rsidRDefault="00523357" w:rsidP="00A35C4F">
      <w:pPr>
        <w:spacing w:after="0" w:line="240" w:lineRule="auto"/>
      </w:pPr>
      <w:r>
        <w:separator/>
      </w:r>
    </w:p>
  </w:endnote>
  <w:endnote w:type="continuationSeparator" w:id="0">
    <w:p w14:paraId="2F0B0BF7" w14:textId="77777777" w:rsidR="00523357" w:rsidRDefault="00523357" w:rsidP="00A35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89462177"/>
      <w:docPartObj>
        <w:docPartGallery w:val="Page Numbers (Bottom of Page)"/>
        <w:docPartUnique/>
      </w:docPartObj>
    </w:sdtPr>
    <w:sdtContent>
      <w:p w14:paraId="739C9211" w14:textId="09420493" w:rsidR="00A35C4F" w:rsidRDefault="00A35C4F" w:rsidP="00A35C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B81223" w14:textId="77777777" w:rsidR="00A35C4F" w:rsidRDefault="00A35C4F" w:rsidP="00A35C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rPr>
      <w:id w:val="-97567199"/>
      <w:docPartObj>
        <w:docPartGallery w:val="Page Numbers (Bottom of Page)"/>
        <w:docPartUnique/>
      </w:docPartObj>
    </w:sdtPr>
    <w:sdtContent>
      <w:p w14:paraId="40473FC9" w14:textId="30B6BC9C" w:rsidR="00A35C4F" w:rsidRPr="00A35C4F" w:rsidRDefault="00A35C4F" w:rsidP="00A35C4F">
        <w:pPr>
          <w:pStyle w:val="Footer"/>
          <w:framePr w:wrap="none" w:vAnchor="text" w:hAnchor="margin" w:xAlign="right" w:y="1"/>
          <w:rPr>
            <w:rStyle w:val="PageNumber"/>
            <w:rFonts w:ascii="Arial" w:hAnsi="Arial" w:cs="Arial"/>
          </w:rPr>
        </w:pPr>
        <w:r w:rsidRPr="00A35C4F">
          <w:rPr>
            <w:rStyle w:val="PageNumber"/>
            <w:rFonts w:ascii="Arial" w:hAnsi="Arial" w:cs="Arial"/>
          </w:rPr>
          <w:fldChar w:fldCharType="begin"/>
        </w:r>
        <w:r w:rsidRPr="00A35C4F">
          <w:rPr>
            <w:rStyle w:val="PageNumber"/>
            <w:rFonts w:ascii="Arial" w:hAnsi="Arial" w:cs="Arial"/>
          </w:rPr>
          <w:instrText xml:space="preserve"> PAGE </w:instrText>
        </w:r>
        <w:r w:rsidRPr="00A35C4F">
          <w:rPr>
            <w:rStyle w:val="PageNumber"/>
            <w:rFonts w:ascii="Arial" w:hAnsi="Arial" w:cs="Arial"/>
          </w:rPr>
          <w:fldChar w:fldCharType="separate"/>
        </w:r>
        <w:r w:rsidRPr="00A35C4F">
          <w:rPr>
            <w:rStyle w:val="PageNumber"/>
            <w:rFonts w:ascii="Arial" w:hAnsi="Arial" w:cs="Arial"/>
            <w:noProof/>
          </w:rPr>
          <w:t>2</w:t>
        </w:r>
        <w:r w:rsidRPr="00A35C4F">
          <w:rPr>
            <w:rStyle w:val="PageNumber"/>
            <w:rFonts w:ascii="Arial" w:hAnsi="Arial" w:cs="Arial"/>
          </w:rPr>
          <w:fldChar w:fldCharType="end"/>
        </w:r>
      </w:p>
    </w:sdtContent>
  </w:sdt>
  <w:p w14:paraId="1D64D4DF" w14:textId="77777777" w:rsidR="00A35C4F" w:rsidRPr="00A35C4F" w:rsidRDefault="00A35C4F" w:rsidP="00A35C4F">
    <w:pPr>
      <w:pStyle w:val="Footer"/>
      <w:ind w:right="36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FA91A" w14:textId="77777777" w:rsidR="00523357" w:rsidRDefault="00523357" w:rsidP="00A35C4F">
      <w:pPr>
        <w:spacing w:after="0" w:line="240" w:lineRule="auto"/>
      </w:pPr>
      <w:r>
        <w:separator/>
      </w:r>
    </w:p>
  </w:footnote>
  <w:footnote w:type="continuationSeparator" w:id="0">
    <w:p w14:paraId="6CD8F44E" w14:textId="77777777" w:rsidR="00523357" w:rsidRDefault="00523357" w:rsidP="00A35C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02131B"/>
    <w:multiLevelType w:val="hybridMultilevel"/>
    <w:tmpl w:val="63D09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237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208"/>
    <w:rsid w:val="000238BE"/>
    <w:rsid w:val="000C3DE0"/>
    <w:rsid w:val="000F1BDD"/>
    <w:rsid w:val="00122241"/>
    <w:rsid w:val="00125639"/>
    <w:rsid w:val="001B223F"/>
    <w:rsid w:val="002B6748"/>
    <w:rsid w:val="002F259C"/>
    <w:rsid w:val="00326F6B"/>
    <w:rsid w:val="003A6EC7"/>
    <w:rsid w:val="004E593F"/>
    <w:rsid w:val="00523357"/>
    <w:rsid w:val="00595208"/>
    <w:rsid w:val="005A40B8"/>
    <w:rsid w:val="0062208C"/>
    <w:rsid w:val="00664CE7"/>
    <w:rsid w:val="008421A3"/>
    <w:rsid w:val="00971DDA"/>
    <w:rsid w:val="009C0C5C"/>
    <w:rsid w:val="009D4410"/>
    <w:rsid w:val="00A07FD3"/>
    <w:rsid w:val="00A35C4F"/>
    <w:rsid w:val="00AE47ED"/>
    <w:rsid w:val="00B805EC"/>
    <w:rsid w:val="00BA2D00"/>
    <w:rsid w:val="00DD61AF"/>
    <w:rsid w:val="00E53BF8"/>
    <w:rsid w:val="00F4485B"/>
    <w:rsid w:val="00F726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EC78964"/>
  <w15:chartTrackingRefBased/>
  <w15:docId w15:val="{A19BA765-E096-8B4E-AFB4-F05C32C06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52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52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52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52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52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52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52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52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52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52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52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52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52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52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52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52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52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5208"/>
    <w:rPr>
      <w:rFonts w:eastAsiaTheme="majorEastAsia" w:cstheme="majorBidi"/>
      <w:color w:val="272727" w:themeColor="text1" w:themeTint="D8"/>
    </w:rPr>
  </w:style>
  <w:style w:type="paragraph" w:styleId="Title">
    <w:name w:val="Title"/>
    <w:basedOn w:val="Normal"/>
    <w:next w:val="Normal"/>
    <w:link w:val="TitleChar"/>
    <w:uiPriority w:val="10"/>
    <w:qFormat/>
    <w:rsid w:val="005952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52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52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52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5208"/>
    <w:pPr>
      <w:spacing w:before="160"/>
      <w:jc w:val="center"/>
    </w:pPr>
    <w:rPr>
      <w:i/>
      <w:iCs/>
      <w:color w:val="404040" w:themeColor="text1" w:themeTint="BF"/>
    </w:rPr>
  </w:style>
  <w:style w:type="character" w:customStyle="1" w:styleId="QuoteChar">
    <w:name w:val="Quote Char"/>
    <w:basedOn w:val="DefaultParagraphFont"/>
    <w:link w:val="Quote"/>
    <w:uiPriority w:val="29"/>
    <w:rsid w:val="00595208"/>
    <w:rPr>
      <w:i/>
      <w:iCs/>
      <w:color w:val="404040" w:themeColor="text1" w:themeTint="BF"/>
    </w:rPr>
  </w:style>
  <w:style w:type="paragraph" w:styleId="ListParagraph">
    <w:name w:val="List Paragraph"/>
    <w:basedOn w:val="Normal"/>
    <w:uiPriority w:val="34"/>
    <w:qFormat/>
    <w:rsid w:val="00595208"/>
    <w:pPr>
      <w:ind w:left="720"/>
      <w:contextualSpacing/>
    </w:pPr>
  </w:style>
  <w:style w:type="character" w:styleId="IntenseEmphasis">
    <w:name w:val="Intense Emphasis"/>
    <w:basedOn w:val="DefaultParagraphFont"/>
    <w:uiPriority w:val="21"/>
    <w:qFormat/>
    <w:rsid w:val="00595208"/>
    <w:rPr>
      <w:i/>
      <w:iCs/>
      <w:color w:val="0F4761" w:themeColor="accent1" w:themeShade="BF"/>
    </w:rPr>
  </w:style>
  <w:style w:type="paragraph" w:styleId="IntenseQuote">
    <w:name w:val="Intense Quote"/>
    <w:basedOn w:val="Normal"/>
    <w:next w:val="Normal"/>
    <w:link w:val="IntenseQuoteChar"/>
    <w:uiPriority w:val="30"/>
    <w:qFormat/>
    <w:rsid w:val="005952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5208"/>
    <w:rPr>
      <w:i/>
      <w:iCs/>
      <w:color w:val="0F4761" w:themeColor="accent1" w:themeShade="BF"/>
    </w:rPr>
  </w:style>
  <w:style w:type="character" w:styleId="IntenseReference">
    <w:name w:val="Intense Reference"/>
    <w:basedOn w:val="DefaultParagraphFont"/>
    <w:uiPriority w:val="32"/>
    <w:qFormat/>
    <w:rsid w:val="00595208"/>
    <w:rPr>
      <w:b/>
      <w:bCs/>
      <w:smallCaps/>
      <w:color w:val="0F4761" w:themeColor="accent1" w:themeShade="BF"/>
      <w:spacing w:val="5"/>
    </w:rPr>
  </w:style>
  <w:style w:type="character" w:styleId="Hyperlink">
    <w:name w:val="Hyperlink"/>
    <w:basedOn w:val="DefaultParagraphFont"/>
    <w:uiPriority w:val="99"/>
    <w:unhideWhenUsed/>
    <w:rsid w:val="009D4410"/>
    <w:rPr>
      <w:color w:val="467886" w:themeColor="hyperlink"/>
      <w:u w:val="single"/>
    </w:rPr>
  </w:style>
  <w:style w:type="character" w:styleId="UnresolvedMention">
    <w:name w:val="Unresolved Mention"/>
    <w:basedOn w:val="DefaultParagraphFont"/>
    <w:uiPriority w:val="99"/>
    <w:semiHidden/>
    <w:unhideWhenUsed/>
    <w:rsid w:val="009D4410"/>
    <w:rPr>
      <w:color w:val="605E5C"/>
      <w:shd w:val="clear" w:color="auto" w:fill="E1DFDD"/>
    </w:rPr>
  </w:style>
  <w:style w:type="character" w:styleId="CommentReference">
    <w:name w:val="annotation reference"/>
    <w:basedOn w:val="DefaultParagraphFont"/>
    <w:uiPriority w:val="99"/>
    <w:semiHidden/>
    <w:unhideWhenUsed/>
    <w:rsid w:val="00664CE7"/>
    <w:rPr>
      <w:sz w:val="16"/>
      <w:szCs w:val="16"/>
    </w:rPr>
  </w:style>
  <w:style w:type="paragraph" w:styleId="Footer">
    <w:name w:val="footer"/>
    <w:basedOn w:val="Normal"/>
    <w:link w:val="FooterChar"/>
    <w:uiPriority w:val="99"/>
    <w:unhideWhenUsed/>
    <w:rsid w:val="00A35C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5C4F"/>
  </w:style>
  <w:style w:type="character" w:styleId="PageNumber">
    <w:name w:val="page number"/>
    <w:basedOn w:val="DefaultParagraphFont"/>
    <w:uiPriority w:val="99"/>
    <w:semiHidden/>
    <w:unhideWhenUsed/>
    <w:rsid w:val="00A35C4F"/>
  </w:style>
  <w:style w:type="paragraph" w:styleId="Header">
    <w:name w:val="header"/>
    <w:basedOn w:val="Normal"/>
    <w:link w:val="HeaderChar"/>
    <w:uiPriority w:val="99"/>
    <w:unhideWhenUsed/>
    <w:rsid w:val="00A35C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5C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ncbi.nlm.nih.gov/pathogen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12</Pages>
  <Words>1518</Words>
  <Characters>8657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Schrader, Sarah M.,MD, PhD</dc:creator>
  <cp:keywords/>
  <dc:description/>
  <cp:lastModifiedBy>Schrader, Sarah M.,MD, PhD</cp:lastModifiedBy>
  <cp:revision>19</cp:revision>
  <dcterms:created xsi:type="dcterms:W3CDTF">2024-11-19T20:28:00Z</dcterms:created>
  <dcterms:modified xsi:type="dcterms:W3CDTF">2025-02-27T16:04:00Z</dcterms:modified>
</cp:coreProperties>
</file>