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A9238D" w14:textId="675AA685" w:rsidR="000D5D3A" w:rsidRDefault="00C50295" w:rsidP="00C50295">
      <w:pPr>
        <w:shd w:val="clear" w:color="auto" w:fill="FFFFFF"/>
        <w:spacing w:line="276" w:lineRule="auto"/>
        <w:rPr>
          <w:rFonts w:asciiTheme="majorBidi" w:hAnsiTheme="majorBidi" w:cstheme="majorBidi"/>
          <w:noProof/>
        </w:rPr>
      </w:pPr>
      <w:r w:rsidRPr="004C1DE2">
        <w:rPr>
          <w:rFonts w:asciiTheme="majorBidi" w:hAnsiTheme="majorBidi" w:cstheme="majorBidi"/>
          <w:b/>
          <w:bCs/>
        </w:rPr>
        <w:t xml:space="preserve">Figure </w:t>
      </w:r>
      <w:r>
        <w:rPr>
          <w:rFonts w:asciiTheme="majorBidi" w:hAnsiTheme="majorBidi" w:cstheme="majorBidi"/>
          <w:b/>
          <w:bCs/>
        </w:rPr>
        <w:t>S</w:t>
      </w:r>
      <w:r w:rsidRPr="004C1DE2">
        <w:rPr>
          <w:rFonts w:asciiTheme="majorBidi" w:hAnsiTheme="majorBidi" w:cstheme="majorBidi"/>
          <w:b/>
          <w:bCs/>
        </w:rPr>
        <w:t>1.</w:t>
      </w:r>
      <w:r w:rsidRPr="004C1DE2">
        <w:rPr>
          <w:rFonts w:asciiTheme="majorBidi" w:hAnsiTheme="majorBidi" w:cstheme="majorBidi"/>
        </w:rPr>
        <w:t xml:space="preserve">  </w:t>
      </w:r>
      <w:r>
        <w:rPr>
          <w:rFonts w:asciiTheme="majorBidi" w:hAnsiTheme="majorBidi" w:cstheme="majorBidi"/>
        </w:rPr>
        <w:t xml:space="preserve">Comparison of three antibiotic use metrics among Veterans Affairs Community Living Centers (CLCs) for 2022. </w:t>
      </w:r>
      <w:r w:rsidRPr="00244793">
        <w:rPr>
          <w:rFonts w:asciiTheme="majorBidi" w:hAnsiTheme="majorBidi" w:cstheme="majorBidi"/>
        </w:rPr>
        <w:t xml:space="preserve">Each dot represents one </w:t>
      </w:r>
      <w:r>
        <w:rPr>
          <w:rFonts w:asciiTheme="majorBidi" w:hAnsiTheme="majorBidi" w:cstheme="majorBidi"/>
        </w:rPr>
        <w:t>CLC (n = 13</w:t>
      </w:r>
      <w:r w:rsidR="00E36491">
        <w:rPr>
          <w:rFonts w:asciiTheme="majorBidi" w:hAnsiTheme="majorBidi" w:cstheme="majorBidi"/>
        </w:rPr>
        <w:t>5</w:t>
      </w:r>
      <w:r>
        <w:rPr>
          <w:rFonts w:asciiTheme="majorBidi" w:hAnsiTheme="majorBidi" w:cstheme="majorBidi"/>
        </w:rPr>
        <w:t>)</w:t>
      </w:r>
      <w:r w:rsidRPr="00244793">
        <w:rPr>
          <w:rFonts w:asciiTheme="majorBidi" w:hAnsiTheme="majorBidi" w:cstheme="majorBidi"/>
        </w:rPr>
        <w:t xml:space="preserve"> with each column representing 1 month. Th</w:t>
      </w:r>
      <w:r>
        <w:rPr>
          <w:rFonts w:asciiTheme="majorBidi" w:hAnsiTheme="majorBidi" w:cstheme="majorBidi"/>
        </w:rPr>
        <w:t>e</w:t>
      </w:r>
      <w:r w:rsidRPr="00244793">
        <w:rPr>
          <w:rFonts w:asciiTheme="majorBidi" w:hAnsiTheme="majorBidi" w:cstheme="majorBidi"/>
        </w:rPr>
        <w:t xml:space="preserve"> line displays the mean with the grey area showing 95% confidence interval.</w:t>
      </w:r>
      <w:r>
        <w:rPr>
          <w:rFonts w:asciiTheme="majorBidi" w:hAnsiTheme="majorBidi" w:cstheme="majorBidi"/>
        </w:rPr>
        <w:t xml:space="preserve"> The correlation between the standard metric, Days of Therapy (DOT)/1000 Days of Care (</w:t>
      </w:r>
      <w:r>
        <w:rPr>
          <w:rFonts w:asciiTheme="majorBidi" w:hAnsiTheme="majorBidi" w:cstheme="majorBidi"/>
          <w:i/>
          <w:iCs/>
        </w:rPr>
        <w:t>A</w:t>
      </w:r>
      <w:r>
        <w:rPr>
          <w:rFonts w:asciiTheme="majorBidi" w:hAnsiTheme="majorBidi" w:cstheme="majorBidi"/>
        </w:rPr>
        <w:t>) and the two novel metrics, DOT/Unique</w:t>
      </w:r>
      <w:r w:rsidR="0087050B">
        <w:rPr>
          <w:rFonts w:asciiTheme="majorBidi" w:hAnsiTheme="majorBidi" w:cstheme="majorBidi"/>
        </w:rPr>
        <w:t xml:space="preserve"> </w:t>
      </w:r>
      <w:r>
        <w:rPr>
          <w:rFonts w:asciiTheme="majorBidi" w:hAnsiTheme="majorBidi" w:cstheme="majorBidi"/>
        </w:rPr>
        <w:t>Residents (</w:t>
      </w:r>
      <w:r>
        <w:rPr>
          <w:rFonts w:asciiTheme="majorBidi" w:hAnsiTheme="majorBidi" w:cstheme="majorBidi"/>
          <w:i/>
          <w:iCs/>
        </w:rPr>
        <w:t>B</w:t>
      </w:r>
      <w:r>
        <w:rPr>
          <w:rFonts w:asciiTheme="majorBidi" w:hAnsiTheme="majorBidi" w:cstheme="majorBidi"/>
        </w:rPr>
        <w:t>) and Antibiotic Starts/Unique Residents (</w:t>
      </w:r>
      <w:r>
        <w:rPr>
          <w:rFonts w:asciiTheme="majorBidi" w:hAnsiTheme="majorBidi" w:cstheme="majorBidi"/>
          <w:i/>
          <w:iCs/>
        </w:rPr>
        <w:t>C</w:t>
      </w:r>
      <w:r>
        <w:rPr>
          <w:rFonts w:asciiTheme="majorBidi" w:hAnsiTheme="majorBidi" w:cstheme="majorBidi"/>
        </w:rPr>
        <w:t>) was 0.9</w:t>
      </w:r>
      <w:r w:rsidR="0057659E">
        <w:rPr>
          <w:rFonts w:asciiTheme="majorBidi" w:hAnsiTheme="majorBidi" w:cstheme="majorBidi"/>
        </w:rPr>
        <w:t>6</w:t>
      </w:r>
      <w:r>
        <w:rPr>
          <w:rFonts w:asciiTheme="majorBidi" w:hAnsiTheme="majorBidi" w:cstheme="majorBidi"/>
        </w:rPr>
        <w:t xml:space="preserve"> (p &lt; 0.0001) and 0.8</w:t>
      </w:r>
      <w:r w:rsidR="0057659E">
        <w:rPr>
          <w:rFonts w:asciiTheme="majorBidi" w:hAnsiTheme="majorBidi" w:cstheme="majorBidi"/>
        </w:rPr>
        <w:t>5</w:t>
      </w:r>
      <w:r>
        <w:rPr>
          <w:rFonts w:asciiTheme="majorBidi" w:hAnsiTheme="majorBidi" w:cstheme="majorBidi"/>
        </w:rPr>
        <w:t xml:space="preserve"> (p &lt; 0.0001), respectively</w:t>
      </w:r>
      <w:r w:rsidR="000D5D3A">
        <w:rPr>
          <w:rFonts w:asciiTheme="majorBidi" w:hAnsiTheme="majorBidi" w:cstheme="majorBidi"/>
        </w:rPr>
        <w:t>.</w:t>
      </w:r>
      <w:r w:rsidR="00CD1020" w:rsidRPr="00CD1020">
        <w:rPr>
          <w:rFonts w:asciiTheme="majorBidi" w:hAnsiTheme="majorBidi" w:cstheme="majorBidi"/>
          <w:noProof/>
        </w:rPr>
        <w:t xml:space="preserve"> </w:t>
      </w:r>
    </w:p>
    <w:p w14:paraId="65EBD7D4" w14:textId="2FDB26F6" w:rsidR="00D34A6C" w:rsidRDefault="0057659E" w:rsidP="00C50295">
      <w:pPr>
        <w:shd w:val="clear" w:color="auto" w:fill="FFFFFF"/>
        <w:spacing w:line="276" w:lineRule="auto"/>
        <w:rPr>
          <w:rFonts w:asciiTheme="majorBidi" w:hAnsiTheme="majorBidi" w:cstheme="majorBidi"/>
        </w:rPr>
      </w:pPr>
      <w:r>
        <w:rPr>
          <w:rFonts w:asciiTheme="majorBidi" w:hAnsiTheme="majorBidi" w:cstheme="majorBidi"/>
          <w:noProof/>
        </w:rPr>
        <w:drawing>
          <wp:inline distT="0" distB="0" distL="0" distR="0" wp14:anchorId="0B9E9DAD" wp14:editId="05727B2B">
            <wp:extent cx="7376855" cy="4455795"/>
            <wp:effectExtent l="0" t="0" r="0" b="0"/>
            <wp:docPr id="25300848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388974" cy="4463115"/>
                    </a:xfrm>
                    <a:prstGeom prst="rect">
                      <a:avLst/>
                    </a:prstGeom>
                    <a:noFill/>
                  </pic:spPr>
                </pic:pic>
              </a:graphicData>
            </a:graphic>
          </wp:inline>
        </w:drawing>
      </w:r>
    </w:p>
    <w:p w14:paraId="1318AC3E" w14:textId="5B61E6A2" w:rsidR="00A50055" w:rsidRDefault="00A50055" w:rsidP="00A50055">
      <w:pPr>
        <w:shd w:val="clear" w:color="auto" w:fill="FFFFFF"/>
        <w:spacing w:line="276" w:lineRule="auto"/>
        <w:rPr>
          <w:rFonts w:asciiTheme="majorBidi" w:hAnsiTheme="majorBidi" w:cstheme="majorBidi"/>
        </w:rPr>
        <w:sectPr w:rsidR="00A50055" w:rsidSect="00C50295">
          <w:pgSz w:w="15840" w:h="12240" w:orient="landscape"/>
          <w:pgMar w:top="1440" w:right="1440" w:bottom="1440" w:left="1440" w:header="720" w:footer="720" w:gutter="0"/>
          <w:cols w:space="720"/>
          <w:docGrid w:linePitch="360"/>
        </w:sectPr>
      </w:pPr>
    </w:p>
    <w:p w14:paraId="7CF100B4" w14:textId="5C6CF80D" w:rsidR="00D105D8" w:rsidRDefault="00A50055" w:rsidP="00A50055">
      <w:pPr>
        <w:rPr>
          <w:rFonts w:asciiTheme="majorBidi" w:hAnsiTheme="majorBidi" w:cstheme="majorBidi"/>
        </w:rPr>
      </w:pPr>
      <w:r w:rsidRPr="004C1DE2">
        <w:rPr>
          <w:rFonts w:asciiTheme="majorBidi" w:hAnsiTheme="majorBidi" w:cstheme="majorBidi"/>
          <w:b/>
          <w:bCs/>
        </w:rPr>
        <w:lastRenderedPageBreak/>
        <w:t xml:space="preserve">Figure </w:t>
      </w:r>
      <w:r>
        <w:rPr>
          <w:rFonts w:asciiTheme="majorBidi" w:hAnsiTheme="majorBidi" w:cstheme="majorBidi"/>
          <w:b/>
          <w:bCs/>
        </w:rPr>
        <w:t>S2</w:t>
      </w:r>
      <w:r w:rsidRPr="004C1DE2">
        <w:rPr>
          <w:rFonts w:asciiTheme="majorBidi" w:hAnsiTheme="majorBidi" w:cstheme="majorBidi"/>
          <w:b/>
          <w:bCs/>
        </w:rPr>
        <w:t>.</w:t>
      </w:r>
      <w:r w:rsidRPr="004C1DE2">
        <w:rPr>
          <w:rFonts w:asciiTheme="majorBidi" w:hAnsiTheme="majorBidi" w:cstheme="majorBidi"/>
        </w:rPr>
        <w:t xml:space="preserve">  </w:t>
      </w:r>
    </w:p>
    <w:p w14:paraId="6D9E9C17" w14:textId="105D1604" w:rsidR="006D08CE" w:rsidRDefault="00D105D8" w:rsidP="00A50055">
      <w:pPr>
        <w:rPr>
          <w:rFonts w:asciiTheme="majorBidi" w:hAnsiTheme="majorBidi" w:cstheme="majorBidi"/>
        </w:rPr>
      </w:pPr>
      <w:r w:rsidRPr="00D105D8">
        <w:rPr>
          <w:rFonts w:asciiTheme="majorBidi" w:hAnsiTheme="majorBidi" w:cstheme="majorBidi"/>
        </w:rPr>
        <w:t xml:space="preserve">Comparison </w:t>
      </w:r>
      <w:r>
        <w:rPr>
          <w:rFonts w:asciiTheme="majorBidi" w:hAnsiTheme="majorBidi" w:cstheme="majorBidi"/>
        </w:rPr>
        <w:t>of the rate of antibiotics prescribed by individual practitioners</w:t>
      </w:r>
      <w:r w:rsidRPr="00D105D8">
        <w:rPr>
          <w:rFonts w:asciiTheme="majorBidi" w:hAnsiTheme="majorBidi" w:cstheme="majorBidi"/>
        </w:rPr>
        <w:t xml:space="preserve"> </w:t>
      </w:r>
      <w:r>
        <w:rPr>
          <w:rFonts w:asciiTheme="majorBidi" w:hAnsiTheme="majorBidi" w:cstheme="majorBidi"/>
        </w:rPr>
        <w:t>at</w:t>
      </w:r>
      <w:r w:rsidRPr="00D105D8">
        <w:rPr>
          <w:rFonts w:asciiTheme="majorBidi" w:hAnsiTheme="majorBidi" w:cstheme="majorBidi"/>
        </w:rPr>
        <w:t xml:space="preserve"> each of the 13 community post</w:t>
      </w:r>
      <w:r w:rsidR="00AC23DB">
        <w:rPr>
          <w:rFonts w:asciiTheme="majorBidi" w:hAnsiTheme="majorBidi" w:cstheme="majorBidi"/>
        </w:rPr>
        <w:t>-</w:t>
      </w:r>
      <w:r w:rsidRPr="00D105D8">
        <w:rPr>
          <w:rFonts w:asciiTheme="majorBidi" w:hAnsiTheme="majorBidi" w:cstheme="majorBidi"/>
        </w:rPr>
        <w:t>acute long term care buildings (PALTCs)</w:t>
      </w:r>
      <w:r>
        <w:rPr>
          <w:rFonts w:asciiTheme="majorBidi" w:hAnsiTheme="majorBidi" w:cstheme="majorBidi"/>
        </w:rPr>
        <w:t xml:space="preserve"> during 2023</w:t>
      </w:r>
      <w:r w:rsidRPr="00D105D8">
        <w:rPr>
          <w:rFonts w:asciiTheme="majorBidi" w:hAnsiTheme="majorBidi" w:cstheme="majorBidi"/>
        </w:rPr>
        <w:t xml:space="preserve">.  Graphs in the left column show Days of Antibiotic Therapy per Unique </w:t>
      </w:r>
      <w:r w:rsidR="0087050B">
        <w:rPr>
          <w:rFonts w:asciiTheme="majorBidi" w:hAnsiTheme="majorBidi" w:cstheme="majorBidi"/>
        </w:rPr>
        <w:t>R</w:t>
      </w:r>
      <w:r w:rsidRPr="00D105D8">
        <w:rPr>
          <w:rFonts w:asciiTheme="majorBidi" w:hAnsiTheme="majorBidi" w:cstheme="majorBidi"/>
        </w:rPr>
        <w:t>esident; graphs in the right column show Antibiotic Starts per Unique</w:t>
      </w:r>
      <w:r w:rsidR="0087050B">
        <w:rPr>
          <w:rFonts w:asciiTheme="majorBidi" w:hAnsiTheme="majorBidi" w:cstheme="majorBidi"/>
        </w:rPr>
        <w:t xml:space="preserve"> </w:t>
      </w:r>
      <w:r w:rsidRPr="00D105D8">
        <w:rPr>
          <w:rFonts w:asciiTheme="majorBidi" w:hAnsiTheme="majorBidi" w:cstheme="majorBidi"/>
        </w:rPr>
        <w:t xml:space="preserve">Resident. </w:t>
      </w:r>
      <w:r>
        <w:rPr>
          <w:rFonts w:asciiTheme="majorBidi" w:hAnsiTheme="majorBidi" w:cstheme="majorBidi"/>
        </w:rPr>
        <w:t xml:space="preserve">The thick black bar indicates the median, with the surrounding boxes showing the interquartile range. Each colored dot represents a single practitioner. </w:t>
      </w:r>
      <w:r w:rsidRPr="00D105D8">
        <w:rPr>
          <w:rFonts w:asciiTheme="majorBidi" w:hAnsiTheme="majorBidi" w:cstheme="majorBidi"/>
        </w:rPr>
        <w:t xml:space="preserve">The numbers below the X-axis indicate the number of prescribers writing for ≥1% of systemic prescriptions during that month.  </w:t>
      </w:r>
      <w:r w:rsidRPr="000A41A2">
        <w:rPr>
          <w:rFonts w:asciiTheme="majorBidi" w:hAnsiTheme="majorBidi" w:cstheme="majorBidi"/>
          <w:i/>
          <w:iCs/>
        </w:rPr>
        <w:t>A.1-4</w:t>
      </w:r>
      <w:r w:rsidRPr="00D105D8">
        <w:rPr>
          <w:rFonts w:asciiTheme="majorBidi" w:hAnsiTheme="majorBidi" w:cstheme="majorBidi"/>
        </w:rPr>
        <w:t xml:space="preserve"> are PALTCs with greater than 140 beds. </w:t>
      </w:r>
      <w:r w:rsidRPr="000A41A2">
        <w:rPr>
          <w:rFonts w:asciiTheme="majorBidi" w:hAnsiTheme="majorBidi" w:cstheme="majorBidi"/>
          <w:i/>
          <w:iCs/>
        </w:rPr>
        <w:t>B.1-5</w:t>
      </w:r>
      <w:r w:rsidRPr="00D105D8">
        <w:rPr>
          <w:rFonts w:asciiTheme="majorBidi" w:hAnsiTheme="majorBidi" w:cstheme="majorBidi"/>
        </w:rPr>
        <w:t xml:space="preserve"> are PALTCs with 100 - 140 beds. </w:t>
      </w:r>
      <w:r w:rsidRPr="000A41A2">
        <w:rPr>
          <w:rFonts w:asciiTheme="majorBidi" w:hAnsiTheme="majorBidi" w:cstheme="majorBidi"/>
          <w:i/>
          <w:iCs/>
        </w:rPr>
        <w:t>C.1-4</w:t>
      </w:r>
      <w:r w:rsidRPr="00D105D8">
        <w:rPr>
          <w:rFonts w:asciiTheme="majorBidi" w:hAnsiTheme="majorBidi" w:cstheme="majorBidi"/>
        </w:rPr>
        <w:t xml:space="preserve"> are PALTCs with less than 100 beds. Not</w:t>
      </w:r>
      <w:r>
        <w:rPr>
          <w:rFonts w:asciiTheme="majorBidi" w:hAnsiTheme="majorBidi" w:cstheme="majorBidi"/>
        </w:rPr>
        <w:t>e</w:t>
      </w:r>
      <w:r w:rsidRPr="00D105D8">
        <w:rPr>
          <w:rFonts w:asciiTheme="majorBidi" w:hAnsiTheme="majorBidi" w:cstheme="majorBidi"/>
        </w:rPr>
        <w:t xml:space="preserve"> that the y-axes may differ between graphs.   </w:t>
      </w:r>
    </w:p>
    <w:p w14:paraId="51982948" w14:textId="66497194" w:rsidR="00DB0244" w:rsidRDefault="006D08CE" w:rsidP="006D08CE">
      <w:pPr>
        <w:spacing w:line="259" w:lineRule="auto"/>
        <w:rPr>
          <w:rFonts w:asciiTheme="majorBidi" w:hAnsiTheme="majorBidi" w:cstheme="majorBidi"/>
        </w:rPr>
      </w:pPr>
      <w:r>
        <w:rPr>
          <w:rFonts w:asciiTheme="majorBidi" w:hAnsiTheme="majorBidi" w:cstheme="majorBidi"/>
        </w:rPr>
        <w:br w:type="page"/>
      </w:r>
    </w:p>
    <w:p w14:paraId="2CA7A9D4" w14:textId="792C4554" w:rsidR="00A10FDF" w:rsidRDefault="006D08CE" w:rsidP="00A50055">
      <w:pPr>
        <w:shd w:val="clear" w:color="auto" w:fill="FFFFFF"/>
        <w:spacing w:line="276" w:lineRule="auto"/>
        <w:rPr>
          <w:rFonts w:asciiTheme="majorBidi" w:hAnsiTheme="majorBidi" w:cstheme="majorBidi"/>
        </w:rPr>
      </w:pPr>
      <w:r>
        <w:rPr>
          <w:rFonts w:asciiTheme="majorBidi" w:hAnsiTheme="majorBidi" w:cstheme="majorBidi"/>
          <w:noProof/>
        </w:rPr>
        <w:lastRenderedPageBreak/>
        <w:drawing>
          <wp:anchor distT="0" distB="0" distL="114300" distR="114300" simplePos="0" relativeHeight="251659264" behindDoc="0" locked="0" layoutInCell="1" allowOverlap="1" wp14:anchorId="1700B89B" wp14:editId="5C597E24">
            <wp:simplePos x="0" y="0"/>
            <wp:positionH relativeFrom="margin">
              <wp:align>left</wp:align>
            </wp:positionH>
            <wp:positionV relativeFrom="paragraph">
              <wp:posOffset>0</wp:posOffset>
            </wp:positionV>
            <wp:extent cx="5092700" cy="8903335"/>
            <wp:effectExtent l="0" t="0" r="0" b="0"/>
            <wp:wrapSquare wrapText="bothSides"/>
            <wp:docPr id="114429801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92700" cy="89033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670EF0E" w14:textId="07A28A8A" w:rsidR="00A10FDF" w:rsidRDefault="006D08CE" w:rsidP="00A50055">
      <w:pPr>
        <w:shd w:val="clear" w:color="auto" w:fill="FFFFFF"/>
        <w:spacing w:line="276" w:lineRule="auto"/>
        <w:rPr>
          <w:rFonts w:asciiTheme="majorBidi" w:hAnsiTheme="majorBidi" w:cstheme="majorBidi"/>
        </w:rPr>
      </w:pPr>
      <w:r>
        <w:rPr>
          <w:rFonts w:asciiTheme="majorBidi" w:hAnsiTheme="majorBidi" w:cstheme="majorBidi"/>
          <w:noProof/>
        </w:rPr>
        <w:lastRenderedPageBreak/>
        <w:drawing>
          <wp:anchor distT="0" distB="0" distL="114300" distR="114300" simplePos="0" relativeHeight="251660288" behindDoc="0" locked="0" layoutInCell="1" allowOverlap="1" wp14:anchorId="49BDE53E" wp14:editId="65857993">
            <wp:simplePos x="0" y="0"/>
            <wp:positionH relativeFrom="column">
              <wp:posOffset>0</wp:posOffset>
            </wp:positionH>
            <wp:positionV relativeFrom="paragraph">
              <wp:posOffset>0</wp:posOffset>
            </wp:positionV>
            <wp:extent cx="4076700" cy="8684895"/>
            <wp:effectExtent l="0" t="0" r="0" b="1905"/>
            <wp:wrapSquare wrapText="bothSides"/>
            <wp:docPr id="91207159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076700" cy="8684895"/>
                    </a:xfrm>
                    <a:prstGeom prst="rect">
                      <a:avLst/>
                    </a:prstGeom>
                    <a:noFill/>
                    <a:ln>
                      <a:noFill/>
                    </a:ln>
                  </pic:spPr>
                </pic:pic>
              </a:graphicData>
            </a:graphic>
          </wp:anchor>
        </w:drawing>
      </w:r>
    </w:p>
    <w:p w14:paraId="2A74D82E" w14:textId="54A4309F" w:rsidR="000A41A2" w:rsidRDefault="006D08CE">
      <w:pPr>
        <w:spacing w:line="259" w:lineRule="auto"/>
        <w:rPr>
          <w:rFonts w:ascii="Times New Roman" w:hAnsi="Times New Roman" w:cs="Times New Roman"/>
          <w:b/>
          <w:bCs/>
          <w:smallCaps/>
          <w:color w:val="000000" w:themeColor="text1"/>
        </w:rPr>
      </w:pPr>
      <w:bookmarkStart w:id="0" w:name="antibiotic-use-report"/>
      <w:bookmarkStart w:id="1" w:name="X570bb2b32fc90e462b3245db2a95c76b9c62c01"/>
      <w:r>
        <w:rPr>
          <w:rFonts w:ascii="Times New Roman" w:hAnsi="Times New Roman" w:cs="Times New Roman"/>
          <w:b/>
          <w:bCs/>
          <w:smallCaps/>
          <w:noProof/>
          <w:color w:val="000000" w:themeColor="text1"/>
        </w:rPr>
        <w:lastRenderedPageBreak/>
        <w:drawing>
          <wp:inline distT="0" distB="0" distL="0" distR="0" wp14:anchorId="39D5DFB7" wp14:editId="7651927E">
            <wp:extent cx="5029200" cy="8812033"/>
            <wp:effectExtent l="0" t="0" r="0" b="8255"/>
            <wp:docPr id="142441836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31280" cy="8815677"/>
                    </a:xfrm>
                    <a:prstGeom prst="rect">
                      <a:avLst/>
                    </a:prstGeom>
                    <a:noFill/>
                    <a:ln>
                      <a:noFill/>
                    </a:ln>
                  </pic:spPr>
                </pic:pic>
              </a:graphicData>
            </a:graphic>
          </wp:inline>
        </w:drawing>
      </w:r>
    </w:p>
    <w:p w14:paraId="0B885D0D" w14:textId="73D0BB79" w:rsidR="00A10FDF" w:rsidRPr="006D08CE" w:rsidRDefault="00A10FDF" w:rsidP="006D08CE">
      <w:pPr>
        <w:spacing w:line="259" w:lineRule="auto"/>
        <w:rPr>
          <w:rFonts w:ascii="Times New Roman" w:hAnsi="Times New Roman" w:cs="Times New Roman"/>
          <w:b/>
          <w:bCs/>
          <w:smallCaps/>
          <w:color w:val="000000" w:themeColor="text1"/>
        </w:rPr>
      </w:pPr>
      <w:r>
        <w:rPr>
          <w:rFonts w:ascii="Times New Roman" w:hAnsi="Times New Roman" w:cs="Times New Roman"/>
          <w:b/>
          <w:bCs/>
          <w:smallCaps/>
          <w:color w:val="000000" w:themeColor="text1"/>
        </w:rPr>
        <w:lastRenderedPageBreak/>
        <w:t xml:space="preserve">Supplementary Appendix 1   </w:t>
      </w:r>
    </w:p>
    <w:p w14:paraId="407B9B31" w14:textId="3CC91219" w:rsidR="00A10FDF" w:rsidRPr="00A10FDF" w:rsidRDefault="00A10FDF" w:rsidP="00A10FDF">
      <w:pPr>
        <w:pStyle w:val="BodyText"/>
        <w:numPr>
          <w:ilvl w:val="0"/>
          <w:numId w:val="1"/>
        </w:numPr>
        <w:rPr>
          <w:rFonts w:ascii="Times New Roman" w:hAnsi="Times New Roman" w:cs="Times New Roman"/>
          <w:color w:val="000000" w:themeColor="text1"/>
        </w:rPr>
      </w:pPr>
      <w:r w:rsidRPr="00A10FDF">
        <w:rPr>
          <w:rFonts w:ascii="Times New Roman" w:hAnsi="Times New Roman" w:cs="Times New Roman"/>
          <w:color w:val="000000" w:themeColor="text1"/>
        </w:rPr>
        <w:t>Example of Personalized Feedback Report for a practitioner who typically has lower than average rates of antibiotic prescribing.</w:t>
      </w:r>
    </w:p>
    <w:p w14:paraId="60FD8B21" w14:textId="1F2AB9D8" w:rsidR="00A10FDF" w:rsidRDefault="00A10FDF" w:rsidP="00B77856">
      <w:pPr>
        <w:pStyle w:val="Heading1"/>
        <w:jc w:val="center"/>
      </w:pPr>
      <w:bookmarkStart w:id="2" w:name="Xa58c561307033144d041902cbe548c4ab854a5b"/>
      <w:bookmarkEnd w:id="0"/>
      <w:bookmarkEnd w:id="1"/>
      <w:r>
        <w:t>Rates of Antibiotic Prescribing Among Pr</w:t>
      </w:r>
      <w:r w:rsidR="00B77856">
        <w:t>actitioners</w:t>
      </w:r>
    </w:p>
    <w:p w14:paraId="79CF5324" w14:textId="052FB00C" w:rsidR="00A10FDF" w:rsidRDefault="00A10FDF" w:rsidP="00A10FDF">
      <w:pPr>
        <w:pStyle w:val="BodyText"/>
      </w:pPr>
      <w:r>
        <w:t xml:space="preserve">Of the 35 </w:t>
      </w:r>
      <w:r w:rsidR="00B77856">
        <w:t xml:space="preserve">practitioners </w:t>
      </w:r>
      <w:r>
        <w:t>s at Facility A who write at least 1% of prescriptions each month, we were able to assess ≥6 months of antibiotic prescriptions for 25 (71%) of them.</w:t>
      </w:r>
    </w:p>
    <w:p w14:paraId="21B58A56" w14:textId="77777777" w:rsidR="00A10FDF" w:rsidRPr="00B26873" w:rsidRDefault="00A10FDF" w:rsidP="00A10FDF">
      <w:pPr>
        <w:pStyle w:val="BodyText"/>
      </w:pPr>
    </w:p>
    <w:p w14:paraId="4C88BB44" w14:textId="77777777" w:rsidR="00A10FDF" w:rsidRDefault="00A10FDF" w:rsidP="00A10FDF">
      <w:pPr>
        <w:pStyle w:val="FirstParagraph"/>
        <w:jc w:val="center"/>
      </w:pPr>
      <w:r>
        <w:rPr>
          <w:noProof/>
        </w:rPr>
        <w:drawing>
          <wp:inline distT="0" distB="0" distL="0" distR="0" wp14:anchorId="32A1BF9D" wp14:editId="0240B9FD">
            <wp:extent cx="5980176" cy="2990088"/>
            <wp:effectExtent l="0" t="0" r="0" b="0"/>
            <wp:docPr id="26"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descr="P:\ORD_Perez_202211012D\R%20code\RxPartners\Report_2024-07-09\ABx%20Report-Provider%20H-2024-07-10_files/figure-docx/plot2-1.png"/>
                    <pic:cNvPicPr>
                      <a:picLocks noChangeAspect="1" noChangeArrowheads="1"/>
                    </pic:cNvPicPr>
                  </pic:nvPicPr>
                  <pic:blipFill>
                    <a:blip r:embed="rId9"/>
                    <a:stretch>
                      <a:fillRect/>
                    </a:stretch>
                  </pic:blipFill>
                  <pic:spPr bwMode="auto">
                    <a:xfrm>
                      <a:off x="0" y="0"/>
                      <a:ext cx="5980176" cy="2990088"/>
                    </a:xfrm>
                    <a:prstGeom prst="rect">
                      <a:avLst/>
                    </a:prstGeom>
                    <a:noFill/>
                    <a:ln w="9525">
                      <a:noFill/>
                      <a:headEnd/>
                      <a:tailEnd/>
                    </a:ln>
                  </pic:spPr>
                </pic:pic>
              </a:graphicData>
            </a:graphic>
          </wp:inline>
        </w:drawing>
      </w:r>
    </w:p>
    <w:p w14:paraId="3484F81F" w14:textId="6BB57472" w:rsidR="00A10FDF" w:rsidRDefault="00A10FDF" w:rsidP="00A10FDF">
      <w:pPr>
        <w:pStyle w:val="BodyText"/>
      </w:pPr>
      <w:r>
        <w:t xml:space="preserve">This graph compares your antibiotic prescriptions to the overall rate of antibiotic prescriptions among the </w:t>
      </w:r>
      <w:r w:rsidR="00B77856">
        <w:t>practitioners</w:t>
      </w:r>
      <w:r>
        <w:t xml:space="preserve"> at Facility A during 2022. Horizontal black bars indicate the median. The white rectangles show the interquartile range (from the 25th and 75th percentile) for days of antibiotic therapy per unique resident for the </w:t>
      </w:r>
      <w:r w:rsidR="00B77856">
        <w:t>practitioners</w:t>
      </w:r>
      <w:r>
        <w:t xml:space="preserve"> at Facility A.</w:t>
      </w:r>
    </w:p>
    <w:p w14:paraId="6C2F7D9F" w14:textId="77777777" w:rsidR="00A10FDF" w:rsidRDefault="00A10FDF" w:rsidP="00A10FDF">
      <w:pPr>
        <w:pStyle w:val="BodyText"/>
      </w:pPr>
      <w:r>
        <w:br/>
        <w:t>The blue dots show days of antibiotic therapy/unique residents based on your prescriptions.</w:t>
      </w:r>
      <w:r>
        <w:br/>
      </w:r>
    </w:p>
    <w:p w14:paraId="74F33E16" w14:textId="28F2A736" w:rsidR="00A10FDF" w:rsidRDefault="00A10FDF" w:rsidP="00A10FDF">
      <w:pPr>
        <w:pStyle w:val="BodyText"/>
      </w:pPr>
      <w:r>
        <w:t xml:space="preserve">Compared to other </w:t>
      </w:r>
      <w:r w:rsidR="00B77856">
        <w:t>practitioners</w:t>
      </w:r>
      <w:r>
        <w:t xml:space="preserve"> at Facility A, your rate of antibiotic prescriptions was usually </w:t>
      </w:r>
      <w:r w:rsidRPr="00960D16">
        <w:t>below the 50</w:t>
      </w:r>
      <w:r w:rsidRPr="00960D16">
        <w:rPr>
          <w:vertAlign w:val="superscript"/>
        </w:rPr>
        <w:t>th</w:t>
      </w:r>
      <w:r w:rsidRPr="00960D16">
        <w:t xml:space="preserve"> percentile.  </w:t>
      </w:r>
      <w:r w:rsidRPr="00960D16">
        <w:rPr>
          <w:rFonts w:ascii="Apple Color Emoji" w:eastAsia="Segoe UI Emoji" w:hAnsi="Apple Color Emoji" w:cs="Apple Color Emoji"/>
        </w:rPr>
        <w:t>😊</w:t>
      </w:r>
      <w:r w:rsidRPr="00960D16">
        <w:t xml:space="preserve">  This is great as lower rates of antibiotic use are favorable!</w:t>
      </w:r>
    </w:p>
    <w:bookmarkEnd w:id="2"/>
    <w:p w14:paraId="3F53589C" w14:textId="77777777" w:rsidR="00A10FDF" w:rsidRDefault="00A10FDF" w:rsidP="00A50055">
      <w:pPr>
        <w:shd w:val="clear" w:color="auto" w:fill="FFFFFF"/>
        <w:spacing w:line="276" w:lineRule="auto"/>
        <w:rPr>
          <w:rFonts w:asciiTheme="majorBidi" w:hAnsiTheme="majorBidi" w:cstheme="majorBidi"/>
        </w:rPr>
      </w:pPr>
    </w:p>
    <w:p w14:paraId="68D6F6DF" w14:textId="19C9C672" w:rsidR="00A10FDF" w:rsidRDefault="00A10FDF">
      <w:pPr>
        <w:spacing w:line="259" w:lineRule="auto"/>
        <w:rPr>
          <w:rFonts w:asciiTheme="majorBidi" w:hAnsiTheme="majorBidi" w:cstheme="majorBidi"/>
        </w:rPr>
      </w:pPr>
      <w:r>
        <w:rPr>
          <w:rFonts w:asciiTheme="majorBidi" w:hAnsiTheme="majorBidi" w:cstheme="majorBidi"/>
        </w:rPr>
        <w:br w:type="page"/>
      </w:r>
    </w:p>
    <w:p w14:paraId="51ACD61A" w14:textId="56AF96CF" w:rsidR="00A10FDF" w:rsidRPr="008871C5" w:rsidRDefault="00A10FDF" w:rsidP="00A10FDF">
      <w:pPr>
        <w:spacing w:after="0" w:line="480" w:lineRule="auto"/>
        <w:rPr>
          <w:rFonts w:ascii="Times New Roman" w:hAnsi="Times New Roman" w:cs="Times New Roman"/>
          <w:b/>
          <w:bCs/>
          <w:smallCaps/>
          <w:color w:val="0000FF"/>
        </w:rPr>
      </w:pPr>
      <w:r>
        <w:rPr>
          <w:rFonts w:ascii="Times New Roman" w:hAnsi="Times New Roman" w:cs="Times New Roman"/>
          <w:b/>
          <w:bCs/>
          <w:smallCaps/>
          <w:color w:val="000000" w:themeColor="text1"/>
        </w:rPr>
        <w:lastRenderedPageBreak/>
        <w:t>Supplementary Appendix 1 , continued</w:t>
      </w:r>
    </w:p>
    <w:p w14:paraId="6E9E8A2B" w14:textId="5ABD68B3" w:rsidR="00A10FDF" w:rsidRPr="00A10FDF" w:rsidRDefault="00A10FDF" w:rsidP="00A10FDF">
      <w:pPr>
        <w:pStyle w:val="BodyText"/>
        <w:numPr>
          <w:ilvl w:val="0"/>
          <w:numId w:val="1"/>
        </w:numPr>
        <w:rPr>
          <w:rFonts w:ascii="Times New Roman" w:hAnsi="Times New Roman" w:cs="Times New Roman"/>
          <w:color w:val="000000" w:themeColor="text1"/>
        </w:rPr>
      </w:pPr>
      <w:r w:rsidRPr="00A10FDF">
        <w:rPr>
          <w:rFonts w:ascii="Times New Roman" w:hAnsi="Times New Roman" w:cs="Times New Roman"/>
          <w:color w:val="000000" w:themeColor="text1"/>
        </w:rPr>
        <w:t>Example of Personalized Feedback Report for a practitioner who typically has lower than average rates of antibiotic prescribing.</w:t>
      </w:r>
    </w:p>
    <w:p w14:paraId="5F545FE0" w14:textId="48479E2D" w:rsidR="00B77856" w:rsidRDefault="00B77856" w:rsidP="00B77856">
      <w:pPr>
        <w:pStyle w:val="Heading1"/>
        <w:jc w:val="center"/>
      </w:pPr>
      <w:r>
        <w:t>Rates of Antibiotic Prescribing Among Practitioners</w:t>
      </w:r>
    </w:p>
    <w:p w14:paraId="42EF085D" w14:textId="670DB103" w:rsidR="00B77856" w:rsidRDefault="00B77856" w:rsidP="00B77856">
      <w:pPr>
        <w:pStyle w:val="BodyText"/>
      </w:pPr>
      <w:r>
        <w:t>Of the 35 practitioners at Facility A who write at least 1% of prescriptions each month, we were able to assess ≥6 months of antibiotic prescriptions for 25 (71%) of them.</w:t>
      </w:r>
    </w:p>
    <w:p w14:paraId="6720B884" w14:textId="13D427DF" w:rsidR="00B77856" w:rsidRDefault="00B77856" w:rsidP="00B77856">
      <w:pPr>
        <w:pStyle w:val="FirstParagraph"/>
        <w:jc w:val="center"/>
      </w:pPr>
      <w:r>
        <w:rPr>
          <w:noProof/>
        </w:rPr>
        <w:drawing>
          <wp:inline distT="0" distB="0" distL="0" distR="0" wp14:anchorId="391B1729" wp14:editId="1F9AE1C6">
            <wp:extent cx="5943600" cy="29718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3600" cy="2971800"/>
                    </a:xfrm>
                    <a:prstGeom prst="rect">
                      <a:avLst/>
                    </a:prstGeom>
                    <a:noFill/>
                    <a:ln>
                      <a:noFill/>
                    </a:ln>
                  </pic:spPr>
                </pic:pic>
              </a:graphicData>
            </a:graphic>
          </wp:inline>
        </w:drawing>
      </w:r>
    </w:p>
    <w:p w14:paraId="6D538CE5" w14:textId="7F3560C3" w:rsidR="00B77856" w:rsidRDefault="00B77856" w:rsidP="00B77856">
      <w:pPr>
        <w:pStyle w:val="BodyText"/>
      </w:pPr>
      <w:r>
        <w:t>This graph compares your antibiotic prescriptions to the overall rate of antibiotic prescriptions among the practitioners at Facility A during 2022. Horizontal black bars indicate the median. The white rectangles show the interquartile range (from the 25th and 75th percentile) for days of antibiotic therapy per unique resident for the practitioners at Facility A.</w:t>
      </w:r>
    </w:p>
    <w:p w14:paraId="39513171" w14:textId="77777777" w:rsidR="00B77856" w:rsidRDefault="00B77856" w:rsidP="00B77856">
      <w:pPr>
        <w:pStyle w:val="BodyText"/>
      </w:pPr>
      <w:r>
        <w:br/>
        <w:t>The blue dots show days of antibiotic therapy/unique residents based on your prescriptions.</w:t>
      </w:r>
      <w:r>
        <w:br/>
      </w:r>
    </w:p>
    <w:p w14:paraId="7AE28674" w14:textId="756623B7" w:rsidR="00B77856" w:rsidRDefault="00B77856" w:rsidP="00B77856">
      <w:pPr>
        <w:pStyle w:val="BodyText"/>
      </w:pPr>
      <w:r>
        <w:t>Compared to other practitioners at Facility A, your rate of antibiotic prescriptions was usually above the 75</w:t>
      </w:r>
      <w:r>
        <w:rPr>
          <w:vertAlign w:val="superscript"/>
        </w:rPr>
        <w:t>th</w:t>
      </w:r>
      <w:r>
        <w:t xml:space="preserve"> percentile.  In general, lower rates of antibiotic use are favorable.</w:t>
      </w:r>
    </w:p>
    <w:p w14:paraId="6CCEB96F" w14:textId="77777777" w:rsidR="00A10FDF" w:rsidRPr="00A50055" w:rsidRDefault="00A10FDF" w:rsidP="00A50055">
      <w:pPr>
        <w:shd w:val="clear" w:color="auto" w:fill="FFFFFF"/>
        <w:spacing w:line="276" w:lineRule="auto"/>
        <w:rPr>
          <w:rFonts w:asciiTheme="majorBidi" w:hAnsiTheme="majorBidi" w:cstheme="majorBidi"/>
        </w:rPr>
      </w:pPr>
    </w:p>
    <w:sectPr w:rsidR="00A10FDF" w:rsidRPr="00A50055" w:rsidSect="00A500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ple Color Emoji">
    <w:altName w:val="Calibri"/>
    <w:charset w:val="00"/>
    <w:family w:val="auto"/>
    <w:pitch w:val="variable"/>
    <w:sig w:usb0="00000003" w:usb1="18000000" w:usb2="14000000" w:usb3="00000000" w:csb0="00000001" w:csb1="00000000"/>
  </w:font>
  <w:font w:name="Segoe UI Emoji">
    <w:panose1 w:val="020B0502040204020203"/>
    <w:charset w:val="00"/>
    <w:family w:val="swiss"/>
    <w:pitch w:val="variable"/>
    <w:sig w:usb0="00000003" w:usb1="02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6E7361"/>
    <w:multiLevelType w:val="hybridMultilevel"/>
    <w:tmpl w:val="233ACB8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6C7F1FB0"/>
    <w:multiLevelType w:val="hybridMultilevel"/>
    <w:tmpl w:val="233ACB8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74904845">
    <w:abstractNumId w:val="1"/>
  </w:num>
  <w:num w:numId="2" w16cid:durableId="3284843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295"/>
    <w:rsid w:val="000122D5"/>
    <w:rsid w:val="00027411"/>
    <w:rsid w:val="00037A2A"/>
    <w:rsid w:val="000A41A2"/>
    <w:rsid w:val="000B2536"/>
    <w:rsid w:val="000D5D3A"/>
    <w:rsid w:val="001658C2"/>
    <w:rsid w:val="001F15B6"/>
    <w:rsid w:val="00214395"/>
    <w:rsid w:val="00293334"/>
    <w:rsid w:val="00365E3E"/>
    <w:rsid w:val="003A349A"/>
    <w:rsid w:val="003A5D84"/>
    <w:rsid w:val="003F5BE6"/>
    <w:rsid w:val="0041239F"/>
    <w:rsid w:val="00424DBA"/>
    <w:rsid w:val="00537AEB"/>
    <w:rsid w:val="0055262F"/>
    <w:rsid w:val="005703D0"/>
    <w:rsid w:val="0057659E"/>
    <w:rsid w:val="006873FC"/>
    <w:rsid w:val="006B59FB"/>
    <w:rsid w:val="006C2878"/>
    <w:rsid w:val="006D08CE"/>
    <w:rsid w:val="00724720"/>
    <w:rsid w:val="0073022B"/>
    <w:rsid w:val="00765EF5"/>
    <w:rsid w:val="008067C4"/>
    <w:rsid w:val="0087050B"/>
    <w:rsid w:val="009244EC"/>
    <w:rsid w:val="00936D24"/>
    <w:rsid w:val="00940276"/>
    <w:rsid w:val="009929B0"/>
    <w:rsid w:val="009A65E5"/>
    <w:rsid w:val="00A10FDF"/>
    <w:rsid w:val="00A36A19"/>
    <w:rsid w:val="00A50055"/>
    <w:rsid w:val="00AC23DB"/>
    <w:rsid w:val="00AE7169"/>
    <w:rsid w:val="00B14E5E"/>
    <w:rsid w:val="00B77856"/>
    <w:rsid w:val="00C50295"/>
    <w:rsid w:val="00CD1020"/>
    <w:rsid w:val="00D06843"/>
    <w:rsid w:val="00D105D8"/>
    <w:rsid w:val="00D17AED"/>
    <w:rsid w:val="00D34A6C"/>
    <w:rsid w:val="00D3672A"/>
    <w:rsid w:val="00D8519B"/>
    <w:rsid w:val="00DB0244"/>
    <w:rsid w:val="00E2757A"/>
    <w:rsid w:val="00E36491"/>
    <w:rsid w:val="00E37F59"/>
    <w:rsid w:val="00E407E4"/>
    <w:rsid w:val="00E56736"/>
    <w:rsid w:val="00ED7D91"/>
    <w:rsid w:val="00F46B20"/>
    <w:rsid w:val="00F81A97"/>
    <w:rsid w:val="00FE5FEA"/>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840498"/>
  <w15:docId w15:val="{70F3E581-3DD3-4D91-BE30-795EA45BAA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0295"/>
    <w:pPr>
      <w:spacing w:line="278" w:lineRule="auto"/>
    </w:pPr>
    <w:rPr>
      <w:rFonts w:eastAsiaTheme="minorEastAsia"/>
      <w:sz w:val="24"/>
      <w:szCs w:val="24"/>
      <w:lang w:eastAsia="ko-KR"/>
    </w:rPr>
  </w:style>
  <w:style w:type="paragraph" w:styleId="Heading1">
    <w:name w:val="heading 1"/>
    <w:basedOn w:val="Normal"/>
    <w:next w:val="BodyText"/>
    <w:link w:val="Heading1Char"/>
    <w:uiPriority w:val="9"/>
    <w:qFormat/>
    <w:rsid w:val="00A10FDF"/>
    <w:pPr>
      <w:keepNext/>
      <w:keepLines/>
      <w:spacing w:before="480" w:after="0" w:line="240" w:lineRule="auto"/>
      <w:outlineLvl w:val="0"/>
    </w:pPr>
    <w:rPr>
      <w:rFonts w:asciiTheme="majorHAnsi" w:eastAsiaTheme="majorEastAsia" w:hAnsiTheme="majorHAnsi" w:cstheme="majorBidi"/>
      <w:b/>
      <w:bCs/>
      <w:color w:val="4472C4" w:themeColor="accent1"/>
      <w:kern w:val="0"/>
      <w:sz w:val="32"/>
      <w:szCs w:val="32"/>
      <w:lang w:eastAsia="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50055"/>
    <w:pPr>
      <w:spacing w:after="0" w:line="240" w:lineRule="auto"/>
    </w:pPr>
    <w:rPr>
      <w:rFonts w:ascii="Calibri" w:eastAsia="Calibri" w:hAnsi="Calibri" w:cs="Arial"/>
      <w:kern w:val="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A10FDF"/>
    <w:rPr>
      <w:rFonts w:asciiTheme="majorHAnsi" w:eastAsiaTheme="majorEastAsia" w:hAnsiTheme="majorHAnsi" w:cstheme="majorBidi"/>
      <w:b/>
      <w:bCs/>
      <w:color w:val="4472C4" w:themeColor="accent1"/>
      <w:kern w:val="0"/>
      <w:sz w:val="32"/>
      <w:szCs w:val="32"/>
      <w14:ligatures w14:val="none"/>
    </w:rPr>
  </w:style>
  <w:style w:type="paragraph" w:styleId="BodyText">
    <w:name w:val="Body Text"/>
    <w:basedOn w:val="Normal"/>
    <w:link w:val="BodyTextChar"/>
    <w:qFormat/>
    <w:rsid w:val="00A10FDF"/>
    <w:pPr>
      <w:spacing w:before="180" w:after="180" w:line="240" w:lineRule="auto"/>
    </w:pPr>
    <w:rPr>
      <w:rFonts w:eastAsiaTheme="minorHAnsi"/>
      <w:kern w:val="0"/>
      <w:lang w:eastAsia="en-US"/>
      <w14:ligatures w14:val="none"/>
    </w:rPr>
  </w:style>
  <w:style w:type="character" w:customStyle="1" w:styleId="BodyTextChar">
    <w:name w:val="Body Text Char"/>
    <w:basedOn w:val="DefaultParagraphFont"/>
    <w:link w:val="BodyText"/>
    <w:rsid w:val="00A10FDF"/>
    <w:rPr>
      <w:kern w:val="0"/>
      <w:sz w:val="24"/>
      <w:szCs w:val="24"/>
      <w14:ligatures w14:val="none"/>
    </w:rPr>
  </w:style>
  <w:style w:type="paragraph" w:customStyle="1" w:styleId="FirstParagraph">
    <w:name w:val="First Paragraph"/>
    <w:basedOn w:val="BodyText"/>
    <w:next w:val="BodyText"/>
    <w:qFormat/>
    <w:rsid w:val="00A10FDF"/>
  </w:style>
  <w:style w:type="paragraph" w:styleId="NoSpacing">
    <w:name w:val="No Spacing"/>
    <w:uiPriority w:val="1"/>
    <w:qFormat/>
    <w:rsid w:val="00765EF5"/>
    <w:pPr>
      <w:spacing w:after="0" w:line="240" w:lineRule="auto"/>
    </w:pPr>
    <w:rPr>
      <w:rFonts w:eastAsiaTheme="minorEastAsia"/>
      <w:sz w:val="24"/>
      <w:szCs w:val="24"/>
      <w:lang w:eastAsia="ko-KR"/>
    </w:rPr>
  </w:style>
  <w:style w:type="paragraph" w:styleId="Revision">
    <w:name w:val="Revision"/>
    <w:hidden/>
    <w:uiPriority w:val="99"/>
    <w:semiHidden/>
    <w:rsid w:val="00E36491"/>
    <w:pPr>
      <w:spacing w:after="0" w:line="240" w:lineRule="auto"/>
    </w:pPr>
    <w:rPr>
      <w:rFonts w:eastAsiaTheme="minorEastAsia"/>
      <w:sz w:val="24"/>
      <w:szCs w:val="24"/>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55155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4.tiff"/><Relationship Id="rId3" Type="http://schemas.openxmlformats.org/officeDocument/2006/relationships/settings" Target="settings.xml"/><Relationship Id="rId7" Type="http://schemas.openxmlformats.org/officeDocument/2006/relationships/image" Target="media/image3.tif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tiff"/><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e95f1b23-abaf-45ee-821d-b7ab251ab3bf}" enabled="0" method="" siteId="{e95f1b23-abaf-45ee-821d-b7ab251ab3bf}" removed="1"/>
</clbl:labelList>
</file>

<file path=docProps/app.xml><?xml version="1.0" encoding="utf-8"?>
<Properties xmlns="http://schemas.openxmlformats.org/officeDocument/2006/extended-properties" xmlns:vt="http://schemas.openxmlformats.org/officeDocument/2006/docPropsVTypes">
  <Template>Normal</Template>
  <TotalTime>76</TotalTime>
  <Pages>7</Pages>
  <Words>505</Words>
  <Characters>2883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Jump, Robin (she/her/hers)</dc:creator>
  <cp:keywords/>
  <dc:description/>
  <cp:lastModifiedBy>Jump, Robin</cp:lastModifiedBy>
  <cp:revision>6</cp:revision>
  <dcterms:created xsi:type="dcterms:W3CDTF">2025-01-21T20:37:00Z</dcterms:created>
  <dcterms:modified xsi:type="dcterms:W3CDTF">2025-02-01T14:51:00Z</dcterms:modified>
</cp:coreProperties>
</file>