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6E930" w14:textId="77777777" w:rsidR="00762A53" w:rsidRPr="004429EE" w:rsidRDefault="00762A53" w:rsidP="00762A53">
      <w:pPr>
        <w:spacing w:line="240" w:lineRule="auto"/>
        <w:jc w:val="lef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Supplementary </w:t>
      </w:r>
      <w:r w:rsidRPr="004429EE">
        <w:rPr>
          <w:rFonts w:eastAsia="Times New Roman"/>
          <w:b/>
          <w:bCs/>
        </w:rPr>
        <w:t xml:space="preserve">Table </w:t>
      </w:r>
      <w:r>
        <w:rPr>
          <w:rFonts w:eastAsia="Times New Roman"/>
          <w:b/>
          <w:bCs/>
        </w:rPr>
        <w:t>1</w:t>
      </w:r>
      <w:r w:rsidRPr="004429EE">
        <w:rPr>
          <w:rFonts w:eastAsia="Times New Roman"/>
          <w:b/>
          <w:bCs/>
        </w:rPr>
        <w:t xml:space="preserve">. </w:t>
      </w:r>
      <w:r w:rsidRPr="004429EE">
        <w:rPr>
          <w:rFonts w:eastAsia="Calibri"/>
        </w:rPr>
        <w:t>Difference in differences estimates for an alternative treatment group (VRE+VSE), derived from the interaction term (time x treatment) from the weighted restricted cubic spline model, which represent the impact of PCR introduction for diagnosis of enterococci (VRE+VSE) on 30-day mortality risk. 95% confidence intervals were calculated using a bootstrap analysis of 1000 resamples</w:t>
      </w:r>
      <w:r w:rsidRPr="004429EE">
        <w:rPr>
          <w:rFonts w:eastAsia="Calibri"/>
          <w:i/>
          <w:iCs/>
        </w:rPr>
        <w:t>.</w:t>
      </w:r>
    </w:p>
    <w:p w14:paraId="0A5CA51E" w14:textId="77777777" w:rsidR="00762A53" w:rsidRPr="004429EE" w:rsidRDefault="00762A53" w:rsidP="00762A53">
      <w:pPr>
        <w:spacing w:line="240" w:lineRule="auto"/>
        <w:jc w:val="left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500"/>
        <w:gridCol w:w="450"/>
        <w:gridCol w:w="1500"/>
        <w:gridCol w:w="1500"/>
      </w:tblGrid>
      <w:tr w:rsidR="00762A53" w14:paraId="3A5C59AD" w14:textId="77777777" w:rsidTr="00AA70D5">
        <w:trPr>
          <w:trHeight w:val="525"/>
          <w:tblHeader/>
        </w:trPr>
        <w:tc>
          <w:tcPr>
            <w:tcW w:w="1500" w:type="dxa"/>
            <w:vAlign w:val="center"/>
          </w:tcPr>
          <w:p w14:paraId="1F3718BD" w14:textId="77777777" w:rsidR="00762A53" w:rsidRPr="004429EE" w:rsidRDefault="00762A53" w:rsidP="00AA70D5">
            <w:pPr>
              <w:spacing w:line="240" w:lineRule="auto"/>
              <w:jc w:val="left"/>
            </w:pPr>
            <w:r w:rsidRPr="004429EE">
              <w:rPr>
                <w:rFonts w:eastAsia="Calibri"/>
              </w:rPr>
              <w:t xml:space="preserve"> </w:t>
            </w:r>
          </w:p>
        </w:tc>
        <w:tc>
          <w:tcPr>
            <w:tcW w:w="1500" w:type="dxa"/>
            <w:vAlign w:val="center"/>
          </w:tcPr>
          <w:p w14:paraId="1FBCBDEA" w14:textId="77777777" w:rsidR="00762A53" w:rsidRPr="004429EE" w:rsidRDefault="00762A53" w:rsidP="00AA70D5">
            <w:pPr>
              <w:spacing w:line="240" w:lineRule="auto"/>
              <w:jc w:val="left"/>
            </w:pPr>
            <w:r w:rsidRPr="004429EE">
              <w:rPr>
                <w:rFonts w:eastAsia="Calibri"/>
              </w:rPr>
              <w:t xml:space="preserve"> </w:t>
            </w:r>
          </w:p>
        </w:tc>
        <w:tc>
          <w:tcPr>
            <w:tcW w:w="450" w:type="dxa"/>
          </w:tcPr>
          <w:p w14:paraId="26CE76C7" w14:textId="77777777" w:rsidR="00762A53" w:rsidRPr="004429EE" w:rsidRDefault="00762A53" w:rsidP="00AA70D5">
            <w:pPr>
              <w:spacing w:line="240" w:lineRule="auto"/>
              <w:jc w:val="left"/>
            </w:pPr>
            <w:r w:rsidRPr="004429EE">
              <w:rPr>
                <w:rFonts w:eastAsia="Calibri"/>
              </w:rPr>
              <w:t xml:space="preserve"> </w:t>
            </w:r>
          </w:p>
        </w:tc>
        <w:tc>
          <w:tcPr>
            <w:tcW w:w="3000" w:type="dxa"/>
            <w:gridSpan w:val="2"/>
            <w:vAlign w:val="center"/>
          </w:tcPr>
          <w:p w14:paraId="59AF6FAE" w14:textId="77777777" w:rsidR="00762A53" w:rsidRPr="004429EE" w:rsidRDefault="00762A53" w:rsidP="00AA70D5">
            <w:pPr>
              <w:spacing w:line="240" w:lineRule="auto"/>
              <w:jc w:val="left"/>
            </w:pPr>
            <w:r w:rsidRPr="004429EE">
              <w:rPr>
                <w:rFonts w:eastAsia="Calibri"/>
              </w:rPr>
              <w:t>95% CI</w:t>
            </w:r>
          </w:p>
        </w:tc>
      </w:tr>
      <w:tr w:rsidR="00762A53" w14:paraId="63598E56" w14:textId="77777777" w:rsidTr="00AA70D5">
        <w:trPr>
          <w:trHeight w:val="525"/>
          <w:tblHeader/>
        </w:trPr>
        <w:tc>
          <w:tcPr>
            <w:tcW w:w="1500" w:type="dxa"/>
            <w:vAlign w:val="center"/>
          </w:tcPr>
          <w:p w14:paraId="03E9182B" w14:textId="77777777" w:rsidR="00762A53" w:rsidRPr="004429EE" w:rsidRDefault="00762A53" w:rsidP="00AA70D5">
            <w:pPr>
              <w:spacing w:line="240" w:lineRule="auto"/>
              <w:jc w:val="left"/>
            </w:pPr>
            <w:r w:rsidRPr="004429EE">
              <w:rPr>
                <w:rFonts w:eastAsia="Calibri"/>
              </w:rPr>
              <w:t>Days from intervention</w:t>
            </w:r>
          </w:p>
        </w:tc>
        <w:tc>
          <w:tcPr>
            <w:tcW w:w="1500" w:type="dxa"/>
            <w:vAlign w:val="center"/>
          </w:tcPr>
          <w:p w14:paraId="2050E6B1" w14:textId="77777777" w:rsidR="00762A53" w:rsidRPr="004429EE" w:rsidRDefault="00762A53" w:rsidP="00AA70D5">
            <w:pPr>
              <w:spacing w:line="240" w:lineRule="auto"/>
              <w:jc w:val="left"/>
            </w:pPr>
            <w:r w:rsidRPr="004429EE">
              <w:rPr>
                <w:rFonts w:eastAsia="Calibri"/>
              </w:rPr>
              <w:t>30-day mortality risk difference</w:t>
            </w:r>
          </w:p>
        </w:tc>
        <w:tc>
          <w:tcPr>
            <w:tcW w:w="450" w:type="dxa"/>
          </w:tcPr>
          <w:p w14:paraId="5AAEC933" w14:textId="77777777" w:rsidR="00762A53" w:rsidRPr="004429EE" w:rsidRDefault="00762A53" w:rsidP="00AA70D5">
            <w:pPr>
              <w:spacing w:line="240" w:lineRule="auto"/>
              <w:jc w:val="left"/>
            </w:pPr>
            <w:r w:rsidRPr="004429EE">
              <w:rPr>
                <w:rFonts w:eastAsia="Calibri"/>
              </w:rPr>
              <w:t xml:space="preserve"> </w:t>
            </w:r>
          </w:p>
        </w:tc>
        <w:tc>
          <w:tcPr>
            <w:tcW w:w="1500" w:type="dxa"/>
            <w:vAlign w:val="center"/>
          </w:tcPr>
          <w:p w14:paraId="7E698C81" w14:textId="77777777" w:rsidR="00762A53" w:rsidRPr="004429EE" w:rsidRDefault="00762A53" w:rsidP="00AA70D5">
            <w:pPr>
              <w:spacing w:line="240" w:lineRule="auto"/>
              <w:jc w:val="left"/>
            </w:pPr>
            <w:r w:rsidRPr="004429EE">
              <w:rPr>
                <w:rFonts w:eastAsia="Calibri"/>
              </w:rPr>
              <w:t>Lower</w:t>
            </w:r>
          </w:p>
        </w:tc>
        <w:tc>
          <w:tcPr>
            <w:tcW w:w="1500" w:type="dxa"/>
            <w:vAlign w:val="center"/>
          </w:tcPr>
          <w:p w14:paraId="32402F0B" w14:textId="77777777" w:rsidR="00762A53" w:rsidRPr="004429EE" w:rsidRDefault="00762A53" w:rsidP="00AA70D5">
            <w:pPr>
              <w:spacing w:line="240" w:lineRule="auto"/>
              <w:jc w:val="left"/>
            </w:pPr>
            <w:r w:rsidRPr="004429EE">
              <w:rPr>
                <w:rFonts w:eastAsia="Calibri"/>
              </w:rPr>
              <w:t>Upper</w:t>
            </w:r>
          </w:p>
        </w:tc>
      </w:tr>
      <w:tr w:rsidR="00762A53" w:rsidRPr="004429EE" w14:paraId="227D8615" w14:textId="77777777" w:rsidTr="00AA70D5">
        <w:trPr>
          <w:trHeight w:val="525"/>
        </w:trPr>
        <w:tc>
          <w:tcPr>
            <w:tcW w:w="1500" w:type="dxa"/>
            <w:vAlign w:val="center"/>
          </w:tcPr>
          <w:p w14:paraId="7DB6752C" w14:textId="77777777" w:rsidR="00762A53" w:rsidRPr="004429EE" w:rsidRDefault="00762A53" w:rsidP="00AA70D5">
            <w:pPr>
              <w:spacing w:line="240" w:lineRule="auto"/>
              <w:jc w:val="left"/>
            </w:pPr>
            <w:r w:rsidRPr="004429EE">
              <w:rPr>
                <w:rFonts w:eastAsia="Calibri"/>
              </w:rPr>
              <w:t>-180</w:t>
            </w:r>
          </w:p>
        </w:tc>
        <w:tc>
          <w:tcPr>
            <w:tcW w:w="1500" w:type="dxa"/>
          </w:tcPr>
          <w:p w14:paraId="5BBA0375" w14:textId="77777777" w:rsidR="00762A53" w:rsidRPr="004429EE" w:rsidRDefault="00762A53" w:rsidP="00AA70D5">
            <w:pPr>
              <w:spacing w:line="240" w:lineRule="auto"/>
              <w:jc w:val="left"/>
            </w:pPr>
            <w:r w:rsidRPr="004429EE">
              <w:t>0.049</w:t>
            </w:r>
          </w:p>
        </w:tc>
        <w:tc>
          <w:tcPr>
            <w:tcW w:w="450" w:type="dxa"/>
          </w:tcPr>
          <w:p w14:paraId="0A237DB1" w14:textId="77777777" w:rsidR="00762A53" w:rsidRPr="004429EE" w:rsidRDefault="00762A53" w:rsidP="00AA70D5">
            <w:pPr>
              <w:spacing w:line="240" w:lineRule="auto"/>
              <w:jc w:val="left"/>
            </w:pPr>
            <w:r w:rsidRPr="004429EE">
              <w:rPr>
                <w:rFonts w:eastAsia="Calibri"/>
              </w:rPr>
              <w:t xml:space="preserve"> </w:t>
            </w:r>
          </w:p>
        </w:tc>
        <w:tc>
          <w:tcPr>
            <w:tcW w:w="1500" w:type="dxa"/>
          </w:tcPr>
          <w:p w14:paraId="0E99AF25" w14:textId="77777777" w:rsidR="00762A53" w:rsidRPr="004429EE" w:rsidRDefault="00762A53" w:rsidP="00AA70D5">
            <w:pPr>
              <w:spacing w:line="240" w:lineRule="auto"/>
              <w:jc w:val="left"/>
            </w:pPr>
            <w:r w:rsidRPr="004429EE">
              <w:t>-0.09</w:t>
            </w:r>
          </w:p>
        </w:tc>
        <w:tc>
          <w:tcPr>
            <w:tcW w:w="1500" w:type="dxa"/>
          </w:tcPr>
          <w:p w14:paraId="38E0C8A0" w14:textId="77777777" w:rsidR="00762A53" w:rsidRPr="004429EE" w:rsidRDefault="00762A53" w:rsidP="00AA70D5">
            <w:pPr>
              <w:spacing w:line="240" w:lineRule="auto"/>
              <w:jc w:val="left"/>
            </w:pPr>
            <w:r w:rsidRPr="004429EE">
              <w:t>0.21</w:t>
            </w:r>
          </w:p>
        </w:tc>
      </w:tr>
      <w:tr w:rsidR="00762A53" w:rsidRPr="004429EE" w14:paraId="22112838" w14:textId="77777777" w:rsidTr="00AA70D5">
        <w:trPr>
          <w:trHeight w:val="525"/>
        </w:trPr>
        <w:tc>
          <w:tcPr>
            <w:tcW w:w="1500" w:type="dxa"/>
            <w:vAlign w:val="center"/>
          </w:tcPr>
          <w:p w14:paraId="448D92F2" w14:textId="77777777" w:rsidR="00762A53" w:rsidRPr="004429EE" w:rsidRDefault="00762A53" w:rsidP="00AA70D5">
            <w:pPr>
              <w:spacing w:line="240" w:lineRule="auto"/>
              <w:jc w:val="left"/>
            </w:pPr>
            <w:r w:rsidRPr="004429EE">
              <w:rPr>
                <w:rFonts w:eastAsia="Calibri"/>
              </w:rPr>
              <w:t>-120</w:t>
            </w:r>
          </w:p>
        </w:tc>
        <w:tc>
          <w:tcPr>
            <w:tcW w:w="1500" w:type="dxa"/>
          </w:tcPr>
          <w:p w14:paraId="064B140D" w14:textId="77777777" w:rsidR="00762A53" w:rsidRPr="004429EE" w:rsidRDefault="00762A53" w:rsidP="00AA70D5">
            <w:pPr>
              <w:spacing w:line="240" w:lineRule="auto"/>
              <w:jc w:val="left"/>
            </w:pPr>
            <w:r w:rsidRPr="004429EE">
              <w:t>0.039</w:t>
            </w:r>
          </w:p>
        </w:tc>
        <w:tc>
          <w:tcPr>
            <w:tcW w:w="450" w:type="dxa"/>
          </w:tcPr>
          <w:p w14:paraId="094CEACD" w14:textId="77777777" w:rsidR="00762A53" w:rsidRPr="004429EE" w:rsidRDefault="00762A53" w:rsidP="00AA70D5">
            <w:pPr>
              <w:spacing w:line="240" w:lineRule="auto"/>
              <w:jc w:val="left"/>
            </w:pPr>
            <w:r w:rsidRPr="004429EE">
              <w:rPr>
                <w:rFonts w:eastAsia="Calibri"/>
              </w:rPr>
              <w:t xml:space="preserve"> </w:t>
            </w:r>
          </w:p>
        </w:tc>
        <w:tc>
          <w:tcPr>
            <w:tcW w:w="1500" w:type="dxa"/>
          </w:tcPr>
          <w:p w14:paraId="66D8772A" w14:textId="77777777" w:rsidR="00762A53" w:rsidRPr="004429EE" w:rsidRDefault="00762A53" w:rsidP="00AA70D5">
            <w:pPr>
              <w:spacing w:line="240" w:lineRule="auto"/>
              <w:jc w:val="left"/>
            </w:pPr>
            <w:r w:rsidRPr="004429EE">
              <w:t>-0.06</w:t>
            </w:r>
          </w:p>
        </w:tc>
        <w:tc>
          <w:tcPr>
            <w:tcW w:w="1500" w:type="dxa"/>
          </w:tcPr>
          <w:p w14:paraId="1960650B" w14:textId="77777777" w:rsidR="00762A53" w:rsidRPr="004429EE" w:rsidRDefault="00762A53" w:rsidP="00AA70D5">
            <w:pPr>
              <w:spacing w:line="240" w:lineRule="auto"/>
              <w:jc w:val="left"/>
            </w:pPr>
            <w:r w:rsidRPr="004429EE">
              <w:t>0.18</w:t>
            </w:r>
          </w:p>
        </w:tc>
      </w:tr>
      <w:tr w:rsidR="00762A53" w:rsidRPr="004429EE" w14:paraId="140A5B76" w14:textId="77777777" w:rsidTr="00AA70D5">
        <w:trPr>
          <w:trHeight w:val="525"/>
        </w:trPr>
        <w:tc>
          <w:tcPr>
            <w:tcW w:w="1500" w:type="dxa"/>
            <w:vAlign w:val="center"/>
          </w:tcPr>
          <w:p w14:paraId="0740C24A" w14:textId="77777777" w:rsidR="00762A53" w:rsidRPr="004429EE" w:rsidRDefault="00762A53" w:rsidP="00AA70D5">
            <w:pPr>
              <w:spacing w:line="240" w:lineRule="auto"/>
              <w:jc w:val="left"/>
            </w:pPr>
            <w:r w:rsidRPr="004429EE">
              <w:rPr>
                <w:rFonts w:eastAsia="Calibri"/>
              </w:rPr>
              <w:t>-60</w:t>
            </w:r>
          </w:p>
        </w:tc>
        <w:tc>
          <w:tcPr>
            <w:tcW w:w="1500" w:type="dxa"/>
          </w:tcPr>
          <w:p w14:paraId="5A6A5178" w14:textId="77777777" w:rsidR="00762A53" w:rsidRPr="004429EE" w:rsidRDefault="00762A53" w:rsidP="00AA70D5">
            <w:pPr>
              <w:spacing w:line="240" w:lineRule="auto"/>
              <w:jc w:val="left"/>
            </w:pPr>
            <w:r w:rsidRPr="004429EE">
              <w:t>0.021</w:t>
            </w:r>
          </w:p>
        </w:tc>
        <w:tc>
          <w:tcPr>
            <w:tcW w:w="450" w:type="dxa"/>
          </w:tcPr>
          <w:p w14:paraId="3BC45876" w14:textId="77777777" w:rsidR="00762A53" w:rsidRPr="004429EE" w:rsidRDefault="00762A53" w:rsidP="00AA70D5">
            <w:pPr>
              <w:spacing w:line="240" w:lineRule="auto"/>
              <w:jc w:val="left"/>
            </w:pPr>
            <w:r w:rsidRPr="004429EE">
              <w:rPr>
                <w:rFonts w:eastAsia="Calibri"/>
              </w:rPr>
              <w:t xml:space="preserve"> </w:t>
            </w:r>
          </w:p>
        </w:tc>
        <w:tc>
          <w:tcPr>
            <w:tcW w:w="1500" w:type="dxa"/>
          </w:tcPr>
          <w:p w14:paraId="768287F9" w14:textId="77777777" w:rsidR="00762A53" w:rsidRPr="004429EE" w:rsidRDefault="00762A53" w:rsidP="00AA70D5">
            <w:pPr>
              <w:spacing w:line="240" w:lineRule="auto"/>
              <w:jc w:val="left"/>
            </w:pPr>
            <w:r w:rsidRPr="004429EE">
              <w:t>-0.03</w:t>
            </w:r>
          </w:p>
        </w:tc>
        <w:tc>
          <w:tcPr>
            <w:tcW w:w="1500" w:type="dxa"/>
          </w:tcPr>
          <w:p w14:paraId="08A744E3" w14:textId="77777777" w:rsidR="00762A53" w:rsidRPr="004429EE" w:rsidRDefault="00762A53" w:rsidP="00AA70D5">
            <w:pPr>
              <w:spacing w:line="240" w:lineRule="auto"/>
              <w:jc w:val="left"/>
            </w:pPr>
            <w:r w:rsidRPr="004429EE">
              <w:t>0.10</w:t>
            </w:r>
          </w:p>
        </w:tc>
      </w:tr>
      <w:tr w:rsidR="00762A53" w:rsidRPr="004429EE" w14:paraId="76379100" w14:textId="77777777" w:rsidTr="00AA70D5">
        <w:trPr>
          <w:trHeight w:val="525"/>
        </w:trPr>
        <w:tc>
          <w:tcPr>
            <w:tcW w:w="1500" w:type="dxa"/>
            <w:vAlign w:val="center"/>
          </w:tcPr>
          <w:p w14:paraId="6C636AAC" w14:textId="77777777" w:rsidR="00762A53" w:rsidRPr="004429EE" w:rsidRDefault="00762A53" w:rsidP="00AA70D5">
            <w:pPr>
              <w:spacing w:line="240" w:lineRule="auto"/>
              <w:jc w:val="left"/>
            </w:pPr>
            <w:r w:rsidRPr="004429EE">
              <w:rPr>
                <w:rFonts w:eastAsia="Calibri"/>
              </w:rPr>
              <w:t>0</w:t>
            </w:r>
          </w:p>
        </w:tc>
        <w:tc>
          <w:tcPr>
            <w:tcW w:w="1500" w:type="dxa"/>
          </w:tcPr>
          <w:p w14:paraId="3D003A27" w14:textId="77777777" w:rsidR="00762A53" w:rsidRPr="004429EE" w:rsidRDefault="00762A53" w:rsidP="00762A53">
            <w:pPr>
              <w:pStyle w:val="ListParagraph"/>
              <w:numPr>
                <w:ilvl w:val="0"/>
                <w:numId w:val="1"/>
              </w:numPr>
              <w:spacing w:after="160" w:line="240" w:lineRule="auto"/>
              <w:jc w:val="left"/>
            </w:pPr>
            <w:r w:rsidRPr="004429EE">
              <w:t>(Ref)</w:t>
            </w:r>
          </w:p>
        </w:tc>
        <w:tc>
          <w:tcPr>
            <w:tcW w:w="450" w:type="dxa"/>
          </w:tcPr>
          <w:p w14:paraId="4CC3B2C6" w14:textId="77777777" w:rsidR="00762A53" w:rsidRPr="004429EE" w:rsidRDefault="00762A53" w:rsidP="00AA70D5">
            <w:pPr>
              <w:spacing w:line="240" w:lineRule="auto"/>
              <w:jc w:val="left"/>
            </w:pPr>
            <w:r w:rsidRPr="004429EE">
              <w:rPr>
                <w:rFonts w:eastAsia="Calibri"/>
              </w:rPr>
              <w:t xml:space="preserve"> </w:t>
            </w:r>
          </w:p>
        </w:tc>
        <w:tc>
          <w:tcPr>
            <w:tcW w:w="1500" w:type="dxa"/>
          </w:tcPr>
          <w:p w14:paraId="0AAE3026" w14:textId="77777777" w:rsidR="00762A53" w:rsidRPr="004429EE" w:rsidRDefault="00762A53" w:rsidP="00AA70D5">
            <w:pPr>
              <w:spacing w:line="240" w:lineRule="auto"/>
              <w:jc w:val="left"/>
            </w:pPr>
            <w:r w:rsidRPr="004429EE">
              <w:t>-</w:t>
            </w:r>
          </w:p>
        </w:tc>
        <w:tc>
          <w:tcPr>
            <w:tcW w:w="1500" w:type="dxa"/>
          </w:tcPr>
          <w:p w14:paraId="5779C997" w14:textId="77777777" w:rsidR="00762A53" w:rsidRPr="004429EE" w:rsidRDefault="00762A53" w:rsidP="00AA70D5">
            <w:pPr>
              <w:spacing w:line="240" w:lineRule="auto"/>
              <w:jc w:val="left"/>
            </w:pPr>
            <w:r w:rsidRPr="004429EE">
              <w:t>-</w:t>
            </w:r>
          </w:p>
        </w:tc>
      </w:tr>
      <w:tr w:rsidR="00762A53" w:rsidRPr="004429EE" w14:paraId="14D35BAE" w14:textId="77777777" w:rsidTr="00AA70D5">
        <w:trPr>
          <w:trHeight w:val="525"/>
        </w:trPr>
        <w:tc>
          <w:tcPr>
            <w:tcW w:w="1500" w:type="dxa"/>
            <w:vAlign w:val="center"/>
          </w:tcPr>
          <w:p w14:paraId="4CC2A376" w14:textId="77777777" w:rsidR="00762A53" w:rsidRPr="004429EE" w:rsidRDefault="00762A53" w:rsidP="00AA70D5">
            <w:pPr>
              <w:spacing w:line="240" w:lineRule="auto"/>
              <w:jc w:val="left"/>
            </w:pPr>
            <w:r w:rsidRPr="004429EE">
              <w:rPr>
                <w:rFonts w:eastAsia="Calibri"/>
              </w:rPr>
              <w:t>60</w:t>
            </w:r>
          </w:p>
        </w:tc>
        <w:tc>
          <w:tcPr>
            <w:tcW w:w="1500" w:type="dxa"/>
          </w:tcPr>
          <w:p w14:paraId="6205C673" w14:textId="77777777" w:rsidR="00762A53" w:rsidRPr="004429EE" w:rsidRDefault="00762A53" w:rsidP="00AA70D5">
            <w:pPr>
              <w:spacing w:line="240" w:lineRule="auto"/>
              <w:jc w:val="left"/>
            </w:pPr>
            <w:r w:rsidRPr="004429EE">
              <w:t>-0.018</w:t>
            </w:r>
          </w:p>
        </w:tc>
        <w:tc>
          <w:tcPr>
            <w:tcW w:w="450" w:type="dxa"/>
          </w:tcPr>
          <w:p w14:paraId="129B08CA" w14:textId="77777777" w:rsidR="00762A53" w:rsidRPr="004429EE" w:rsidRDefault="00762A53" w:rsidP="00AA70D5">
            <w:pPr>
              <w:spacing w:line="240" w:lineRule="auto"/>
              <w:jc w:val="left"/>
            </w:pPr>
            <w:r w:rsidRPr="004429EE">
              <w:rPr>
                <w:rFonts w:eastAsia="Calibri"/>
              </w:rPr>
              <w:t xml:space="preserve"> </w:t>
            </w:r>
          </w:p>
        </w:tc>
        <w:tc>
          <w:tcPr>
            <w:tcW w:w="1500" w:type="dxa"/>
          </w:tcPr>
          <w:p w14:paraId="60ACED25" w14:textId="77777777" w:rsidR="00762A53" w:rsidRPr="004429EE" w:rsidRDefault="00762A53" w:rsidP="00AA70D5">
            <w:pPr>
              <w:spacing w:line="240" w:lineRule="auto"/>
              <w:jc w:val="left"/>
            </w:pPr>
            <w:r w:rsidRPr="004429EE">
              <w:t>-0.09</w:t>
            </w:r>
          </w:p>
        </w:tc>
        <w:tc>
          <w:tcPr>
            <w:tcW w:w="1500" w:type="dxa"/>
          </w:tcPr>
          <w:p w14:paraId="65129462" w14:textId="77777777" w:rsidR="00762A53" w:rsidRPr="004429EE" w:rsidRDefault="00762A53" w:rsidP="00AA70D5">
            <w:pPr>
              <w:spacing w:line="240" w:lineRule="auto"/>
              <w:jc w:val="left"/>
            </w:pPr>
            <w:r w:rsidRPr="004429EE">
              <w:t>0.02</w:t>
            </w:r>
          </w:p>
        </w:tc>
      </w:tr>
      <w:tr w:rsidR="00762A53" w:rsidRPr="004429EE" w14:paraId="047D05A2" w14:textId="77777777" w:rsidTr="00AA70D5">
        <w:trPr>
          <w:trHeight w:val="525"/>
        </w:trPr>
        <w:tc>
          <w:tcPr>
            <w:tcW w:w="1500" w:type="dxa"/>
            <w:vAlign w:val="center"/>
          </w:tcPr>
          <w:p w14:paraId="0B70E127" w14:textId="77777777" w:rsidR="00762A53" w:rsidRPr="004429EE" w:rsidRDefault="00762A53" w:rsidP="00AA70D5">
            <w:pPr>
              <w:spacing w:line="240" w:lineRule="auto"/>
              <w:jc w:val="left"/>
            </w:pPr>
            <w:r w:rsidRPr="004429EE">
              <w:rPr>
                <w:rFonts w:eastAsia="Calibri"/>
              </w:rPr>
              <w:t>120</w:t>
            </w:r>
          </w:p>
        </w:tc>
        <w:tc>
          <w:tcPr>
            <w:tcW w:w="1500" w:type="dxa"/>
          </w:tcPr>
          <w:p w14:paraId="047A5ED4" w14:textId="77777777" w:rsidR="00762A53" w:rsidRPr="004429EE" w:rsidRDefault="00762A53" w:rsidP="00AA70D5">
            <w:pPr>
              <w:spacing w:line="240" w:lineRule="auto"/>
              <w:jc w:val="left"/>
            </w:pPr>
            <w:r w:rsidRPr="004429EE">
              <w:t>-0.030</w:t>
            </w:r>
          </w:p>
        </w:tc>
        <w:tc>
          <w:tcPr>
            <w:tcW w:w="450" w:type="dxa"/>
          </w:tcPr>
          <w:p w14:paraId="65948D55" w14:textId="77777777" w:rsidR="00762A53" w:rsidRPr="004429EE" w:rsidRDefault="00762A53" w:rsidP="00AA70D5">
            <w:pPr>
              <w:spacing w:line="240" w:lineRule="auto"/>
              <w:jc w:val="left"/>
            </w:pPr>
            <w:r w:rsidRPr="004429EE">
              <w:rPr>
                <w:rFonts w:eastAsia="Calibri"/>
              </w:rPr>
              <w:t xml:space="preserve"> </w:t>
            </w:r>
          </w:p>
        </w:tc>
        <w:tc>
          <w:tcPr>
            <w:tcW w:w="1500" w:type="dxa"/>
          </w:tcPr>
          <w:p w14:paraId="0EFED710" w14:textId="77777777" w:rsidR="00762A53" w:rsidRPr="004429EE" w:rsidRDefault="00762A53" w:rsidP="00AA70D5">
            <w:pPr>
              <w:spacing w:line="240" w:lineRule="auto"/>
              <w:jc w:val="left"/>
            </w:pPr>
            <w:r w:rsidRPr="004429EE">
              <w:t>-0.15</w:t>
            </w:r>
          </w:p>
        </w:tc>
        <w:tc>
          <w:tcPr>
            <w:tcW w:w="1500" w:type="dxa"/>
          </w:tcPr>
          <w:p w14:paraId="618D4AD7" w14:textId="77777777" w:rsidR="00762A53" w:rsidRPr="004429EE" w:rsidRDefault="00762A53" w:rsidP="00AA70D5">
            <w:pPr>
              <w:spacing w:line="240" w:lineRule="auto"/>
              <w:jc w:val="left"/>
            </w:pPr>
            <w:r w:rsidRPr="004429EE">
              <w:t>0.03</w:t>
            </w:r>
          </w:p>
        </w:tc>
      </w:tr>
      <w:tr w:rsidR="00762A53" w14:paraId="2FCE6B8B" w14:textId="77777777" w:rsidTr="00AA70D5">
        <w:trPr>
          <w:trHeight w:val="525"/>
        </w:trPr>
        <w:tc>
          <w:tcPr>
            <w:tcW w:w="1500" w:type="dxa"/>
            <w:vAlign w:val="center"/>
          </w:tcPr>
          <w:p w14:paraId="4B4DBE11" w14:textId="77777777" w:rsidR="00762A53" w:rsidRPr="004429EE" w:rsidRDefault="00762A53" w:rsidP="00AA70D5">
            <w:pPr>
              <w:spacing w:line="240" w:lineRule="auto"/>
              <w:jc w:val="left"/>
            </w:pPr>
            <w:r w:rsidRPr="004429EE">
              <w:rPr>
                <w:rFonts w:eastAsia="Calibri"/>
              </w:rPr>
              <w:t>180</w:t>
            </w:r>
          </w:p>
        </w:tc>
        <w:tc>
          <w:tcPr>
            <w:tcW w:w="1500" w:type="dxa"/>
          </w:tcPr>
          <w:p w14:paraId="00815E15" w14:textId="77777777" w:rsidR="00762A53" w:rsidRPr="004429EE" w:rsidRDefault="00762A53" w:rsidP="00AA70D5">
            <w:pPr>
              <w:spacing w:line="240" w:lineRule="auto"/>
              <w:jc w:val="left"/>
            </w:pPr>
            <w:r w:rsidRPr="004429EE">
              <w:t>-0.036</w:t>
            </w:r>
          </w:p>
        </w:tc>
        <w:tc>
          <w:tcPr>
            <w:tcW w:w="450" w:type="dxa"/>
          </w:tcPr>
          <w:p w14:paraId="7E02FF2D" w14:textId="77777777" w:rsidR="00762A53" w:rsidRPr="004429EE" w:rsidRDefault="00762A53" w:rsidP="00AA70D5">
            <w:pPr>
              <w:spacing w:line="240" w:lineRule="auto"/>
              <w:jc w:val="left"/>
            </w:pPr>
            <w:r w:rsidRPr="004429EE">
              <w:rPr>
                <w:rFonts w:eastAsia="Calibri"/>
              </w:rPr>
              <w:t xml:space="preserve"> </w:t>
            </w:r>
          </w:p>
        </w:tc>
        <w:tc>
          <w:tcPr>
            <w:tcW w:w="1500" w:type="dxa"/>
          </w:tcPr>
          <w:p w14:paraId="5404605A" w14:textId="77777777" w:rsidR="00762A53" w:rsidRPr="004429EE" w:rsidRDefault="00762A53" w:rsidP="00AA70D5">
            <w:pPr>
              <w:spacing w:line="240" w:lineRule="auto"/>
              <w:jc w:val="left"/>
            </w:pPr>
            <w:r w:rsidRPr="004429EE">
              <w:t>-0.18</w:t>
            </w:r>
          </w:p>
        </w:tc>
        <w:tc>
          <w:tcPr>
            <w:tcW w:w="1500" w:type="dxa"/>
          </w:tcPr>
          <w:p w14:paraId="46F13D6D" w14:textId="77777777" w:rsidR="00762A53" w:rsidRPr="004429EE" w:rsidRDefault="00762A53" w:rsidP="00AA70D5">
            <w:pPr>
              <w:spacing w:line="240" w:lineRule="auto"/>
              <w:jc w:val="left"/>
            </w:pPr>
            <w:r w:rsidRPr="004429EE">
              <w:t>0.05</w:t>
            </w:r>
          </w:p>
        </w:tc>
      </w:tr>
    </w:tbl>
    <w:p w14:paraId="1D009162" w14:textId="77777777" w:rsidR="00762A53" w:rsidRPr="004429EE" w:rsidRDefault="00762A53" w:rsidP="00762A53">
      <w:pPr>
        <w:pStyle w:val="NormalWeb"/>
        <w:rPr>
          <w:b/>
          <w:bCs/>
        </w:rPr>
      </w:pPr>
    </w:p>
    <w:p w14:paraId="39D626EE" w14:textId="77777777" w:rsidR="00762A53" w:rsidRPr="004429EE" w:rsidRDefault="00762A53" w:rsidP="00762A53">
      <w:pPr>
        <w:spacing w:line="240" w:lineRule="auto"/>
        <w:jc w:val="left"/>
        <w:rPr>
          <w:rFonts w:eastAsia="Times New Roman"/>
          <w:b/>
          <w:bCs/>
          <w:lang w:eastAsia="en-US"/>
        </w:rPr>
      </w:pPr>
      <w:r w:rsidRPr="004429EE">
        <w:rPr>
          <w:b/>
          <w:bCs/>
        </w:rPr>
        <w:br w:type="page"/>
      </w:r>
    </w:p>
    <w:p w14:paraId="67A0597E" w14:textId="77777777" w:rsidR="00762A53" w:rsidRPr="004429EE" w:rsidRDefault="00762A53" w:rsidP="00762A53">
      <w:pPr>
        <w:spacing w:beforeAutospacing="1" w:afterAutospacing="1" w:line="240" w:lineRule="auto"/>
        <w:jc w:val="left"/>
        <w:rPr>
          <w:rFonts w:eastAsia="Times New Roman"/>
          <w:b/>
          <w:bCs/>
          <w:u w:val="single"/>
        </w:rPr>
      </w:pPr>
      <w:r w:rsidRPr="004429EE">
        <w:rPr>
          <w:rFonts w:eastAsia="Times New Roman"/>
          <w:b/>
          <w:bCs/>
          <w:noProof/>
          <w:u w:val="single"/>
          <w:lang w:eastAsia="en-US"/>
        </w:rPr>
        <w:drawing>
          <wp:inline distT="0" distB="0" distL="0" distR="0" wp14:anchorId="278063F5" wp14:editId="038767B4">
            <wp:extent cx="5942330" cy="3312607"/>
            <wp:effectExtent l="0" t="0" r="1270" b="2540"/>
            <wp:docPr id="2126107861" name="Picture 2126107861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Gráfico, Histograma&#10;&#10;Descripción generada automáticament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72" b="1326"/>
                    <a:stretch/>
                  </pic:blipFill>
                  <pic:spPr bwMode="auto">
                    <a:xfrm>
                      <a:off x="0" y="0"/>
                      <a:ext cx="5943600" cy="3313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96193C" w14:textId="77777777" w:rsidR="00762A53" w:rsidRDefault="00762A53" w:rsidP="00762A53">
      <w:pPr>
        <w:pStyle w:val="NormalWeb"/>
        <w:rPr>
          <w:b/>
          <w:bCs/>
        </w:rPr>
      </w:pPr>
    </w:p>
    <w:p w14:paraId="5252B9D5" w14:textId="77777777" w:rsidR="00762A53" w:rsidRPr="004429EE" w:rsidRDefault="00762A53" w:rsidP="00762A53">
      <w:pPr>
        <w:pStyle w:val="NormalWeb"/>
      </w:pPr>
      <w:r>
        <w:rPr>
          <w:b/>
          <w:bCs/>
        </w:rPr>
        <w:t>Supp Figure</w:t>
      </w:r>
      <w:r w:rsidRPr="004429EE">
        <w:rPr>
          <w:b/>
          <w:bCs/>
        </w:rPr>
        <w:t xml:space="preserve"> 1</w:t>
      </w:r>
      <w:r>
        <w:rPr>
          <w:b/>
          <w:bCs/>
        </w:rPr>
        <w:t>.</w:t>
      </w:r>
      <w:r w:rsidRPr="004429EE">
        <w:rPr>
          <w:b/>
          <w:bCs/>
        </w:rPr>
        <w:t xml:space="preserve"> Event Study Plot. </w:t>
      </w:r>
      <w:r>
        <w:rPr>
          <w:b/>
          <w:bCs/>
        </w:rPr>
        <w:tab/>
      </w:r>
      <w:r>
        <w:rPr>
          <w:b/>
          <w:bCs/>
        </w:rPr>
        <w:br/>
      </w:r>
      <w:r w:rsidRPr="004429EE">
        <w:t xml:space="preserve">Event study coefficients along with their 95% confidence intervals for an alternative treatment group (VRE+VSE). Coefficients represent the impact of PCR introduction for diagnosis of </w:t>
      </w:r>
      <w:r w:rsidRPr="004429EE">
        <w:rPr>
          <w:rFonts w:eastAsia="Calibri"/>
        </w:rPr>
        <w:t xml:space="preserve">enterococci (VRE+VSE) </w:t>
      </w:r>
      <w:r w:rsidRPr="004429EE">
        <w:t xml:space="preserve">on mortality risk, and before the intervention (weeks &lt;0) deviations from parallel pre-trends. Error bars depict 95% confidence intervals calculated using </w:t>
      </w:r>
      <w:r w:rsidRPr="004429EE">
        <w:rPr>
          <w:rFonts w:eastAsia="Calibri"/>
        </w:rPr>
        <w:t>the 2.5</w:t>
      </w:r>
      <w:r w:rsidRPr="004429EE">
        <w:rPr>
          <w:rFonts w:eastAsia="Calibri"/>
          <w:vertAlign w:val="superscript"/>
        </w:rPr>
        <w:t>th</w:t>
      </w:r>
      <w:r w:rsidRPr="004429EE">
        <w:rPr>
          <w:rFonts w:eastAsia="Calibri"/>
        </w:rPr>
        <w:t xml:space="preserve"> and 97.5</w:t>
      </w:r>
      <w:r w:rsidRPr="004429EE">
        <w:rPr>
          <w:rFonts w:eastAsia="Calibri"/>
          <w:vertAlign w:val="superscript"/>
        </w:rPr>
        <w:t>th</w:t>
      </w:r>
      <w:r w:rsidRPr="004429EE">
        <w:rPr>
          <w:rFonts w:eastAsia="Calibri"/>
        </w:rPr>
        <w:t xml:space="preserve"> percentiles from 1000 bootstrap resamples</w:t>
      </w:r>
      <w:r w:rsidRPr="004429EE">
        <w:t>.</w:t>
      </w:r>
      <w:r w:rsidRPr="004429EE">
        <w:rPr>
          <w:b/>
          <w:bCs/>
          <w:noProof/>
        </w:rPr>
        <w:t xml:space="preserve"> </w:t>
      </w:r>
    </w:p>
    <w:p w14:paraId="4AB01292" w14:textId="77777777" w:rsidR="00762A53" w:rsidRPr="004429EE" w:rsidRDefault="00762A53" w:rsidP="00762A53">
      <w:pPr>
        <w:jc w:val="left"/>
        <w:rPr>
          <w:rFonts w:eastAsia="Times New Roman"/>
          <w:b/>
          <w:bCs/>
          <w:u w:val="single"/>
        </w:rPr>
      </w:pPr>
    </w:p>
    <w:p w14:paraId="5FC53DFC" w14:textId="77777777" w:rsidR="00762A53" w:rsidRPr="004429EE" w:rsidRDefault="00762A53" w:rsidP="00762A53">
      <w:pPr>
        <w:jc w:val="left"/>
        <w:rPr>
          <w:rFonts w:eastAsia="Times New Roman"/>
          <w:b/>
          <w:bCs/>
          <w:u w:val="single"/>
        </w:rPr>
      </w:pPr>
    </w:p>
    <w:p w14:paraId="2CE7C94F" w14:textId="77777777" w:rsidR="00762A53" w:rsidRPr="004429EE" w:rsidRDefault="00762A53" w:rsidP="00762A53">
      <w:pPr>
        <w:pStyle w:val="NormalWeb"/>
        <w:rPr>
          <w:b/>
          <w:bCs/>
        </w:rPr>
      </w:pPr>
    </w:p>
    <w:p w14:paraId="5322B098" w14:textId="77777777" w:rsidR="00762A53" w:rsidRPr="004429EE" w:rsidRDefault="00762A53" w:rsidP="00762A53">
      <w:pPr>
        <w:jc w:val="left"/>
        <w:rPr>
          <w:rFonts w:eastAsia="Times New Roman"/>
          <w:b/>
          <w:bCs/>
        </w:rPr>
      </w:pPr>
      <w:r w:rsidRPr="004429EE">
        <w:rPr>
          <w:rFonts w:eastAsia="Times New Roman"/>
          <w:b/>
          <w:bCs/>
          <w:noProof/>
          <w:u w:val="single"/>
          <w:lang w:eastAsia="en-US"/>
        </w:rPr>
        <w:drawing>
          <wp:inline distT="0" distB="0" distL="0" distR="0" wp14:anchorId="7CA2129E" wp14:editId="70B13A5F">
            <wp:extent cx="5943600" cy="3523615"/>
            <wp:effectExtent l="0" t="0" r="0" b="635"/>
            <wp:docPr id="826305880" name="Picture 826305880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Gráfic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D8956" w14:textId="77777777" w:rsidR="00762A53" w:rsidRPr="004429EE" w:rsidRDefault="00762A53" w:rsidP="00762A53">
      <w:pPr>
        <w:pStyle w:val="NormalWeb"/>
      </w:pPr>
      <w:r>
        <w:rPr>
          <w:b/>
          <w:bCs/>
        </w:rPr>
        <w:t>Supp Figure 2.</w:t>
      </w:r>
      <w:r w:rsidRPr="004429EE">
        <w:rPr>
          <w:b/>
          <w:bCs/>
        </w:rPr>
        <w:t xml:space="preserve"> Weighted mortality risk </w:t>
      </w:r>
      <w:r w:rsidRPr="004429EE">
        <w:t xml:space="preserve">along with their 95% confidence intervals for </w:t>
      </w:r>
      <w:r w:rsidRPr="004429EE">
        <w:rPr>
          <w:rFonts w:eastAsia="Calibri"/>
        </w:rPr>
        <w:t xml:space="preserve">enterococci (VRE+VSE) </w:t>
      </w:r>
      <w:r w:rsidRPr="004429EE">
        <w:t xml:space="preserve"> BSI (treated) and  </w:t>
      </w:r>
      <w:r w:rsidRPr="004429EE">
        <w:rPr>
          <w:i/>
        </w:rPr>
        <w:t>S. aureus</w:t>
      </w:r>
      <w:r w:rsidRPr="004429EE">
        <w:t xml:space="preserve"> (MSSA+MRSA) as control, groups derived from linear regression with time modeled as cubic restricted splines (DF=5). </w:t>
      </w:r>
      <w:r w:rsidRPr="004429EE">
        <w:rPr>
          <w:bCs/>
        </w:rPr>
        <w:t xml:space="preserve">Study </w:t>
      </w:r>
      <w:r w:rsidRPr="004429EE">
        <w:t>95% confidence intervals represented as error bars calculated using a bootstrap analysis of 1000 resamples.</w:t>
      </w:r>
    </w:p>
    <w:p w14:paraId="71EAAB70" w14:textId="77777777" w:rsidR="00762A53" w:rsidRDefault="00762A53" w:rsidP="00762A53">
      <w:pPr>
        <w:spacing w:beforeAutospacing="1" w:afterAutospacing="1" w:line="240" w:lineRule="auto"/>
        <w:jc w:val="left"/>
      </w:pPr>
    </w:p>
    <w:p w14:paraId="52BFE9FD" w14:textId="77777777" w:rsidR="00762A53" w:rsidRDefault="00762A53" w:rsidP="00762A53">
      <w:pPr>
        <w:spacing w:line="240" w:lineRule="auto"/>
        <w:jc w:val="left"/>
      </w:pPr>
      <w:r>
        <w:br w:type="page"/>
      </w:r>
    </w:p>
    <w:p w14:paraId="063C1380" w14:textId="37C8C134" w:rsidR="00EB71F4" w:rsidRPr="004429EE" w:rsidRDefault="00EB71F4" w:rsidP="00EB71F4">
      <w:pPr>
        <w:spacing w:line="240" w:lineRule="auto"/>
        <w:jc w:val="lef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Supplementary </w:t>
      </w:r>
      <w:r w:rsidRPr="004429EE">
        <w:rPr>
          <w:rFonts w:eastAsia="Times New Roman"/>
          <w:b/>
          <w:bCs/>
        </w:rPr>
        <w:t xml:space="preserve">Table </w:t>
      </w:r>
      <w:r>
        <w:rPr>
          <w:rFonts w:eastAsia="Times New Roman"/>
          <w:b/>
          <w:bCs/>
        </w:rPr>
        <w:t>2</w:t>
      </w:r>
      <w:r w:rsidRPr="004429EE">
        <w:rPr>
          <w:rFonts w:eastAsia="Times New Roman"/>
          <w:b/>
          <w:bCs/>
        </w:rPr>
        <w:t xml:space="preserve">. </w:t>
      </w:r>
      <w:r w:rsidRPr="004429EE">
        <w:rPr>
          <w:rFonts w:eastAsia="Calibri"/>
        </w:rPr>
        <w:t>Difference in differences estimates for an alternative treatment group (VR</w:t>
      </w:r>
      <w:r>
        <w:rPr>
          <w:rFonts w:eastAsia="Calibri"/>
        </w:rPr>
        <w:t xml:space="preserve"> </w:t>
      </w:r>
      <w:r w:rsidRPr="006877F9">
        <w:rPr>
          <w:rFonts w:eastAsia="Calibri"/>
          <w:i/>
          <w:iCs/>
        </w:rPr>
        <w:t>E. faecium</w:t>
      </w:r>
      <w:r>
        <w:rPr>
          <w:rFonts w:eastAsia="Calibri"/>
        </w:rPr>
        <w:t xml:space="preserve"> on</w:t>
      </w:r>
      <w:r w:rsidR="006877F9">
        <w:rPr>
          <w:rFonts w:eastAsia="Calibri"/>
        </w:rPr>
        <w:t>ly</w:t>
      </w:r>
      <w:r w:rsidRPr="004429EE">
        <w:rPr>
          <w:rFonts w:eastAsia="Calibri"/>
        </w:rPr>
        <w:t>), derived from the interaction term (time x treatment) from the weighted restricted cubic spline model, which represent the impact of PCR introduction for diagnosis of enterococci (VRE+VSE) on 30-day mortality risk. 95% confidence intervals were calculated using a bootstrap analysis of 1000 resamples</w:t>
      </w:r>
      <w:r w:rsidRPr="004429EE">
        <w:rPr>
          <w:rFonts w:eastAsia="Calibri"/>
          <w:i/>
          <w:iCs/>
        </w:rPr>
        <w:t>.</w:t>
      </w:r>
    </w:p>
    <w:p w14:paraId="49C4D497" w14:textId="77777777" w:rsidR="00EB71F4" w:rsidRPr="004429EE" w:rsidRDefault="00EB71F4" w:rsidP="00EB71F4">
      <w:pPr>
        <w:spacing w:line="240" w:lineRule="auto"/>
        <w:jc w:val="left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500"/>
        <w:gridCol w:w="450"/>
        <w:gridCol w:w="1500"/>
        <w:gridCol w:w="1500"/>
      </w:tblGrid>
      <w:tr w:rsidR="00EB71F4" w14:paraId="15F81EF3" w14:textId="77777777" w:rsidTr="00AA70D5">
        <w:trPr>
          <w:trHeight w:val="525"/>
          <w:tblHeader/>
        </w:trPr>
        <w:tc>
          <w:tcPr>
            <w:tcW w:w="1500" w:type="dxa"/>
            <w:vAlign w:val="center"/>
          </w:tcPr>
          <w:p w14:paraId="1F1C7C73" w14:textId="77777777" w:rsidR="00EB71F4" w:rsidRPr="004429EE" w:rsidRDefault="00EB71F4" w:rsidP="00AA70D5">
            <w:pPr>
              <w:spacing w:line="240" w:lineRule="auto"/>
              <w:jc w:val="left"/>
            </w:pPr>
            <w:r w:rsidRPr="004429EE">
              <w:rPr>
                <w:rFonts w:eastAsia="Calibri"/>
              </w:rPr>
              <w:t xml:space="preserve"> </w:t>
            </w:r>
          </w:p>
        </w:tc>
        <w:tc>
          <w:tcPr>
            <w:tcW w:w="1500" w:type="dxa"/>
            <w:vAlign w:val="center"/>
          </w:tcPr>
          <w:p w14:paraId="22DF0838" w14:textId="77777777" w:rsidR="00EB71F4" w:rsidRPr="004429EE" w:rsidRDefault="00EB71F4" w:rsidP="00AA70D5">
            <w:pPr>
              <w:spacing w:line="240" w:lineRule="auto"/>
              <w:jc w:val="left"/>
            </w:pPr>
            <w:r w:rsidRPr="004429EE">
              <w:rPr>
                <w:rFonts w:eastAsia="Calibri"/>
              </w:rPr>
              <w:t xml:space="preserve"> </w:t>
            </w:r>
          </w:p>
        </w:tc>
        <w:tc>
          <w:tcPr>
            <w:tcW w:w="450" w:type="dxa"/>
          </w:tcPr>
          <w:p w14:paraId="614B07E9" w14:textId="77777777" w:rsidR="00EB71F4" w:rsidRPr="004429EE" w:rsidRDefault="00EB71F4" w:rsidP="00AA70D5">
            <w:pPr>
              <w:spacing w:line="240" w:lineRule="auto"/>
              <w:jc w:val="left"/>
            </w:pPr>
            <w:r w:rsidRPr="004429EE">
              <w:rPr>
                <w:rFonts w:eastAsia="Calibri"/>
              </w:rPr>
              <w:t xml:space="preserve"> </w:t>
            </w:r>
          </w:p>
        </w:tc>
        <w:tc>
          <w:tcPr>
            <w:tcW w:w="3000" w:type="dxa"/>
            <w:gridSpan w:val="2"/>
            <w:vAlign w:val="center"/>
          </w:tcPr>
          <w:p w14:paraId="167B5EFF" w14:textId="77777777" w:rsidR="00EB71F4" w:rsidRPr="004429EE" w:rsidRDefault="00EB71F4" w:rsidP="00AA70D5">
            <w:pPr>
              <w:spacing w:line="240" w:lineRule="auto"/>
              <w:jc w:val="left"/>
            </w:pPr>
            <w:r w:rsidRPr="004429EE">
              <w:rPr>
                <w:rFonts w:eastAsia="Calibri"/>
              </w:rPr>
              <w:t>95% CI</w:t>
            </w:r>
          </w:p>
        </w:tc>
      </w:tr>
      <w:tr w:rsidR="00EB71F4" w14:paraId="0E8E19DE" w14:textId="77777777" w:rsidTr="00AA70D5">
        <w:trPr>
          <w:trHeight w:val="525"/>
          <w:tblHeader/>
        </w:trPr>
        <w:tc>
          <w:tcPr>
            <w:tcW w:w="1500" w:type="dxa"/>
            <w:vAlign w:val="center"/>
          </w:tcPr>
          <w:p w14:paraId="6AC82099" w14:textId="77777777" w:rsidR="00EB71F4" w:rsidRPr="004429EE" w:rsidRDefault="00EB71F4" w:rsidP="00AA70D5">
            <w:pPr>
              <w:spacing w:line="240" w:lineRule="auto"/>
              <w:jc w:val="left"/>
            </w:pPr>
            <w:r w:rsidRPr="004429EE">
              <w:rPr>
                <w:rFonts w:eastAsia="Calibri"/>
              </w:rPr>
              <w:t>Days from intervention</w:t>
            </w:r>
          </w:p>
        </w:tc>
        <w:tc>
          <w:tcPr>
            <w:tcW w:w="1500" w:type="dxa"/>
            <w:vAlign w:val="center"/>
          </w:tcPr>
          <w:p w14:paraId="1A9782FF" w14:textId="77777777" w:rsidR="00EB71F4" w:rsidRPr="004429EE" w:rsidRDefault="00EB71F4" w:rsidP="00AA70D5">
            <w:pPr>
              <w:spacing w:line="240" w:lineRule="auto"/>
              <w:jc w:val="left"/>
            </w:pPr>
            <w:r w:rsidRPr="004429EE">
              <w:rPr>
                <w:rFonts w:eastAsia="Calibri"/>
              </w:rPr>
              <w:t>30-day mortality risk difference</w:t>
            </w:r>
          </w:p>
        </w:tc>
        <w:tc>
          <w:tcPr>
            <w:tcW w:w="450" w:type="dxa"/>
          </w:tcPr>
          <w:p w14:paraId="41893C64" w14:textId="77777777" w:rsidR="00EB71F4" w:rsidRPr="004429EE" w:rsidRDefault="00EB71F4" w:rsidP="00AA70D5">
            <w:pPr>
              <w:spacing w:line="240" w:lineRule="auto"/>
              <w:jc w:val="left"/>
            </w:pPr>
            <w:r w:rsidRPr="004429EE">
              <w:rPr>
                <w:rFonts w:eastAsia="Calibri"/>
              </w:rPr>
              <w:t xml:space="preserve"> </w:t>
            </w:r>
          </w:p>
        </w:tc>
        <w:tc>
          <w:tcPr>
            <w:tcW w:w="1500" w:type="dxa"/>
            <w:vAlign w:val="center"/>
          </w:tcPr>
          <w:p w14:paraId="48DE944E" w14:textId="77777777" w:rsidR="00EB71F4" w:rsidRPr="004429EE" w:rsidRDefault="00EB71F4" w:rsidP="00AA70D5">
            <w:pPr>
              <w:spacing w:line="240" w:lineRule="auto"/>
              <w:jc w:val="left"/>
            </w:pPr>
            <w:r w:rsidRPr="004429EE">
              <w:rPr>
                <w:rFonts w:eastAsia="Calibri"/>
              </w:rPr>
              <w:t>Lower</w:t>
            </w:r>
          </w:p>
        </w:tc>
        <w:tc>
          <w:tcPr>
            <w:tcW w:w="1500" w:type="dxa"/>
            <w:vAlign w:val="center"/>
          </w:tcPr>
          <w:p w14:paraId="1DEC5538" w14:textId="77777777" w:rsidR="00EB71F4" w:rsidRPr="004429EE" w:rsidRDefault="00EB71F4" w:rsidP="00AA70D5">
            <w:pPr>
              <w:spacing w:line="240" w:lineRule="auto"/>
              <w:jc w:val="left"/>
            </w:pPr>
            <w:r w:rsidRPr="004429EE">
              <w:rPr>
                <w:rFonts w:eastAsia="Calibri"/>
              </w:rPr>
              <w:t>Upper</w:t>
            </w:r>
          </w:p>
        </w:tc>
      </w:tr>
      <w:tr w:rsidR="00EB71F4" w:rsidRPr="004429EE" w14:paraId="15B3F8DF" w14:textId="77777777" w:rsidTr="00AA70D5">
        <w:trPr>
          <w:trHeight w:val="525"/>
        </w:trPr>
        <w:tc>
          <w:tcPr>
            <w:tcW w:w="1500" w:type="dxa"/>
            <w:vAlign w:val="center"/>
          </w:tcPr>
          <w:p w14:paraId="7C8308ED" w14:textId="77777777" w:rsidR="00EB71F4" w:rsidRPr="004429EE" w:rsidRDefault="00EB71F4" w:rsidP="00AA70D5">
            <w:pPr>
              <w:spacing w:line="240" w:lineRule="auto"/>
              <w:jc w:val="left"/>
            </w:pPr>
            <w:r w:rsidRPr="004429EE">
              <w:rPr>
                <w:rFonts w:eastAsia="Calibri"/>
              </w:rPr>
              <w:t>-180</w:t>
            </w:r>
          </w:p>
        </w:tc>
        <w:tc>
          <w:tcPr>
            <w:tcW w:w="1500" w:type="dxa"/>
          </w:tcPr>
          <w:p w14:paraId="49FA5D8A" w14:textId="231AA2F2" w:rsidR="00EB71F4" w:rsidRPr="004429EE" w:rsidRDefault="00EB71F4" w:rsidP="00AA70D5">
            <w:pPr>
              <w:spacing w:line="240" w:lineRule="auto"/>
              <w:jc w:val="left"/>
            </w:pPr>
            <w:r w:rsidRPr="004429EE">
              <w:t>0.</w:t>
            </w:r>
            <w:r w:rsidR="00BB58FF">
              <w:t>1</w:t>
            </w:r>
            <w:r w:rsidRPr="004429EE">
              <w:t>04</w:t>
            </w:r>
          </w:p>
        </w:tc>
        <w:tc>
          <w:tcPr>
            <w:tcW w:w="450" w:type="dxa"/>
          </w:tcPr>
          <w:p w14:paraId="24E35120" w14:textId="77777777" w:rsidR="00EB71F4" w:rsidRPr="004429EE" w:rsidRDefault="00EB71F4" w:rsidP="00AA70D5">
            <w:pPr>
              <w:spacing w:line="240" w:lineRule="auto"/>
              <w:jc w:val="left"/>
            </w:pPr>
            <w:r w:rsidRPr="004429EE">
              <w:rPr>
                <w:rFonts w:eastAsia="Calibri"/>
              </w:rPr>
              <w:t xml:space="preserve"> </w:t>
            </w:r>
          </w:p>
        </w:tc>
        <w:tc>
          <w:tcPr>
            <w:tcW w:w="1500" w:type="dxa"/>
          </w:tcPr>
          <w:p w14:paraId="3FABF1DF" w14:textId="3592B32D" w:rsidR="00EB71F4" w:rsidRPr="004429EE" w:rsidRDefault="00EB71F4" w:rsidP="00AA70D5">
            <w:pPr>
              <w:spacing w:line="240" w:lineRule="auto"/>
              <w:jc w:val="left"/>
            </w:pPr>
            <w:r w:rsidRPr="004429EE">
              <w:t>-0.</w:t>
            </w:r>
            <w:r w:rsidR="001A334E">
              <w:t>0</w:t>
            </w:r>
            <w:r w:rsidR="003B038F">
              <w:t>785</w:t>
            </w:r>
          </w:p>
        </w:tc>
        <w:tc>
          <w:tcPr>
            <w:tcW w:w="1500" w:type="dxa"/>
          </w:tcPr>
          <w:p w14:paraId="426AC929" w14:textId="7FD41C9D" w:rsidR="00EB71F4" w:rsidRPr="004429EE" w:rsidRDefault="00EB71F4" w:rsidP="00AA70D5">
            <w:pPr>
              <w:spacing w:line="240" w:lineRule="auto"/>
              <w:jc w:val="left"/>
            </w:pPr>
            <w:r w:rsidRPr="004429EE">
              <w:t>0.2</w:t>
            </w:r>
            <w:r w:rsidR="003B038F">
              <w:t>12</w:t>
            </w:r>
          </w:p>
        </w:tc>
      </w:tr>
      <w:tr w:rsidR="00EB71F4" w:rsidRPr="004429EE" w14:paraId="175B4F49" w14:textId="77777777" w:rsidTr="00AA70D5">
        <w:trPr>
          <w:trHeight w:val="525"/>
        </w:trPr>
        <w:tc>
          <w:tcPr>
            <w:tcW w:w="1500" w:type="dxa"/>
            <w:vAlign w:val="center"/>
          </w:tcPr>
          <w:p w14:paraId="345F47B9" w14:textId="77777777" w:rsidR="00EB71F4" w:rsidRPr="004429EE" w:rsidRDefault="00EB71F4" w:rsidP="00AA70D5">
            <w:pPr>
              <w:spacing w:line="240" w:lineRule="auto"/>
              <w:jc w:val="left"/>
            </w:pPr>
            <w:r w:rsidRPr="004429EE">
              <w:rPr>
                <w:rFonts w:eastAsia="Calibri"/>
              </w:rPr>
              <w:t>-120</w:t>
            </w:r>
          </w:p>
        </w:tc>
        <w:tc>
          <w:tcPr>
            <w:tcW w:w="1500" w:type="dxa"/>
          </w:tcPr>
          <w:p w14:paraId="464F4D56" w14:textId="13E389A2" w:rsidR="00EB71F4" w:rsidRPr="004429EE" w:rsidRDefault="00EB71F4" w:rsidP="00AA70D5">
            <w:pPr>
              <w:spacing w:line="240" w:lineRule="auto"/>
              <w:jc w:val="left"/>
            </w:pPr>
            <w:r w:rsidRPr="004429EE">
              <w:t>0.0</w:t>
            </w:r>
            <w:r w:rsidR="009C2FCD">
              <w:t>948</w:t>
            </w:r>
          </w:p>
        </w:tc>
        <w:tc>
          <w:tcPr>
            <w:tcW w:w="450" w:type="dxa"/>
          </w:tcPr>
          <w:p w14:paraId="6B56C0DE" w14:textId="77777777" w:rsidR="00EB71F4" w:rsidRPr="004429EE" w:rsidRDefault="00EB71F4" w:rsidP="00AA70D5">
            <w:pPr>
              <w:spacing w:line="240" w:lineRule="auto"/>
              <w:jc w:val="left"/>
            </w:pPr>
            <w:r w:rsidRPr="004429EE">
              <w:rPr>
                <w:rFonts w:eastAsia="Calibri"/>
              </w:rPr>
              <w:t xml:space="preserve"> </w:t>
            </w:r>
          </w:p>
        </w:tc>
        <w:tc>
          <w:tcPr>
            <w:tcW w:w="1500" w:type="dxa"/>
          </w:tcPr>
          <w:p w14:paraId="7A3202AD" w14:textId="7590C403" w:rsidR="00EB71F4" w:rsidRPr="004429EE" w:rsidRDefault="00EB71F4" w:rsidP="00AA70D5">
            <w:pPr>
              <w:spacing w:line="240" w:lineRule="auto"/>
              <w:jc w:val="left"/>
            </w:pPr>
            <w:r w:rsidRPr="004429EE">
              <w:t>-0.</w:t>
            </w:r>
            <w:r w:rsidR="001A334E">
              <w:t>0</w:t>
            </w:r>
            <w:r w:rsidR="00F168D9">
              <w:t>5</w:t>
            </w:r>
            <w:r w:rsidR="001A334E">
              <w:t>24</w:t>
            </w:r>
          </w:p>
        </w:tc>
        <w:tc>
          <w:tcPr>
            <w:tcW w:w="1500" w:type="dxa"/>
          </w:tcPr>
          <w:p w14:paraId="6B9D949E" w14:textId="7916FA95" w:rsidR="00EB71F4" w:rsidRPr="004429EE" w:rsidRDefault="00EB71F4" w:rsidP="00AA70D5">
            <w:pPr>
              <w:spacing w:line="240" w:lineRule="auto"/>
              <w:jc w:val="left"/>
            </w:pPr>
            <w:r w:rsidRPr="004429EE">
              <w:t>0.</w:t>
            </w:r>
            <w:r w:rsidR="003801B4">
              <w:t>167</w:t>
            </w:r>
          </w:p>
        </w:tc>
      </w:tr>
      <w:tr w:rsidR="00EB71F4" w:rsidRPr="004429EE" w14:paraId="1256BC74" w14:textId="77777777" w:rsidTr="00AA70D5">
        <w:trPr>
          <w:trHeight w:val="525"/>
        </w:trPr>
        <w:tc>
          <w:tcPr>
            <w:tcW w:w="1500" w:type="dxa"/>
            <w:vAlign w:val="center"/>
          </w:tcPr>
          <w:p w14:paraId="24FD6DED" w14:textId="77777777" w:rsidR="00EB71F4" w:rsidRPr="004429EE" w:rsidRDefault="00EB71F4" w:rsidP="00AA70D5">
            <w:pPr>
              <w:spacing w:line="240" w:lineRule="auto"/>
              <w:jc w:val="left"/>
            </w:pPr>
            <w:r w:rsidRPr="004429EE">
              <w:rPr>
                <w:rFonts w:eastAsia="Calibri"/>
              </w:rPr>
              <w:t>-60</w:t>
            </w:r>
          </w:p>
        </w:tc>
        <w:tc>
          <w:tcPr>
            <w:tcW w:w="1500" w:type="dxa"/>
          </w:tcPr>
          <w:p w14:paraId="296EDEBD" w14:textId="55DF2EEA" w:rsidR="00EB71F4" w:rsidRPr="004429EE" w:rsidRDefault="00EB71F4" w:rsidP="00AA70D5">
            <w:pPr>
              <w:spacing w:line="240" w:lineRule="auto"/>
              <w:jc w:val="left"/>
            </w:pPr>
            <w:r w:rsidRPr="004429EE">
              <w:t>0.0</w:t>
            </w:r>
            <w:r w:rsidR="009C2FCD">
              <w:t>552</w:t>
            </w:r>
          </w:p>
        </w:tc>
        <w:tc>
          <w:tcPr>
            <w:tcW w:w="450" w:type="dxa"/>
          </w:tcPr>
          <w:p w14:paraId="1D63B0A2" w14:textId="77777777" w:rsidR="00EB71F4" w:rsidRPr="004429EE" w:rsidRDefault="00EB71F4" w:rsidP="00AA70D5">
            <w:pPr>
              <w:spacing w:line="240" w:lineRule="auto"/>
              <w:jc w:val="left"/>
            </w:pPr>
            <w:r w:rsidRPr="004429EE">
              <w:rPr>
                <w:rFonts w:eastAsia="Calibri"/>
              </w:rPr>
              <w:t xml:space="preserve"> </w:t>
            </w:r>
          </w:p>
        </w:tc>
        <w:tc>
          <w:tcPr>
            <w:tcW w:w="1500" w:type="dxa"/>
          </w:tcPr>
          <w:p w14:paraId="147C04A1" w14:textId="3460064A" w:rsidR="00EB71F4" w:rsidRPr="004429EE" w:rsidRDefault="00EB71F4" w:rsidP="00AA70D5">
            <w:pPr>
              <w:spacing w:line="240" w:lineRule="auto"/>
              <w:jc w:val="left"/>
            </w:pPr>
            <w:r w:rsidRPr="004429EE">
              <w:t>-0.0</w:t>
            </w:r>
            <w:r w:rsidR="00D268F8">
              <w:t>288</w:t>
            </w:r>
          </w:p>
        </w:tc>
        <w:tc>
          <w:tcPr>
            <w:tcW w:w="1500" w:type="dxa"/>
          </w:tcPr>
          <w:p w14:paraId="74CA5CCB" w14:textId="1CEFA58B" w:rsidR="00EB71F4" w:rsidRPr="004429EE" w:rsidRDefault="00EB71F4" w:rsidP="00AA70D5">
            <w:pPr>
              <w:spacing w:line="240" w:lineRule="auto"/>
              <w:jc w:val="left"/>
            </w:pPr>
            <w:r w:rsidRPr="004429EE">
              <w:t>0.</w:t>
            </w:r>
            <w:r w:rsidR="00AF7B8C">
              <w:t>913</w:t>
            </w:r>
          </w:p>
        </w:tc>
      </w:tr>
      <w:tr w:rsidR="00EB71F4" w:rsidRPr="004429EE" w14:paraId="6843164A" w14:textId="77777777" w:rsidTr="00AA70D5">
        <w:trPr>
          <w:trHeight w:val="525"/>
        </w:trPr>
        <w:tc>
          <w:tcPr>
            <w:tcW w:w="1500" w:type="dxa"/>
            <w:vAlign w:val="center"/>
          </w:tcPr>
          <w:p w14:paraId="2488666A" w14:textId="77777777" w:rsidR="00EB71F4" w:rsidRPr="004429EE" w:rsidRDefault="00EB71F4" w:rsidP="00AA70D5">
            <w:pPr>
              <w:spacing w:line="240" w:lineRule="auto"/>
              <w:jc w:val="left"/>
            </w:pPr>
            <w:r w:rsidRPr="004429EE">
              <w:rPr>
                <w:rFonts w:eastAsia="Calibri"/>
              </w:rPr>
              <w:t>0</w:t>
            </w:r>
          </w:p>
        </w:tc>
        <w:tc>
          <w:tcPr>
            <w:tcW w:w="1500" w:type="dxa"/>
          </w:tcPr>
          <w:p w14:paraId="1FCDB3CC" w14:textId="77777777" w:rsidR="00EB71F4" w:rsidRPr="004429EE" w:rsidRDefault="00EB71F4" w:rsidP="00EB71F4">
            <w:pPr>
              <w:pStyle w:val="ListParagraph"/>
              <w:numPr>
                <w:ilvl w:val="0"/>
                <w:numId w:val="2"/>
              </w:numPr>
              <w:spacing w:after="160" w:line="240" w:lineRule="auto"/>
              <w:jc w:val="left"/>
            </w:pPr>
            <w:r w:rsidRPr="004429EE">
              <w:t>(Ref)</w:t>
            </w:r>
          </w:p>
        </w:tc>
        <w:tc>
          <w:tcPr>
            <w:tcW w:w="450" w:type="dxa"/>
          </w:tcPr>
          <w:p w14:paraId="317750EF" w14:textId="77777777" w:rsidR="00EB71F4" w:rsidRPr="004429EE" w:rsidRDefault="00EB71F4" w:rsidP="00AA70D5">
            <w:pPr>
              <w:spacing w:line="240" w:lineRule="auto"/>
              <w:jc w:val="left"/>
            </w:pPr>
            <w:r w:rsidRPr="004429EE">
              <w:rPr>
                <w:rFonts w:eastAsia="Calibri"/>
              </w:rPr>
              <w:t xml:space="preserve"> </w:t>
            </w:r>
          </w:p>
        </w:tc>
        <w:tc>
          <w:tcPr>
            <w:tcW w:w="1500" w:type="dxa"/>
          </w:tcPr>
          <w:p w14:paraId="4968A0AA" w14:textId="77777777" w:rsidR="00EB71F4" w:rsidRPr="004429EE" w:rsidRDefault="00EB71F4" w:rsidP="00AA70D5">
            <w:pPr>
              <w:spacing w:line="240" w:lineRule="auto"/>
              <w:jc w:val="left"/>
            </w:pPr>
            <w:r w:rsidRPr="004429EE">
              <w:t>-</w:t>
            </w:r>
          </w:p>
        </w:tc>
        <w:tc>
          <w:tcPr>
            <w:tcW w:w="1500" w:type="dxa"/>
          </w:tcPr>
          <w:p w14:paraId="4DE86A4E" w14:textId="77777777" w:rsidR="00EB71F4" w:rsidRPr="004429EE" w:rsidRDefault="00EB71F4" w:rsidP="00AA70D5">
            <w:pPr>
              <w:spacing w:line="240" w:lineRule="auto"/>
              <w:jc w:val="left"/>
            </w:pPr>
            <w:r w:rsidRPr="004429EE">
              <w:t>-</w:t>
            </w:r>
          </w:p>
        </w:tc>
      </w:tr>
      <w:tr w:rsidR="00EB71F4" w:rsidRPr="004429EE" w14:paraId="6B961D7D" w14:textId="77777777" w:rsidTr="00AA70D5">
        <w:trPr>
          <w:trHeight w:val="525"/>
        </w:trPr>
        <w:tc>
          <w:tcPr>
            <w:tcW w:w="1500" w:type="dxa"/>
            <w:vAlign w:val="center"/>
          </w:tcPr>
          <w:p w14:paraId="70BAFA8F" w14:textId="77777777" w:rsidR="00EB71F4" w:rsidRPr="004429EE" w:rsidRDefault="00EB71F4" w:rsidP="00AA70D5">
            <w:pPr>
              <w:spacing w:line="240" w:lineRule="auto"/>
              <w:jc w:val="left"/>
            </w:pPr>
            <w:r w:rsidRPr="004429EE">
              <w:rPr>
                <w:rFonts w:eastAsia="Calibri"/>
              </w:rPr>
              <w:t>60</w:t>
            </w:r>
          </w:p>
        </w:tc>
        <w:tc>
          <w:tcPr>
            <w:tcW w:w="1500" w:type="dxa"/>
          </w:tcPr>
          <w:p w14:paraId="502B2C72" w14:textId="3D18B8D6" w:rsidR="00EB71F4" w:rsidRPr="004429EE" w:rsidRDefault="00EB71F4" w:rsidP="00AA70D5">
            <w:pPr>
              <w:spacing w:line="240" w:lineRule="auto"/>
              <w:jc w:val="left"/>
            </w:pPr>
            <w:r w:rsidRPr="004429EE">
              <w:t>-0.0</w:t>
            </w:r>
            <w:r w:rsidR="009C2FCD">
              <w:t>56</w:t>
            </w:r>
          </w:p>
        </w:tc>
        <w:tc>
          <w:tcPr>
            <w:tcW w:w="450" w:type="dxa"/>
          </w:tcPr>
          <w:p w14:paraId="2354EBDB" w14:textId="77777777" w:rsidR="00EB71F4" w:rsidRPr="004429EE" w:rsidRDefault="00EB71F4" w:rsidP="00AA70D5">
            <w:pPr>
              <w:spacing w:line="240" w:lineRule="auto"/>
              <w:jc w:val="left"/>
            </w:pPr>
            <w:r w:rsidRPr="004429EE">
              <w:rPr>
                <w:rFonts w:eastAsia="Calibri"/>
              </w:rPr>
              <w:t xml:space="preserve"> </w:t>
            </w:r>
          </w:p>
        </w:tc>
        <w:tc>
          <w:tcPr>
            <w:tcW w:w="1500" w:type="dxa"/>
          </w:tcPr>
          <w:p w14:paraId="0BE8ED41" w14:textId="2FBFE180" w:rsidR="00EB71F4" w:rsidRPr="004429EE" w:rsidRDefault="00EB71F4" w:rsidP="00AA70D5">
            <w:pPr>
              <w:spacing w:line="240" w:lineRule="auto"/>
              <w:jc w:val="left"/>
            </w:pPr>
            <w:r w:rsidRPr="004429EE">
              <w:t>-0.09</w:t>
            </w:r>
            <w:r w:rsidR="00AF7B8C">
              <w:t>38</w:t>
            </w:r>
          </w:p>
        </w:tc>
        <w:tc>
          <w:tcPr>
            <w:tcW w:w="1500" w:type="dxa"/>
          </w:tcPr>
          <w:p w14:paraId="01E28F0A" w14:textId="3D5544E8" w:rsidR="00EB71F4" w:rsidRPr="004429EE" w:rsidRDefault="00EB71F4" w:rsidP="00AA70D5">
            <w:pPr>
              <w:spacing w:line="240" w:lineRule="auto"/>
              <w:jc w:val="left"/>
            </w:pPr>
            <w:r w:rsidRPr="004429EE">
              <w:t>0.02</w:t>
            </w:r>
            <w:r w:rsidR="00AF7B8C">
              <w:t>86</w:t>
            </w:r>
          </w:p>
        </w:tc>
      </w:tr>
      <w:tr w:rsidR="00EB71F4" w:rsidRPr="004429EE" w14:paraId="74DBC5B3" w14:textId="77777777" w:rsidTr="00AA70D5">
        <w:trPr>
          <w:trHeight w:val="525"/>
        </w:trPr>
        <w:tc>
          <w:tcPr>
            <w:tcW w:w="1500" w:type="dxa"/>
            <w:vAlign w:val="center"/>
          </w:tcPr>
          <w:p w14:paraId="78F640B7" w14:textId="77777777" w:rsidR="00EB71F4" w:rsidRPr="004429EE" w:rsidRDefault="00EB71F4" w:rsidP="00AA70D5">
            <w:pPr>
              <w:spacing w:line="240" w:lineRule="auto"/>
              <w:jc w:val="left"/>
            </w:pPr>
            <w:r w:rsidRPr="004429EE">
              <w:rPr>
                <w:rFonts w:eastAsia="Calibri"/>
              </w:rPr>
              <w:t>120</w:t>
            </w:r>
          </w:p>
        </w:tc>
        <w:tc>
          <w:tcPr>
            <w:tcW w:w="1500" w:type="dxa"/>
          </w:tcPr>
          <w:p w14:paraId="1A1DAA70" w14:textId="134BA2FF" w:rsidR="00EB71F4" w:rsidRPr="004429EE" w:rsidRDefault="00EB71F4" w:rsidP="00AA70D5">
            <w:pPr>
              <w:spacing w:line="240" w:lineRule="auto"/>
              <w:jc w:val="left"/>
            </w:pPr>
            <w:r w:rsidRPr="004429EE">
              <w:t>-0.</w:t>
            </w:r>
            <w:r w:rsidR="009D4D81">
              <w:t>101</w:t>
            </w:r>
          </w:p>
        </w:tc>
        <w:tc>
          <w:tcPr>
            <w:tcW w:w="450" w:type="dxa"/>
          </w:tcPr>
          <w:p w14:paraId="7F204B32" w14:textId="77777777" w:rsidR="00EB71F4" w:rsidRPr="004429EE" w:rsidRDefault="00EB71F4" w:rsidP="00AA70D5">
            <w:pPr>
              <w:spacing w:line="240" w:lineRule="auto"/>
              <w:jc w:val="left"/>
            </w:pPr>
            <w:r w:rsidRPr="004429EE">
              <w:rPr>
                <w:rFonts w:eastAsia="Calibri"/>
              </w:rPr>
              <w:t xml:space="preserve"> </w:t>
            </w:r>
          </w:p>
        </w:tc>
        <w:tc>
          <w:tcPr>
            <w:tcW w:w="1500" w:type="dxa"/>
          </w:tcPr>
          <w:p w14:paraId="14F1CC6E" w14:textId="7B2BC9A5" w:rsidR="00EB71F4" w:rsidRPr="004429EE" w:rsidRDefault="00EB71F4" w:rsidP="00AA70D5">
            <w:pPr>
              <w:spacing w:line="240" w:lineRule="auto"/>
              <w:jc w:val="left"/>
            </w:pPr>
            <w:r w:rsidRPr="004429EE">
              <w:t>-0.1</w:t>
            </w:r>
            <w:r w:rsidR="00AF7B8C">
              <w:t>76</w:t>
            </w:r>
          </w:p>
        </w:tc>
        <w:tc>
          <w:tcPr>
            <w:tcW w:w="1500" w:type="dxa"/>
          </w:tcPr>
          <w:p w14:paraId="1B3C56D4" w14:textId="076C4CED" w:rsidR="00EB71F4" w:rsidRPr="004429EE" w:rsidRDefault="00EB71F4" w:rsidP="00AA70D5">
            <w:pPr>
              <w:spacing w:line="240" w:lineRule="auto"/>
              <w:jc w:val="left"/>
            </w:pPr>
            <w:r w:rsidRPr="004429EE">
              <w:t>0.0</w:t>
            </w:r>
            <w:r w:rsidR="00242C95">
              <w:t>523</w:t>
            </w:r>
          </w:p>
        </w:tc>
      </w:tr>
      <w:tr w:rsidR="00EB71F4" w14:paraId="71197145" w14:textId="77777777" w:rsidTr="00AA70D5">
        <w:trPr>
          <w:trHeight w:val="525"/>
        </w:trPr>
        <w:tc>
          <w:tcPr>
            <w:tcW w:w="1500" w:type="dxa"/>
            <w:vAlign w:val="center"/>
          </w:tcPr>
          <w:p w14:paraId="2E3C5732" w14:textId="77777777" w:rsidR="00EB71F4" w:rsidRPr="004429EE" w:rsidRDefault="00EB71F4" w:rsidP="00AA70D5">
            <w:pPr>
              <w:spacing w:line="240" w:lineRule="auto"/>
              <w:jc w:val="left"/>
            </w:pPr>
            <w:r w:rsidRPr="004429EE">
              <w:rPr>
                <w:rFonts w:eastAsia="Calibri"/>
              </w:rPr>
              <w:t>180</w:t>
            </w:r>
          </w:p>
        </w:tc>
        <w:tc>
          <w:tcPr>
            <w:tcW w:w="1500" w:type="dxa"/>
          </w:tcPr>
          <w:p w14:paraId="5BE9D3AF" w14:textId="5A1AACCD" w:rsidR="00EB71F4" w:rsidRPr="004429EE" w:rsidRDefault="00EB71F4" w:rsidP="00AA70D5">
            <w:pPr>
              <w:spacing w:line="240" w:lineRule="auto"/>
              <w:jc w:val="left"/>
            </w:pPr>
            <w:r w:rsidRPr="004429EE">
              <w:t>-0.</w:t>
            </w:r>
            <w:r w:rsidR="009D4D81">
              <w:t>130</w:t>
            </w:r>
          </w:p>
        </w:tc>
        <w:tc>
          <w:tcPr>
            <w:tcW w:w="450" w:type="dxa"/>
          </w:tcPr>
          <w:p w14:paraId="346AB518" w14:textId="77777777" w:rsidR="00EB71F4" w:rsidRPr="004429EE" w:rsidRDefault="00EB71F4" w:rsidP="00AA70D5">
            <w:pPr>
              <w:spacing w:line="240" w:lineRule="auto"/>
              <w:jc w:val="left"/>
            </w:pPr>
            <w:r w:rsidRPr="004429EE">
              <w:rPr>
                <w:rFonts w:eastAsia="Calibri"/>
              </w:rPr>
              <w:t xml:space="preserve"> </w:t>
            </w:r>
          </w:p>
        </w:tc>
        <w:tc>
          <w:tcPr>
            <w:tcW w:w="1500" w:type="dxa"/>
          </w:tcPr>
          <w:p w14:paraId="7CB22F5C" w14:textId="0E489867" w:rsidR="00EB71F4" w:rsidRPr="004429EE" w:rsidRDefault="00EB71F4" w:rsidP="00AA70D5">
            <w:pPr>
              <w:spacing w:line="240" w:lineRule="auto"/>
              <w:jc w:val="left"/>
            </w:pPr>
            <w:r w:rsidRPr="004429EE">
              <w:t>-0.</w:t>
            </w:r>
            <w:r w:rsidR="00242C95">
              <w:t>243</w:t>
            </w:r>
          </w:p>
        </w:tc>
        <w:tc>
          <w:tcPr>
            <w:tcW w:w="1500" w:type="dxa"/>
          </w:tcPr>
          <w:p w14:paraId="5ACFCDDD" w14:textId="3997960A" w:rsidR="00EB71F4" w:rsidRPr="004429EE" w:rsidRDefault="00EB71F4" w:rsidP="00AA70D5">
            <w:pPr>
              <w:spacing w:line="240" w:lineRule="auto"/>
              <w:jc w:val="left"/>
            </w:pPr>
            <w:r w:rsidRPr="004429EE">
              <w:t>0.0</w:t>
            </w:r>
            <w:r w:rsidR="002455DC">
              <w:t>658</w:t>
            </w:r>
          </w:p>
        </w:tc>
      </w:tr>
    </w:tbl>
    <w:p w14:paraId="781B6A09" w14:textId="77777777" w:rsidR="00EB71F4" w:rsidRDefault="00EB71F4" w:rsidP="00EB71F4">
      <w:pPr>
        <w:pStyle w:val="NormalWeb"/>
        <w:rPr>
          <w:b/>
          <w:bCs/>
        </w:rPr>
      </w:pPr>
    </w:p>
    <w:p w14:paraId="2739C701" w14:textId="48C1407A" w:rsidR="008C3B56" w:rsidRPr="004429EE" w:rsidRDefault="002440A5" w:rsidP="00EB71F4">
      <w:pPr>
        <w:pStyle w:val="NormalWeb"/>
        <w:rPr>
          <w:b/>
          <w:bCs/>
        </w:rPr>
      </w:pPr>
      <w:r>
        <w:rPr>
          <w:b/>
          <w:bCs/>
          <w:noProof/>
          <w14:ligatures w14:val="standardContextual"/>
        </w:rPr>
        <w:drawing>
          <wp:inline distT="0" distB="0" distL="0" distR="0" wp14:anchorId="38D363A9" wp14:editId="0453EC0A">
            <wp:extent cx="5943600" cy="4315460"/>
            <wp:effectExtent l="0" t="0" r="0" b="2540"/>
            <wp:docPr id="1230145142" name="Picture 1" descr="A graph showing a curv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145142" name="Picture 1" descr="A graph showing a curv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1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60385" w14:textId="556946FF" w:rsidR="00D56BAB" w:rsidRDefault="00D56BAB" w:rsidP="00D56BAB">
      <w:pPr>
        <w:pStyle w:val="NormalWeb"/>
        <w:rPr>
          <w:b/>
          <w:bCs/>
          <w:noProof/>
        </w:rPr>
      </w:pPr>
      <w:r>
        <w:rPr>
          <w:b/>
          <w:bCs/>
        </w:rPr>
        <w:t>Supp</w:t>
      </w:r>
      <w:r w:rsidR="002D145A">
        <w:rPr>
          <w:b/>
          <w:bCs/>
        </w:rPr>
        <w:t>.</w:t>
      </w:r>
      <w:r>
        <w:rPr>
          <w:b/>
          <w:bCs/>
        </w:rPr>
        <w:t xml:space="preserve"> Figure</w:t>
      </w:r>
      <w:r w:rsidRPr="004429EE">
        <w:rPr>
          <w:b/>
          <w:bCs/>
        </w:rPr>
        <w:t xml:space="preserve"> </w:t>
      </w:r>
      <w:r>
        <w:rPr>
          <w:b/>
          <w:bCs/>
        </w:rPr>
        <w:t>3.</w:t>
      </w:r>
      <w:r w:rsidRPr="004429EE">
        <w:rPr>
          <w:b/>
          <w:bCs/>
        </w:rPr>
        <w:t xml:space="preserve"> Event Study Plot. </w:t>
      </w:r>
      <w:r>
        <w:rPr>
          <w:b/>
          <w:bCs/>
        </w:rPr>
        <w:tab/>
      </w:r>
      <w:r>
        <w:rPr>
          <w:b/>
          <w:bCs/>
        </w:rPr>
        <w:br/>
      </w:r>
      <w:r w:rsidRPr="004429EE">
        <w:t>Event study coefficients along with their 95% confidence intervals for an alternative treatment group (VR</w:t>
      </w:r>
      <w:r>
        <w:t xml:space="preserve"> </w:t>
      </w:r>
      <w:r w:rsidRPr="00D56BAB">
        <w:rPr>
          <w:i/>
          <w:iCs/>
        </w:rPr>
        <w:t>E. faecium</w:t>
      </w:r>
      <w:r>
        <w:t xml:space="preserve"> only</w:t>
      </w:r>
      <w:r w:rsidRPr="004429EE">
        <w:t>). Coefficients represent the impact of PCR introduction for diagnosis of VR</w:t>
      </w:r>
      <w:r>
        <w:t xml:space="preserve"> </w:t>
      </w:r>
      <w:r w:rsidRPr="00D56BAB">
        <w:rPr>
          <w:i/>
          <w:iCs/>
        </w:rPr>
        <w:t>E. faecium</w:t>
      </w:r>
      <w:r>
        <w:t xml:space="preserve"> </w:t>
      </w:r>
      <w:r w:rsidRPr="004429EE">
        <w:t xml:space="preserve">on mortality risk, and before the intervention (weeks &lt;0) deviations from parallel pre-trends. Error bars depict 95% confidence intervals calculated using </w:t>
      </w:r>
      <w:r w:rsidRPr="004429EE">
        <w:rPr>
          <w:rFonts w:eastAsia="Calibri"/>
        </w:rPr>
        <w:t>the 2.5</w:t>
      </w:r>
      <w:r w:rsidRPr="004429EE">
        <w:rPr>
          <w:rFonts w:eastAsia="Calibri"/>
          <w:vertAlign w:val="superscript"/>
        </w:rPr>
        <w:t>th</w:t>
      </w:r>
      <w:r w:rsidRPr="004429EE">
        <w:rPr>
          <w:rFonts w:eastAsia="Calibri"/>
        </w:rPr>
        <w:t xml:space="preserve"> and 97.5</w:t>
      </w:r>
      <w:r w:rsidRPr="004429EE">
        <w:rPr>
          <w:rFonts w:eastAsia="Calibri"/>
          <w:vertAlign w:val="superscript"/>
        </w:rPr>
        <w:t>th</w:t>
      </w:r>
      <w:r w:rsidRPr="004429EE">
        <w:rPr>
          <w:rFonts w:eastAsia="Calibri"/>
        </w:rPr>
        <w:t xml:space="preserve"> percentiles from 1000 bootstrap resamples</w:t>
      </w:r>
      <w:r w:rsidRPr="004429EE">
        <w:t>.</w:t>
      </w:r>
      <w:r w:rsidRPr="004429EE">
        <w:rPr>
          <w:b/>
          <w:bCs/>
          <w:noProof/>
        </w:rPr>
        <w:t xml:space="preserve"> </w:t>
      </w:r>
    </w:p>
    <w:p w14:paraId="412A05FA" w14:textId="77777777" w:rsidR="002D145A" w:rsidRDefault="002D145A" w:rsidP="00D56BAB">
      <w:pPr>
        <w:pStyle w:val="NormalWeb"/>
        <w:rPr>
          <w:b/>
          <w:bCs/>
          <w:noProof/>
        </w:rPr>
      </w:pPr>
    </w:p>
    <w:p w14:paraId="3B9FFC6E" w14:textId="54EB00D4" w:rsidR="4ABA4162" w:rsidRDefault="4ABA4162" w:rsidP="4ABA4162">
      <w:pPr>
        <w:pStyle w:val="NormalWeb"/>
        <w:rPr>
          <w:b/>
          <w:bCs/>
          <w:noProof/>
        </w:rPr>
      </w:pPr>
    </w:p>
    <w:p w14:paraId="603573F8" w14:textId="3C3237BE" w:rsidR="002D145A" w:rsidRDefault="002D145A" w:rsidP="00D56BAB">
      <w:pPr>
        <w:pStyle w:val="NormalWeb"/>
        <w:rPr>
          <w:b/>
          <w:bCs/>
          <w:noProof/>
        </w:rPr>
      </w:pPr>
      <w:r w:rsidRPr="4ABA4162">
        <w:rPr>
          <w:b/>
          <w:bCs/>
          <w:noProof/>
        </w:rPr>
        <w:t xml:space="preserve">Supp. Table 3 Regression </w:t>
      </w:r>
      <w:r w:rsidR="00344ACB" w:rsidRPr="4ABA4162">
        <w:rPr>
          <w:b/>
          <w:bCs/>
          <w:noProof/>
        </w:rPr>
        <w:t xml:space="preserve">coefficients to calculate the </w:t>
      </w:r>
      <w:r w:rsidR="7D2F021E" w:rsidRPr="4ABA4162">
        <w:rPr>
          <w:b/>
          <w:bCs/>
          <w:noProof/>
        </w:rPr>
        <w:t>inverse probability of treatment weights (IPTW) and range of weights estimated</w:t>
      </w:r>
    </w:p>
    <w:p w14:paraId="76D8DA3B" w14:textId="0316646F" w:rsidR="0FF72326" w:rsidRDefault="0FF72326" w:rsidP="0FF72326">
      <w:pPr>
        <w:pStyle w:val="NormalWeb"/>
        <w:rPr>
          <w:b/>
          <w:bCs/>
          <w:noProof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875"/>
        <w:gridCol w:w="1417"/>
        <w:gridCol w:w="1470"/>
        <w:gridCol w:w="1995"/>
        <w:gridCol w:w="2010"/>
      </w:tblGrid>
      <w:tr w:rsidR="4ABA4162" w14:paraId="3029B1C0" w14:textId="77777777" w:rsidTr="4ABA4162">
        <w:trPr>
          <w:trHeight w:val="300"/>
        </w:trPr>
        <w:tc>
          <w:tcPr>
            <w:tcW w:w="1875" w:type="dxa"/>
            <w:vAlign w:val="center"/>
          </w:tcPr>
          <w:p w14:paraId="1D0D2276" w14:textId="6FA26477" w:rsidR="7FA476B7" w:rsidRDefault="7FA476B7" w:rsidP="4ABA4162">
            <w:pPr>
              <w:rPr>
                <w:b/>
                <w:bCs/>
              </w:rPr>
            </w:pPr>
            <w:r w:rsidRPr="4ABA4162">
              <w:rPr>
                <w:b/>
                <w:bCs/>
              </w:rPr>
              <w:t>T</w:t>
            </w:r>
            <w:r w:rsidR="4ABA4162" w:rsidRPr="4ABA4162">
              <w:rPr>
                <w:b/>
                <w:bCs/>
              </w:rPr>
              <w:t>erm</w:t>
            </w:r>
          </w:p>
        </w:tc>
        <w:tc>
          <w:tcPr>
            <w:tcW w:w="1417" w:type="dxa"/>
            <w:vAlign w:val="center"/>
          </w:tcPr>
          <w:p w14:paraId="09131219" w14:textId="6EA1D91F" w:rsidR="2F59AFA0" w:rsidRDefault="2F59AFA0" w:rsidP="4ABA4162">
            <w:pPr>
              <w:rPr>
                <w:b/>
                <w:bCs/>
              </w:rPr>
            </w:pPr>
            <w:r w:rsidRPr="4ABA4162">
              <w:rPr>
                <w:b/>
                <w:bCs/>
              </w:rPr>
              <w:t>E</w:t>
            </w:r>
            <w:r w:rsidR="4ABA4162" w:rsidRPr="4ABA4162">
              <w:rPr>
                <w:b/>
                <w:bCs/>
              </w:rPr>
              <w:t>stimate</w:t>
            </w:r>
          </w:p>
        </w:tc>
        <w:tc>
          <w:tcPr>
            <w:tcW w:w="1470" w:type="dxa"/>
            <w:vAlign w:val="center"/>
          </w:tcPr>
          <w:p w14:paraId="519DFCCE" w14:textId="1FA61891" w:rsidR="43142972" w:rsidRDefault="43142972" w:rsidP="4ABA4162">
            <w:pPr>
              <w:jc w:val="left"/>
              <w:rPr>
                <w:b/>
                <w:bCs/>
              </w:rPr>
            </w:pPr>
            <w:r w:rsidRPr="4ABA4162">
              <w:rPr>
                <w:b/>
                <w:bCs/>
              </w:rPr>
              <w:t>SE</w:t>
            </w:r>
          </w:p>
        </w:tc>
        <w:tc>
          <w:tcPr>
            <w:tcW w:w="1995" w:type="dxa"/>
            <w:vAlign w:val="center"/>
          </w:tcPr>
          <w:p w14:paraId="10856323" w14:textId="6D5E38E3" w:rsidR="43142972" w:rsidRDefault="43142972" w:rsidP="4ABA4162">
            <w:pPr>
              <w:rPr>
                <w:b/>
                <w:bCs/>
              </w:rPr>
            </w:pPr>
            <w:r w:rsidRPr="4ABA4162">
              <w:rPr>
                <w:b/>
                <w:bCs/>
              </w:rPr>
              <w:t>S</w:t>
            </w:r>
            <w:r w:rsidR="4ABA4162" w:rsidRPr="4ABA4162">
              <w:rPr>
                <w:b/>
                <w:bCs/>
              </w:rPr>
              <w:t>tatistic</w:t>
            </w:r>
          </w:p>
        </w:tc>
        <w:tc>
          <w:tcPr>
            <w:tcW w:w="2010" w:type="dxa"/>
            <w:vAlign w:val="center"/>
          </w:tcPr>
          <w:p w14:paraId="229E9B46" w14:textId="7A199279" w:rsidR="364C6166" w:rsidRDefault="364C6166" w:rsidP="4ABA4162">
            <w:pPr>
              <w:rPr>
                <w:b/>
                <w:bCs/>
              </w:rPr>
            </w:pPr>
            <w:r w:rsidRPr="4ABA4162">
              <w:rPr>
                <w:b/>
                <w:bCs/>
              </w:rPr>
              <w:t>P-</w:t>
            </w:r>
            <w:r w:rsidR="4ABA4162" w:rsidRPr="4ABA4162">
              <w:rPr>
                <w:b/>
                <w:bCs/>
              </w:rPr>
              <w:t>value</w:t>
            </w:r>
          </w:p>
        </w:tc>
      </w:tr>
      <w:tr w:rsidR="4ABA4162" w14:paraId="1A4C3619" w14:textId="77777777" w:rsidTr="4ABA4162">
        <w:trPr>
          <w:trHeight w:val="300"/>
        </w:trPr>
        <w:tc>
          <w:tcPr>
            <w:tcW w:w="1875" w:type="dxa"/>
            <w:vAlign w:val="center"/>
          </w:tcPr>
          <w:p w14:paraId="01CDDE58" w14:textId="20E1CF2B" w:rsidR="4ABA4162" w:rsidRDefault="4ABA4162" w:rsidP="4ABA4162">
            <w:pPr>
              <w:rPr>
                <w:i/>
                <w:iCs/>
              </w:rPr>
            </w:pPr>
            <w:r w:rsidRPr="4ABA4162">
              <w:rPr>
                <w:i/>
                <w:iCs/>
              </w:rPr>
              <w:t>(Intercept)</w:t>
            </w:r>
          </w:p>
        </w:tc>
        <w:tc>
          <w:tcPr>
            <w:tcW w:w="1417" w:type="dxa"/>
            <w:vAlign w:val="center"/>
          </w:tcPr>
          <w:p w14:paraId="3E7BD0AC" w14:textId="54C49208" w:rsidR="4ABA4162" w:rsidRDefault="4ABA4162" w:rsidP="4ABA4162">
            <w:r>
              <w:t>-3.1004125</w:t>
            </w:r>
          </w:p>
        </w:tc>
        <w:tc>
          <w:tcPr>
            <w:tcW w:w="1470" w:type="dxa"/>
            <w:vAlign w:val="center"/>
          </w:tcPr>
          <w:p w14:paraId="716FB90D" w14:textId="5604B064" w:rsidR="4ABA4162" w:rsidRDefault="4ABA4162" w:rsidP="4ABA4162">
            <w:r>
              <w:t>0.5532044</w:t>
            </w:r>
          </w:p>
        </w:tc>
        <w:tc>
          <w:tcPr>
            <w:tcW w:w="1995" w:type="dxa"/>
            <w:vAlign w:val="center"/>
          </w:tcPr>
          <w:p w14:paraId="4974E1CC" w14:textId="58F39615" w:rsidR="4ABA4162" w:rsidRDefault="4ABA4162" w:rsidP="4ABA4162">
            <w:r>
              <w:t>-5.6044609</w:t>
            </w:r>
          </w:p>
        </w:tc>
        <w:tc>
          <w:tcPr>
            <w:tcW w:w="2010" w:type="dxa"/>
            <w:vAlign w:val="center"/>
          </w:tcPr>
          <w:p w14:paraId="57B2CE34" w14:textId="28F2EC8F" w:rsidR="4ABA4162" w:rsidRDefault="4ABA4162" w:rsidP="4ABA4162">
            <w:r>
              <w:t>2.089E-08</w:t>
            </w:r>
            <w:r w:rsidR="75D8CE98">
              <w:t>***</w:t>
            </w:r>
          </w:p>
        </w:tc>
      </w:tr>
      <w:tr w:rsidR="4ABA4162" w14:paraId="16966626" w14:textId="77777777" w:rsidTr="4ABA4162">
        <w:trPr>
          <w:trHeight w:val="300"/>
        </w:trPr>
        <w:tc>
          <w:tcPr>
            <w:tcW w:w="1875" w:type="dxa"/>
            <w:vAlign w:val="center"/>
          </w:tcPr>
          <w:p w14:paraId="42A6207A" w14:textId="083EA440" w:rsidR="21F3CCB5" w:rsidRDefault="21F3CCB5" w:rsidP="4ABA4162">
            <w:pPr>
              <w:jc w:val="left"/>
              <w:rPr>
                <w:i/>
                <w:iCs/>
              </w:rPr>
            </w:pPr>
            <w:r w:rsidRPr="4ABA4162">
              <w:rPr>
                <w:i/>
                <w:iCs/>
              </w:rPr>
              <w:t>Age (years)</w:t>
            </w:r>
          </w:p>
        </w:tc>
        <w:tc>
          <w:tcPr>
            <w:tcW w:w="1417" w:type="dxa"/>
            <w:vAlign w:val="center"/>
          </w:tcPr>
          <w:p w14:paraId="215751D0" w14:textId="7F7829C2" w:rsidR="4ABA4162" w:rsidRDefault="4ABA4162" w:rsidP="4ABA4162">
            <w:r>
              <w:t>0.00073277</w:t>
            </w:r>
          </w:p>
        </w:tc>
        <w:tc>
          <w:tcPr>
            <w:tcW w:w="1470" w:type="dxa"/>
            <w:vAlign w:val="center"/>
          </w:tcPr>
          <w:p w14:paraId="474EB697" w14:textId="64E67581" w:rsidR="4ABA4162" w:rsidRDefault="4ABA4162" w:rsidP="4ABA4162">
            <w:r>
              <w:t>0.00725204</w:t>
            </w:r>
          </w:p>
        </w:tc>
        <w:tc>
          <w:tcPr>
            <w:tcW w:w="1995" w:type="dxa"/>
            <w:vAlign w:val="center"/>
          </w:tcPr>
          <w:p w14:paraId="3DC7C2B6" w14:textId="50CEE035" w:rsidR="4ABA4162" w:rsidRDefault="4ABA4162" w:rsidP="4ABA4162">
            <w:r>
              <w:t>0.10104297</w:t>
            </w:r>
          </w:p>
        </w:tc>
        <w:tc>
          <w:tcPr>
            <w:tcW w:w="2010" w:type="dxa"/>
            <w:vAlign w:val="center"/>
          </w:tcPr>
          <w:p w14:paraId="6D7B04C0" w14:textId="70F31160" w:rsidR="4ABA4162" w:rsidRDefault="4ABA4162" w:rsidP="4ABA4162">
            <w:r>
              <w:t>0.91951635</w:t>
            </w:r>
          </w:p>
        </w:tc>
      </w:tr>
      <w:tr w:rsidR="4ABA4162" w14:paraId="6D428FBA" w14:textId="77777777" w:rsidTr="4ABA4162">
        <w:trPr>
          <w:trHeight w:val="300"/>
        </w:trPr>
        <w:tc>
          <w:tcPr>
            <w:tcW w:w="1875" w:type="dxa"/>
            <w:vAlign w:val="center"/>
          </w:tcPr>
          <w:p w14:paraId="742192DF" w14:textId="18B5D46A" w:rsidR="7EBFBBDB" w:rsidRDefault="7EBFBBDB" w:rsidP="4ABA4162">
            <w:pPr>
              <w:jc w:val="left"/>
              <w:rPr>
                <w:i/>
                <w:iCs/>
              </w:rPr>
            </w:pPr>
            <w:r w:rsidRPr="4ABA4162">
              <w:rPr>
                <w:i/>
                <w:iCs/>
              </w:rPr>
              <w:t>Charlson Score</w:t>
            </w:r>
          </w:p>
        </w:tc>
        <w:tc>
          <w:tcPr>
            <w:tcW w:w="1417" w:type="dxa"/>
            <w:vAlign w:val="center"/>
          </w:tcPr>
          <w:p w14:paraId="0A554C3F" w14:textId="0557C90A" w:rsidR="4ABA4162" w:rsidRDefault="4ABA4162" w:rsidP="4ABA4162">
            <w:r>
              <w:t>0.00829178</w:t>
            </w:r>
          </w:p>
        </w:tc>
        <w:tc>
          <w:tcPr>
            <w:tcW w:w="1470" w:type="dxa"/>
            <w:vAlign w:val="center"/>
          </w:tcPr>
          <w:p w14:paraId="35602986" w14:textId="224685E2" w:rsidR="4ABA4162" w:rsidRDefault="4ABA4162" w:rsidP="4ABA4162">
            <w:r>
              <w:t>0.03153839</w:t>
            </w:r>
          </w:p>
        </w:tc>
        <w:tc>
          <w:tcPr>
            <w:tcW w:w="1995" w:type="dxa"/>
            <w:vAlign w:val="center"/>
          </w:tcPr>
          <w:p w14:paraId="7687024C" w14:textId="655DD3BB" w:rsidR="4ABA4162" w:rsidRDefault="4ABA4162" w:rsidP="4ABA4162">
            <w:r>
              <w:t>0.26291064</w:t>
            </w:r>
          </w:p>
        </w:tc>
        <w:tc>
          <w:tcPr>
            <w:tcW w:w="2010" w:type="dxa"/>
            <w:vAlign w:val="center"/>
          </w:tcPr>
          <w:p w14:paraId="01E539AE" w14:textId="155D10A6" w:rsidR="4ABA4162" w:rsidRDefault="4ABA4162" w:rsidP="4ABA4162">
            <w:r>
              <w:t>0.79261946</w:t>
            </w:r>
          </w:p>
        </w:tc>
      </w:tr>
      <w:tr w:rsidR="4ABA4162" w14:paraId="24E77325" w14:textId="77777777" w:rsidTr="4ABA4162">
        <w:trPr>
          <w:trHeight w:val="300"/>
        </w:trPr>
        <w:tc>
          <w:tcPr>
            <w:tcW w:w="1875" w:type="dxa"/>
            <w:vAlign w:val="center"/>
          </w:tcPr>
          <w:p w14:paraId="0EDCB13E" w14:textId="21CDB5DB" w:rsidR="6581D5C4" w:rsidRDefault="6581D5C4" w:rsidP="4ABA4162">
            <w:pPr>
              <w:jc w:val="left"/>
              <w:rPr>
                <w:i/>
                <w:iCs/>
              </w:rPr>
            </w:pPr>
            <w:r w:rsidRPr="4ABA4162">
              <w:rPr>
                <w:i/>
                <w:iCs/>
              </w:rPr>
              <w:t>Previous antibiotic use (yes)</w:t>
            </w:r>
          </w:p>
        </w:tc>
        <w:tc>
          <w:tcPr>
            <w:tcW w:w="1417" w:type="dxa"/>
            <w:vAlign w:val="center"/>
          </w:tcPr>
          <w:p w14:paraId="4EFF380D" w14:textId="5D8C0712" w:rsidR="4ABA4162" w:rsidRDefault="4ABA4162" w:rsidP="4ABA4162">
            <w:r>
              <w:t>2.6100436</w:t>
            </w:r>
          </w:p>
        </w:tc>
        <w:tc>
          <w:tcPr>
            <w:tcW w:w="1470" w:type="dxa"/>
            <w:vAlign w:val="center"/>
          </w:tcPr>
          <w:p w14:paraId="7691DCFE" w14:textId="1FC6C832" w:rsidR="4ABA4162" w:rsidRDefault="4ABA4162" w:rsidP="4ABA4162">
            <w:r>
              <w:t>0.34321448</w:t>
            </w:r>
          </w:p>
        </w:tc>
        <w:tc>
          <w:tcPr>
            <w:tcW w:w="1995" w:type="dxa"/>
            <w:vAlign w:val="center"/>
          </w:tcPr>
          <w:p w14:paraId="30233163" w14:textId="2DB36565" w:rsidR="4ABA4162" w:rsidRDefault="4ABA4162" w:rsidP="4ABA4162">
            <w:r>
              <w:t>7.6047012</w:t>
            </w:r>
          </w:p>
        </w:tc>
        <w:tc>
          <w:tcPr>
            <w:tcW w:w="2010" w:type="dxa"/>
            <w:vAlign w:val="center"/>
          </w:tcPr>
          <w:p w14:paraId="3996AB67" w14:textId="27C7B36C" w:rsidR="4ABA4162" w:rsidRDefault="4ABA4162" w:rsidP="4ABA4162">
            <w:r>
              <w:t>2.8556E-14</w:t>
            </w:r>
            <w:r w:rsidR="105DDDE3">
              <w:t>***</w:t>
            </w:r>
          </w:p>
        </w:tc>
      </w:tr>
    </w:tbl>
    <w:p w14:paraId="4AD1FE96" w14:textId="460C11CB" w:rsidR="4ABA4162" w:rsidRDefault="4ABA4162" w:rsidP="4ABA4162">
      <w:pPr>
        <w:pStyle w:val="NormalWeb"/>
        <w:rPr>
          <w:b/>
          <w:bCs/>
          <w:noProof/>
        </w:rPr>
      </w:pPr>
    </w:p>
    <w:p w14:paraId="5E48CDA3" w14:textId="77777777" w:rsidR="00344ACB" w:rsidRDefault="00344ACB" w:rsidP="00D56BAB">
      <w:pPr>
        <w:pStyle w:val="NormalWeb"/>
        <w:rPr>
          <w:b/>
          <w:bCs/>
          <w:noProof/>
        </w:rPr>
      </w:pPr>
    </w:p>
    <w:p w14:paraId="6972FC51" w14:textId="77777777" w:rsidR="00344ACB" w:rsidRPr="004429EE" w:rsidRDefault="00344ACB" w:rsidP="00D56BAB">
      <w:pPr>
        <w:pStyle w:val="NormalWeb"/>
      </w:pPr>
    </w:p>
    <w:p w14:paraId="3871E11B" w14:textId="6D561119" w:rsidR="00D56BAB" w:rsidRPr="004429EE" w:rsidRDefault="01FEB897" w:rsidP="4ABA4162">
      <w:pPr>
        <w:jc w:val="left"/>
        <w:rPr>
          <w:rFonts w:eastAsia="Times New Roman"/>
          <w:b/>
          <w:bCs/>
        </w:rPr>
      </w:pPr>
      <w:r w:rsidRPr="4ABA4162">
        <w:rPr>
          <w:rFonts w:eastAsia="Times New Roman"/>
          <w:b/>
          <w:bCs/>
        </w:rPr>
        <w:t>Range of weights for the observations: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470"/>
        <w:gridCol w:w="1470"/>
        <w:gridCol w:w="1470"/>
        <w:gridCol w:w="1470"/>
        <w:gridCol w:w="534"/>
        <w:gridCol w:w="1119"/>
      </w:tblGrid>
      <w:tr w:rsidR="4ABA4162" w14:paraId="6736956C" w14:textId="77777777" w:rsidTr="4ABA4162">
        <w:trPr>
          <w:trHeight w:val="300"/>
        </w:trPr>
        <w:tc>
          <w:tcPr>
            <w:tcW w:w="1470" w:type="dxa"/>
            <w:vAlign w:val="center"/>
          </w:tcPr>
          <w:p w14:paraId="27FF53F6" w14:textId="45C8054C" w:rsidR="7F0229B9" w:rsidRDefault="7F0229B9" w:rsidP="4ABA4162">
            <w:r>
              <w:t>M</w:t>
            </w:r>
            <w:r w:rsidR="4ABA4162">
              <w:t>inimum</w:t>
            </w:r>
          </w:p>
        </w:tc>
        <w:tc>
          <w:tcPr>
            <w:tcW w:w="1470" w:type="dxa"/>
            <w:vAlign w:val="center"/>
          </w:tcPr>
          <w:p w14:paraId="052D3D5F" w14:textId="0B41EFC6" w:rsidR="7FE27894" w:rsidRDefault="7FE27894" w:rsidP="4ABA4162">
            <w:r>
              <w:t>Q1</w:t>
            </w:r>
          </w:p>
        </w:tc>
        <w:tc>
          <w:tcPr>
            <w:tcW w:w="1470" w:type="dxa"/>
            <w:vAlign w:val="center"/>
          </w:tcPr>
          <w:p w14:paraId="7C6A73B5" w14:textId="03130A8F" w:rsidR="4ABA4162" w:rsidRDefault="4ABA4162" w:rsidP="4ABA4162">
            <w:r>
              <w:t>median</w:t>
            </w:r>
          </w:p>
        </w:tc>
        <w:tc>
          <w:tcPr>
            <w:tcW w:w="1470" w:type="dxa"/>
            <w:vAlign w:val="center"/>
          </w:tcPr>
          <w:p w14:paraId="13D4E480" w14:textId="5E530D0C" w:rsidR="4ABA4162" w:rsidRDefault="4ABA4162" w:rsidP="4ABA4162">
            <w:r>
              <w:t>mean</w:t>
            </w:r>
          </w:p>
        </w:tc>
        <w:tc>
          <w:tcPr>
            <w:tcW w:w="534" w:type="dxa"/>
            <w:vAlign w:val="center"/>
          </w:tcPr>
          <w:p w14:paraId="38FC11AE" w14:textId="4DA33841" w:rsidR="6E10D32F" w:rsidRDefault="6E10D32F" w:rsidP="4ABA4162">
            <w:r>
              <w:t>Q</w:t>
            </w:r>
            <w:r w:rsidR="4ABA4162">
              <w:t>3</w:t>
            </w:r>
          </w:p>
        </w:tc>
        <w:tc>
          <w:tcPr>
            <w:tcW w:w="1119" w:type="dxa"/>
            <w:vAlign w:val="center"/>
          </w:tcPr>
          <w:p w14:paraId="5B247AA7" w14:textId="59A0D7DC" w:rsidR="4ABA4162" w:rsidRDefault="4ABA4162" w:rsidP="4ABA4162">
            <w:r>
              <w:t>maximum</w:t>
            </w:r>
          </w:p>
        </w:tc>
      </w:tr>
      <w:tr w:rsidR="4ABA4162" w14:paraId="6068F854" w14:textId="77777777" w:rsidTr="4ABA4162">
        <w:trPr>
          <w:trHeight w:val="300"/>
        </w:trPr>
        <w:tc>
          <w:tcPr>
            <w:tcW w:w="1470" w:type="dxa"/>
            <w:vAlign w:val="center"/>
          </w:tcPr>
          <w:p w14:paraId="0DD397AA" w14:textId="3A25C4FA" w:rsidR="4ABA4162" w:rsidRDefault="4ABA4162" w:rsidP="4ABA4162">
            <w:r>
              <w:t>0.04582456</w:t>
            </w:r>
          </w:p>
        </w:tc>
        <w:tc>
          <w:tcPr>
            <w:tcW w:w="1470" w:type="dxa"/>
            <w:vAlign w:val="center"/>
          </w:tcPr>
          <w:p w14:paraId="3AA82879" w14:textId="738D9031" w:rsidR="4ABA4162" w:rsidRDefault="4ABA4162" w:rsidP="4ABA4162">
            <w:r>
              <w:t>0.04825823</w:t>
            </w:r>
          </w:p>
        </w:tc>
        <w:tc>
          <w:tcPr>
            <w:tcW w:w="1470" w:type="dxa"/>
            <w:vAlign w:val="center"/>
          </w:tcPr>
          <w:p w14:paraId="796D4B29" w14:textId="0206EE48" w:rsidR="4ABA4162" w:rsidRDefault="4ABA4162" w:rsidP="4ABA4162">
            <w:r>
              <w:t>0.65134229</w:t>
            </w:r>
          </w:p>
        </w:tc>
        <w:tc>
          <w:tcPr>
            <w:tcW w:w="1470" w:type="dxa"/>
            <w:vAlign w:val="center"/>
          </w:tcPr>
          <w:p w14:paraId="2B3BB818" w14:textId="7DD3DA2A" w:rsidR="4ABA4162" w:rsidRDefault="4ABA4162" w:rsidP="4ABA4162">
            <w:r>
              <w:t>0.48444231</w:t>
            </w:r>
          </w:p>
        </w:tc>
        <w:tc>
          <w:tcPr>
            <w:tcW w:w="534" w:type="dxa"/>
            <w:vAlign w:val="center"/>
          </w:tcPr>
          <w:p w14:paraId="6462ACBC" w14:textId="5EB26AD6" w:rsidR="4ABA4162" w:rsidRDefault="4ABA4162" w:rsidP="4ABA4162">
            <w:r>
              <w:t>1</w:t>
            </w:r>
          </w:p>
        </w:tc>
        <w:tc>
          <w:tcPr>
            <w:tcW w:w="1119" w:type="dxa"/>
            <w:vAlign w:val="center"/>
          </w:tcPr>
          <w:p w14:paraId="52BAB9DD" w14:textId="3A70A555" w:rsidR="4ABA4162" w:rsidRDefault="4ABA4162" w:rsidP="4ABA4162">
            <w:r>
              <w:t>1</w:t>
            </w:r>
          </w:p>
        </w:tc>
      </w:tr>
    </w:tbl>
    <w:p w14:paraId="5EB50166" w14:textId="5D2214C8" w:rsidR="4ABA4162" w:rsidRDefault="4ABA4162" w:rsidP="4ABA4162">
      <w:pPr>
        <w:jc w:val="left"/>
        <w:rPr>
          <w:rFonts w:eastAsia="Times New Roman"/>
          <w:b/>
          <w:bCs/>
        </w:rPr>
      </w:pPr>
    </w:p>
    <w:p w14:paraId="0CED68EA" w14:textId="77777777" w:rsidR="00FC0A94" w:rsidRDefault="00FC0A94"/>
    <w:sectPr w:rsidR="00FC0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41D2E"/>
    <w:multiLevelType w:val="hybridMultilevel"/>
    <w:tmpl w:val="C5AE5FAC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A688D"/>
    <w:multiLevelType w:val="hybridMultilevel"/>
    <w:tmpl w:val="C5AE5FAC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475668">
    <w:abstractNumId w:val="1"/>
  </w:num>
  <w:num w:numId="2" w16cid:durableId="294332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A53"/>
    <w:rsid w:val="00012FED"/>
    <w:rsid w:val="00022D01"/>
    <w:rsid w:val="001A334E"/>
    <w:rsid w:val="001C307F"/>
    <w:rsid w:val="001F68CA"/>
    <w:rsid w:val="00242C95"/>
    <w:rsid w:val="002440A5"/>
    <w:rsid w:val="002455DC"/>
    <w:rsid w:val="002D145A"/>
    <w:rsid w:val="00344ACB"/>
    <w:rsid w:val="003801B4"/>
    <w:rsid w:val="003B038F"/>
    <w:rsid w:val="0061001F"/>
    <w:rsid w:val="006877F9"/>
    <w:rsid w:val="00762A53"/>
    <w:rsid w:val="008440CC"/>
    <w:rsid w:val="008C3B56"/>
    <w:rsid w:val="009C2FCD"/>
    <w:rsid w:val="009D4D81"/>
    <w:rsid w:val="00AA70D5"/>
    <w:rsid w:val="00AF7B8C"/>
    <w:rsid w:val="00B838D6"/>
    <w:rsid w:val="00B91BBF"/>
    <w:rsid w:val="00BB58FF"/>
    <w:rsid w:val="00D268F8"/>
    <w:rsid w:val="00D56BAB"/>
    <w:rsid w:val="00D76680"/>
    <w:rsid w:val="00EB71F4"/>
    <w:rsid w:val="00F168D9"/>
    <w:rsid w:val="00F34E75"/>
    <w:rsid w:val="00FC0A94"/>
    <w:rsid w:val="01FEB897"/>
    <w:rsid w:val="0FF72326"/>
    <w:rsid w:val="105DDDE3"/>
    <w:rsid w:val="21F3CCB5"/>
    <w:rsid w:val="2F59AFA0"/>
    <w:rsid w:val="364C6166"/>
    <w:rsid w:val="43142972"/>
    <w:rsid w:val="4ABA4162"/>
    <w:rsid w:val="6581D5C4"/>
    <w:rsid w:val="6E10D32F"/>
    <w:rsid w:val="75D8CE98"/>
    <w:rsid w:val="7D2F021E"/>
    <w:rsid w:val="7EBFBBDB"/>
    <w:rsid w:val="7F0229B9"/>
    <w:rsid w:val="7FA476B7"/>
    <w:rsid w:val="7FE2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8A5AA2"/>
  <w15:chartTrackingRefBased/>
  <w15:docId w15:val="{F549046B-7617-4725-B339-1C89D95C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A53"/>
    <w:pPr>
      <w:spacing w:line="480" w:lineRule="auto"/>
      <w:jc w:val="both"/>
    </w:pPr>
    <w:rPr>
      <w:rFonts w:ascii="Times New Roman" w:eastAsiaTheme="minorEastAsia" w:hAnsi="Times New Roman" w:cs="Times New Roman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2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A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A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A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A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A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A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A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A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A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A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A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A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A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A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A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A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A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A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A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A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A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A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A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A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A5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62A53"/>
    <w:pPr>
      <w:spacing w:before="100" w:beforeAutospacing="1" w:after="100" w:afterAutospacing="1" w:line="240" w:lineRule="auto"/>
      <w:jc w:val="left"/>
    </w:pPr>
    <w:rPr>
      <w:rFonts w:eastAsia="Times New Roman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2726</Characters>
  <Application>Microsoft Office Word</Application>
  <DocSecurity>4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Gago, Juan</dc:creator>
  <cp:keywords/>
  <dc:description/>
  <cp:lastModifiedBy>Gago, Juan</cp:lastModifiedBy>
  <cp:revision>6</cp:revision>
  <dcterms:created xsi:type="dcterms:W3CDTF">2024-11-29T18:37:00Z</dcterms:created>
  <dcterms:modified xsi:type="dcterms:W3CDTF">2024-11-30T23:16:00Z</dcterms:modified>
</cp:coreProperties>
</file>