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93A4" w14:textId="3202D050" w:rsidR="00DA52B9" w:rsidRPr="00DA52B9" w:rsidRDefault="17D4CF6A" w:rsidP="00636873">
      <w:pPr>
        <w:spacing w:after="0" w:line="480" w:lineRule="auto"/>
        <w:rPr>
          <w:rFonts w:ascii="Times New Roman" w:eastAsia="Times New Roman" w:hAnsi="Times New Roman" w:cs="Times New Roman"/>
          <w:b/>
          <w:bCs/>
        </w:rPr>
      </w:pPr>
      <w:r w:rsidRPr="00DA52B9">
        <w:rPr>
          <w:rFonts w:ascii="Times New Roman" w:eastAsia="Times New Roman" w:hAnsi="Times New Roman" w:cs="Times New Roman"/>
          <w:b/>
          <w:bCs/>
        </w:rPr>
        <w:t xml:space="preserve">Supplemental Table 1. NHSN </w:t>
      </w:r>
      <w:r w:rsidR="00C83C14" w:rsidRPr="00DA52B9">
        <w:rPr>
          <w:rFonts w:ascii="Times New Roman" w:eastAsia="Times New Roman" w:hAnsi="Times New Roman" w:cs="Times New Roman"/>
          <w:b/>
          <w:bCs/>
        </w:rPr>
        <w:t xml:space="preserve">operative </w:t>
      </w:r>
      <w:r w:rsidRPr="00DA52B9">
        <w:rPr>
          <w:rFonts w:ascii="Times New Roman" w:eastAsia="Times New Roman" w:hAnsi="Times New Roman" w:cs="Times New Roman"/>
          <w:b/>
          <w:bCs/>
        </w:rPr>
        <w:t>procedure</w:t>
      </w:r>
      <w:r w:rsidR="00C83C14" w:rsidRPr="00DA52B9">
        <w:rPr>
          <w:rFonts w:ascii="Times New Roman" w:eastAsia="Times New Roman" w:hAnsi="Times New Roman" w:cs="Times New Roman"/>
          <w:b/>
          <w:bCs/>
        </w:rPr>
        <w:t>s</w:t>
      </w:r>
      <w:r w:rsidR="00112011" w:rsidRPr="00DA52B9">
        <w:rPr>
          <w:rFonts w:ascii="Times New Roman" w:eastAsia="Times New Roman" w:hAnsi="Times New Roman" w:cs="Times New Roman"/>
          <w:b/>
          <w:bCs/>
        </w:rPr>
        <w:t xml:space="preserve"> and respective procedure category</w:t>
      </w:r>
      <w:r w:rsidR="00DA52B9">
        <w:rPr>
          <w:rFonts w:ascii="Times New Roman" w:eastAsia="Times New Roman" w:hAnsi="Times New Roman" w:cs="Times New Roman"/>
          <w:b/>
          <w:bCs/>
        </w:rPr>
        <w:t>.</w:t>
      </w:r>
    </w:p>
    <w:p w14:paraId="65C1FE4B" w14:textId="295C5124" w:rsidR="00517932" w:rsidRPr="00DA52B9" w:rsidRDefault="17D4CF6A" w:rsidP="00636873">
      <w:pPr>
        <w:spacing w:after="0" w:line="480" w:lineRule="auto"/>
        <w:rPr>
          <w:rFonts w:ascii="Times New Roman" w:eastAsia="Times New Roman" w:hAnsi="Times New Roman" w:cs="Times New Roman"/>
        </w:rPr>
      </w:pPr>
      <w:r w:rsidRPr="00DA52B9">
        <w:rPr>
          <w:rFonts w:ascii="Times New Roman" w:eastAsia="Times New Roman" w:hAnsi="Times New Roman" w:cs="Times New Roman"/>
          <w:b/>
          <w:bCs/>
        </w:rPr>
        <w:t xml:space="preserve"> </w:t>
      </w:r>
    </w:p>
    <w:tbl>
      <w:tblPr>
        <w:tblStyle w:val="TableGridLight"/>
        <w:tblW w:w="0" w:type="auto"/>
        <w:tblLayout w:type="fixed"/>
        <w:tblLook w:val="06A0" w:firstRow="1" w:lastRow="0" w:firstColumn="1" w:lastColumn="0" w:noHBand="1" w:noVBand="1"/>
      </w:tblPr>
      <w:tblGrid>
        <w:gridCol w:w="3088"/>
        <w:gridCol w:w="6163"/>
      </w:tblGrid>
      <w:tr w:rsidR="006C45C7" w:rsidRPr="00DA52B9" w14:paraId="10E9273E" w14:textId="77777777" w:rsidTr="0B792513">
        <w:trPr>
          <w:trHeight w:val="233"/>
        </w:trPr>
        <w:tc>
          <w:tcPr>
            <w:tcW w:w="3088" w:type="dxa"/>
          </w:tcPr>
          <w:p w14:paraId="0E26ECFF" w14:textId="39CBD4F9" w:rsidR="006C45C7" w:rsidRPr="00DA52B9" w:rsidRDefault="00A80E40" w:rsidP="00636873">
            <w:pPr>
              <w:spacing w:line="480" w:lineRule="auto"/>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 xml:space="preserve">Procedure </w:t>
            </w:r>
            <w:r w:rsidR="00386766" w:rsidRPr="00DA52B9">
              <w:rPr>
                <w:rFonts w:ascii="Times New Roman" w:eastAsia="Times New Roman" w:hAnsi="Times New Roman" w:cs="Times New Roman"/>
                <w:b/>
                <w:bCs/>
                <w:color w:val="000000" w:themeColor="text1"/>
              </w:rPr>
              <w:t>category</w:t>
            </w:r>
          </w:p>
        </w:tc>
        <w:tc>
          <w:tcPr>
            <w:tcW w:w="6163" w:type="dxa"/>
          </w:tcPr>
          <w:p w14:paraId="5097DB08" w14:textId="4449A391" w:rsidR="006C45C7" w:rsidRPr="00DA52B9" w:rsidRDefault="2B1B3051" w:rsidP="00636873">
            <w:pPr>
              <w:spacing w:line="480" w:lineRule="auto"/>
              <w:jc w:val="center"/>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 xml:space="preserve">NHSN </w:t>
            </w:r>
            <w:r w:rsidR="00535F0C" w:rsidRPr="00DA52B9">
              <w:rPr>
                <w:rFonts w:ascii="Times New Roman" w:eastAsia="Times New Roman" w:hAnsi="Times New Roman" w:cs="Times New Roman"/>
                <w:b/>
                <w:bCs/>
                <w:color w:val="000000" w:themeColor="text1"/>
              </w:rPr>
              <w:t xml:space="preserve">operative </w:t>
            </w:r>
            <w:r w:rsidRPr="00DA52B9">
              <w:rPr>
                <w:rFonts w:ascii="Times New Roman" w:eastAsia="Times New Roman" w:hAnsi="Times New Roman" w:cs="Times New Roman"/>
                <w:b/>
                <w:bCs/>
                <w:color w:val="000000" w:themeColor="text1"/>
              </w:rPr>
              <w:t>p</w:t>
            </w:r>
            <w:r w:rsidR="006C45C7" w:rsidRPr="00DA52B9">
              <w:rPr>
                <w:rFonts w:ascii="Times New Roman" w:eastAsia="Times New Roman" w:hAnsi="Times New Roman" w:cs="Times New Roman"/>
                <w:b/>
                <w:bCs/>
                <w:color w:val="000000" w:themeColor="text1"/>
              </w:rPr>
              <w:t>rocedure</w:t>
            </w:r>
          </w:p>
        </w:tc>
      </w:tr>
      <w:tr w:rsidR="00F51400" w:rsidRPr="00DA52B9" w14:paraId="2843BDEC" w14:textId="77777777" w:rsidTr="0B792513">
        <w:trPr>
          <w:trHeight w:val="233"/>
        </w:trPr>
        <w:tc>
          <w:tcPr>
            <w:tcW w:w="9251" w:type="dxa"/>
            <w:gridSpan w:val="2"/>
          </w:tcPr>
          <w:p w14:paraId="320C9884" w14:textId="41AA7DB1" w:rsidR="00F51400" w:rsidRPr="00DA52B9" w:rsidRDefault="00F51400" w:rsidP="00636873">
            <w:pPr>
              <w:spacing w:line="480" w:lineRule="auto"/>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30-day surveillance</w:t>
            </w:r>
          </w:p>
        </w:tc>
      </w:tr>
      <w:tr w:rsidR="006C45C7" w:rsidRPr="00DA52B9" w14:paraId="6A4613B6" w14:textId="77777777" w:rsidTr="0B792513">
        <w:trPr>
          <w:trHeight w:val="233"/>
        </w:trPr>
        <w:tc>
          <w:tcPr>
            <w:tcW w:w="3088" w:type="dxa"/>
          </w:tcPr>
          <w:p w14:paraId="116EDFF7" w14:textId="09052395"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000E945D" w14:textId="696CA63D"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Appendix surgery (APPY)</w:t>
            </w:r>
          </w:p>
        </w:tc>
      </w:tr>
      <w:tr w:rsidR="006C45C7" w:rsidRPr="00DA52B9" w14:paraId="14DA77DD" w14:textId="77777777" w:rsidTr="0B792513">
        <w:trPr>
          <w:trHeight w:val="233"/>
        </w:trPr>
        <w:tc>
          <w:tcPr>
            <w:tcW w:w="3088" w:type="dxa"/>
          </w:tcPr>
          <w:p w14:paraId="5CF9935C" w14:textId="498D33FC"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13ADC1C4" w14:textId="1AB265FC"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 xml:space="preserve">Bile duct, </w:t>
            </w:r>
            <w:proofErr w:type="gramStart"/>
            <w:r w:rsidRPr="00DA52B9">
              <w:rPr>
                <w:rFonts w:ascii="Times New Roman" w:eastAsia="Times New Roman" w:hAnsi="Times New Roman" w:cs="Times New Roman"/>
                <w:color w:val="000000" w:themeColor="text1"/>
              </w:rPr>
              <w:t>liver</w:t>
            </w:r>
            <w:proofErr w:type="gramEnd"/>
            <w:r w:rsidRPr="00DA52B9">
              <w:rPr>
                <w:rFonts w:ascii="Times New Roman" w:eastAsia="Times New Roman" w:hAnsi="Times New Roman" w:cs="Times New Roman"/>
                <w:color w:val="000000" w:themeColor="text1"/>
              </w:rPr>
              <w:t xml:space="preserve"> or pancreatic surgery (BILI)</w:t>
            </w:r>
          </w:p>
        </w:tc>
      </w:tr>
      <w:tr w:rsidR="006C45C7" w:rsidRPr="00DA52B9" w14:paraId="79CDB60E" w14:textId="77777777" w:rsidTr="0B792513">
        <w:trPr>
          <w:trHeight w:val="233"/>
        </w:trPr>
        <w:tc>
          <w:tcPr>
            <w:tcW w:w="3088" w:type="dxa"/>
          </w:tcPr>
          <w:p w14:paraId="173BD1DA" w14:textId="7A899D9C"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493094E5" w14:textId="5D8A488B"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Exploratory laparotomy (XLAP)</w:t>
            </w:r>
          </w:p>
        </w:tc>
      </w:tr>
      <w:tr w:rsidR="006C45C7" w:rsidRPr="00DA52B9" w14:paraId="4CA9E343" w14:textId="77777777" w:rsidTr="0B792513">
        <w:trPr>
          <w:trHeight w:val="233"/>
        </w:trPr>
        <w:tc>
          <w:tcPr>
            <w:tcW w:w="3088" w:type="dxa"/>
          </w:tcPr>
          <w:p w14:paraId="42DF816E" w14:textId="2C4A6F09"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7CA79CEE" w14:textId="09AE3343"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Gallbladder surgery (CHOL)</w:t>
            </w:r>
          </w:p>
        </w:tc>
      </w:tr>
      <w:tr w:rsidR="006C45C7" w:rsidRPr="00DA52B9" w14:paraId="789D319C" w14:textId="77777777" w:rsidTr="0B792513">
        <w:trPr>
          <w:trHeight w:val="233"/>
        </w:trPr>
        <w:tc>
          <w:tcPr>
            <w:tcW w:w="3088" w:type="dxa"/>
          </w:tcPr>
          <w:p w14:paraId="4FCFD264" w14:textId="425485C3"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3DB44B2B" w14:textId="0F572CB9"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Gastric surgery (GAST)</w:t>
            </w:r>
          </w:p>
        </w:tc>
      </w:tr>
      <w:tr w:rsidR="006C45C7" w:rsidRPr="00DA52B9" w14:paraId="639D73AF" w14:textId="77777777" w:rsidTr="0B792513">
        <w:trPr>
          <w:trHeight w:val="233"/>
        </w:trPr>
        <w:tc>
          <w:tcPr>
            <w:tcW w:w="3088" w:type="dxa"/>
          </w:tcPr>
          <w:p w14:paraId="61E48942" w14:textId="27FD889F"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2B0FA4B9" w14:textId="0F48F1D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Kidney surgery (NEPH)</w:t>
            </w:r>
          </w:p>
        </w:tc>
      </w:tr>
      <w:tr w:rsidR="006C45C7" w:rsidRPr="00DA52B9" w14:paraId="79BAEFC5" w14:textId="77777777" w:rsidTr="0B792513">
        <w:trPr>
          <w:trHeight w:val="233"/>
        </w:trPr>
        <w:tc>
          <w:tcPr>
            <w:tcW w:w="3088" w:type="dxa"/>
          </w:tcPr>
          <w:p w14:paraId="6ECFA73E" w14:textId="40A25CAD"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4A2F4726" w14:textId="0489F59B"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Prostate surgery (PRST)</w:t>
            </w:r>
          </w:p>
        </w:tc>
      </w:tr>
      <w:tr w:rsidR="006C45C7" w:rsidRPr="00DA52B9" w14:paraId="28F26E66" w14:textId="77777777" w:rsidTr="0B792513">
        <w:trPr>
          <w:trHeight w:val="233"/>
        </w:trPr>
        <w:tc>
          <w:tcPr>
            <w:tcW w:w="3088" w:type="dxa"/>
          </w:tcPr>
          <w:p w14:paraId="0B01EC2B" w14:textId="2C48B7CA"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43E67486" w14:textId="730A08EA"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Spleen surgery (SPLE)</w:t>
            </w:r>
          </w:p>
        </w:tc>
      </w:tr>
      <w:tr w:rsidR="006C45C7" w:rsidRPr="00DA52B9" w14:paraId="5302D804" w14:textId="77777777" w:rsidTr="0B792513">
        <w:trPr>
          <w:trHeight w:val="233"/>
        </w:trPr>
        <w:tc>
          <w:tcPr>
            <w:tcW w:w="3088" w:type="dxa"/>
          </w:tcPr>
          <w:p w14:paraId="596C5EBE" w14:textId="2F62BB15"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Cardiothoracic</w:t>
            </w:r>
          </w:p>
        </w:tc>
        <w:tc>
          <w:tcPr>
            <w:tcW w:w="6163" w:type="dxa"/>
          </w:tcPr>
          <w:p w14:paraId="51B2DE61" w14:textId="7F3EAF73"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Thoracic surgery (THOR)</w:t>
            </w:r>
          </w:p>
        </w:tc>
      </w:tr>
      <w:tr w:rsidR="006C45C7" w:rsidRPr="00DA52B9" w14:paraId="0E2DBDEC" w14:textId="77777777" w:rsidTr="0B792513">
        <w:trPr>
          <w:trHeight w:val="233"/>
        </w:trPr>
        <w:tc>
          <w:tcPr>
            <w:tcW w:w="3088" w:type="dxa"/>
          </w:tcPr>
          <w:p w14:paraId="09359B4E" w14:textId="60A25717"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Colorectal</w:t>
            </w:r>
          </w:p>
        </w:tc>
        <w:tc>
          <w:tcPr>
            <w:tcW w:w="6163" w:type="dxa"/>
          </w:tcPr>
          <w:p w14:paraId="07ACB670" w14:textId="3D47B6DC"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Colon surgery (COLO)</w:t>
            </w:r>
          </w:p>
        </w:tc>
      </w:tr>
      <w:tr w:rsidR="006C45C7" w:rsidRPr="00DA52B9" w14:paraId="680E656A" w14:textId="77777777" w:rsidTr="0B792513">
        <w:trPr>
          <w:trHeight w:val="233"/>
        </w:trPr>
        <w:tc>
          <w:tcPr>
            <w:tcW w:w="3088" w:type="dxa"/>
          </w:tcPr>
          <w:p w14:paraId="71FA7062" w14:textId="27235AF5"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Colorectal</w:t>
            </w:r>
          </w:p>
        </w:tc>
        <w:tc>
          <w:tcPr>
            <w:tcW w:w="6163" w:type="dxa"/>
          </w:tcPr>
          <w:p w14:paraId="293CEB10" w14:textId="7B74649A"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Rectal surgery (REC)</w:t>
            </w:r>
          </w:p>
        </w:tc>
      </w:tr>
      <w:tr w:rsidR="006C45C7" w:rsidRPr="00DA52B9" w14:paraId="0FEC7DD4" w14:textId="77777777" w:rsidTr="0B792513">
        <w:trPr>
          <w:trHeight w:val="233"/>
        </w:trPr>
        <w:tc>
          <w:tcPr>
            <w:tcW w:w="3088" w:type="dxa"/>
          </w:tcPr>
          <w:p w14:paraId="512496D1" w14:textId="7D286BDD"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Colorectal</w:t>
            </w:r>
          </w:p>
        </w:tc>
        <w:tc>
          <w:tcPr>
            <w:tcW w:w="6163" w:type="dxa"/>
          </w:tcPr>
          <w:p w14:paraId="1417D235" w14:textId="1FA76155"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Small bowel surgery (SB)</w:t>
            </w:r>
          </w:p>
        </w:tc>
      </w:tr>
      <w:tr w:rsidR="006C45C7" w:rsidRPr="00DA52B9" w14:paraId="5D52CE75" w14:textId="77777777" w:rsidTr="0B792513">
        <w:trPr>
          <w:trHeight w:val="233"/>
        </w:trPr>
        <w:tc>
          <w:tcPr>
            <w:tcW w:w="3088" w:type="dxa"/>
          </w:tcPr>
          <w:p w14:paraId="493E47C4" w14:textId="2FFF44FB"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Other</w:t>
            </w:r>
          </w:p>
        </w:tc>
        <w:tc>
          <w:tcPr>
            <w:tcW w:w="6163" w:type="dxa"/>
          </w:tcPr>
          <w:p w14:paraId="54300D1A" w14:textId="2D2F4422"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Neck surgery (NECK)</w:t>
            </w:r>
          </w:p>
        </w:tc>
      </w:tr>
      <w:tr w:rsidR="006C45C7" w:rsidRPr="00DA52B9" w14:paraId="2D9EEBFE" w14:textId="77777777" w:rsidTr="0B792513">
        <w:trPr>
          <w:trHeight w:val="233"/>
        </w:trPr>
        <w:tc>
          <w:tcPr>
            <w:tcW w:w="3088" w:type="dxa"/>
          </w:tcPr>
          <w:p w14:paraId="504A953B" w14:textId="10AE026B"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Other</w:t>
            </w:r>
          </w:p>
        </w:tc>
        <w:tc>
          <w:tcPr>
            <w:tcW w:w="6163" w:type="dxa"/>
          </w:tcPr>
          <w:p w14:paraId="6E1239F6" w14:textId="27AEE54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Thyroid and/or parathyroid surgery (THYR)</w:t>
            </w:r>
          </w:p>
        </w:tc>
      </w:tr>
      <w:tr w:rsidR="006C45C7" w:rsidRPr="00DA52B9" w14:paraId="627AED25" w14:textId="77777777" w:rsidTr="0B792513">
        <w:trPr>
          <w:trHeight w:val="233"/>
        </w:trPr>
        <w:tc>
          <w:tcPr>
            <w:tcW w:w="3088" w:type="dxa"/>
          </w:tcPr>
          <w:p w14:paraId="4C5E4188" w14:textId="7AB6777C"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Obstetrics and Gynecology</w:t>
            </w:r>
          </w:p>
        </w:tc>
        <w:tc>
          <w:tcPr>
            <w:tcW w:w="6163" w:type="dxa"/>
          </w:tcPr>
          <w:p w14:paraId="378922F3" w14:textId="47AE7E97"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 hysterectomy (HYST)</w:t>
            </w:r>
          </w:p>
        </w:tc>
      </w:tr>
      <w:tr w:rsidR="006C45C7" w:rsidRPr="00DA52B9" w14:paraId="58C6512E" w14:textId="77777777" w:rsidTr="0B792513">
        <w:trPr>
          <w:trHeight w:val="233"/>
        </w:trPr>
        <w:tc>
          <w:tcPr>
            <w:tcW w:w="3088" w:type="dxa"/>
          </w:tcPr>
          <w:p w14:paraId="12A5D36C" w14:textId="35CF58A9"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Obstetrics and Gynecology</w:t>
            </w:r>
          </w:p>
        </w:tc>
        <w:tc>
          <w:tcPr>
            <w:tcW w:w="6163" w:type="dxa"/>
          </w:tcPr>
          <w:p w14:paraId="6CA091A6" w14:textId="45B6EB7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Cesarean section (CSEC)</w:t>
            </w:r>
          </w:p>
        </w:tc>
      </w:tr>
      <w:tr w:rsidR="006C45C7" w:rsidRPr="00DA52B9" w14:paraId="0E9B5B69" w14:textId="77777777" w:rsidTr="0B792513">
        <w:trPr>
          <w:trHeight w:val="233"/>
        </w:trPr>
        <w:tc>
          <w:tcPr>
            <w:tcW w:w="3088" w:type="dxa"/>
          </w:tcPr>
          <w:p w14:paraId="4523EE77" w14:textId="5FBCBC30"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Obstetrics and Gynecology</w:t>
            </w:r>
          </w:p>
        </w:tc>
        <w:tc>
          <w:tcPr>
            <w:tcW w:w="6163" w:type="dxa"/>
          </w:tcPr>
          <w:p w14:paraId="43F68B4C" w14:textId="67EF22C1"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Ovarian surgery (OVRY)</w:t>
            </w:r>
          </w:p>
        </w:tc>
      </w:tr>
      <w:tr w:rsidR="006C45C7" w:rsidRPr="00DA52B9" w14:paraId="28999AFE" w14:textId="77777777" w:rsidTr="0B792513">
        <w:trPr>
          <w:trHeight w:val="233"/>
        </w:trPr>
        <w:tc>
          <w:tcPr>
            <w:tcW w:w="3088" w:type="dxa"/>
          </w:tcPr>
          <w:p w14:paraId="0D6803A6" w14:textId="62E6A4DF"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Obstetrics and Gynecology</w:t>
            </w:r>
          </w:p>
        </w:tc>
        <w:tc>
          <w:tcPr>
            <w:tcW w:w="6163" w:type="dxa"/>
          </w:tcPr>
          <w:p w14:paraId="0E35ADC7" w14:textId="67731993"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Vaginal hysterectomy (VHYS)</w:t>
            </w:r>
          </w:p>
        </w:tc>
      </w:tr>
      <w:tr w:rsidR="006C45C7" w:rsidRPr="00DA52B9" w14:paraId="497227DF" w14:textId="77777777" w:rsidTr="0B792513">
        <w:trPr>
          <w:trHeight w:val="233"/>
        </w:trPr>
        <w:tc>
          <w:tcPr>
            <w:tcW w:w="3088" w:type="dxa"/>
          </w:tcPr>
          <w:p w14:paraId="58618A83" w14:textId="212F0046"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Orthopedic</w:t>
            </w:r>
          </w:p>
        </w:tc>
        <w:tc>
          <w:tcPr>
            <w:tcW w:w="6163" w:type="dxa"/>
          </w:tcPr>
          <w:p w14:paraId="58A4F645" w14:textId="069B2F18"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Laminectomy (LAM)</w:t>
            </w:r>
          </w:p>
        </w:tc>
      </w:tr>
      <w:tr w:rsidR="006C45C7" w:rsidRPr="00DA52B9" w14:paraId="0B4C16D6" w14:textId="77777777" w:rsidTr="0B792513">
        <w:trPr>
          <w:trHeight w:val="233"/>
        </w:trPr>
        <w:tc>
          <w:tcPr>
            <w:tcW w:w="3088" w:type="dxa"/>
          </w:tcPr>
          <w:p w14:paraId="29CC03E4" w14:textId="63F8C346"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lastRenderedPageBreak/>
              <w:t>Orthopedic</w:t>
            </w:r>
          </w:p>
        </w:tc>
        <w:tc>
          <w:tcPr>
            <w:tcW w:w="6163" w:type="dxa"/>
          </w:tcPr>
          <w:p w14:paraId="7E501C0B" w14:textId="4AE25999"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Limb amputation (AMP)</w:t>
            </w:r>
          </w:p>
        </w:tc>
      </w:tr>
      <w:tr w:rsidR="006C45C7" w:rsidRPr="00DA52B9" w14:paraId="42009900" w14:textId="77777777" w:rsidTr="0B792513">
        <w:trPr>
          <w:trHeight w:val="233"/>
        </w:trPr>
        <w:tc>
          <w:tcPr>
            <w:tcW w:w="3088" w:type="dxa"/>
          </w:tcPr>
          <w:p w14:paraId="46C074E2" w14:textId="6DBE2F70"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Transplant</w:t>
            </w:r>
          </w:p>
        </w:tc>
        <w:tc>
          <w:tcPr>
            <w:tcW w:w="6163" w:type="dxa"/>
          </w:tcPr>
          <w:p w14:paraId="054B3E83" w14:textId="563CB0F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Heart transplant (HTP)</w:t>
            </w:r>
          </w:p>
        </w:tc>
      </w:tr>
      <w:tr w:rsidR="006C45C7" w:rsidRPr="00DA52B9" w14:paraId="179452BE" w14:textId="77777777" w:rsidTr="0B792513">
        <w:trPr>
          <w:trHeight w:val="233"/>
        </w:trPr>
        <w:tc>
          <w:tcPr>
            <w:tcW w:w="3088" w:type="dxa"/>
          </w:tcPr>
          <w:p w14:paraId="74ECBF8A" w14:textId="46822696"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Transplant</w:t>
            </w:r>
          </w:p>
        </w:tc>
        <w:tc>
          <w:tcPr>
            <w:tcW w:w="6163" w:type="dxa"/>
          </w:tcPr>
          <w:p w14:paraId="19937471" w14:textId="66142245"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Kidney transplant (KTP)</w:t>
            </w:r>
          </w:p>
        </w:tc>
      </w:tr>
      <w:tr w:rsidR="006C45C7" w:rsidRPr="00DA52B9" w14:paraId="6865877C" w14:textId="77777777" w:rsidTr="0B792513">
        <w:trPr>
          <w:trHeight w:val="233"/>
        </w:trPr>
        <w:tc>
          <w:tcPr>
            <w:tcW w:w="3088" w:type="dxa"/>
          </w:tcPr>
          <w:p w14:paraId="642E3632" w14:textId="4815291E"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Transplant</w:t>
            </w:r>
          </w:p>
        </w:tc>
        <w:tc>
          <w:tcPr>
            <w:tcW w:w="6163" w:type="dxa"/>
          </w:tcPr>
          <w:p w14:paraId="2EA52CF1" w14:textId="35DE7049"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Liver transplant (LTP)</w:t>
            </w:r>
          </w:p>
        </w:tc>
      </w:tr>
      <w:tr w:rsidR="006C45C7" w:rsidRPr="00DA52B9" w14:paraId="660F0C34" w14:textId="77777777" w:rsidTr="0B792513">
        <w:trPr>
          <w:trHeight w:val="233"/>
        </w:trPr>
        <w:tc>
          <w:tcPr>
            <w:tcW w:w="3088" w:type="dxa"/>
          </w:tcPr>
          <w:p w14:paraId="5E470582" w14:textId="72DBBAD8"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Vascular</w:t>
            </w:r>
          </w:p>
        </w:tc>
        <w:tc>
          <w:tcPr>
            <w:tcW w:w="6163" w:type="dxa"/>
          </w:tcPr>
          <w:p w14:paraId="7FE1D0E9" w14:textId="4861604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 aortic aneurysm repair (AAA)</w:t>
            </w:r>
          </w:p>
        </w:tc>
      </w:tr>
      <w:tr w:rsidR="006C45C7" w:rsidRPr="00DA52B9" w14:paraId="6B1A94CB" w14:textId="77777777" w:rsidTr="0B792513">
        <w:trPr>
          <w:trHeight w:val="233"/>
        </w:trPr>
        <w:tc>
          <w:tcPr>
            <w:tcW w:w="3088" w:type="dxa"/>
          </w:tcPr>
          <w:p w14:paraId="3F6A3728" w14:textId="27E2A0C6"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Vascular</w:t>
            </w:r>
          </w:p>
        </w:tc>
        <w:tc>
          <w:tcPr>
            <w:tcW w:w="6163" w:type="dxa"/>
          </w:tcPr>
          <w:p w14:paraId="18D36084" w14:textId="66CA7CC9"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 xml:space="preserve">AV shunt for </w:t>
            </w:r>
            <w:r w:rsidR="003D2496" w:rsidRPr="00DA52B9">
              <w:rPr>
                <w:rFonts w:ascii="Times New Roman" w:eastAsia="Times New Roman" w:hAnsi="Times New Roman" w:cs="Times New Roman"/>
                <w:color w:val="000000" w:themeColor="text1"/>
              </w:rPr>
              <w:t>dialysis (</w:t>
            </w:r>
            <w:r w:rsidRPr="00DA52B9">
              <w:rPr>
                <w:rFonts w:ascii="Times New Roman" w:eastAsia="Times New Roman" w:hAnsi="Times New Roman" w:cs="Times New Roman"/>
                <w:color w:val="000000" w:themeColor="text1"/>
              </w:rPr>
              <w:t>AVSD)</w:t>
            </w:r>
          </w:p>
        </w:tc>
      </w:tr>
      <w:tr w:rsidR="006C45C7" w:rsidRPr="00DA52B9" w14:paraId="0B00080D" w14:textId="77777777" w:rsidTr="0B792513">
        <w:trPr>
          <w:trHeight w:val="233"/>
        </w:trPr>
        <w:tc>
          <w:tcPr>
            <w:tcW w:w="3088" w:type="dxa"/>
          </w:tcPr>
          <w:p w14:paraId="15EB3160" w14:textId="6D135A6B"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Vascular</w:t>
            </w:r>
          </w:p>
        </w:tc>
        <w:tc>
          <w:tcPr>
            <w:tcW w:w="6163" w:type="dxa"/>
          </w:tcPr>
          <w:p w14:paraId="56404999" w14:textId="0909378A"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Carotid endarterectomy (CEA)</w:t>
            </w:r>
          </w:p>
        </w:tc>
      </w:tr>
      <w:tr w:rsidR="00F51400" w:rsidRPr="00DA52B9" w14:paraId="05296B85" w14:textId="77777777" w:rsidTr="0B792513">
        <w:trPr>
          <w:trHeight w:val="233"/>
        </w:trPr>
        <w:tc>
          <w:tcPr>
            <w:tcW w:w="9251" w:type="dxa"/>
            <w:gridSpan w:val="2"/>
          </w:tcPr>
          <w:p w14:paraId="09C5D282" w14:textId="3EA2A2B2" w:rsidR="00F51400" w:rsidRPr="00DA52B9" w:rsidRDefault="00F51400" w:rsidP="00636873">
            <w:pPr>
              <w:spacing w:line="480" w:lineRule="auto"/>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90-day Surveillance</w:t>
            </w:r>
          </w:p>
        </w:tc>
      </w:tr>
      <w:tr w:rsidR="006C45C7" w:rsidRPr="00DA52B9" w14:paraId="4A5B1154" w14:textId="77777777" w:rsidTr="0B792513">
        <w:trPr>
          <w:trHeight w:val="233"/>
        </w:trPr>
        <w:tc>
          <w:tcPr>
            <w:tcW w:w="3088" w:type="dxa"/>
          </w:tcPr>
          <w:p w14:paraId="75A96050" w14:textId="11F057AE"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Abdominal</w:t>
            </w:r>
          </w:p>
        </w:tc>
        <w:tc>
          <w:tcPr>
            <w:tcW w:w="6163" w:type="dxa"/>
          </w:tcPr>
          <w:p w14:paraId="3A92455E" w14:textId="1B8DDFD9"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Herniorrhaphy (HER)</w:t>
            </w:r>
          </w:p>
        </w:tc>
      </w:tr>
      <w:tr w:rsidR="006C45C7" w:rsidRPr="00DA52B9" w14:paraId="2FFE89DD" w14:textId="77777777" w:rsidTr="0B792513">
        <w:trPr>
          <w:trHeight w:val="233"/>
        </w:trPr>
        <w:tc>
          <w:tcPr>
            <w:tcW w:w="3088" w:type="dxa"/>
          </w:tcPr>
          <w:p w14:paraId="10C4E2F0" w14:textId="5636B8AE"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Cardiothoracic</w:t>
            </w:r>
          </w:p>
        </w:tc>
        <w:tc>
          <w:tcPr>
            <w:tcW w:w="6163" w:type="dxa"/>
          </w:tcPr>
          <w:p w14:paraId="0470EE07" w14:textId="05FEAA0D"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Cardiac surgery (CARD)</w:t>
            </w:r>
          </w:p>
        </w:tc>
      </w:tr>
      <w:tr w:rsidR="006C45C7" w:rsidRPr="00DA52B9" w14:paraId="1FC9E2F5" w14:textId="77777777" w:rsidTr="0B792513">
        <w:trPr>
          <w:trHeight w:val="233"/>
        </w:trPr>
        <w:tc>
          <w:tcPr>
            <w:tcW w:w="3088" w:type="dxa"/>
          </w:tcPr>
          <w:p w14:paraId="0257DEE2" w14:textId="7B521E52"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Cardiothoracic</w:t>
            </w:r>
          </w:p>
        </w:tc>
        <w:tc>
          <w:tcPr>
            <w:tcW w:w="6163" w:type="dxa"/>
          </w:tcPr>
          <w:p w14:paraId="0FF5FD7A" w14:textId="1B6EB99C"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Coronary bypass graft with chest incision (CBGC)</w:t>
            </w:r>
          </w:p>
        </w:tc>
      </w:tr>
      <w:tr w:rsidR="006C45C7" w:rsidRPr="00DA52B9" w14:paraId="71FD1A83" w14:textId="77777777" w:rsidTr="0B792513">
        <w:trPr>
          <w:trHeight w:val="233"/>
        </w:trPr>
        <w:tc>
          <w:tcPr>
            <w:tcW w:w="3088" w:type="dxa"/>
          </w:tcPr>
          <w:p w14:paraId="0089595F" w14:textId="3F4540B2"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Cardiothoracic</w:t>
            </w:r>
          </w:p>
        </w:tc>
        <w:tc>
          <w:tcPr>
            <w:tcW w:w="6163" w:type="dxa"/>
          </w:tcPr>
          <w:p w14:paraId="4914CEE8" w14:textId="4104AFC1"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Coronary bypass with chest &amp; donor incisions (CBGB)</w:t>
            </w:r>
          </w:p>
        </w:tc>
      </w:tr>
      <w:tr w:rsidR="006C45C7" w:rsidRPr="00DA52B9" w14:paraId="5D0B3166" w14:textId="77777777" w:rsidTr="0B792513">
        <w:trPr>
          <w:trHeight w:val="233"/>
        </w:trPr>
        <w:tc>
          <w:tcPr>
            <w:tcW w:w="3088" w:type="dxa"/>
          </w:tcPr>
          <w:p w14:paraId="0C0C7047" w14:textId="01BA8571"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Cardiothoracic</w:t>
            </w:r>
          </w:p>
        </w:tc>
        <w:tc>
          <w:tcPr>
            <w:tcW w:w="6163" w:type="dxa"/>
          </w:tcPr>
          <w:p w14:paraId="1ACE02C6" w14:textId="68E5340E"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Pacemaker surgery (PACE)</w:t>
            </w:r>
          </w:p>
        </w:tc>
      </w:tr>
      <w:tr w:rsidR="006C45C7" w:rsidRPr="00DA52B9" w14:paraId="181D6E6A" w14:textId="77777777" w:rsidTr="0B792513">
        <w:trPr>
          <w:trHeight w:val="233"/>
        </w:trPr>
        <w:tc>
          <w:tcPr>
            <w:tcW w:w="3088" w:type="dxa"/>
          </w:tcPr>
          <w:p w14:paraId="3B7D22E3" w14:textId="213E67D4"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Other</w:t>
            </w:r>
          </w:p>
        </w:tc>
        <w:tc>
          <w:tcPr>
            <w:tcW w:w="6163" w:type="dxa"/>
          </w:tcPr>
          <w:p w14:paraId="5CFF2FF9" w14:textId="4D51A13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Breast surgery (BRST)</w:t>
            </w:r>
          </w:p>
        </w:tc>
      </w:tr>
      <w:tr w:rsidR="006C45C7" w:rsidRPr="00DA52B9" w14:paraId="4B7E3D1D" w14:textId="77777777" w:rsidTr="0B792513">
        <w:trPr>
          <w:trHeight w:val="233"/>
        </w:trPr>
        <w:tc>
          <w:tcPr>
            <w:tcW w:w="3088" w:type="dxa"/>
          </w:tcPr>
          <w:p w14:paraId="7FC60C41" w14:textId="087E88DB"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Neurological</w:t>
            </w:r>
          </w:p>
        </w:tc>
        <w:tc>
          <w:tcPr>
            <w:tcW w:w="6163" w:type="dxa"/>
          </w:tcPr>
          <w:p w14:paraId="23AD44D3" w14:textId="33CAE042"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Craniotomy (CRAN)</w:t>
            </w:r>
          </w:p>
        </w:tc>
      </w:tr>
      <w:tr w:rsidR="006C45C7" w:rsidRPr="00DA52B9" w14:paraId="1A14BB93" w14:textId="77777777" w:rsidTr="0B792513">
        <w:trPr>
          <w:trHeight w:val="233"/>
        </w:trPr>
        <w:tc>
          <w:tcPr>
            <w:tcW w:w="3088" w:type="dxa"/>
          </w:tcPr>
          <w:p w14:paraId="75F85688" w14:textId="66602761"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Neurological</w:t>
            </w:r>
          </w:p>
        </w:tc>
        <w:tc>
          <w:tcPr>
            <w:tcW w:w="6163" w:type="dxa"/>
          </w:tcPr>
          <w:p w14:paraId="4C850381" w14:textId="57CE82B5"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Ventricular shunt (VSHN)</w:t>
            </w:r>
          </w:p>
        </w:tc>
      </w:tr>
      <w:tr w:rsidR="006C45C7" w:rsidRPr="00DA52B9" w14:paraId="267137EE" w14:textId="77777777" w:rsidTr="0B792513">
        <w:trPr>
          <w:trHeight w:val="233"/>
        </w:trPr>
        <w:tc>
          <w:tcPr>
            <w:tcW w:w="3088" w:type="dxa"/>
          </w:tcPr>
          <w:p w14:paraId="305BCEFA" w14:textId="0AE941E8"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Orthopedic</w:t>
            </w:r>
          </w:p>
        </w:tc>
        <w:tc>
          <w:tcPr>
            <w:tcW w:w="6163" w:type="dxa"/>
          </w:tcPr>
          <w:p w14:paraId="019C065F" w14:textId="58A85F96"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Hip prosthesis (HPRO)</w:t>
            </w:r>
          </w:p>
        </w:tc>
      </w:tr>
      <w:tr w:rsidR="006C45C7" w:rsidRPr="00DA52B9" w14:paraId="5B535DCE" w14:textId="77777777" w:rsidTr="0B792513">
        <w:trPr>
          <w:trHeight w:val="233"/>
        </w:trPr>
        <w:tc>
          <w:tcPr>
            <w:tcW w:w="3088" w:type="dxa"/>
          </w:tcPr>
          <w:p w14:paraId="5EA4BC68" w14:textId="4967A387"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Orthopedic</w:t>
            </w:r>
          </w:p>
        </w:tc>
        <w:tc>
          <w:tcPr>
            <w:tcW w:w="6163" w:type="dxa"/>
          </w:tcPr>
          <w:p w14:paraId="7266F7F6" w14:textId="27478F48"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Knee prosthesis (KPRO)</w:t>
            </w:r>
          </w:p>
        </w:tc>
      </w:tr>
      <w:tr w:rsidR="006C45C7" w:rsidRPr="00DA52B9" w14:paraId="2B8EA0AE" w14:textId="77777777" w:rsidTr="0B792513">
        <w:trPr>
          <w:trHeight w:val="233"/>
        </w:trPr>
        <w:tc>
          <w:tcPr>
            <w:tcW w:w="3088" w:type="dxa"/>
          </w:tcPr>
          <w:p w14:paraId="0295E9EC" w14:textId="169F77E5"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Orthopedic</w:t>
            </w:r>
          </w:p>
        </w:tc>
        <w:tc>
          <w:tcPr>
            <w:tcW w:w="6163" w:type="dxa"/>
          </w:tcPr>
          <w:p w14:paraId="0DCE9F8C" w14:textId="2214423C"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Open reduction of fracture (FX)</w:t>
            </w:r>
          </w:p>
        </w:tc>
      </w:tr>
      <w:tr w:rsidR="006C45C7" w:rsidRPr="00DA52B9" w14:paraId="5EB7AB5D" w14:textId="77777777" w:rsidTr="0B792513">
        <w:trPr>
          <w:trHeight w:val="233"/>
        </w:trPr>
        <w:tc>
          <w:tcPr>
            <w:tcW w:w="3088" w:type="dxa"/>
          </w:tcPr>
          <w:p w14:paraId="04AC8458" w14:textId="0DE4538E"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Orthopedic</w:t>
            </w:r>
          </w:p>
        </w:tc>
        <w:tc>
          <w:tcPr>
            <w:tcW w:w="6163" w:type="dxa"/>
          </w:tcPr>
          <w:p w14:paraId="3D0D454C" w14:textId="3A911A7C"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Spinal fusion (FUSN)</w:t>
            </w:r>
          </w:p>
        </w:tc>
      </w:tr>
      <w:tr w:rsidR="006C45C7" w:rsidRPr="00DA52B9" w14:paraId="022A00EF" w14:textId="77777777" w:rsidTr="0B792513">
        <w:trPr>
          <w:trHeight w:val="233"/>
        </w:trPr>
        <w:tc>
          <w:tcPr>
            <w:tcW w:w="3088" w:type="dxa"/>
          </w:tcPr>
          <w:p w14:paraId="413D145D" w14:textId="31534B79" w:rsidR="006C45C7" w:rsidRPr="00DA52B9" w:rsidRDefault="006C45C7" w:rsidP="00636873">
            <w:pPr>
              <w:spacing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Vascular</w:t>
            </w:r>
          </w:p>
        </w:tc>
        <w:tc>
          <w:tcPr>
            <w:tcW w:w="6163" w:type="dxa"/>
          </w:tcPr>
          <w:p w14:paraId="304C3392" w14:textId="2E02AD8F" w:rsidR="006C45C7" w:rsidRPr="00DA52B9" w:rsidRDefault="006C45C7" w:rsidP="00636873">
            <w:pPr>
              <w:spacing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Peripheral vascular bypass surgery (PVBY)</w:t>
            </w:r>
          </w:p>
        </w:tc>
      </w:tr>
    </w:tbl>
    <w:p w14:paraId="366E7EFD" w14:textId="2FFFEE74" w:rsidR="00743276" w:rsidRPr="00DA52B9" w:rsidRDefault="00743276" w:rsidP="00636873">
      <w:pPr>
        <w:spacing w:after="0" w:line="480" w:lineRule="auto"/>
        <w:rPr>
          <w:rFonts w:ascii="Times New Roman" w:hAnsi="Times New Roman" w:cs="Times New Roman"/>
        </w:rPr>
      </w:pPr>
    </w:p>
    <w:p w14:paraId="33F38CD3" w14:textId="77777777" w:rsidR="00C16B9B" w:rsidRPr="00DA52B9" w:rsidRDefault="00C16B9B" w:rsidP="00636873">
      <w:pPr>
        <w:spacing w:after="0" w:line="480" w:lineRule="auto"/>
        <w:rPr>
          <w:rFonts w:ascii="Times New Roman" w:hAnsi="Times New Roman" w:cs="Times New Roman"/>
        </w:rPr>
        <w:sectPr w:rsidR="00C16B9B" w:rsidRPr="00DA52B9">
          <w:footerReference w:type="default" r:id="rId9"/>
          <w:pgSz w:w="12240" w:h="15840"/>
          <w:pgMar w:top="1440" w:right="1440" w:bottom="1440" w:left="1440" w:header="720" w:footer="720" w:gutter="0"/>
          <w:cols w:space="720"/>
          <w:docGrid w:linePitch="360"/>
        </w:sectPr>
      </w:pPr>
    </w:p>
    <w:p w14:paraId="335C97A3" w14:textId="6B724F58" w:rsidR="006A6DCF" w:rsidRPr="00DA52B9" w:rsidRDefault="007A52A0" w:rsidP="00636873">
      <w:pPr>
        <w:spacing w:line="480" w:lineRule="auto"/>
        <w:rPr>
          <w:rFonts w:ascii="Times New Roman" w:hAnsi="Times New Roman" w:cs="Times New Roman"/>
          <w:b/>
          <w:bCs/>
        </w:rPr>
      </w:pPr>
      <w:r w:rsidRPr="00DA52B9">
        <w:rPr>
          <w:rFonts w:ascii="Times New Roman" w:hAnsi="Times New Roman" w:cs="Times New Roman"/>
          <w:b/>
          <w:bCs/>
        </w:rPr>
        <w:lastRenderedPageBreak/>
        <w:t>Supplemental Table</w:t>
      </w:r>
      <w:r w:rsidR="00A3278A" w:rsidRPr="00DA52B9">
        <w:rPr>
          <w:rFonts w:ascii="Times New Roman" w:hAnsi="Times New Roman" w:cs="Times New Roman"/>
          <w:b/>
          <w:bCs/>
        </w:rPr>
        <w:t xml:space="preserve"> </w:t>
      </w:r>
      <w:r w:rsidRPr="00DA52B9">
        <w:rPr>
          <w:rFonts w:ascii="Times New Roman" w:hAnsi="Times New Roman" w:cs="Times New Roman"/>
          <w:b/>
          <w:bCs/>
        </w:rPr>
        <w:t>2</w:t>
      </w:r>
      <w:r w:rsidR="00A3278A" w:rsidRPr="00DA52B9">
        <w:rPr>
          <w:rFonts w:ascii="Times New Roman" w:hAnsi="Times New Roman" w:cs="Times New Roman"/>
          <w:b/>
          <w:bCs/>
        </w:rPr>
        <w:t xml:space="preserve">. </w:t>
      </w:r>
      <w:r w:rsidR="006A6DCF" w:rsidRPr="00DA52B9">
        <w:rPr>
          <w:rFonts w:ascii="Times New Roman" w:hAnsi="Times New Roman" w:cs="Times New Roman"/>
          <w:b/>
          <w:bCs/>
        </w:rPr>
        <w:t xml:space="preserve">Standardized </w:t>
      </w:r>
      <w:r w:rsidR="00630638" w:rsidRPr="00DA52B9">
        <w:rPr>
          <w:rFonts w:ascii="Times New Roman" w:hAnsi="Times New Roman" w:cs="Times New Roman"/>
          <w:b/>
          <w:bCs/>
        </w:rPr>
        <w:t xml:space="preserve">mean </w:t>
      </w:r>
      <w:r w:rsidR="006A6DCF" w:rsidRPr="00DA52B9">
        <w:rPr>
          <w:rFonts w:ascii="Times New Roman" w:hAnsi="Times New Roman" w:cs="Times New Roman"/>
          <w:b/>
          <w:bCs/>
        </w:rPr>
        <w:t>differences before and after propensity matching adjustment</w:t>
      </w:r>
      <w:r w:rsidR="00DA52B9">
        <w:rPr>
          <w:rFonts w:ascii="Times New Roman" w:hAnsi="Times New Roman" w:cs="Times New Roman"/>
          <w:b/>
          <w:bCs/>
        </w:rPr>
        <w:t>.</w:t>
      </w:r>
    </w:p>
    <w:tbl>
      <w:tblPr>
        <w:tblW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129"/>
        <w:gridCol w:w="1653"/>
      </w:tblGrid>
      <w:tr w:rsidR="00F20078" w:rsidRPr="00DA52B9" w14:paraId="348A4B3A" w14:textId="77777777" w:rsidTr="00DA52B9">
        <w:trPr>
          <w:trHeight w:val="240"/>
        </w:trPr>
        <w:tc>
          <w:tcPr>
            <w:tcW w:w="3212" w:type="dxa"/>
            <w:shd w:val="clear" w:color="auto" w:fill="auto"/>
            <w:noWrap/>
            <w:vAlign w:val="bottom"/>
            <w:hideMark/>
          </w:tcPr>
          <w:p w14:paraId="394CF017" w14:textId="77777777" w:rsidR="00F20078" w:rsidRPr="00DA52B9" w:rsidRDefault="00F20078" w:rsidP="00636873">
            <w:pPr>
              <w:spacing w:after="0" w:line="480" w:lineRule="auto"/>
              <w:rPr>
                <w:rFonts w:ascii="Times New Roman" w:eastAsia="Times New Roman" w:hAnsi="Times New Roman" w:cs="Times New Roman"/>
                <w:lang w:eastAsia="en-US"/>
              </w:rPr>
            </w:pPr>
          </w:p>
        </w:tc>
        <w:tc>
          <w:tcPr>
            <w:tcW w:w="3782" w:type="dxa"/>
            <w:gridSpan w:val="2"/>
            <w:shd w:val="clear" w:color="auto" w:fill="auto"/>
            <w:noWrap/>
            <w:vAlign w:val="bottom"/>
            <w:hideMark/>
          </w:tcPr>
          <w:p w14:paraId="57A37347" w14:textId="2FD7D6E0" w:rsidR="00F20078" w:rsidRPr="00DA52B9" w:rsidRDefault="00F20078"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Standard</w:t>
            </w:r>
            <w:r w:rsidR="00630638" w:rsidRPr="00DA52B9">
              <w:rPr>
                <w:rFonts w:ascii="Times New Roman" w:eastAsia="Times New Roman" w:hAnsi="Times New Roman" w:cs="Times New Roman"/>
                <w:b/>
                <w:bCs/>
                <w:color w:val="000000"/>
                <w:lang w:eastAsia="en-US"/>
              </w:rPr>
              <w:t>ized</w:t>
            </w:r>
            <w:r w:rsidRPr="00DA52B9">
              <w:rPr>
                <w:rFonts w:ascii="Times New Roman" w:eastAsia="Times New Roman" w:hAnsi="Times New Roman" w:cs="Times New Roman"/>
                <w:b/>
                <w:bCs/>
                <w:color w:val="000000"/>
                <w:lang w:eastAsia="en-US"/>
              </w:rPr>
              <w:t xml:space="preserve"> Mean Difference</w:t>
            </w:r>
          </w:p>
        </w:tc>
      </w:tr>
      <w:tr w:rsidR="00F20078" w:rsidRPr="00DA52B9" w14:paraId="035D8D6E" w14:textId="77777777" w:rsidTr="00DA52B9">
        <w:trPr>
          <w:trHeight w:val="240"/>
        </w:trPr>
        <w:tc>
          <w:tcPr>
            <w:tcW w:w="3212" w:type="dxa"/>
            <w:shd w:val="clear" w:color="auto" w:fill="auto"/>
            <w:noWrap/>
            <w:vAlign w:val="bottom"/>
            <w:hideMark/>
          </w:tcPr>
          <w:p w14:paraId="3874C125"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p>
        </w:tc>
        <w:tc>
          <w:tcPr>
            <w:tcW w:w="2129" w:type="dxa"/>
            <w:shd w:val="clear" w:color="auto" w:fill="auto"/>
            <w:noWrap/>
            <w:vAlign w:val="bottom"/>
            <w:hideMark/>
          </w:tcPr>
          <w:p w14:paraId="72227072" w14:textId="5855714C" w:rsidR="00F20078" w:rsidRPr="00DA52B9" w:rsidRDefault="0063063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Before</w:t>
            </w:r>
          </w:p>
        </w:tc>
        <w:tc>
          <w:tcPr>
            <w:tcW w:w="1652" w:type="dxa"/>
            <w:shd w:val="clear" w:color="auto" w:fill="auto"/>
            <w:noWrap/>
            <w:vAlign w:val="bottom"/>
            <w:hideMark/>
          </w:tcPr>
          <w:p w14:paraId="2E40B49C" w14:textId="4409430E" w:rsidR="00F20078" w:rsidRPr="00DA52B9" w:rsidRDefault="0063063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After</w:t>
            </w:r>
          </w:p>
        </w:tc>
      </w:tr>
      <w:tr w:rsidR="00F20078" w:rsidRPr="00DA52B9" w14:paraId="7D299C83" w14:textId="77777777" w:rsidTr="00DA52B9">
        <w:trPr>
          <w:trHeight w:val="240"/>
        </w:trPr>
        <w:tc>
          <w:tcPr>
            <w:tcW w:w="3212" w:type="dxa"/>
            <w:shd w:val="clear" w:color="auto" w:fill="auto"/>
            <w:noWrap/>
            <w:vAlign w:val="bottom"/>
            <w:hideMark/>
          </w:tcPr>
          <w:p w14:paraId="370776C0"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Age group, 18-40</w:t>
            </w:r>
          </w:p>
        </w:tc>
        <w:tc>
          <w:tcPr>
            <w:tcW w:w="2129" w:type="dxa"/>
            <w:shd w:val="clear" w:color="auto" w:fill="auto"/>
            <w:noWrap/>
            <w:vAlign w:val="center"/>
            <w:hideMark/>
          </w:tcPr>
          <w:p w14:paraId="346369A9" w14:textId="0682DB1F"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0.9581</w:t>
            </w:r>
          </w:p>
        </w:tc>
        <w:tc>
          <w:tcPr>
            <w:tcW w:w="1652" w:type="dxa"/>
            <w:shd w:val="clear" w:color="auto" w:fill="auto"/>
            <w:noWrap/>
            <w:vAlign w:val="bottom"/>
            <w:hideMark/>
          </w:tcPr>
          <w:p w14:paraId="64D93DED" w14:textId="651CDAEC"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0.0549</w:t>
            </w:r>
          </w:p>
        </w:tc>
      </w:tr>
      <w:tr w:rsidR="00F20078" w:rsidRPr="00DA52B9" w14:paraId="2C0526B0" w14:textId="77777777" w:rsidTr="00DA52B9">
        <w:trPr>
          <w:trHeight w:val="240"/>
        </w:trPr>
        <w:tc>
          <w:tcPr>
            <w:tcW w:w="3212" w:type="dxa"/>
            <w:shd w:val="clear" w:color="auto" w:fill="auto"/>
            <w:noWrap/>
            <w:vAlign w:val="bottom"/>
            <w:hideMark/>
          </w:tcPr>
          <w:p w14:paraId="4066519D"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Age group, 41-64</w:t>
            </w:r>
          </w:p>
        </w:tc>
        <w:tc>
          <w:tcPr>
            <w:tcW w:w="2129" w:type="dxa"/>
            <w:shd w:val="clear" w:color="auto" w:fill="auto"/>
            <w:noWrap/>
            <w:vAlign w:val="center"/>
            <w:hideMark/>
          </w:tcPr>
          <w:p w14:paraId="3055CFF9" w14:textId="1F078573"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0.4494</w:t>
            </w:r>
          </w:p>
        </w:tc>
        <w:tc>
          <w:tcPr>
            <w:tcW w:w="1652" w:type="dxa"/>
            <w:shd w:val="clear" w:color="auto" w:fill="auto"/>
            <w:noWrap/>
            <w:vAlign w:val="bottom"/>
            <w:hideMark/>
          </w:tcPr>
          <w:p w14:paraId="6718586C" w14:textId="7E974DF6"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0.0419</w:t>
            </w:r>
          </w:p>
        </w:tc>
      </w:tr>
      <w:tr w:rsidR="00F20078" w:rsidRPr="00DA52B9" w14:paraId="071F2774" w14:textId="77777777" w:rsidTr="00DA52B9">
        <w:trPr>
          <w:trHeight w:val="240"/>
        </w:trPr>
        <w:tc>
          <w:tcPr>
            <w:tcW w:w="3212" w:type="dxa"/>
            <w:shd w:val="clear" w:color="auto" w:fill="auto"/>
            <w:noWrap/>
            <w:vAlign w:val="bottom"/>
            <w:hideMark/>
          </w:tcPr>
          <w:p w14:paraId="5CAA06A7"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Age group, 65-80</w:t>
            </w:r>
          </w:p>
        </w:tc>
        <w:tc>
          <w:tcPr>
            <w:tcW w:w="2129" w:type="dxa"/>
            <w:shd w:val="clear" w:color="auto" w:fill="auto"/>
            <w:noWrap/>
            <w:vAlign w:val="center"/>
            <w:hideMark/>
          </w:tcPr>
          <w:p w14:paraId="01CE10E9" w14:textId="0D96D79F"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0.1547</w:t>
            </w:r>
          </w:p>
        </w:tc>
        <w:tc>
          <w:tcPr>
            <w:tcW w:w="1652" w:type="dxa"/>
            <w:shd w:val="clear" w:color="auto" w:fill="auto"/>
            <w:noWrap/>
            <w:vAlign w:val="bottom"/>
            <w:hideMark/>
          </w:tcPr>
          <w:p w14:paraId="596B5EC2"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-0.0639</w:t>
            </w:r>
          </w:p>
        </w:tc>
      </w:tr>
      <w:tr w:rsidR="00F20078" w:rsidRPr="00DA52B9" w14:paraId="3D624622" w14:textId="77777777" w:rsidTr="00DA52B9">
        <w:trPr>
          <w:trHeight w:val="240"/>
        </w:trPr>
        <w:tc>
          <w:tcPr>
            <w:tcW w:w="3212" w:type="dxa"/>
            <w:shd w:val="clear" w:color="auto" w:fill="auto"/>
            <w:noWrap/>
            <w:vAlign w:val="bottom"/>
            <w:hideMark/>
          </w:tcPr>
          <w:p w14:paraId="513931A1"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Age group, &gt;80</w:t>
            </w:r>
          </w:p>
        </w:tc>
        <w:tc>
          <w:tcPr>
            <w:tcW w:w="2129" w:type="dxa"/>
            <w:shd w:val="clear" w:color="auto" w:fill="auto"/>
            <w:noWrap/>
            <w:vAlign w:val="center"/>
            <w:hideMark/>
          </w:tcPr>
          <w:p w14:paraId="1A31D8F0" w14:textId="6EDAAEF9"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0.0589</w:t>
            </w:r>
          </w:p>
        </w:tc>
        <w:tc>
          <w:tcPr>
            <w:tcW w:w="1652" w:type="dxa"/>
            <w:shd w:val="clear" w:color="auto" w:fill="auto"/>
            <w:noWrap/>
            <w:vAlign w:val="bottom"/>
            <w:hideMark/>
          </w:tcPr>
          <w:p w14:paraId="055C34CD"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-0.0293</w:t>
            </w:r>
          </w:p>
        </w:tc>
      </w:tr>
      <w:tr w:rsidR="00F20078" w:rsidRPr="00DA52B9" w14:paraId="2759E37D" w14:textId="77777777" w:rsidTr="00DA52B9">
        <w:trPr>
          <w:trHeight w:val="240"/>
        </w:trPr>
        <w:tc>
          <w:tcPr>
            <w:tcW w:w="3212" w:type="dxa"/>
            <w:shd w:val="clear" w:color="auto" w:fill="auto"/>
            <w:noWrap/>
            <w:vAlign w:val="bottom"/>
            <w:hideMark/>
          </w:tcPr>
          <w:p w14:paraId="7E295FE3"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Female</w:t>
            </w:r>
          </w:p>
        </w:tc>
        <w:tc>
          <w:tcPr>
            <w:tcW w:w="2129" w:type="dxa"/>
            <w:shd w:val="clear" w:color="auto" w:fill="auto"/>
            <w:noWrap/>
            <w:vAlign w:val="center"/>
            <w:hideMark/>
          </w:tcPr>
          <w:p w14:paraId="145089FE" w14:textId="567779D8"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0.2999</w:t>
            </w:r>
          </w:p>
        </w:tc>
        <w:tc>
          <w:tcPr>
            <w:tcW w:w="1652" w:type="dxa"/>
            <w:shd w:val="clear" w:color="auto" w:fill="auto"/>
            <w:noWrap/>
            <w:vAlign w:val="bottom"/>
            <w:hideMark/>
          </w:tcPr>
          <w:p w14:paraId="70CA98EE"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-0.0586</w:t>
            </w:r>
          </w:p>
        </w:tc>
      </w:tr>
      <w:tr w:rsidR="00F20078" w:rsidRPr="00DA52B9" w14:paraId="54AAA2F3" w14:textId="77777777" w:rsidTr="00DA52B9">
        <w:trPr>
          <w:trHeight w:val="240"/>
        </w:trPr>
        <w:tc>
          <w:tcPr>
            <w:tcW w:w="3212" w:type="dxa"/>
            <w:shd w:val="clear" w:color="auto" w:fill="auto"/>
            <w:noWrap/>
            <w:vAlign w:val="bottom"/>
            <w:hideMark/>
          </w:tcPr>
          <w:p w14:paraId="3E790428"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proofErr w:type="spellStart"/>
            <w:r w:rsidRPr="00DA52B9">
              <w:rPr>
                <w:rFonts w:ascii="Times New Roman" w:eastAsia="Times New Roman" w:hAnsi="Times New Roman" w:cs="Times New Roman"/>
                <w:color w:val="000000"/>
                <w:lang w:eastAsia="en-US"/>
              </w:rPr>
              <w:t>ALaRM</w:t>
            </w:r>
            <w:proofErr w:type="spellEnd"/>
            <w:r w:rsidRPr="00DA52B9">
              <w:rPr>
                <w:rFonts w:ascii="Times New Roman" w:eastAsia="Times New Roman" w:hAnsi="Times New Roman" w:cs="Times New Roman"/>
                <w:color w:val="000000"/>
                <w:lang w:eastAsia="en-US"/>
              </w:rPr>
              <w:t xml:space="preserve"> Score</w:t>
            </w:r>
          </w:p>
        </w:tc>
        <w:tc>
          <w:tcPr>
            <w:tcW w:w="2129" w:type="dxa"/>
            <w:shd w:val="clear" w:color="auto" w:fill="auto"/>
            <w:noWrap/>
            <w:vAlign w:val="center"/>
            <w:hideMark/>
          </w:tcPr>
          <w:p w14:paraId="43A152E4" w14:textId="408A492E"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0.6447</w:t>
            </w:r>
          </w:p>
        </w:tc>
        <w:tc>
          <w:tcPr>
            <w:tcW w:w="1652" w:type="dxa"/>
            <w:shd w:val="clear" w:color="auto" w:fill="auto"/>
            <w:noWrap/>
            <w:vAlign w:val="bottom"/>
            <w:hideMark/>
          </w:tcPr>
          <w:p w14:paraId="1EF5BEEF" w14:textId="14265144"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0.0205</w:t>
            </w:r>
          </w:p>
        </w:tc>
      </w:tr>
      <w:tr w:rsidR="00F20078" w:rsidRPr="00DA52B9" w14:paraId="0A08FAF7" w14:textId="77777777" w:rsidTr="00DA52B9">
        <w:trPr>
          <w:trHeight w:val="240"/>
        </w:trPr>
        <w:tc>
          <w:tcPr>
            <w:tcW w:w="3212" w:type="dxa"/>
            <w:shd w:val="clear" w:color="auto" w:fill="auto"/>
            <w:noWrap/>
            <w:vAlign w:val="bottom"/>
            <w:hideMark/>
          </w:tcPr>
          <w:p w14:paraId="313A3319"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Payor, Medicaid</w:t>
            </w:r>
          </w:p>
        </w:tc>
        <w:tc>
          <w:tcPr>
            <w:tcW w:w="2129" w:type="dxa"/>
            <w:shd w:val="clear" w:color="auto" w:fill="auto"/>
            <w:noWrap/>
            <w:vAlign w:val="center"/>
            <w:hideMark/>
          </w:tcPr>
          <w:p w14:paraId="20C7125C" w14:textId="1D08523B"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0.1406</w:t>
            </w:r>
          </w:p>
        </w:tc>
        <w:tc>
          <w:tcPr>
            <w:tcW w:w="1652" w:type="dxa"/>
            <w:shd w:val="clear" w:color="auto" w:fill="auto"/>
            <w:noWrap/>
            <w:vAlign w:val="bottom"/>
            <w:hideMark/>
          </w:tcPr>
          <w:p w14:paraId="101829D1" w14:textId="63476192"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0.0423</w:t>
            </w:r>
          </w:p>
        </w:tc>
      </w:tr>
      <w:tr w:rsidR="00F20078" w:rsidRPr="00DA52B9" w14:paraId="49250A56" w14:textId="77777777" w:rsidTr="00DA52B9">
        <w:trPr>
          <w:trHeight w:val="240"/>
        </w:trPr>
        <w:tc>
          <w:tcPr>
            <w:tcW w:w="3212" w:type="dxa"/>
            <w:shd w:val="clear" w:color="auto" w:fill="auto"/>
            <w:noWrap/>
            <w:vAlign w:val="bottom"/>
            <w:hideMark/>
          </w:tcPr>
          <w:p w14:paraId="15908683"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Payor, Medicare</w:t>
            </w:r>
          </w:p>
        </w:tc>
        <w:tc>
          <w:tcPr>
            <w:tcW w:w="2129" w:type="dxa"/>
            <w:shd w:val="clear" w:color="auto" w:fill="auto"/>
            <w:noWrap/>
            <w:vAlign w:val="center"/>
            <w:hideMark/>
          </w:tcPr>
          <w:p w14:paraId="64850C94" w14:textId="44770A76"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0.2913</w:t>
            </w:r>
          </w:p>
        </w:tc>
        <w:tc>
          <w:tcPr>
            <w:tcW w:w="1652" w:type="dxa"/>
            <w:shd w:val="clear" w:color="auto" w:fill="auto"/>
            <w:noWrap/>
            <w:vAlign w:val="bottom"/>
            <w:hideMark/>
          </w:tcPr>
          <w:p w14:paraId="5F40846C"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-0.0744</w:t>
            </w:r>
          </w:p>
        </w:tc>
      </w:tr>
      <w:tr w:rsidR="00F20078" w:rsidRPr="00DA52B9" w14:paraId="426E7886" w14:textId="77777777" w:rsidTr="00DA52B9">
        <w:trPr>
          <w:trHeight w:val="240"/>
        </w:trPr>
        <w:tc>
          <w:tcPr>
            <w:tcW w:w="3212" w:type="dxa"/>
            <w:shd w:val="clear" w:color="auto" w:fill="auto"/>
            <w:noWrap/>
            <w:vAlign w:val="bottom"/>
            <w:hideMark/>
          </w:tcPr>
          <w:p w14:paraId="2D0A5CAF"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Payor, Other</w:t>
            </w:r>
          </w:p>
        </w:tc>
        <w:tc>
          <w:tcPr>
            <w:tcW w:w="2129" w:type="dxa"/>
            <w:shd w:val="clear" w:color="auto" w:fill="auto"/>
            <w:noWrap/>
            <w:vAlign w:val="center"/>
            <w:hideMark/>
          </w:tcPr>
          <w:p w14:paraId="01927E71" w14:textId="25D9245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0.0062</w:t>
            </w:r>
          </w:p>
        </w:tc>
        <w:tc>
          <w:tcPr>
            <w:tcW w:w="1652" w:type="dxa"/>
            <w:shd w:val="clear" w:color="auto" w:fill="auto"/>
            <w:noWrap/>
            <w:vAlign w:val="bottom"/>
            <w:hideMark/>
          </w:tcPr>
          <w:p w14:paraId="6C0978DC"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-0.0283</w:t>
            </w:r>
          </w:p>
        </w:tc>
      </w:tr>
      <w:tr w:rsidR="00F20078" w:rsidRPr="00DA52B9" w14:paraId="409416D1" w14:textId="77777777" w:rsidTr="00DA52B9">
        <w:trPr>
          <w:trHeight w:val="240"/>
        </w:trPr>
        <w:tc>
          <w:tcPr>
            <w:tcW w:w="3212" w:type="dxa"/>
            <w:shd w:val="clear" w:color="auto" w:fill="auto"/>
            <w:noWrap/>
            <w:vAlign w:val="bottom"/>
            <w:hideMark/>
          </w:tcPr>
          <w:p w14:paraId="23128193"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Payor, Private</w:t>
            </w:r>
          </w:p>
        </w:tc>
        <w:tc>
          <w:tcPr>
            <w:tcW w:w="2129" w:type="dxa"/>
            <w:shd w:val="clear" w:color="auto" w:fill="auto"/>
            <w:noWrap/>
            <w:vAlign w:val="center"/>
            <w:hideMark/>
          </w:tcPr>
          <w:p w14:paraId="1801B687" w14:textId="1653DE6C"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0.2119</w:t>
            </w:r>
          </w:p>
        </w:tc>
        <w:tc>
          <w:tcPr>
            <w:tcW w:w="1652" w:type="dxa"/>
            <w:shd w:val="clear" w:color="auto" w:fill="auto"/>
            <w:noWrap/>
            <w:vAlign w:val="bottom"/>
            <w:hideMark/>
          </w:tcPr>
          <w:p w14:paraId="14C40F85" w14:textId="2A888D48"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0.0666</w:t>
            </w:r>
          </w:p>
        </w:tc>
      </w:tr>
      <w:tr w:rsidR="00F20078" w:rsidRPr="00DA52B9" w14:paraId="276DAC78" w14:textId="77777777" w:rsidTr="00DA52B9">
        <w:trPr>
          <w:trHeight w:val="240"/>
        </w:trPr>
        <w:tc>
          <w:tcPr>
            <w:tcW w:w="3212" w:type="dxa"/>
            <w:shd w:val="clear" w:color="auto" w:fill="auto"/>
            <w:noWrap/>
            <w:vAlign w:val="bottom"/>
            <w:hideMark/>
          </w:tcPr>
          <w:p w14:paraId="0C3C1DEE"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Payor, uninsured</w:t>
            </w:r>
          </w:p>
        </w:tc>
        <w:tc>
          <w:tcPr>
            <w:tcW w:w="2129" w:type="dxa"/>
            <w:shd w:val="clear" w:color="auto" w:fill="auto"/>
            <w:noWrap/>
            <w:vAlign w:val="center"/>
            <w:hideMark/>
          </w:tcPr>
          <w:p w14:paraId="7954EA4E" w14:textId="53A0D7E6"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0.0136</w:t>
            </w:r>
          </w:p>
        </w:tc>
        <w:tc>
          <w:tcPr>
            <w:tcW w:w="1652" w:type="dxa"/>
            <w:shd w:val="clear" w:color="auto" w:fill="auto"/>
            <w:noWrap/>
            <w:vAlign w:val="bottom"/>
            <w:hideMark/>
          </w:tcPr>
          <w:p w14:paraId="49ADB10A"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-0.0142</w:t>
            </w:r>
          </w:p>
        </w:tc>
      </w:tr>
      <w:tr w:rsidR="00F20078" w:rsidRPr="00DA52B9" w14:paraId="64B73400" w14:textId="77777777" w:rsidTr="00DA52B9">
        <w:trPr>
          <w:trHeight w:val="240"/>
        </w:trPr>
        <w:tc>
          <w:tcPr>
            <w:tcW w:w="3212" w:type="dxa"/>
            <w:shd w:val="clear" w:color="auto" w:fill="auto"/>
            <w:noWrap/>
            <w:vAlign w:val="bottom"/>
            <w:hideMark/>
          </w:tcPr>
          <w:p w14:paraId="357E3749"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Facility size, &lt;100</w:t>
            </w:r>
          </w:p>
        </w:tc>
        <w:tc>
          <w:tcPr>
            <w:tcW w:w="2129" w:type="dxa"/>
            <w:shd w:val="clear" w:color="auto" w:fill="auto"/>
            <w:noWrap/>
            <w:vAlign w:val="center"/>
            <w:hideMark/>
          </w:tcPr>
          <w:p w14:paraId="461BAE21" w14:textId="5C877D1A"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0.1500</w:t>
            </w:r>
          </w:p>
        </w:tc>
        <w:tc>
          <w:tcPr>
            <w:tcW w:w="1652" w:type="dxa"/>
            <w:shd w:val="clear" w:color="auto" w:fill="auto"/>
            <w:noWrap/>
            <w:vAlign w:val="bottom"/>
            <w:hideMark/>
          </w:tcPr>
          <w:p w14:paraId="2EF41430"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-0.0168</w:t>
            </w:r>
          </w:p>
        </w:tc>
      </w:tr>
      <w:tr w:rsidR="00F20078" w:rsidRPr="00DA52B9" w14:paraId="628F5E59" w14:textId="77777777" w:rsidTr="00DA52B9">
        <w:trPr>
          <w:trHeight w:val="240"/>
        </w:trPr>
        <w:tc>
          <w:tcPr>
            <w:tcW w:w="3212" w:type="dxa"/>
            <w:shd w:val="clear" w:color="auto" w:fill="auto"/>
            <w:noWrap/>
            <w:vAlign w:val="bottom"/>
            <w:hideMark/>
          </w:tcPr>
          <w:p w14:paraId="6352D78A"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Facility size, 100-&lt;300</w:t>
            </w:r>
          </w:p>
        </w:tc>
        <w:tc>
          <w:tcPr>
            <w:tcW w:w="2129" w:type="dxa"/>
            <w:shd w:val="clear" w:color="auto" w:fill="auto"/>
            <w:noWrap/>
            <w:vAlign w:val="center"/>
            <w:hideMark/>
          </w:tcPr>
          <w:p w14:paraId="7C23A66A" w14:textId="54D73386"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0.2860</w:t>
            </w:r>
          </w:p>
        </w:tc>
        <w:tc>
          <w:tcPr>
            <w:tcW w:w="1652" w:type="dxa"/>
            <w:shd w:val="clear" w:color="auto" w:fill="auto"/>
            <w:noWrap/>
            <w:vAlign w:val="bottom"/>
            <w:hideMark/>
          </w:tcPr>
          <w:p w14:paraId="7EB4362D" w14:textId="5EE076CA"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0.0567</w:t>
            </w:r>
          </w:p>
        </w:tc>
      </w:tr>
      <w:tr w:rsidR="00F20078" w:rsidRPr="00DA52B9" w14:paraId="781C19DE" w14:textId="77777777" w:rsidTr="00DA52B9">
        <w:trPr>
          <w:trHeight w:val="240"/>
        </w:trPr>
        <w:tc>
          <w:tcPr>
            <w:tcW w:w="3212" w:type="dxa"/>
            <w:shd w:val="clear" w:color="auto" w:fill="auto"/>
            <w:noWrap/>
            <w:vAlign w:val="bottom"/>
            <w:hideMark/>
          </w:tcPr>
          <w:p w14:paraId="31235BDE"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Facility size, ≥ 300</w:t>
            </w:r>
          </w:p>
        </w:tc>
        <w:tc>
          <w:tcPr>
            <w:tcW w:w="2129" w:type="dxa"/>
            <w:shd w:val="clear" w:color="auto" w:fill="auto"/>
            <w:noWrap/>
            <w:vAlign w:val="center"/>
            <w:hideMark/>
          </w:tcPr>
          <w:p w14:paraId="34881DD4" w14:textId="643A1ECA"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0.3644</w:t>
            </w:r>
          </w:p>
        </w:tc>
        <w:tc>
          <w:tcPr>
            <w:tcW w:w="1652" w:type="dxa"/>
            <w:shd w:val="clear" w:color="auto" w:fill="auto"/>
            <w:noWrap/>
            <w:vAlign w:val="bottom"/>
            <w:hideMark/>
          </w:tcPr>
          <w:p w14:paraId="64ED211C"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-0.0465</w:t>
            </w:r>
          </w:p>
        </w:tc>
      </w:tr>
      <w:tr w:rsidR="00F20078" w:rsidRPr="00DA52B9" w14:paraId="225B9310" w14:textId="77777777" w:rsidTr="00DA52B9">
        <w:trPr>
          <w:trHeight w:val="240"/>
        </w:trPr>
        <w:tc>
          <w:tcPr>
            <w:tcW w:w="3212" w:type="dxa"/>
            <w:shd w:val="clear" w:color="auto" w:fill="auto"/>
            <w:noWrap/>
            <w:vAlign w:val="bottom"/>
            <w:hideMark/>
          </w:tcPr>
          <w:p w14:paraId="69194CA9"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Teaching facility</w:t>
            </w:r>
          </w:p>
        </w:tc>
        <w:tc>
          <w:tcPr>
            <w:tcW w:w="2129" w:type="dxa"/>
            <w:shd w:val="clear" w:color="auto" w:fill="auto"/>
            <w:noWrap/>
            <w:vAlign w:val="center"/>
            <w:hideMark/>
          </w:tcPr>
          <w:p w14:paraId="0A9EE8B5" w14:textId="24BC0B71"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0.2244</w:t>
            </w:r>
          </w:p>
        </w:tc>
        <w:tc>
          <w:tcPr>
            <w:tcW w:w="1652" w:type="dxa"/>
            <w:shd w:val="clear" w:color="auto" w:fill="auto"/>
            <w:noWrap/>
            <w:vAlign w:val="bottom"/>
            <w:hideMark/>
          </w:tcPr>
          <w:p w14:paraId="0D521E28" w14:textId="5D0FC2A5"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0.0023</w:t>
            </w:r>
          </w:p>
        </w:tc>
      </w:tr>
      <w:tr w:rsidR="00F20078" w:rsidRPr="00DA52B9" w14:paraId="030CB021" w14:textId="77777777" w:rsidTr="00DA52B9">
        <w:trPr>
          <w:trHeight w:val="240"/>
        </w:trPr>
        <w:tc>
          <w:tcPr>
            <w:tcW w:w="3212" w:type="dxa"/>
            <w:shd w:val="clear" w:color="auto" w:fill="auto"/>
            <w:noWrap/>
            <w:vAlign w:val="bottom"/>
            <w:hideMark/>
          </w:tcPr>
          <w:p w14:paraId="2E259EEF"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Urban facility</w:t>
            </w:r>
          </w:p>
        </w:tc>
        <w:tc>
          <w:tcPr>
            <w:tcW w:w="2129" w:type="dxa"/>
            <w:shd w:val="clear" w:color="auto" w:fill="auto"/>
            <w:noWrap/>
            <w:vAlign w:val="center"/>
            <w:hideMark/>
          </w:tcPr>
          <w:p w14:paraId="744F13A8" w14:textId="40AB108E"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0.0342</w:t>
            </w:r>
          </w:p>
        </w:tc>
        <w:tc>
          <w:tcPr>
            <w:tcW w:w="1652" w:type="dxa"/>
            <w:shd w:val="clear" w:color="auto" w:fill="auto"/>
            <w:noWrap/>
            <w:vAlign w:val="bottom"/>
            <w:hideMark/>
          </w:tcPr>
          <w:p w14:paraId="18B21642" w14:textId="77777777" w:rsidR="00F20078" w:rsidRPr="00DA52B9" w:rsidRDefault="00F20078"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-0.1119</w:t>
            </w:r>
          </w:p>
        </w:tc>
      </w:tr>
      <w:tr w:rsidR="00F20078" w:rsidRPr="00DA52B9" w14:paraId="3159F610" w14:textId="77777777" w:rsidTr="00DA52B9">
        <w:trPr>
          <w:trHeight w:val="240"/>
        </w:trPr>
        <w:tc>
          <w:tcPr>
            <w:tcW w:w="3212" w:type="dxa"/>
            <w:shd w:val="clear" w:color="auto" w:fill="auto"/>
            <w:noWrap/>
            <w:vAlign w:val="bottom"/>
            <w:hideMark/>
          </w:tcPr>
          <w:p w14:paraId="18CDA6C6"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AAA</w:t>
            </w:r>
          </w:p>
        </w:tc>
        <w:tc>
          <w:tcPr>
            <w:tcW w:w="2129" w:type="dxa"/>
            <w:shd w:val="clear" w:color="auto" w:fill="auto"/>
            <w:noWrap/>
            <w:vAlign w:val="center"/>
            <w:hideMark/>
          </w:tcPr>
          <w:p w14:paraId="2483CA08" w14:textId="7DA6DE8A"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0.0000</w:t>
            </w:r>
          </w:p>
        </w:tc>
        <w:tc>
          <w:tcPr>
            <w:tcW w:w="1652" w:type="dxa"/>
            <w:shd w:val="clear" w:color="auto" w:fill="auto"/>
            <w:noWrap/>
            <w:vAlign w:val="center"/>
            <w:hideMark/>
          </w:tcPr>
          <w:p w14:paraId="6EEA660D" w14:textId="05B454DD"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0.0490</w:t>
            </w:r>
          </w:p>
        </w:tc>
      </w:tr>
      <w:tr w:rsidR="00F20078" w:rsidRPr="00DA52B9" w14:paraId="32CD0F17" w14:textId="77777777" w:rsidTr="00DA52B9">
        <w:trPr>
          <w:trHeight w:val="240"/>
        </w:trPr>
        <w:tc>
          <w:tcPr>
            <w:tcW w:w="3212" w:type="dxa"/>
            <w:shd w:val="clear" w:color="auto" w:fill="auto"/>
            <w:noWrap/>
            <w:vAlign w:val="bottom"/>
            <w:hideMark/>
          </w:tcPr>
          <w:p w14:paraId="634188A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BILI</w:t>
            </w:r>
          </w:p>
        </w:tc>
        <w:tc>
          <w:tcPr>
            <w:tcW w:w="2129" w:type="dxa"/>
            <w:shd w:val="clear" w:color="auto" w:fill="auto"/>
            <w:noWrap/>
            <w:vAlign w:val="center"/>
            <w:hideMark/>
          </w:tcPr>
          <w:p w14:paraId="6425058D" w14:textId="72285828"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0.0218</w:t>
            </w:r>
          </w:p>
        </w:tc>
        <w:tc>
          <w:tcPr>
            <w:tcW w:w="1652" w:type="dxa"/>
            <w:shd w:val="clear" w:color="auto" w:fill="auto"/>
            <w:noWrap/>
            <w:vAlign w:val="center"/>
            <w:hideMark/>
          </w:tcPr>
          <w:p w14:paraId="7B52CE9B" w14:textId="10CAE760"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0.1126</w:t>
            </w:r>
          </w:p>
        </w:tc>
      </w:tr>
      <w:tr w:rsidR="00F20078" w:rsidRPr="00DA52B9" w14:paraId="37594261" w14:textId="77777777" w:rsidTr="00DA52B9">
        <w:trPr>
          <w:trHeight w:val="240"/>
        </w:trPr>
        <w:tc>
          <w:tcPr>
            <w:tcW w:w="3212" w:type="dxa"/>
            <w:shd w:val="clear" w:color="auto" w:fill="auto"/>
            <w:noWrap/>
            <w:vAlign w:val="bottom"/>
            <w:hideMark/>
          </w:tcPr>
          <w:p w14:paraId="7FC8A5B7"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lastRenderedPageBreak/>
              <w:t>Procedure, BRST</w:t>
            </w:r>
          </w:p>
        </w:tc>
        <w:tc>
          <w:tcPr>
            <w:tcW w:w="2129" w:type="dxa"/>
            <w:shd w:val="clear" w:color="auto" w:fill="auto"/>
            <w:noWrap/>
            <w:vAlign w:val="center"/>
            <w:hideMark/>
          </w:tcPr>
          <w:p w14:paraId="4F8A5ECE" w14:textId="531B16A1"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0.0342</w:t>
            </w:r>
          </w:p>
        </w:tc>
        <w:tc>
          <w:tcPr>
            <w:tcW w:w="1652" w:type="dxa"/>
            <w:shd w:val="clear" w:color="auto" w:fill="auto"/>
            <w:noWrap/>
            <w:vAlign w:val="center"/>
            <w:hideMark/>
          </w:tcPr>
          <w:p w14:paraId="0A63F276" w14:textId="514006A3"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0.0422</w:t>
            </w:r>
          </w:p>
        </w:tc>
      </w:tr>
      <w:tr w:rsidR="00F20078" w:rsidRPr="00DA52B9" w14:paraId="43632677" w14:textId="77777777" w:rsidTr="00DA52B9">
        <w:trPr>
          <w:trHeight w:val="240"/>
        </w:trPr>
        <w:tc>
          <w:tcPr>
            <w:tcW w:w="3212" w:type="dxa"/>
            <w:shd w:val="clear" w:color="auto" w:fill="auto"/>
            <w:noWrap/>
            <w:vAlign w:val="bottom"/>
            <w:hideMark/>
          </w:tcPr>
          <w:p w14:paraId="76544ED7"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CBGB</w:t>
            </w:r>
          </w:p>
        </w:tc>
        <w:tc>
          <w:tcPr>
            <w:tcW w:w="2129" w:type="dxa"/>
            <w:shd w:val="clear" w:color="auto" w:fill="auto"/>
            <w:noWrap/>
            <w:vAlign w:val="center"/>
            <w:hideMark/>
          </w:tcPr>
          <w:p w14:paraId="1B617283" w14:textId="204B877D"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0.0363</w:t>
            </w:r>
          </w:p>
        </w:tc>
        <w:tc>
          <w:tcPr>
            <w:tcW w:w="1652" w:type="dxa"/>
            <w:shd w:val="clear" w:color="auto" w:fill="auto"/>
            <w:noWrap/>
            <w:vAlign w:val="center"/>
            <w:hideMark/>
          </w:tcPr>
          <w:p w14:paraId="0472CE5B" w14:textId="0C998BF2"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0.1593</w:t>
            </w:r>
          </w:p>
        </w:tc>
      </w:tr>
      <w:tr w:rsidR="00F20078" w:rsidRPr="00DA52B9" w14:paraId="1FF2A4BC" w14:textId="77777777" w:rsidTr="00DA52B9">
        <w:trPr>
          <w:trHeight w:val="240"/>
        </w:trPr>
        <w:tc>
          <w:tcPr>
            <w:tcW w:w="3212" w:type="dxa"/>
            <w:shd w:val="clear" w:color="auto" w:fill="auto"/>
            <w:noWrap/>
            <w:vAlign w:val="bottom"/>
            <w:hideMark/>
          </w:tcPr>
          <w:p w14:paraId="4DC77FE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CHOL</w:t>
            </w:r>
          </w:p>
        </w:tc>
        <w:tc>
          <w:tcPr>
            <w:tcW w:w="2129" w:type="dxa"/>
            <w:shd w:val="clear" w:color="auto" w:fill="auto"/>
            <w:noWrap/>
            <w:vAlign w:val="center"/>
            <w:hideMark/>
          </w:tcPr>
          <w:p w14:paraId="7983284B"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-0.0456</w:t>
            </w:r>
          </w:p>
        </w:tc>
        <w:tc>
          <w:tcPr>
            <w:tcW w:w="1652" w:type="dxa"/>
            <w:shd w:val="clear" w:color="auto" w:fill="auto"/>
            <w:noWrap/>
            <w:vAlign w:val="center"/>
            <w:hideMark/>
          </w:tcPr>
          <w:p w14:paraId="37ADC1DA" w14:textId="799A8BF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0.9566</w:t>
            </w:r>
          </w:p>
        </w:tc>
      </w:tr>
      <w:tr w:rsidR="00F20078" w:rsidRPr="00DA52B9" w14:paraId="60DA8054" w14:textId="77777777" w:rsidTr="00DA52B9">
        <w:trPr>
          <w:trHeight w:val="240"/>
        </w:trPr>
        <w:tc>
          <w:tcPr>
            <w:tcW w:w="3212" w:type="dxa"/>
            <w:shd w:val="clear" w:color="auto" w:fill="auto"/>
            <w:noWrap/>
            <w:vAlign w:val="bottom"/>
            <w:hideMark/>
          </w:tcPr>
          <w:p w14:paraId="3AA68049"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COLO</w:t>
            </w:r>
          </w:p>
        </w:tc>
        <w:tc>
          <w:tcPr>
            <w:tcW w:w="2129" w:type="dxa"/>
            <w:shd w:val="clear" w:color="auto" w:fill="auto"/>
            <w:noWrap/>
            <w:vAlign w:val="center"/>
            <w:hideMark/>
          </w:tcPr>
          <w:p w14:paraId="20944F02"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-0.0108</w:t>
            </w:r>
          </w:p>
        </w:tc>
        <w:tc>
          <w:tcPr>
            <w:tcW w:w="1652" w:type="dxa"/>
            <w:shd w:val="clear" w:color="auto" w:fill="auto"/>
            <w:noWrap/>
            <w:vAlign w:val="center"/>
            <w:hideMark/>
          </w:tcPr>
          <w:p w14:paraId="74A7B513" w14:textId="38F886C1"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1.1228</w:t>
            </w:r>
          </w:p>
        </w:tc>
      </w:tr>
      <w:tr w:rsidR="00F20078" w:rsidRPr="00DA52B9" w14:paraId="1AD7E503" w14:textId="77777777" w:rsidTr="00DA52B9">
        <w:trPr>
          <w:trHeight w:val="240"/>
        </w:trPr>
        <w:tc>
          <w:tcPr>
            <w:tcW w:w="3212" w:type="dxa"/>
            <w:shd w:val="clear" w:color="auto" w:fill="auto"/>
            <w:noWrap/>
            <w:vAlign w:val="bottom"/>
            <w:hideMark/>
          </w:tcPr>
          <w:p w14:paraId="3979FC0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CSEC</w:t>
            </w:r>
          </w:p>
        </w:tc>
        <w:tc>
          <w:tcPr>
            <w:tcW w:w="2129" w:type="dxa"/>
            <w:shd w:val="clear" w:color="auto" w:fill="auto"/>
            <w:noWrap/>
            <w:vAlign w:val="center"/>
            <w:hideMark/>
          </w:tcPr>
          <w:p w14:paraId="17C7108F" w14:textId="3156760D"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0.0000</w:t>
            </w:r>
          </w:p>
        </w:tc>
        <w:tc>
          <w:tcPr>
            <w:tcW w:w="1652" w:type="dxa"/>
            <w:shd w:val="clear" w:color="auto" w:fill="auto"/>
            <w:noWrap/>
            <w:vAlign w:val="center"/>
            <w:hideMark/>
          </w:tcPr>
          <w:p w14:paraId="4AD2FA44" w14:textId="5CFBA5B1"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3.3804</w:t>
            </w:r>
          </w:p>
        </w:tc>
      </w:tr>
      <w:tr w:rsidR="00F20078" w:rsidRPr="00DA52B9" w14:paraId="302A59E0" w14:textId="77777777" w:rsidTr="00DA52B9">
        <w:trPr>
          <w:trHeight w:val="240"/>
        </w:trPr>
        <w:tc>
          <w:tcPr>
            <w:tcW w:w="3212" w:type="dxa"/>
            <w:shd w:val="clear" w:color="auto" w:fill="auto"/>
            <w:noWrap/>
            <w:vAlign w:val="bottom"/>
            <w:hideMark/>
          </w:tcPr>
          <w:p w14:paraId="6779638D"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FUSN</w:t>
            </w:r>
          </w:p>
        </w:tc>
        <w:tc>
          <w:tcPr>
            <w:tcW w:w="2129" w:type="dxa"/>
            <w:shd w:val="clear" w:color="auto" w:fill="auto"/>
            <w:noWrap/>
            <w:vAlign w:val="center"/>
            <w:hideMark/>
          </w:tcPr>
          <w:p w14:paraId="36ED12A8"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-0.0187</w:t>
            </w:r>
          </w:p>
        </w:tc>
        <w:tc>
          <w:tcPr>
            <w:tcW w:w="1652" w:type="dxa"/>
            <w:shd w:val="clear" w:color="auto" w:fill="auto"/>
            <w:noWrap/>
            <w:vAlign w:val="center"/>
            <w:hideMark/>
          </w:tcPr>
          <w:p w14:paraId="3FF1893A" w14:textId="3D105064"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0.0057</w:t>
            </w:r>
          </w:p>
        </w:tc>
      </w:tr>
      <w:tr w:rsidR="00F20078" w:rsidRPr="00DA52B9" w14:paraId="34362EFF" w14:textId="77777777" w:rsidTr="00DA52B9">
        <w:trPr>
          <w:trHeight w:val="240"/>
        </w:trPr>
        <w:tc>
          <w:tcPr>
            <w:tcW w:w="3212" w:type="dxa"/>
            <w:shd w:val="clear" w:color="auto" w:fill="auto"/>
            <w:noWrap/>
            <w:vAlign w:val="bottom"/>
            <w:hideMark/>
          </w:tcPr>
          <w:p w14:paraId="63C6BE1D"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FX</w:t>
            </w:r>
          </w:p>
        </w:tc>
        <w:tc>
          <w:tcPr>
            <w:tcW w:w="2129" w:type="dxa"/>
            <w:shd w:val="clear" w:color="auto" w:fill="auto"/>
            <w:noWrap/>
            <w:vAlign w:val="center"/>
            <w:hideMark/>
          </w:tcPr>
          <w:p w14:paraId="5A785346" w14:textId="35E8E50B"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0.0747</w:t>
            </w:r>
          </w:p>
        </w:tc>
        <w:tc>
          <w:tcPr>
            <w:tcW w:w="1652" w:type="dxa"/>
            <w:shd w:val="clear" w:color="auto" w:fill="auto"/>
            <w:noWrap/>
            <w:vAlign w:val="center"/>
            <w:hideMark/>
          </w:tcPr>
          <w:p w14:paraId="551F7E1E" w14:textId="42A7B33C"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0.6540</w:t>
            </w:r>
          </w:p>
        </w:tc>
      </w:tr>
      <w:tr w:rsidR="00F20078" w:rsidRPr="00DA52B9" w14:paraId="13580113" w14:textId="77777777" w:rsidTr="00DA52B9">
        <w:trPr>
          <w:trHeight w:val="240"/>
        </w:trPr>
        <w:tc>
          <w:tcPr>
            <w:tcW w:w="3212" w:type="dxa"/>
            <w:shd w:val="clear" w:color="auto" w:fill="auto"/>
            <w:noWrap/>
            <w:vAlign w:val="bottom"/>
            <w:hideMark/>
          </w:tcPr>
          <w:p w14:paraId="1DB5CE45"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GAST</w:t>
            </w:r>
          </w:p>
        </w:tc>
        <w:tc>
          <w:tcPr>
            <w:tcW w:w="2129" w:type="dxa"/>
            <w:shd w:val="clear" w:color="auto" w:fill="auto"/>
            <w:noWrap/>
            <w:vAlign w:val="center"/>
            <w:hideMark/>
          </w:tcPr>
          <w:p w14:paraId="62B6FA8A" w14:textId="3693CF4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0.0123</w:t>
            </w:r>
          </w:p>
        </w:tc>
        <w:tc>
          <w:tcPr>
            <w:tcW w:w="1652" w:type="dxa"/>
            <w:shd w:val="clear" w:color="auto" w:fill="auto"/>
            <w:noWrap/>
            <w:vAlign w:val="center"/>
            <w:hideMark/>
          </w:tcPr>
          <w:p w14:paraId="20B6794B" w14:textId="5F839F66"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0.1427</w:t>
            </w:r>
          </w:p>
        </w:tc>
      </w:tr>
      <w:tr w:rsidR="00F20078" w:rsidRPr="00DA52B9" w14:paraId="27775B6B" w14:textId="77777777" w:rsidTr="00DA52B9">
        <w:trPr>
          <w:trHeight w:val="240"/>
        </w:trPr>
        <w:tc>
          <w:tcPr>
            <w:tcW w:w="3212" w:type="dxa"/>
            <w:shd w:val="clear" w:color="auto" w:fill="auto"/>
            <w:noWrap/>
            <w:vAlign w:val="bottom"/>
            <w:hideMark/>
          </w:tcPr>
          <w:p w14:paraId="322DECAD"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HER</w:t>
            </w:r>
          </w:p>
        </w:tc>
        <w:tc>
          <w:tcPr>
            <w:tcW w:w="2129" w:type="dxa"/>
            <w:shd w:val="clear" w:color="auto" w:fill="auto"/>
            <w:noWrap/>
            <w:vAlign w:val="center"/>
            <w:hideMark/>
          </w:tcPr>
          <w:p w14:paraId="26DD7A39" w14:textId="5786E644"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0.0000</w:t>
            </w:r>
          </w:p>
        </w:tc>
        <w:tc>
          <w:tcPr>
            <w:tcW w:w="1652" w:type="dxa"/>
            <w:shd w:val="clear" w:color="auto" w:fill="auto"/>
            <w:noWrap/>
            <w:vAlign w:val="center"/>
            <w:hideMark/>
          </w:tcPr>
          <w:p w14:paraId="19A69A3A" w14:textId="6D3CB33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0.0768</w:t>
            </w:r>
          </w:p>
        </w:tc>
      </w:tr>
      <w:tr w:rsidR="00F20078" w:rsidRPr="00DA52B9" w14:paraId="42EAF9FB" w14:textId="77777777" w:rsidTr="00DA52B9">
        <w:trPr>
          <w:trHeight w:val="240"/>
        </w:trPr>
        <w:tc>
          <w:tcPr>
            <w:tcW w:w="3212" w:type="dxa"/>
            <w:shd w:val="clear" w:color="auto" w:fill="auto"/>
            <w:noWrap/>
            <w:vAlign w:val="bottom"/>
            <w:hideMark/>
          </w:tcPr>
          <w:p w14:paraId="28FAE220"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HPRO</w:t>
            </w:r>
          </w:p>
        </w:tc>
        <w:tc>
          <w:tcPr>
            <w:tcW w:w="2129" w:type="dxa"/>
            <w:shd w:val="clear" w:color="auto" w:fill="auto"/>
            <w:noWrap/>
            <w:vAlign w:val="center"/>
            <w:hideMark/>
          </w:tcPr>
          <w:p w14:paraId="3BC1BFB0"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-0.0504</w:t>
            </w:r>
          </w:p>
        </w:tc>
        <w:tc>
          <w:tcPr>
            <w:tcW w:w="1652" w:type="dxa"/>
            <w:shd w:val="clear" w:color="auto" w:fill="auto"/>
            <w:noWrap/>
            <w:vAlign w:val="center"/>
            <w:hideMark/>
          </w:tcPr>
          <w:p w14:paraId="12E3A984" w14:textId="4CB43021"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0.1122</w:t>
            </w:r>
          </w:p>
        </w:tc>
      </w:tr>
      <w:tr w:rsidR="00F20078" w:rsidRPr="00DA52B9" w14:paraId="2B60AB55" w14:textId="77777777" w:rsidTr="00DA52B9">
        <w:trPr>
          <w:trHeight w:val="240"/>
        </w:trPr>
        <w:tc>
          <w:tcPr>
            <w:tcW w:w="3212" w:type="dxa"/>
            <w:shd w:val="clear" w:color="auto" w:fill="auto"/>
            <w:noWrap/>
            <w:vAlign w:val="bottom"/>
            <w:hideMark/>
          </w:tcPr>
          <w:p w14:paraId="4B84E188"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HYST</w:t>
            </w:r>
          </w:p>
        </w:tc>
        <w:tc>
          <w:tcPr>
            <w:tcW w:w="2129" w:type="dxa"/>
            <w:shd w:val="clear" w:color="auto" w:fill="auto"/>
            <w:noWrap/>
            <w:vAlign w:val="center"/>
            <w:hideMark/>
          </w:tcPr>
          <w:p w14:paraId="43CD05F5"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-0.0109</w:t>
            </w:r>
          </w:p>
        </w:tc>
        <w:tc>
          <w:tcPr>
            <w:tcW w:w="1652" w:type="dxa"/>
            <w:shd w:val="clear" w:color="auto" w:fill="auto"/>
            <w:noWrap/>
            <w:vAlign w:val="center"/>
            <w:hideMark/>
          </w:tcPr>
          <w:p w14:paraId="2B6A62E5" w14:textId="37A7323D"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0.0362</w:t>
            </w:r>
          </w:p>
        </w:tc>
      </w:tr>
      <w:tr w:rsidR="00F20078" w:rsidRPr="00DA52B9" w14:paraId="7D1AD2A9" w14:textId="77777777" w:rsidTr="00DA52B9">
        <w:trPr>
          <w:trHeight w:val="240"/>
        </w:trPr>
        <w:tc>
          <w:tcPr>
            <w:tcW w:w="3212" w:type="dxa"/>
            <w:shd w:val="clear" w:color="auto" w:fill="auto"/>
            <w:noWrap/>
            <w:vAlign w:val="bottom"/>
            <w:hideMark/>
          </w:tcPr>
          <w:p w14:paraId="3699A1F0"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KPRO</w:t>
            </w:r>
          </w:p>
        </w:tc>
        <w:tc>
          <w:tcPr>
            <w:tcW w:w="2129" w:type="dxa"/>
            <w:shd w:val="clear" w:color="auto" w:fill="auto"/>
            <w:noWrap/>
            <w:vAlign w:val="center"/>
            <w:hideMark/>
          </w:tcPr>
          <w:p w14:paraId="3EE647A8" w14:textId="243F163E"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0.0156</w:t>
            </w:r>
          </w:p>
        </w:tc>
        <w:tc>
          <w:tcPr>
            <w:tcW w:w="1652" w:type="dxa"/>
            <w:shd w:val="clear" w:color="auto" w:fill="auto"/>
            <w:noWrap/>
            <w:vAlign w:val="center"/>
            <w:hideMark/>
          </w:tcPr>
          <w:p w14:paraId="2357DF36" w14:textId="23451853"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0.6651</w:t>
            </w:r>
          </w:p>
        </w:tc>
      </w:tr>
      <w:tr w:rsidR="00F20078" w:rsidRPr="00DA52B9" w14:paraId="1DBBF3B2" w14:textId="77777777" w:rsidTr="00DA52B9">
        <w:trPr>
          <w:trHeight w:val="240"/>
        </w:trPr>
        <w:tc>
          <w:tcPr>
            <w:tcW w:w="3212" w:type="dxa"/>
            <w:shd w:val="clear" w:color="auto" w:fill="auto"/>
            <w:noWrap/>
            <w:vAlign w:val="bottom"/>
            <w:hideMark/>
          </w:tcPr>
          <w:p w14:paraId="09109881"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NECK</w:t>
            </w:r>
          </w:p>
        </w:tc>
        <w:tc>
          <w:tcPr>
            <w:tcW w:w="2129" w:type="dxa"/>
            <w:shd w:val="clear" w:color="auto" w:fill="auto"/>
            <w:noWrap/>
            <w:vAlign w:val="center"/>
            <w:hideMark/>
          </w:tcPr>
          <w:p w14:paraId="5CB7511F" w14:textId="2CC2ECCA"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0.0322</w:t>
            </w:r>
          </w:p>
        </w:tc>
        <w:tc>
          <w:tcPr>
            <w:tcW w:w="1652" w:type="dxa"/>
            <w:shd w:val="clear" w:color="auto" w:fill="auto"/>
            <w:noWrap/>
            <w:vAlign w:val="center"/>
            <w:hideMark/>
          </w:tcPr>
          <w:p w14:paraId="7FAFFE4E" w14:textId="4D02C38B"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-0.0936</w:t>
            </w:r>
          </w:p>
        </w:tc>
      </w:tr>
      <w:tr w:rsidR="00F20078" w:rsidRPr="00DA52B9" w14:paraId="14A6738C" w14:textId="77777777" w:rsidTr="00DA52B9">
        <w:trPr>
          <w:trHeight w:val="240"/>
        </w:trPr>
        <w:tc>
          <w:tcPr>
            <w:tcW w:w="3212" w:type="dxa"/>
            <w:shd w:val="clear" w:color="auto" w:fill="auto"/>
            <w:noWrap/>
            <w:vAlign w:val="bottom"/>
            <w:hideMark/>
          </w:tcPr>
          <w:p w14:paraId="4E80A2C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PACE</w:t>
            </w:r>
          </w:p>
        </w:tc>
        <w:tc>
          <w:tcPr>
            <w:tcW w:w="2129" w:type="dxa"/>
            <w:shd w:val="clear" w:color="auto" w:fill="auto"/>
            <w:noWrap/>
            <w:vAlign w:val="center"/>
            <w:hideMark/>
          </w:tcPr>
          <w:p w14:paraId="37F22940" w14:textId="7E14943E"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0.0000</w:t>
            </w:r>
          </w:p>
        </w:tc>
        <w:tc>
          <w:tcPr>
            <w:tcW w:w="1652" w:type="dxa"/>
            <w:shd w:val="clear" w:color="auto" w:fill="auto"/>
            <w:noWrap/>
            <w:vAlign w:val="center"/>
            <w:hideMark/>
          </w:tcPr>
          <w:p w14:paraId="60255E7B" w14:textId="76880C2D"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-0.0393</w:t>
            </w:r>
          </w:p>
        </w:tc>
      </w:tr>
      <w:tr w:rsidR="00F20078" w:rsidRPr="00DA52B9" w14:paraId="5284D1D1" w14:textId="77777777" w:rsidTr="00DA52B9">
        <w:trPr>
          <w:trHeight w:val="240"/>
        </w:trPr>
        <w:tc>
          <w:tcPr>
            <w:tcW w:w="3212" w:type="dxa"/>
            <w:shd w:val="clear" w:color="auto" w:fill="auto"/>
            <w:noWrap/>
            <w:vAlign w:val="bottom"/>
            <w:hideMark/>
          </w:tcPr>
          <w:p w14:paraId="50AB73B0"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PRST</w:t>
            </w:r>
          </w:p>
        </w:tc>
        <w:tc>
          <w:tcPr>
            <w:tcW w:w="2129" w:type="dxa"/>
            <w:shd w:val="clear" w:color="auto" w:fill="auto"/>
            <w:noWrap/>
            <w:vAlign w:val="center"/>
            <w:hideMark/>
          </w:tcPr>
          <w:p w14:paraId="5C81F8C2"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-0.0161</w:t>
            </w:r>
          </w:p>
        </w:tc>
        <w:tc>
          <w:tcPr>
            <w:tcW w:w="1652" w:type="dxa"/>
            <w:shd w:val="clear" w:color="auto" w:fill="auto"/>
            <w:noWrap/>
            <w:vAlign w:val="center"/>
            <w:hideMark/>
          </w:tcPr>
          <w:p w14:paraId="013111CF" w14:textId="5C480BB6"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-0.0005</w:t>
            </w:r>
          </w:p>
        </w:tc>
      </w:tr>
      <w:tr w:rsidR="00F20078" w:rsidRPr="00DA52B9" w14:paraId="46F2C46C" w14:textId="77777777" w:rsidTr="00DA52B9">
        <w:trPr>
          <w:trHeight w:val="240"/>
        </w:trPr>
        <w:tc>
          <w:tcPr>
            <w:tcW w:w="3212" w:type="dxa"/>
            <w:shd w:val="clear" w:color="auto" w:fill="auto"/>
            <w:noWrap/>
            <w:vAlign w:val="bottom"/>
            <w:hideMark/>
          </w:tcPr>
          <w:p w14:paraId="4C7231C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PVBY</w:t>
            </w:r>
          </w:p>
        </w:tc>
        <w:tc>
          <w:tcPr>
            <w:tcW w:w="2129" w:type="dxa"/>
            <w:shd w:val="clear" w:color="auto" w:fill="auto"/>
            <w:noWrap/>
            <w:vAlign w:val="center"/>
            <w:hideMark/>
          </w:tcPr>
          <w:p w14:paraId="53ED0925" w14:textId="52F63E93"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0.0000</w:t>
            </w:r>
          </w:p>
        </w:tc>
        <w:tc>
          <w:tcPr>
            <w:tcW w:w="1652" w:type="dxa"/>
            <w:shd w:val="clear" w:color="auto" w:fill="auto"/>
            <w:noWrap/>
            <w:vAlign w:val="center"/>
            <w:hideMark/>
          </w:tcPr>
          <w:p w14:paraId="4784A675" w14:textId="57CB4A19"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0.0949</w:t>
            </w:r>
          </w:p>
        </w:tc>
      </w:tr>
      <w:tr w:rsidR="00F20078" w:rsidRPr="00DA52B9" w14:paraId="18CB256F" w14:textId="77777777" w:rsidTr="00DA52B9">
        <w:trPr>
          <w:trHeight w:val="240"/>
        </w:trPr>
        <w:tc>
          <w:tcPr>
            <w:tcW w:w="3212" w:type="dxa"/>
            <w:shd w:val="clear" w:color="auto" w:fill="auto"/>
            <w:noWrap/>
            <w:vAlign w:val="bottom"/>
            <w:hideMark/>
          </w:tcPr>
          <w:p w14:paraId="6A664EFB"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SB</w:t>
            </w:r>
          </w:p>
        </w:tc>
        <w:tc>
          <w:tcPr>
            <w:tcW w:w="2129" w:type="dxa"/>
            <w:shd w:val="clear" w:color="auto" w:fill="auto"/>
            <w:noWrap/>
            <w:vAlign w:val="center"/>
            <w:hideMark/>
          </w:tcPr>
          <w:p w14:paraId="71F0D4AA"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-0.0104</w:t>
            </w:r>
          </w:p>
        </w:tc>
        <w:tc>
          <w:tcPr>
            <w:tcW w:w="1652" w:type="dxa"/>
            <w:shd w:val="clear" w:color="auto" w:fill="auto"/>
            <w:noWrap/>
            <w:vAlign w:val="center"/>
            <w:hideMark/>
          </w:tcPr>
          <w:p w14:paraId="3F1B63A9" w14:textId="2CE673F4"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-0.0393</w:t>
            </w:r>
          </w:p>
        </w:tc>
      </w:tr>
      <w:tr w:rsidR="00F20078" w:rsidRPr="00DA52B9" w14:paraId="494E7D96" w14:textId="77777777" w:rsidTr="00DA52B9">
        <w:trPr>
          <w:trHeight w:val="240"/>
        </w:trPr>
        <w:tc>
          <w:tcPr>
            <w:tcW w:w="3212" w:type="dxa"/>
            <w:shd w:val="clear" w:color="auto" w:fill="auto"/>
            <w:noWrap/>
            <w:vAlign w:val="bottom"/>
            <w:hideMark/>
          </w:tcPr>
          <w:p w14:paraId="4467E166"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THOR</w:t>
            </w:r>
          </w:p>
        </w:tc>
        <w:tc>
          <w:tcPr>
            <w:tcW w:w="2129" w:type="dxa"/>
            <w:shd w:val="clear" w:color="auto" w:fill="auto"/>
            <w:noWrap/>
            <w:vAlign w:val="center"/>
            <w:hideMark/>
          </w:tcPr>
          <w:p w14:paraId="603EEA3B" w14:textId="77777777"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-0.0322</w:t>
            </w:r>
          </w:p>
        </w:tc>
        <w:tc>
          <w:tcPr>
            <w:tcW w:w="1652" w:type="dxa"/>
            <w:shd w:val="clear" w:color="auto" w:fill="auto"/>
            <w:noWrap/>
            <w:vAlign w:val="center"/>
            <w:hideMark/>
          </w:tcPr>
          <w:p w14:paraId="68ACD404" w14:textId="020AD458"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0.0126</w:t>
            </w:r>
          </w:p>
        </w:tc>
      </w:tr>
      <w:tr w:rsidR="00F20078" w:rsidRPr="00DA52B9" w14:paraId="4F098AEC" w14:textId="77777777" w:rsidTr="00DA52B9">
        <w:trPr>
          <w:trHeight w:val="240"/>
        </w:trPr>
        <w:tc>
          <w:tcPr>
            <w:tcW w:w="3212" w:type="dxa"/>
            <w:shd w:val="clear" w:color="auto" w:fill="auto"/>
            <w:noWrap/>
            <w:vAlign w:val="bottom"/>
            <w:hideMark/>
          </w:tcPr>
          <w:p w14:paraId="6334BF0E"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VHYS</w:t>
            </w:r>
          </w:p>
        </w:tc>
        <w:tc>
          <w:tcPr>
            <w:tcW w:w="2129" w:type="dxa"/>
            <w:shd w:val="clear" w:color="auto" w:fill="auto"/>
            <w:noWrap/>
            <w:vAlign w:val="center"/>
            <w:hideMark/>
          </w:tcPr>
          <w:p w14:paraId="79925493" w14:textId="7480DF59"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0.0114</w:t>
            </w:r>
          </w:p>
        </w:tc>
        <w:tc>
          <w:tcPr>
            <w:tcW w:w="1652" w:type="dxa"/>
            <w:shd w:val="clear" w:color="auto" w:fill="auto"/>
            <w:noWrap/>
            <w:vAlign w:val="center"/>
            <w:hideMark/>
          </w:tcPr>
          <w:p w14:paraId="7DC37918" w14:textId="5C42DA44"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0.0580</w:t>
            </w:r>
          </w:p>
        </w:tc>
      </w:tr>
      <w:tr w:rsidR="00F20078" w:rsidRPr="00DA52B9" w14:paraId="4CE5C9D0" w14:textId="77777777" w:rsidTr="00DA52B9">
        <w:trPr>
          <w:trHeight w:val="240"/>
        </w:trPr>
        <w:tc>
          <w:tcPr>
            <w:tcW w:w="3212" w:type="dxa"/>
            <w:shd w:val="clear" w:color="auto" w:fill="auto"/>
            <w:noWrap/>
            <w:vAlign w:val="bottom"/>
            <w:hideMark/>
          </w:tcPr>
          <w:p w14:paraId="3C236DA8" w14:textId="77777777" w:rsidR="00F20078" w:rsidRPr="00DA52B9" w:rsidRDefault="00F20078"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Procedure, XLAP</w:t>
            </w:r>
          </w:p>
        </w:tc>
        <w:tc>
          <w:tcPr>
            <w:tcW w:w="2129" w:type="dxa"/>
            <w:shd w:val="clear" w:color="auto" w:fill="auto"/>
            <w:noWrap/>
            <w:vAlign w:val="center"/>
            <w:hideMark/>
          </w:tcPr>
          <w:p w14:paraId="36328B6A" w14:textId="0BBC5319"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0.0162</w:t>
            </w:r>
          </w:p>
        </w:tc>
        <w:tc>
          <w:tcPr>
            <w:tcW w:w="1652" w:type="dxa"/>
            <w:shd w:val="clear" w:color="auto" w:fill="auto"/>
            <w:noWrap/>
            <w:vAlign w:val="center"/>
            <w:hideMark/>
          </w:tcPr>
          <w:p w14:paraId="4C1B42FD" w14:textId="10D2361A" w:rsidR="00F20078" w:rsidRPr="00DA52B9" w:rsidRDefault="00F20078" w:rsidP="00636873">
            <w:pPr>
              <w:spacing w:after="0" w:line="480" w:lineRule="auto"/>
              <w:jc w:val="center"/>
              <w:rPr>
                <w:rFonts w:ascii="Times New Roman" w:eastAsia="Times New Roman" w:hAnsi="Times New Roman" w:cs="Times New Roman"/>
                <w:color w:val="242424"/>
                <w:lang w:eastAsia="en-US"/>
              </w:rPr>
            </w:pPr>
            <w:r w:rsidRPr="00DA52B9">
              <w:rPr>
                <w:rFonts w:ascii="Times New Roman" w:eastAsia="Times New Roman" w:hAnsi="Times New Roman" w:cs="Times New Roman"/>
                <w:color w:val="242424"/>
                <w:lang w:eastAsia="en-US"/>
              </w:rPr>
              <w:t>0.0740</w:t>
            </w:r>
          </w:p>
        </w:tc>
      </w:tr>
    </w:tbl>
    <w:p w14:paraId="376AAB76" w14:textId="380BAF9B" w:rsidR="00A3278A" w:rsidRPr="00DA52B9" w:rsidRDefault="00A3278A" w:rsidP="00636873">
      <w:pPr>
        <w:spacing w:line="480" w:lineRule="auto"/>
        <w:rPr>
          <w:rFonts w:ascii="Times New Roman" w:hAnsi="Times New Roman" w:cs="Times New Roman"/>
        </w:rPr>
      </w:pPr>
      <w:r w:rsidRPr="00DA52B9">
        <w:rPr>
          <w:rFonts w:ascii="Times New Roman" w:hAnsi="Times New Roman" w:cs="Times New Roman"/>
        </w:rPr>
        <w:br w:type="page"/>
      </w:r>
    </w:p>
    <w:p w14:paraId="6903AE29" w14:textId="26FC4834" w:rsidR="00DB3709" w:rsidRPr="00DA52B9" w:rsidRDefault="00EF69C7" w:rsidP="00636873">
      <w:pPr>
        <w:spacing w:after="0" w:line="480" w:lineRule="auto"/>
        <w:rPr>
          <w:rFonts w:ascii="Times New Roman" w:hAnsi="Times New Roman" w:cs="Times New Roman"/>
          <w:b/>
          <w:bCs/>
        </w:rPr>
      </w:pPr>
      <w:r w:rsidRPr="00DA52B9">
        <w:rPr>
          <w:rFonts w:ascii="Times New Roman" w:hAnsi="Times New Roman" w:cs="Times New Roman"/>
          <w:b/>
          <w:bCs/>
        </w:rPr>
        <w:lastRenderedPageBreak/>
        <w:t>Methods for ICD</w:t>
      </w:r>
      <w:r w:rsidR="002413AA" w:rsidRPr="00DA52B9">
        <w:rPr>
          <w:rFonts w:ascii="Times New Roman" w:hAnsi="Times New Roman" w:cs="Times New Roman"/>
          <w:b/>
          <w:bCs/>
        </w:rPr>
        <w:t>-</w:t>
      </w:r>
      <w:r w:rsidRPr="00DA52B9">
        <w:rPr>
          <w:rFonts w:ascii="Times New Roman" w:hAnsi="Times New Roman" w:cs="Times New Roman"/>
          <w:b/>
          <w:bCs/>
        </w:rPr>
        <w:t xml:space="preserve">coded </w:t>
      </w:r>
      <w:r w:rsidR="00B55C05" w:rsidRPr="00DA52B9">
        <w:rPr>
          <w:rFonts w:ascii="Times New Roman" w:hAnsi="Times New Roman" w:cs="Times New Roman"/>
          <w:b/>
          <w:bCs/>
        </w:rPr>
        <w:t>SSI analysis:</w:t>
      </w:r>
    </w:p>
    <w:p w14:paraId="2C8A91D1" w14:textId="5BA5F9D0" w:rsidR="00B55C05" w:rsidRPr="00DA52B9" w:rsidRDefault="002413AA" w:rsidP="00636873">
      <w:pPr>
        <w:spacing w:after="0" w:line="480" w:lineRule="auto"/>
        <w:rPr>
          <w:rFonts w:ascii="Times New Roman" w:hAnsi="Times New Roman" w:cs="Times New Roman"/>
          <w:b/>
          <w:bCs/>
        </w:rPr>
      </w:pPr>
      <w:r w:rsidRPr="00DA52B9">
        <w:rPr>
          <w:rFonts w:ascii="Times New Roman" w:hAnsi="Times New Roman" w:cs="Times New Roman"/>
          <w:b/>
          <w:bCs/>
        </w:rPr>
        <w:t>Definition of ICD-coded SSI</w:t>
      </w:r>
    </w:p>
    <w:p w14:paraId="3C71B7E6" w14:textId="77777777" w:rsidR="00C3670C" w:rsidRPr="00DA52B9" w:rsidRDefault="002413AA" w:rsidP="00636873">
      <w:pPr>
        <w:spacing w:after="0" w:line="480" w:lineRule="auto"/>
        <w:ind w:firstLine="720"/>
        <w:rPr>
          <w:rFonts w:ascii="Times New Roman" w:hAnsi="Times New Roman" w:cs="Times New Roman"/>
        </w:rPr>
      </w:pPr>
      <w:r w:rsidRPr="00DA52B9">
        <w:rPr>
          <w:rFonts w:ascii="Times New Roman" w:hAnsi="Times New Roman" w:cs="Times New Roman"/>
        </w:rPr>
        <w:t xml:space="preserve">ICD-coded SSI identification was available in 80 hospitals. </w:t>
      </w:r>
      <w:proofErr w:type="gramStart"/>
      <w:r w:rsidRPr="00DA52B9">
        <w:rPr>
          <w:rFonts w:ascii="Times New Roman" w:hAnsi="Times New Roman" w:cs="Times New Roman"/>
        </w:rPr>
        <w:t>A</w:t>
      </w:r>
      <w:proofErr w:type="gramEnd"/>
      <w:r w:rsidRPr="00DA52B9">
        <w:rPr>
          <w:rFonts w:ascii="Times New Roman" w:hAnsi="Times New Roman" w:cs="Times New Roman"/>
        </w:rPr>
        <w:t xml:space="preserve"> SSI admission was defined as a patient admission with ICD codes for infection following a procedure (T81.4) or postprocedural septic shock (T81.12XA) during the respective procedure surveillance period. For patients with multiple admissions with ICD-coded SSI during the NHSN procedure surveillance period for SSI, the first admission was used in the analysis.</w:t>
      </w:r>
    </w:p>
    <w:p w14:paraId="739D81C5" w14:textId="77777777" w:rsidR="0073029D" w:rsidRPr="00DA52B9" w:rsidRDefault="0073029D" w:rsidP="00636873">
      <w:pPr>
        <w:spacing w:after="0" w:line="480" w:lineRule="auto"/>
        <w:rPr>
          <w:rFonts w:ascii="Times New Roman" w:hAnsi="Times New Roman" w:cs="Times New Roman"/>
        </w:rPr>
      </w:pPr>
    </w:p>
    <w:p w14:paraId="7C885906" w14:textId="56D2C5E7" w:rsidR="0073029D" w:rsidRPr="00DA52B9" w:rsidRDefault="0073029D" w:rsidP="00636873">
      <w:pPr>
        <w:spacing w:after="0" w:line="480" w:lineRule="auto"/>
        <w:rPr>
          <w:rFonts w:ascii="Times New Roman" w:hAnsi="Times New Roman" w:cs="Times New Roman"/>
          <w:b/>
          <w:bCs/>
        </w:rPr>
      </w:pPr>
      <w:r w:rsidRPr="00DA52B9">
        <w:rPr>
          <w:rFonts w:ascii="Times New Roman" w:hAnsi="Times New Roman" w:cs="Times New Roman"/>
          <w:b/>
          <w:bCs/>
        </w:rPr>
        <w:t>Statistical analysis</w:t>
      </w:r>
    </w:p>
    <w:p w14:paraId="48DED1BF" w14:textId="7AF4666E" w:rsidR="0073029D" w:rsidRPr="00DA52B9" w:rsidRDefault="00D15375" w:rsidP="00636873">
      <w:pPr>
        <w:spacing w:after="0" w:line="480" w:lineRule="auto"/>
        <w:ind w:firstLine="720"/>
        <w:rPr>
          <w:rFonts w:ascii="Times New Roman" w:hAnsi="Times New Roman" w:cs="Times New Roman"/>
        </w:rPr>
      </w:pPr>
      <w:r w:rsidRPr="00DA52B9">
        <w:rPr>
          <w:rFonts w:ascii="Times New Roman" w:hAnsi="Times New Roman" w:cs="Times New Roman"/>
        </w:rPr>
        <w:t>The rate of SSI was calculated per 100 admissions with a NHSN procedure under surveillance for SSI by 9 categories of procedure types. To improve comparability between admissions with and without SSI, the non-SSI control group was restricted to patients who had the same procedures: exact same procedure code (88% of SSI cases) or same procedure category (12%). The distribution of patient, clinical, and hospital characteristics of patients with SSI and controls were described using frequencies for categorical variables and medians with interquartile ranges for continuous variables.</w:t>
      </w:r>
    </w:p>
    <w:p w14:paraId="5390231B" w14:textId="77777777" w:rsidR="00A3278A" w:rsidRPr="00DA52B9" w:rsidRDefault="00A3278A" w:rsidP="00636873">
      <w:pPr>
        <w:spacing w:after="0" w:line="480" w:lineRule="auto"/>
        <w:ind w:firstLine="720"/>
        <w:rPr>
          <w:rFonts w:ascii="Times New Roman" w:hAnsi="Times New Roman" w:cs="Times New Roman"/>
        </w:rPr>
      </w:pPr>
      <w:r w:rsidRPr="00DA52B9">
        <w:rPr>
          <w:rFonts w:ascii="Times New Roman" w:hAnsi="Times New Roman" w:cs="Times New Roman"/>
        </w:rPr>
        <w:t xml:space="preserve">Least Squares Mean estimation of multivariable adjusted generalized mixed models were used with hospitals as a random effect to account for within-cluster correlation to estimate the incremental burden SSI. Data from the SSI admission (case) was compared to the procedure admission without SSI (control). Poisson regression for LOS, gamma regression for total cost, and binominal regression for in-hospital mortality, risk of HOB, risk of COB, and 30-day readmission rates were employed. Models were adjusted for age, sex, </w:t>
      </w:r>
      <w:proofErr w:type="spellStart"/>
      <w:r w:rsidRPr="00DA52B9">
        <w:rPr>
          <w:rFonts w:ascii="Times New Roman" w:hAnsi="Times New Roman" w:cs="Times New Roman"/>
        </w:rPr>
        <w:t>ALaRMS</w:t>
      </w:r>
      <w:proofErr w:type="spellEnd"/>
      <w:r w:rsidRPr="00DA52B9">
        <w:rPr>
          <w:rFonts w:ascii="Times New Roman" w:hAnsi="Times New Roman" w:cs="Times New Roman"/>
        </w:rPr>
        <w:t xml:space="preserve"> score, insurance payor, and hospital-level variables including staffed bed size, teaching status, and urbanicity. </w:t>
      </w:r>
    </w:p>
    <w:p w14:paraId="175B0E38" w14:textId="5B9F9C1F" w:rsidR="00A3278A" w:rsidRPr="00DA52B9" w:rsidRDefault="00A3278A" w:rsidP="00636873">
      <w:pPr>
        <w:spacing w:after="0" w:line="480" w:lineRule="auto"/>
        <w:rPr>
          <w:rFonts w:ascii="Times New Roman" w:hAnsi="Times New Roman" w:cs="Times New Roman"/>
        </w:rPr>
        <w:sectPr w:rsidR="00A3278A" w:rsidRPr="00DA52B9" w:rsidSect="00DB3709">
          <w:pgSz w:w="12240" w:h="15840"/>
          <w:pgMar w:top="1440" w:right="1440" w:bottom="1440" w:left="1440" w:header="720" w:footer="720" w:gutter="0"/>
          <w:cols w:space="720"/>
          <w:docGrid w:linePitch="360"/>
        </w:sectPr>
      </w:pPr>
      <w:r w:rsidRPr="00DA52B9">
        <w:rPr>
          <w:rFonts w:ascii="Times New Roman" w:hAnsi="Times New Roman" w:cs="Times New Roman"/>
        </w:rPr>
        <w:lastRenderedPageBreak/>
        <w:t>To evaluate the incremental burden of HOB in SSI, a subgroup analysis restricted to patients with SSI was conducted. The incremental burden of SSI with HOB (cases were HOB admissions) was quantified compared to those with SSI without HOB (controls were SSI admissions without HOB) using the abovementioned multivariable adjusted models.</w:t>
      </w:r>
    </w:p>
    <w:p w14:paraId="30DD835C" w14:textId="08887D03" w:rsidR="00C754C8" w:rsidRPr="00DA52B9" w:rsidRDefault="00C754C8" w:rsidP="00636873">
      <w:pPr>
        <w:spacing w:after="0" w:line="480" w:lineRule="auto"/>
        <w:rPr>
          <w:rFonts w:ascii="Times New Roman" w:eastAsia="Times New Roman" w:hAnsi="Times New Roman" w:cs="Times New Roman"/>
          <w:b/>
          <w:bCs/>
        </w:rPr>
      </w:pPr>
      <w:r w:rsidRPr="00DA52B9">
        <w:rPr>
          <w:rFonts w:ascii="Times New Roman" w:eastAsia="Times New Roman" w:hAnsi="Times New Roman" w:cs="Times New Roman"/>
          <w:b/>
          <w:bCs/>
        </w:rPr>
        <w:lastRenderedPageBreak/>
        <w:t xml:space="preserve">Supplemental Table </w:t>
      </w:r>
      <w:r w:rsidR="007A52A0" w:rsidRPr="00DA52B9">
        <w:rPr>
          <w:rFonts w:ascii="Times New Roman" w:eastAsia="Times New Roman" w:hAnsi="Times New Roman" w:cs="Times New Roman"/>
          <w:b/>
          <w:bCs/>
        </w:rPr>
        <w:t>3</w:t>
      </w:r>
      <w:r w:rsidRPr="00DA52B9">
        <w:rPr>
          <w:rFonts w:ascii="Times New Roman" w:eastAsia="Times New Roman" w:hAnsi="Times New Roman" w:cs="Times New Roman"/>
          <w:b/>
          <w:bCs/>
        </w:rPr>
        <w:t xml:space="preserve">.  ICD-coded SSI rate per 100 admissions by procedure category. </w:t>
      </w:r>
    </w:p>
    <w:tbl>
      <w:tblPr>
        <w:tblStyle w:val="TableGrid"/>
        <w:tblW w:w="9720" w:type="dxa"/>
        <w:tblLayout w:type="fixed"/>
        <w:tblLook w:val="06A0" w:firstRow="1" w:lastRow="0" w:firstColumn="1" w:lastColumn="0" w:noHBand="1" w:noVBand="1"/>
      </w:tblPr>
      <w:tblGrid>
        <w:gridCol w:w="3240"/>
        <w:gridCol w:w="3240"/>
        <w:gridCol w:w="3240"/>
      </w:tblGrid>
      <w:tr w:rsidR="00C754C8" w:rsidRPr="00DA52B9" w14:paraId="5401684A" w14:textId="77777777" w:rsidTr="00C754C8">
        <w:trPr>
          <w:trHeight w:val="198"/>
        </w:trPr>
        <w:tc>
          <w:tcPr>
            <w:tcW w:w="3240" w:type="dxa"/>
          </w:tcPr>
          <w:p w14:paraId="3D052EF2" w14:textId="77777777" w:rsidR="00C754C8" w:rsidRPr="00DA52B9" w:rsidRDefault="00C754C8" w:rsidP="00636873">
            <w:pPr>
              <w:spacing w:line="480" w:lineRule="auto"/>
              <w:rPr>
                <w:rFonts w:ascii="Times New Roman" w:eastAsia="Times New Roman" w:hAnsi="Times New Roman" w:cs="Times New Roman"/>
                <w:b/>
                <w:bCs/>
              </w:rPr>
            </w:pPr>
            <w:r w:rsidRPr="00DA52B9">
              <w:rPr>
                <w:rFonts w:ascii="Times New Roman" w:eastAsia="Times New Roman" w:hAnsi="Times New Roman" w:cs="Times New Roman"/>
                <w:b/>
                <w:bCs/>
              </w:rPr>
              <w:t>Procedure Category</w:t>
            </w:r>
          </w:p>
        </w:tc>
        <w:tc>
          <w:tcPr>
            <w:tcW w:w="3240" w:type="dxa"/>
          </w:tcPr>
          <w:p w14:paraId="0AE6E18B" w14:textId="77777777" w:rsidR="00C754C8" w:rsidRPr="00DA52B9" w:rsidRDefault="00C754C8" w:rsidP="00636873">
            <w:pPr>
              <w:spacing w:line="480" w:lineRule="auto"/>
              <w:jc w:val="center"/>
              <w:rPr>
                <w:rFonts w:ascii="Times New Roman" w:eastAsia="Times New Roman" w:hAnsi="Times New Roman" w:cs="Times New Roman"/>
                <w:b/>
                <w:bCs/>
              </w:rPr>
            </w:pPr>
            <w:r w:rsidRPr="00DA52B9">
              <w:rPr>
                <w:rFonts w:ascii="Times New Roman" w:eastAsia="Times New Roman" w:hAnsi="Times New Roman" w:cs="Times New Roman"/>
                <w:b/>
                <w:bCs/>
              </w:rPr>
              <w:t>Number of ICD coded SSI/Number of admissions with procedure</w:t>
            </w:r>
          </w:p>
        </w:tc>
        <w:tc>
          <w:tcPr>
            <w:tcW w:w="3240" w:type="dxa"/>
          </w:tcPr>
          <w:p w14:paraId="56674CFD" w14:textId="77777777" w:rsidR="00C754C8" w:rsidRPr="00DA52B9" w:rsidRDefault="00C754C8" w:rsidP="00636873">
            <w:pPr>
              <w:spacing w:line="480" w:lineRule="auto"/>
              <w:jc w:val="center"/>
              <w:rPr>
                <w:rFonts w:ascii="Times New Roman" w:eastAsia="Times New Roman" w:hAnsi="Times New Roman" w:cs="Times New Roman"/>
                <w:b/>
                <w:bCs/>
                <w:lang w:val="fr-FR"/>
              </w:rPr>
            </w:pPr>
            <w:r w:rsidRPr="00DA52B9">
              <w:rPr>
                <w:rFonts w:ascii="Times New Roman" w:eastAsia="Times New Roman" w:hAnsi="Times New Roman" w:cs="Times New Roman"/>
                <w:b/>
                <w:bCs/>
                <w:lang w:val="fr-FR"/>
              </w:rPr>
              <w:t xml:space="preserve">ICD </w:t>
            </w:r>
            <w:proofErr w:type="spellStart"/>
            <w:r w:rsidRPr="00DA52B9">
              <w:rPr>
                <w:rFonts w:ascii="Times New Roman" w:eastAsia="Times New Roman" w:hAnsi="Times New Roman" w:cs="Times New Roman"/>
                <w:b/>
                <w:bCs/>
                <w:lang w:val="fr-FR"/>
              </w:rPr>
              <w:t>coded</w:t>
            </w:r>
            <w:proofErr w:type="spellEnd"/>
            <w:r w:rsidRPr="00DA52B9">
              <w:rPr>
                <w:rFonts w:ascii="Times New Roman" w:eastAsia="Times New Roman" w:hAnsi="Times New Roman" w:cs="Times New Roman"/>
                <w:b/>
                <w:bCs/>
                <w:lang w:val="fr-FR"/>
              </w:rPr>
              <w:t xml:space="preserve"> SSI rate (95% CI)</w:t>
            </w:r>
          </w:p>
        </w:tc>
      </w:tr>
      <w:tr w:rsidR="00C754C8" w:rsidRPr="00DA52B9" w14:paraId="0E99A284" w14:textId="77777777" w:rsidTr="00C754C8">
        <w:trPr>
          <w:trHeight w:val="198"/>
        </w:trPr>
        <w:tc>
          <w:tcPr>
            <w:tcW w:w="3240" w:type="dxa"/>
          </w:tcPr>
          <w:p w14:paraId="550ACBAD"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Overall</w:t>
            </w:r>
          </w:p>
        </w:tc>
        <w:tc>
          <w:tcPr>
            <w:tcW w:w="3240" w:type="dxa"/>
          </w:tcPr>
          <w:p w14:paraId="1A34A229"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3,312/222,298</w:t>
            </w:r>
          </w:p>
        </w:tc>
        <w:tc>
          <w:tcPr>
            <w:tcW w:w="3240" w:type="dxa"/>
          </w:tcPr>
          <w:p w14:paraId="703DD177"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1.49 (1.44, 1.54)</w:t>
            </w:r>
          </w:p>
        </w:tc>
      </w:tr>
      <w:tr w:rsidR="00C754C8" w:rsidRPr="00DA52B9" w14:paraId="521CA154" w14:textId="77777777" w:rsidTr="00C754C8">
        <w:trPr>
          <w:trHeight w:val="198"/>
        </w:trPr>
        <w:tc>
          <w:tcPr>
            <w:tcW w:w="3240" w:type="dxa"/>
          </w:tcPr>
          <w:p w14:paraId="36FC652A"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Abdominal</w:t>
            </w:r>
          </w:p>
        </w:tc>
        <w:tc>
          <w:tcPr>
            <w:tcW w:w="3240" w:type="dxa"/>
          </w:tcPr>
          <w:p w14:paraId="0BC1D37A"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1,304/47,282</w:t>
            </w:r>
          </w:p>
        </w:tc>
        <w:tc>
          <w:tcPr>
            <w:tcW w:w="3240" w:type="dxa"/>
          </w:tcPr>
          <w:p w14:paraId="25DAB348"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2.76 (2.61, 2.91)</w:t>
            </w:r>
          </w:p>
        </w:tc>
      </w:tr>
      <w:tr w:rsidR="00C754C8" w:rsidRPr="00DA52B9" w14:paraId="22DBFB5C" w14:textId="77777777" w:rsidTr="00C754C8">
        <w:trPr>
          <w:trHeight w:val="198"/>
        </w:trPr>
        <w:tc>
          <w:tcPr>
            <w:tcW w:w="3240" w:type="dxa"/>
          </w:tcPr>
          <w:p w14:paraId="2F65FAFE"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Cardiothoracic</w:t>
            </w:r>
          </w:p>
        </w:tc>
        <w:tc>
          <w:tcPr>
            <w:tcW w:w="3240" w:type="dxa"/>
          </w:tcPr>
          <w:p w14:paraId="765AB631"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333/20,987</w:t>
            </w:r>
          </w:p>
        </w:tc>
        <w:tc>
          <w:tcPr>
            <w:tcW w:w="3240" w:type="dxa"/>
          </w:tcPr>
          <w:p w14:paraId="110C606D"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1.59 (1.42, 1.76)</w:t>
            </w:r>
          </w:p>
        </w:tc>
      </w:tr>
      <w:tr w:rsidR="00C754C8" w:rsidRPr="00DA52B9" w14:paraId="55D46230" w14:textId="77777777" w:rsidTr="00C754C8">
        <w:trPr>
          <w:trHeight w:val="198"/>
        </w:trPr>
        <w:tc>
          <w:tcPr>
            <w:tcW w:w="3240" w:type="dxa"/>
          </w:tcPr>
          <w:p w14:paraId="6C46B004"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Colorectal</w:t>
            </w:r>
          </w:p>
        </w:tc>
        <w:tc>
          <w:tcPr>
            <w:tcW w:w="3240" w:type="dxa"/>
          </w:tcPr>
          <w:p w14:paraId="6EDB811C"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979/22,509</w:t>
            </w:r>
          </w:p>
        </w:tc>
        <w:tc>
          <w:tcPr>
            <w:tcW w:w="3240" w:type="dxa"/>
          </w:tcPr>
          <w:p w14:paraId="75F51285"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4.35 (4.08, 4.62)</w:t>
            </w:r>
          </w:p>
        </w:tc>
      </w:tr>
      <w:tr w:rsidR="00C754C8" w:rsidRPr="00DA52B9" w14:paraId="4679D286" w14:textId="77777777" w:rsidTr="00C754C8">
        <w:trPr>
          <w:trHeight w:val="198"/>
        </w:trPr>
        <w:tc>
          <w:tcPr>
            <w:tcW w:w="3240" w:type="dxa"/>
          </w:tcPr>
          <w:p w14:paraId="4FC7BE9A"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Neurological</w:t>
            </w:r>
          </w:p>
        </w:tc>
        <w:tc>
          <w:tcPr>
            <w:tcW w:w="3240" w:type="dxa"/>
          </w:tcPr>
          <w:p w14:paraId="3CE7FAC1"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148/6,755</w:t>
            </w:r>
          </w:p>
        </w:tc>
        <w:tc>
          <w:tcPr>
            <w:tcW w:w="3240" w:type="dxa"/>
          </w:tcPr>
          <w:p w14:paraId="2A8B8BAA"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2.19 (1.84, 2.54)</w:t>
            </w:r>
          </w:p>
        </w:tc>
      </w:tr>
      <w:tr w:rsidR="00C754C8" w:rsidRPr="00DA52B9" w14:paraId="1E83F53E" w14:textId="77777777" w:rsidTr="00C754C8">
        <w:trPr>
          <w:trHeight w:val="198"/>
        </w:trPr>
        <w:tc>
          <w:tcPr>
            <w:tcW w:w="3240" w:type="dxa"/>
          </w:tcPr>
          <w:p w14:paraId="4A8E2962"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Obstetrics and Gynecology</w:t>
            </w:r>
          </w:p>
        </w:tc>
        <w:tc>
          <w:tcPr>
            <w:tcW w:w="3240" w:type="dxa"/>
          </w:tcPr>
          <w:p w14:paraId="4AD6721D"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153/49,940</w:t>
            </w:r>
          </w:p>
        </w:tc>
        <w:tc>
          <w:tcPr>
            <w:tcW w:w="3240" w:type="dxa"/>
          </w:tcPr>
          <w:p w14:paraId="1FE49063"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0.31 (0.26, 0.35)</w:t>
            </w:r>
          </w:p>
        </w:tc>
      </w:tr>
      <w:tr w:rsidR="00C754C8" w:rsidRPr="00DA52B9" w14:paraId="302D68DA" w14:textId="77777777" w:rsidTr="00C754C8">
        <w:trPr>
          <w:trHeight w:val="198"/>
        </w:trPr>
        <w:tc>
          <w:tcPr>
            <w:tcW w:w="3240" w:type="dxa"/>
          </w:tcPr>
          <w:p w14:paraId="476405BE"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Orthopedic</w:t>
            </w:r>
          </w:p>
        </w:tc>
        <w:tc>
          <w:tcPr>
            <w:tcW w:w="3240" w:type="dxa"/>
          </w:tcPr>
          <w:p w14:paraId="633D2908"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932/78,773</w:t>
            </w:r>
          </w:p>
        </w:tc>
        <w:tc>
          <w:tcPr>
            <w:tcW w:w="3240" w:type="dxa"/>
          </w:tcPr>
          <w:p w14:paraId="3C5BFE09"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1.18 (1.11, 1.26)</w:t>
            </w:r>
          </w:p>
        </w:tc>
      </w:tr>
      <w:tr w:rsidR="00C754C8" w:rsidRPr="00DA52B9" w14:paraId="7457E37B" w14:textId="77777777" w:rsidTr="00C754C8">
        <w:trPr>
          <w:trHeight w:val="198"/>
        </w:trPr>
        <w:tc>
          <w:tcPr>
            <w:tcW w:w="3240" w:type="dxa"/>
          </w:tcPr>
          <w:p w14:paraId="591C34E8"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Other</w:t>
            </w:r>
          </w:p>
        </w:tc>
        <w:tc>
          <w:tcPr>
            <w:tcW w:w="3240" w:type="dxa"/>
          </w:tcPr>
          <w:p w14:paraId="2A268D96"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152/4,445</w:t>
            </w:r>
          </w:p>
        </w:tc>
        <w:tc>
          <w:tcPr>
            <w:tcW w:w="3240" w:type="dxa"/>
          </w:tcPr>
          <w:p w14:paraId="24127D26"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3.42 (2.88, 3.96)</w:t>
            </w:r>
          </w:p>
        </w:tc>
      </w:tr>
      <w:tr w:rsidR="00C754C8" w:rsidRPr="00DA52B9" w14:paraId="5F172ECB" w14:textId="77777777" w:rsidTr="00C754C8">
        <w:trPr>
          <w:trHeight w:val="198"/>
        </w:trPr>
        <w:tc>
          <w:tcPr>
            <w:tcW w:w="3240" w:type="dxa"/>
          </w:tcPr>
          <w:p w14:paraId="6ABEED3A"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Transplant</w:t>
            </w:r>
          </w:p>
        </w:tc>
        <w:tc>
          <w:tcPr>
            <w:tcW w:w="3240" w:type="dxa"/>
          </w:tcPr>
          <w:p w14:paraId="399FBA8A"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47/1,736</w:t>
            </w:r>
          </w:p>
        </w:tc>
        <w:tc>
          <w:tcPr>
            <w:tcW w:w="3240" w:type="dxa"/>
          </w:tcPr>
          <w:p w14:paraId="3FC40C43"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2.71 (1.93, 3.48)</w:t>
            </w:r>
          </w:p>
        </w:tc>
      </w:tr>
      <w:tr w:rsidR="00C754C8" w:rsidRPr="00DA52B9" w14:paraId="081F08A7" w14:textId="77777777" w:rsidTr="00C754C8">
        <w:trPr>
          <w:trHeight w:val="198"/>
        </w:trPr>
        <w:tc>
          <w:tcPr>
            <w:tcW w:w="3240" w:type="dxa"/>
          </w:tcPr>
          <w:p w14:paraId="176B1464" w14:textId="77777777" w:rsidR="00C754C8" w:rsidRPr="00DA52B9" w:rsidRDefault="00C754C8" w:rsidP="00636873">
            <w:pPr>
              <w:spacing w:line="480" w:lineRule="auto"/>
              <w:rPr>
                <w:rFonts w:ascii="Times New Roman" w:eastAsia="Times New Roman" w:hAnsi="Times New Roman" w:cs="Times New Roman"/>
              </w:rPr>
            </w:pPr>
            <w:r w:rsidRPr="00DA52B9">
              <w:rPr>
                <w:rFonts w:ascii="Times New Roman" w:eastAsia="Times New Roman" w:hAnsi="Times New Roman" w:cs="Times New Roman"/>
              </w:rPr>
              <w:t>Vascular</w:t>
            </w:r>
          </w:p>
        </w:tc>
        <w:tc>
          <w:tcPr>
            <w:tcW w:w="3240" w:type="dxa"/>
          </w:tcPr>
          <w:p w14:paraId="01F9F05C"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107/5,859</w:t>
            </w:r>
          </w:p>
        </w:tc>
        <w:tc>
          <w:tcPr>
            <w:tcW w:w="3240" w:type="dxa"/>
          </w:tcPr>
          <w:p w14:paraId="6C86BD74" w14:textId="77777777" w:rsidR="00C754C8" w:rsidRPr="00DA52B9" w:rsidRDefault="00C754C8" w:rsidP="00636873">
            <w:pPr>
              <w:spacing w:line="480" w:lineRule="auto"/>
              <w:jc w:val="center"/>
              <w:rPr>
                <w:rFonts w:ascii="Times New Roman" w:eastAsia="Times New Roman" w:hAnsi="Times New Roman" w:cs="Times New Roman"/>
              </w:rPr>
            </w:pPr>
            <w:r w:rsidRPr="00DA52B9">
              <w:rPr>
                <w:rFonts w:ascii="Times New Roman" w:eastAsia="Times New Roman" w:hAnsi="Times New Roman" w:cs="Times New Roman"/>
              </w:rPr>
              <w:t>1.83 (1.48, 2.17)</w:t>
            </w:r>
          </w:p>
        </w:tc>
      </w:tr>
    </w:tbl>
    <w:p w14:paraId="299B9C4D" w14:textId="77777777" w:rsidR="00C754C8" w:rsidRPr="00DA52B9" w:rsidRDefault="00C754C8" w:rsidP="00636873">
      <w:pPr>
        <w:spacing w:after="0" w:line="480" w:lineRule="auto"/>
        <w:rPr>
          <w:rFonts w:ascii="Times New Roman" w:eastAsia="Times New Roman" w:hAnsi="Times New Roman" w:cs="Times New Roman"/>
        </w:rPr>
      </w:pPr>
      <w:r w:rsidRPr="00DA52B9">
        <w:rPr>
          <w:rFonts w:ascii="Times New Roman" w:eastAsia="Times New Roman" w:hAnsi="Times New Roman" w:cs="Times New Roman"/>
        </w:rPr>
        <w:t xml:space="preserve">Note: The counts are not additive because some patients had multiple procedures so they could be represented in multiple procedure categories.  </w:t>
      </w:r>
    </w:p>
    <w:p w14:paraId="51C80133" w14:textId="77777777" w:rsidR="00C754C8" w:rsidRPr="00DA52B9" w:rsidRDefault="00C754C8" w:rsidP="00636873">
      <w:pPr>
        <w:spacing w:after="0" w:line="480" w:lineRule="auto"/>
        <w:rPr>
          <w:rFonts w:ascii="Times New Roman" w:eastAsia="Times New Roman" w:hAnsi="Times New Roman" w:cs="Times New Roman"/>
        </w:rPr>
      </w:pPr>
      <w:r w:rsidRPr="00DA52B9">
        <w:rPr>
          <w:rFonts w:ascii="Times New Roman" w:eastAsia="Times New Roman" w:hAnsi="Times New Roman" w:cs="Times New Roman"/>
        </w:rPr>
        <w:t xml:space="preserve">Abbreviations: ICD, international classification of diseases; SSI, surgical site infection; rate, SSI rate per 100 admissions with procedure; CI, confidence interval; n, number of SSI admissions; N, number of admissions with procedure. The surgery categories were based on the 39 NHSN-operative procedures types eligible for SSI surveillance and collapsed to the follow 9 mutually exclusive groups: abdominal (appendix surgery, bile duct, liver or pancreatic surgery, gallbladder surgery, gastric surgery, herniorrhaphy, kidney surgery, prostate surgery, spleen surgery, and exploratory laparotomy); cardiothoracic (cardiac surgery, coronary bypass with chest &amp; donor </w:t>
      </w:r>
      <w:r w:rsidRPr="00DA52B9">
        <w:rPr>
          <w:rFonts w:ascii="Times New Roman" w:eastAsia="Times New Roman" w:hAnsi="Times New Roman" w:cs="Times New Roman"/>
        </w:rPr>
        <w:lastRenderedPageBreak/>
        <w:t>incisions, coronary bypass graft with chest incision, pacemaker surgery, and thoracic surgery); colorectal (colon surgery, rectal surgery and small bowel surgery); neurological (craniotomy and ventricular shunt); obstetrics and gynecology (cesarean section, abdominal hysterectomy, ovarian surgery, and vaginal hysterectomy); orthopedic (limb amputation, spinal fusion, open reduction of fracture, hip prosthesis, knee prosthesis, and laminectomy); other (breast surgery, neck surgery, and thyroid and/or parathyroid surgery); transplant (heart transplant, kidney transplant, and liver transplant); and vascular (abdominal aortic aneurysm repair, arteriovenous shunt for dialysis, carotid endarterectomy, peripheral vascular bypass surgery). </w:t>
      </w:r>
    </w:p>
    <w:p w14:paraId="00BEF321" w14:textId="77777777" w:rsidR="00C754C8" w:rsidRPr="00DA52B9" w:rsidRDefault="00C754C8" w:rsidP="00636873">
      <w:pPr>
        <w:spacing w:after="0" w:line="480" w:lineRule="auto"/>
        <w:rPr>
          <w:rFonts w:ascii="Times New Roman" w:hAnsi="Times New Roman" w:cs="Times New Roman"/>
        </w:rPr>
      </w:pPr>
      <w:r w:rsidRPr="00DA52B9">
        <w:rPr>
          <w:rFonts w:ascii="Times New Roman" w:hAnsi="Times New Roman" w:cs="Times New Roman"/>
        </w:rPr>
        <w:br w:type="page"/>
      </w:r>
    </w:p>
    <w:p w14:paraId="1D53762D" w14:textId="30FE5BAA" w:rsidR="00EF69C7" w:rsidRPr="00DA52B9" w:rsidRDefault="00EF69C7" w:rsidP="00636873">
      <w:pPr>
        <w:spacing w:after="0" w:line="480" w:lineRule="auto"/>
        <w:rPr>
          <w:rFonts w:ascii="Times New Roman" w:hAnsi="Times New Roman" w:cs="Times New Roman"/>
          <w:b/>
          <w:bCs/>
        </w:rPr>
      </w:pPr>
      <w:r w:rsidRPr="00DA52B9">
        <w:rPr>
          <w:rFonts w:ascii="Times New Roman" w:hAnsi="Times New Roman" w:cs="Times New Roman"/>
          <w:b/>
          <w:bCs/>
        </w:rPr>
        <w:lastRenderedPageBreak/>
        <w:t xml:space="preserve">Supplemental Table </w:t>
      </w:r>
      <w:r w:rsidR="007A52A0" w:rsidRPr="00DA52B9">
        <w:rPr>
          <w:rFonts w:ascii="Times New Roman" w:hAnsi="Times New Roman" w:cs="Times New Roman"/>
          <w:b/>
          <w:bCs/>
        </w:rPr>
        <w:t>4</w:t>
      </w:r>
      <w:r w:rsidRPr="00DA52B9">
        <w:rPr>
          <w:rFonts w:ascii="Times New Roman" w:hAnsi="Times New Roman" w:cs="Times New Roman"/>
          <w:b/>
          <w:bCs/>
        </w:rPr>
        <w:t xml:space="preserve">. </w:t>
      </w:r>
      <w:r w:rsidR="0053058D" w:rsidRPr="00DA52B9">
        <w:rPr>
          <w:rFonts w:ascii="Times New Roman" w:hAnsi="Times New Roman" w:cs="Times New Roman"/>
          <w:b/>
          <w:bCs/>
        </w:rPr>
        <w:t>Distributions of p</w:t>
      </w:r>
      <w:r w:rsidR="006A31B8" w:rsidRPr="00DA52B9">
        <w:rPr>
          <w:rFonts w:ascii="Times New Roman" w:hAnsi="Times New Roman" w:cs="Times New Roman"/>
          <w:b/>
          <w:bCs/>
        </w:rPr>
        <w:t xml:space="preserve">atient, clinical, and facility characteristics of patients with </w:t>
      </w:r>
      <w:r w:rsidR="00D72DC3" w:rsidRPr="00DA52B9">
        <w:rPr>
          <w:rFonts w:ascii="Times New Roman" w:hAnsi="Times New Roman" w:cs="Times New Roman"/>
          <w:b/>
          <w:bCs/>
        </w:rPr>
        <w:t xml:space="preserve">a NHSN-identified procedure for SSI surveillance </w:t>
      </w:r>
      <w:r w:rsidR="006A31B8" w:rsidRPr="00DA52B9">
        <w:rPr>
          <w:rFonts w:ascii="Times New Roman" w:hAnsi="Times New Roman" w:cs="Times New Roman"/>
          <w:b/>
          <w:bCs/>
        </w:rPr>
        <w:t>with and without</w:t>
      </w:r>
      <w:r w:rsidR="00921E2D" w:rsidRPr="00DA52B9">
        <w:rPr>
          <w:rFonts w:ascii="Times New Roman" w:hAnsi="Times New Roman" w:cs="Times New Roman"/>
          <w:b/>
          <w:bCs/>
        </w:rPr>
        <w:t xml:space="preserve"> ICD-coded SSI from 80 hospitals</w:t>
      </w:r>
      <w:r w:rsidR="00DA52B9">
        <w:rPr>
          <w:rFonts w:ascii="Times New Roman" w:hAnsi="Times New Roman" w:cs="Times New Roman"/>
          <w:b/>
          <w:bCs/>
        </w:rPr>
        <w:t>.</w:t>
      </w:r>
    </w:p>
    <w:tbl>
      <w:tblPr>
        <w:tblW w:w="940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62"/>
        <w:gridCol w:w="3121"/>
        <w:gridCol w:w="3121"/>
      </w:tblGrid>
      <w:tr w:rsidR="00902299" w:rsidRPr="00DA52B9" w14:paraId="6193F0D0"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FBDBB66"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vAlign w:val="bottom"/>
          </w:tcPr>
          <w:p w14:paraId="34DA5014" w14:textId="77777777" w:rsidR="00902299" w:rsidRPr="00DA52B9" w:rsidRDefault="00902299" w:rsidP="00636873">
            <w:pPr>
              <w:spacing w:after="0" w:line="480" w:lineRule="auto"/>
              <w:jc w:val="center"/>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 xml:space="preserve">SSI </w:t>
            </w:r>
          </w:p>
          <w:p w14:paraId="70BD2D42" w14:textId="363EE12A" w:rsidR="00902299" w:rsidRPr="00DA52B9" w:rsidRDefault="00902299" w:rsidP="00636873">
            <w:pPr>
              <w:spacing w:after="0" w:line="480" w:lineRule="auto"/>
              <w:jc w:val="center"/>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(Case)</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11FDD4F" w14:textId="59175FA5" w:rsidR="00902299" w:rsidRPr="00DA52B9" w:rsidRDefault="00902299" w:rsidP="00636873">
            <w:pPr>
              <w:spacing w:after="0" w:line="480" w:lineRule="auto"/>
              <w:jc w:val="center"/>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 xml:space="preserve">No SSI </w:t>
            </w:r>
          </w:p>
          <w:p w14:paraId="5CCB3974" w14:textId="59E8238C" w:rsidR="00902299" w:rsidRPr="00DA52B9" w:rsidRDefault="00902299" w:rsidP="00636873">
            <w:pPr>
              <w:spacing w:after="0" w:line="480" w:lineRule="auto"/>
              <w:jc w:val="center"/>
              <w:rPr>
                <w:rFonts w:ascii="Times New Roman" w:eastAsia="Times New Roman" w:hAnsi="Times New Roman" w:cs="Times New Roman"/>
                <w:b/>
                <w:bCs/>
                <w:color w:val="000000" w:themeColor="text1"/>
              </w:rPr>
            </w:pPr>
            <w:r w:rsidRPr="00DA52B9">
              <w:rPr>
                <w:rFonts w:ascii="Times New Roman" w:eastAsia="Times New Roman" w:hAnsi="Times New Roman" w:cs="Times New Roman"/>
                <w:b/>
                <w:bCs/>
                <w:color w:val="000000" w:themeColor="text1"/>
              </w:rPr>
              <w:t>(Control)</w:t>
            </w:r>
          </w:p>
        </w:tc>
      </w:tr>
      <w:tr w:rsidR="00902299" w:rsidRPr="00DA52B9" w14:paraId="2BF60C8D"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38A522E"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N</w:t>
            </w:r>
          </w:p>
        </w:tc>
        <w:tc>
          <w:tcPr>
            <w:tcW w:w="3121" w:type="dxa"/>
            <w:tcBorders>
              <w:top w:val="single" w:sz="6" w:space="0" w:color="auto"/>
              <w:left w:val="single" w:sz="6" w:space="0" w:color="auto"/>
              <w:bottom w:val="single" w:sz="6" w:space="0" w:color="auto"/>
              <w:right w:val="single" w:sz="6" w:space="0" w:color="auto"/>
            </w:tcBorders>
            <w:vAlign w:val="bottom"/>
          </w:tcPr>
          <w:p w14:paraId="5CE79675" w14:textId="2550D031"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3,312</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C7F506D" w14:textId="47F6AA14"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208,925</w:t>
            </w:r>
          </w:p>
        </w:tc>
      </w:tr>
      <w:tr w:rsidR="00902299" w:rsidRPr="00DA52B9" w14:paraId="1EB1E1E7"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94C466E"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SSI Surveillance period</w:t>
            </w:r>
            <w:r w:rsidRPr="00DA52B9">
              <w:rPr>
                <w:rFonts w:ascii="Times New Roman" w:eastAsia="Times New Roman" w:hAnsi="Times New Roman" w:cs="Times New Roman"/>
                <w:color w:val="000000" w:themeColor="text1"/>
                <w:vertAlign w:val="superscript"/>
              </w:rPr>
              <w:t>*</w:t>
            </w:r>
          </w:p>
        </w:tc>
        <w:tc>
          <w:tcPr>
            <w:tcW w:w="3121" w:type="dxa"/>
            <w:tcBorders>
              <w:top w:val="single" w:sz="6" w:space="0" w:color="auto"/>
              <w:left w:val="single" w:sz="6" w:space="0" w:color="auto"/>
              <w:bottom w:val="single" w:sz="6" w:space="0" w:color="auto"/>
              <w:right w:val="single" w:sz="6" w:space="0" w:color="auto"/>
            </w:tcBorders>
            <w:vAlign w:val="bottom"/>
          </w:tcPr>
          <w:p w14:paraId="06BDA3DE"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E36AF32" w14:textId="66A5EE8E"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r>
      <w:tr w:rsidR="00902299" w:rsidRPr="00DA52B9" w14:paraId="7C794CC9"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9340ED8" w14:textId="77777777" w:rsidR="00902299" w:rsidRPr="00DA52B9" w:rsidRDefault="00902299" w:rsidP="00636873">
            <w:pPr>
              <w:spacing w:after="0" w:line="480" w:lineRule="auto"/>
              <w:ind w:firstLineChars="100" w:firstLine="240"/>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30-day only</w:t>
            </w:r>
          </w:p>
        </w:tc>
        <w:tc>
          <w:tcPr>
            <w:tcW w:w="3121" w:type="dxa"/>
            <w:tcBorders>
              <w:top w:val="single" w:sz="6" w:space="0" w:color="auto"/>
              <w:left w:val="single" w:sz="6" w:space="0" w:color="auto"/>
              <w:bottom w:val="single" w:sz="6" w:space="0" w:color="auto"/>
              <w:right w:val="single" w:sz="6" w:space="0" w:color="auto"/>
            </w:tcBorders>
            <w:vAlign w:val="bottom"/>
          </w:tcPr>
          <w:p w14:paraId="251CA33B" w14:textId="284FA9AA"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2,185 (66.0%)</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D2A4996" w14:textId="1CEF5856"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125,791 (60.2%)</w:t>
            </w:r>
          </w:p>
        </w:tc>
      </w:tr>
      <w:tr w:rsidR="00902299" w:rsidRPr="00DA52B9" w14:paraId="5BCAFE1E"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483BE5E" w14:textId="77777777" w:rsidR="00902299" w:rsidRPr="00DA52B9" w:rsidRDefault="00902299" w:rsidP="00636873">
            <w:pPr>
              <w:spacing w:after="0" w:line="480" w:lineRule="auto"/>
              <w:ind w:firstLineChars="100" w:firstLine="240"/>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90-day only</w:t>
            </w:r>
          </w:p>
        </w:tc>
        <w:tc>
          <w:tcPr>
            <w:tcW w:w="3121" w:type="dxa"/>
            <w:tcBorders>
              <w:top w:val="single" w:sz="6" w:space="0" w:color="auto"/>
              <w:left w:val="single" w:sz="6" w:space="0" w:color="auto"/>
              <w:bottom w:val="single" w:sz="6" w:space="0" w:color="auto"/>
              <w:right w:val="single" w:sz="6" w:space="0" w:color="auto"/>
            </w:tcBorders>
            <w:vAlign w:val="bottom"/>
          </w:tcPr>
          <w:p w14:paraId="54623C3B" w14:textId="132CABA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1,515 (45.7%)</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D2B0605" w14:textId="2350232D" w:rsidR="00902299" w:rsidRPr="00DA52B9" w:rsidRDefault="00902299" w:rsidP="00636873">
            <w:pPr>
              <w:spacing w:after="0" w:line="480" w:lineRule="auto"/>
              <w:jc w:val="center"/>
              <w:rPr>
                <w:rFonts w:ascii="Times New Roman" w:hAnsi="Times New Roman" w:cs="Times New Roman"/>
              </w:rPr>
            </w:pPr>
            <w:r w:rsidRPr="00DA52B9">
              <w:rPr>
                <w:rFonts w:ascii="Times New Roman" w:eastAsia="Times New Roman" w:hAnsi="Times New Roman" w:cs="Times New Roman"/>
                <w:color w:val="000000" w:themeColor="text1"/>
              </w:rPr>
              <w:t>95,221 (45.6%)</w:t>
            </w:r>
          </w:p>
        </w:tc>
      </w:tr>
      <w:tr w:rsidR="00902299" w:rsidRPr="00DA52B9" w14:paraId="78AC3F01"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583BCF0"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Age group</w:t>
            </w:r>
          </w:p>
        </w:tc>
        <w:tc>
          <w:tcPr>
            <w:tcW w:w="3121" w:type="dxa"/>
            <w:tcBorders>
              <w:top w:val="single" w:sz="6" w:space="0" w:color="auto"/>
              <w:left w:val="single" w:sz="6" w:space="0" w:color="auto"/>
              <w:bottom w:val="single" w:sz="6" w:space="0" w:color="auto"/>
              <w:right w:val="single" w:sz="6" w:space="0" w:color="auto"/>
            </w:tcBorders>
            <w:vAlign w:val="bottom"/>
          </w:tcPr>
          <w:p w14:paraId="037E6C89"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9F3F636" w14:textId="0C1B043E"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r>
      <w:tr w:rsidR="00902299" w:rsidRPr="00DA52B9" w14:paraId="6572A8B4"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F9FBB5"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18-40</w:t>
            </w:r>
          </w:p>
        </w:tc>
        <w:tc>
          <w:tcPr>
            <w:tcW w:w="3121" w:type="dxa"/>
            <w:tcBorders>
              <w:top w:val="single" w:sz="6" w:space="0" w:color="auto"/>
              <w:left w:val="single" w:sz="6" w:space="0" w:color="auto"/>
              <w:bottom w:val="single" w:sz="6" w:space="0" w:color="auto"/>
              <w:right w:val="single" w:sz="6" w:space="0" w:color="auto"/>
            </w:tcBorders>
            <w:vAlign w:val="bottom"/>
          </w:tcPr>
          <w:p w14:paraId="368FF6C3" w14:textId="33C14DA1"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391 (11.8%)</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B3A096C" w14:textId="35F296CD"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59,194 (28.3%)</w:t>
            </w:r>
          </w:p>
        </w:tc>
      </w:tr>
      <w:tr w:rsidR="00902299" w:rsidRPr="00DA52B9" w14:paraId="6DA444DB"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ABEEA83"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41-64</w:t>
            </w:r>
          </w:p>
        </w:tc>
        <w:tc>
          <w:tcPr>
            <w:tcW w:w="3121" w:type="dxa"/>
            <w:tcBorders>
              <w:top w:val="single" w:sz="6" w:space="0" w:color="auto"/>
              <w:left w:val="single" w:sz="6" w:space="0" w:color="auto"/>
              <w:bottom w:val="single" w:sz="6" w:space="0" w:color="auto"/>
              <w:right w:val="single" w:sz="6" w:space="0" w:color="auto"/>
            </w:tcBorders>
            <w:vAlign w:val="bottom"/>
          </w:tcPr>
          <w:p w14:paraId="0042EF30" w14:textId="19CBE2EC"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1,582 (47.8%)</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9379DBA" w14:textId="41053805"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70,866 (33.9%)</w:t>
            </w:r>
          </w:p>
        </w:tc>
      </w:tr>
      <w:tr w:rsidR="00902299" w:rsidRPr="00DA52B9" w14:paraId="31501A43"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1F279EC"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65-80</w:t>
            </w:r>
          </w:p>
        </w:tc>
        <w:tc>
          <w:tcPr>
            <w:tcW w:w="3121" w:type="dxa"/>
            <w:tcBorders>
              <w:top w:val="single" w:sz="6" w:space="0" w:color="auto"/>
              <w:left w:val="single" w:sz="6" w:space="0" w:color="auto"/>
              <w:bottom w:val="single" w:sz="6" w:space="0" w:color="auto"/>
              <w:right w:val="single" w:sz="6" w:space="0" w:color="auto"/>
            </w:tcBorders>
            <w:vAlign w:val="bottom"/>
          </w:tcPr>
          <w:p w14:paraId="36A254D9" w14:textId="3DCD2B8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1,109 (33.5%)</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E3C3005" w14:textId="44E8EB94"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62,190 (29.8%)</w:t>
            </w:r>
          </w:p>
        </w:tc>
      </w:tr>
      <w:tr w:rsidR="00902299" w:rsidRPr="00DA52B9" w14:paraId="2E0459B5"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90C5BCC"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&gt;80</w:t>
            </w:r>
          </w:p>
        </w:tc>
        <w:tc>
          <w:tcPr>
            <w:tcW w:w="3121" w:type="dxa"/>
            <w:tcBorders>
              <w:top w:val="single" w:sz="6" w:space="0" w:color="auto"/>
              <w:left w:val="single" w:sz="6" w:space="0" w:color="auto"/>
              <w:bottom w:val="single" w:sz="6" w:space="0" w:color="auto"/>
              <w:right w:val="single" w:sz="6" w:space="0" w:color="auto"/>
            </w:tcBorders>
            <w:vAlign w:val="bottom"/>
          </w:tcPr>
          <w:p w14:paraId="182B0DCB" w14:textId="030B07C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230 (6.9%)</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A2A8AB0" w14:textId="0F9D149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16,675 (8.0%)</w:t>
            </w:r>
          </w:p>
        </w:tc>
      </w:tr>
      <w:tr w:rsidR="00902299" w:rsidRPr="00DA52B9" w14:paraId="3C752A5B"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7F24500"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Female</w:t>
            </w:r>
          </w:p>
        </w:tc>
        <w:tc>
          <w:tcPr>
            <w:tcW w:w="3121" w:type="dxa"/>
            <w:tcBorders>
              <w:top w:val="single" w:sz="6" w:space="0" w:color="auto"/>
              <w:left w:val="single" w:sz="6" w:space="0" w:color="auto"/>
              <w:bottom w:val="single" w:sz="6" w:space="0" w:color="auto"/>
              <w:right w:val="single" w:sz="6" w:space="0" w:color="auto"/>
            </w:tcBorders>
            <w:vAlign w:val="bottom"/>
          </w:tcPr>
          <w:p w14:paraId="33A255D2" w14:textId="5935FFD5"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1,776 (53.6%)</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44DFF72" w14:textId="15E95659"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134,222 (64.2%)</w:t>
            </w:r>
          </w:p>
        </w:tc>
      </w:tr>
      <w:tr w:rsidR="00902299" w:rsidRPr="00DA52B9" w14:paraId="24079788"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5E6C557"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Ever ICU Status</w:t>
            </w:r>
          </w:p>
        </w:tc>
        <w:tc>
          <w:tcPr>
            <w:tcW w:w="3121" w:type="dxa"/>
            <w:tcBorders>
              <w:top w:val="single" w:sz="6" w:space="0" w:color="auto"/>
              <w:left w:val="single" w:sz="6" w:space="0" w:color="auto"/>
              <w:bottom w:val="single" w:sz="6" w:space="0" w:color="auto"/>
              <w:right w:val="single" w:sz="6" w:space="0" w:color="auto"/>
            </w:tcBorders>
            <w:vAlign w:val="bottom"/>
          </w:tcPr>
          <w:p w14:paraId="339289B2" w14:textId="07A48479"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1,063 (32.1%)</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12D841B" w14:textId="6CCDF08F"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36,823 (17.6%)</w:t>
            </w:r>
          </w:p>
        </w:tc>
      </w:tr>
      <w:tr w:rsidR="00902299" w:rsidRPr="00DA52B9" w14:paraId="3B0AE7BC"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24D0C34"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proofErr w:type="spellStart"/>
            <w:r w:rsidRPr="00DA52B9">
              <w:rPr>
                <w:rFonts w:ascii="Times New Roman" w:eastAsia="Times New Roman" w:hAnsi="Times New Roman" w:cs="Times New Roman"/>
                <w:color w:val="000000" w:themeColor="text1"/>
              </w:rPr>
              <w:t>ALaRMS</w:t>
            </w:r>
            <w:proofErr w:type="spellEnd"/>
            <w:r w:rsidRPr="00DA52B9">
              <w:rPr>
                <w:rFonts w:ascii="Times New Roman" w:eastAsia="Times New Roman" w:hAnsi="Times New Roman" w:cs="Times New Roman"/>
                <w:color w:val="000000" w:themeColor="text1"/>
              </w:rPr>
              <w:t xml:space="preserve"> Score</w:t>
            </w:r>
          </w:p>
        </w:tc>
        <w:tc>
          <w:tcPr>
            <w:tcW w:w="3121" w:type="dxa"/>
            <w:tcBorders>
              <w:top w:val="single" w:sz="6" w:space="0" w:color="auto"/>
              <w:left w:val="single" w:sz="6" w:space="0" w:color="auto"/>
              <w:bottom w:val="single" w:sz="6" w:space="0" w:color="auto"/>
              <w:right w:val="single" w:sz="6" w:space="0" w:color="auto"/>
            </w:tcBorders>
            <w:vAlign w:val="bottom"/>
          </w:tcPr>
          <w:p w14:paraId="2E1C1235"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0DA11E3" w14:textId="69E916C9"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r>
      <w:tr w:rsidR="00902299" w:rsidRPr="00DA52B9" w14:paraId="5A591573"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C68F5A2"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 xml:space="preserve">  Median [Q1, Q3]</w:t>
            </w:r>
          </w:p>
        </w:tc>
        <w:tc>
          <w:tcPr>
            <w:tcW w:w="3121" w:type="dxa"/>
            <w:tcBorders>
              <w:top w:val="single" w:sz="6" w:space="0" w:color="auto"/>
              <w:left w:val="single" w:sz="6" w:space="0" w:color="auto"/>
              <w:bottom w:val="single" w:sz="6" w:space="0" w:color="auto"/>
              <w:right w:val="single" w:sz="6" w:space="0" w:color="auto"/>
            </w:tcBorders>
            <w:vAlign w:val="bottom"/>
          </w:tcPr>
          <w:p w14:paraId="624E6DFD" w14:textId="4D7AC44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40.0 [30.0, 54.0]</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1A415A0" w14:textId="10B747E9"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32.0 [20.0, 42.0]</w:t>
            </w:r>
          </w:p>
        </w:tc>
      </w:tr>
      <w:tr w:rsidR="00902299" w:rsidRPr="00DA52B9" w14:paraId="252249AA"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98BB6A"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Payor Class</w:t>
            </w:r>
          </w:p>
        </w:tc>
        <w:tc>
          <w:tcPr>
            <w:tcW w:w="3121" w:type="dxa"/>
            <w:tcBorders>
              <w:top w:val="single" w:sz="6" w:space="0" w:color="auto"/>
              <w:left w:val="single" w:sz="6" w:space="0" w:color="auto"/>
              <w:bottom w:val="single" w:sz="6" w:space="0" w:color="auto"/>
              <w:right w:val="single" w:sz="6" w:space="0" w:color="auto"/>
            </w:tcBorders>
            <w:vAlign w:val="bottom"/>
          </w:tcPr>
          <w:p w14:paraId="38E008CF"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C5A94CB" w14:textId="72C2DE88"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r>
      <w:tr w:rsidR="00902299" w:rsidRPr="00DA52B9" w14:paraId="05BD2573"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F70CF4F"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Medicaid</w:t>
            </w:r>
          </w:p>
        </w:tc>
        <w:tc>
          <w:tcPr>
            <w:tcW w:w="3121" w:type="dxa"/>
            <w:tcBorders>
              <w:top w:val="single" w:sz="6" w:space="0" w:color="auto"/>
              <w:left w:val="single" w:sz="6" w:space="0" w:color="auto"/>
              <w:bottom w:val="single" w:sz="6" w:space="0" w:color="auto"/>
              <w:right w:val="single" w:sz="6" w:space="0" w:color="auto"/>
            </w:tcBorders>
            <w:vAlign w:val="bottom"/>
          </w:tcPr>
          <w:p w14:paraId="01240F2B" w14:textId="79C821EB"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292 (8.8%)</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5CDC74B" w14:textId="311EAEC8"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26,746 (12.8%)</w:t>
            </w:r>
          </w:p>
        </w:tc>
      </w:tr>
      <w:tr w:rsidR="00902299" w:rsidRPr="00DA52B9" w14:paraId="02F1667F"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45260DA"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Medicare</w:t>
            </w:r>
          </w:p>
        </w:tc>
        <w:tc>
          <w:tcPr>
            <w:tcW w:w="3121" w:type="dxa"/>
            <w:tcBorders>
              <w:top w:val="single" w:sz="6" w:space="0" w:color="auto"/>
              <w:left w:val="single" w:sz="6" w:space="0" w:color="auto"/>
              <w:bottom w:val="single" w:sz="6" w:space="0" w:color="auto"/>
              <w:right w:val="single" w:sz="6" w:space="0" w:color="auto"/>
            </w:tcBorders>
            <w:vAlign w:val="bottom"/>
          </w:tcPr>
          <w:p w14:paraId="4F708A7F" w14:textId="0DCA1D9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1,748 (52.8%)</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75A6E41" w14:textId="3BF209D8"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88,944 (42.6%)</w:t>
            </w:r>
          </w:p>
        </w:tc>
      </w:tr>
      <w:tr w:rsidR="00902299" w:rsidRPr="00DA52B9" w14:paraId="45D5D36A"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1F5C5B8"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Other</w:t>
            </w:r>
          </w:p>
        </w:tc>
        <w:tc>
          <w:tcPr>
            <w:tcW w:w="3121" w:type="dxa"/>
            <w:tcBorders>
              <w:top w:val="single" w:sz="6" w:space="0" w:color="auto"/>
              <w:left w:val="single" w:sz="6" w:space="0" w:color="auto"/>
              <w:bottom w:val="single" w:sz="6" w:space="0" w:color="auto"/>
              <w:right w:val="single" w:sz="6" w:space="0" w:color="auto"/>
            </w:tcBorders>
            <w:vAlign w:val="bottom"/>
          </w:tcPr>
          <w:p w14:paraId="05897624" w14:textId="1DDD44C8"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114 (3.4%)</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CAEE46F" w14:textId="05D989D5"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7,732 (3.7%)</w:t>
            </w:r>
          </w:p>
        </w:tc>
      </w:tr>
      <w:tr w:rsidR="00902299" w:rsidRPr="00DA52B9" w14:paraId="00CC0A34"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71C5F9A"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lastRenderedPageBreak/>
              <w:t>Private</w:t>
            </w:r>
          </w:p>
        </w:tc>
        <w:tc>
          <w:tcPr>
            <w:tcW w:w="3121" w:type="dxa"/>
            <w:tcBorders>
              <w:top w:val="single" w:sz="6" w:space="0" w:color="auto"/>
              <w:left w:val="single" w:sz="6" w:space="0" w:color="auto"/>
              <w:bottom w:val="single" w:sz="6" w:space="0" w:color="auto"/>
              <w:right w:val="single" w:sz="6" w:space="0" w:color="auto"/>
            </w:tcBorders>
            <w:vAlign w:val="bottom"/>
          </w:tcPr>
          <w:p w14:paraId="2ED93787" w14:textId="4CA45EDC"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1,077 (32.5%)</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68C6578" w14:textId="7E1CB859"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79,576 (38.1%)</w:t>
            </w:r>
          </w:p>
        </w:tc>
      </w:tr>
      <w:tr w:rsidR="00902299" w:rsidRPr="00DA52B9" w14:paraId="681640BC"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EB028E9"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Uninsured</w:t>
            </w:r>
          </w:p>
        </w:tc>
        <w:tc>
          <w:tcPr>
            <w:tcW w:w="3121" w:type="dxa"/>
            <w:tcBorders>
              <w:top w:val="single" w:sz="6" w:space="0" w:color="auto"/>
              <w:left w:val="single" w:sz="6" w:space="0" w:color="auto"/>
              <w:bottom w:val="single" w:sz="6" w:space="0" w:color="auto"/>
              <w:right w:val="single" w:sz="6" w:space="0" w:color="auto"/>
            </w:tcBorders>
            <w:vAlign w:val="bottom"/>
          </w:tcPr>
          <w:p w14:paraId="4DADB007" w14:textId="58D7EC39"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81 (2.4%)</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71E3914" w14:textId="2DBD2E80"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5,927 (2.8%)</w:t>
            </w:r>
          </w:p>
        </w:tc>
      </w:tr>
      <w:tr w:rsidR="00902299" w:rsidRPr="00DA52B9" w14:paraId="1EFC6240"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8BE63A9"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Staffed Bed Size</w:t>
            </w:r>
          </w:p>
        </w:tc>
        <w:tc>
          <w:tcPr>
            <w:tcW w:w="3121" w:type="dxa"/>
            <w:tcBorders>
              <w:top w:val="single" w:sz="6" w:space="0" w:color="auto"/>
              <w:left w:val="single" w:sz="6" w:space="0" w:color="auto"/>
              <w:bottom w:val="single" w:sz="6" w:space="0" w:color="auto"/>
              <w:right w:val="single" w:sz="6" w:space="0" w:color="auto"/>
            </w:tcBorders>
            <w:vAlign w:val="bottom"/>
          </w:tcPr>
          <w:p w14:paraId="1F210540"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B020B6E" w14:textId="170B1493" w:rsidR="00902299" w:rsidRPr="00DA52B9" w:rsidRDefault="00902299" w:rsidP="00636873">
            <w:pPr>
              <w:spacing w:after="0" w:line="480" w:lineRule="auto"/>
              <w:jc w:val="center"/>
              <w:rPr>
                <w:rFonts w:ascii="Times New Roman" w:eastAsia="Times New Roman" w:hAnsi="Times New Roman" w:cs="Times New Roman"/>
                <w:color w:val="000000" w:themeColor="text1"/>
              </w:rPr>
            </w:pPr>
          </w:p>
        </w:tc>
      </w:tr>
      <w:tr w:rsidR="00902299" w:rsidRPr="00DA52B9" w14:paraId="7271B659"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351FD87"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&lt;100</w:t>
            </w:r>
          </w:p>
        </w:tc>
        <w:tc>
          <w:tcPr>
            <w:tcW w:w="3121" w:type="dxa"/>
            <w:tcBorders>
              <w:top w:val="single" w:sz="6" w:space="0" w:color="auto"/>
              <w:left w:val="single" w:sz="6" w:space="0" w:color="auto"/>
              <w:bottom w:val="single" w:sz="6" w:space="0" w:color="auto"/>
              <w:right w:val="single" w:sz="6" w:space="0" w:color="auto"/>
            </w:tcBorders>
            <w:vAlign w:val="bottom"/>
          </w:tcPr>
          <w:p w14:paraId="68D86DC0" w14:textId="6E8E196D"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110 (3.3%)</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B77FA70" w14:textId="70BB9F3A"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11,023 (5.3%)</w:t>
            </w:r>
          </w:p>
        </w:tc>
      </w:tr>
      <w:tr w:rsidR="00902299" w:rsidRPr="00DA52B9" w14:paraId="060EC025"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F6D57B1"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100-300</w:t>
            </w:r>
          </w:p>
        </w:tc>
        <w:tc>
          <w:tcPr>
            <w:tcW w:w="3121" w:type="dxa"/>
            <w:tcBorders>
              <w:top w:val="single" w:sz="6" w:space="0" w:color="auto"/>
              <w:left w:val="single" w:sz="6" w:space="0" w:color="auto"/>
              <w:bottom w:val="single" w:sz="6" w:space="0" w:color="auto"/>
              <w:right w:val="single" w:sz="6" w:space="0" w:color="auto"/>
            </w:tcBorders>
            <w:vAlign w:val="bottom"/>
          </w:tcPr>
          <w:p w14:paraId="4AEA34BE" w14:textId="5C7258D1"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982 (29.6%)</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0C9CF61" w14:textId="7C00EF53"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70,160 (33.6%)</w:t>
            </w:r>
          </w:p>
        </w:tc>
      </w:tr>
      <w:tr w:rsidR="00902299" w:rsidRPr="00DA52B9" w14:paraId="3B3C032B"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EEE0CA0" w14:textId="7777777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&gt;300</w:t>
            </w:r>
          </w:p>
        </w:tc>
        <w:tc>
          <w:tcPr>
            <w:tcW w:w="3121" w:type="dxa"/>
            <w:tcBorders>
              <w:top w:val="single" w:sz="6" w:space="0" w:color="auto"/>
              <w:left w:val="single" w:sz="6" w:space="0" w:color="auto"/>
              <w:bottom w:val="single" w:sz="6" w:space="0" w:color="auto"/>
              <w:right w:val="single" w:sz="6" w:space="0" w:color="auto"/>
            </w:tcBorders>
            <w:vAlign w:val="bottom"/>
          </w:tcPr>
          <w:p w14:paraId="1F0ADC0A" w14:textId="29C62B42"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2,220 (67.0%)</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D675761" w14:textId="163F8CD7"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127,742 (61.1%)</w:t>
            </w:r>
          </w:p>
        </w:tc>
      </w:tr>
      <w:tr w:rsidR="00902299" w:rsidRPr="00DA52B9" w14:paraId="3E3B7B85"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85257F9"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 xml:space="preserve">  Teaching</w:t>
            </w:r>
          </w:p>
        </w:tc>
        <w:tc>
          <w:tcPr>
            <w:tcW w:w="3121" w:type="dxa"/>
            <w:tcBorders>
              <w:top w:val="single" w:sz="6" w:space="0" w:color="auto"/>
              <w:left w:val="single" w:sz="6" w:space="0" w:color="auto"/>
              <w:bottom w:val="single" w:sz="6" w:space="0" w:color="auto"/>
              <w:right w:val="single" w:sz="6" w:space="0" w:color="auto"/>
            </w:tcBorders>
            <w:vAlign w:val="bottom"/>
          </w:tcPr>
          <w:p w14:paraId="15199DD3" w14:textId="32765AF2"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2,375 (71.7%)</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A05ACA5" w14:textId="5D801104"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133,769 (64.0%)</w:t>
            </w:r>
          </w:p>
        </w:tc>
      </w:tr>
      <w:tr w:rsidR="00902299" w:rsidRPr="00DA52B9" w14:paraId="098219DB" w14:textId="77777777" w:rsidTr="00902299">
        <w:trPr>
          <w:trHeight w:val="200"/>
        </w:trPr>
        <w:tc>
          <w:tcPr>
            <w:tcW w:w="316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AFE6361" w14:textId="77777777" w:rsidR="00902299" w:rsidRPr="00DA52B9" w:rsidRDefault="00902299" w:rsidP="00636873">
            <w:pPr>
              <w:spacing w:after="0" w:line="480" w:lineRule="auto"/>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 xml:space="preserve">  Urban</w:t>
            </w:r>
          </w:p>
        </w:tc>
        <w:tc>
          <w:tcPr>
            <w:tcW w:w="3121" w:type="dxa"/>
            <w:tcBorders>
              <w:top w:val="single" w:sz="6" w:space="0" w:color="auto"/>
              <w:left w:val="single" w:sz="6" w:space="0" w:color="auto"/>
              <w:bottom w:val="single" w:sz="6" w:space="0" w:color="auto"/>
              <w:right w:val="single" w:sz="6" w:space="0" w:color="auto"/>
            </w:tcBorders>
            <w:vAlign w:val="bottom"/>
          </w:tcPr>
          <w:p w14:paraId="05E295C1" w14:textId="018BB2D6"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2,743 (82.8%)</w:t>
            </w:r>
            <w:r w:rsidRPr="00DA52B9">
              <w:rPr>
                <w:rFonts w:ascii="Times New Roman" w:hAnsi="Times New Roman" w:cs="Times New Roman"/>
              </w:rPr>
              <w:t xml:space="preserve"> </w:t>
            </w:r>
          </w:p>
        </w:tc>
        <w:tc>
          <w:tcPr>
            <w:tcW w:w="312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C372D58" w14:textId="79E29E5F" w:rsidR="00902299" w:rsidRPr="00DA52B9" w:rsidRDefault="00902299" w:rsidP="00636873">
            <w:pPr>
              <w:spacing w:after="0" w:line="480" w:lineRule="auto"/>
              <w:jc w:val="center"/>
              <w:rPr>
                <w:rFonts w:ascii="Times New Roman" w:eastAsia="Times New Roman" w:hAnsi="Times New Roman" w:cs="Times New Roman"/>
                <w:color w:val="000000" w:themeColor="text1"/>
              </w:rPr>
            </w:pPr>
            <w:r w:rsidRPr="00DA52B9">
              <w:rPr>
                <w:rFonts w:ascii="Times New Roman" w:eastAsia="Times New Roman" w:hAnsi="Times New Roman" w:cs="Times New Roman"/>
                <w:color w:val="000000" w:themeColor="text1"/>
              </w:rPr>
              <w:t>167,844 (80.3%)</w:t>
            </w:r>
          </w:p>
        </w:tc>
      </w:tr>
    </w:tbl>
    <w:p w14:paraId="419361B4" w14:textId="77777777" w:rsidR="006A0C71" w:rsidRPr="00DA52B9" w:rsidRDefault="006A0C71" w:rsidP="00636873">
      <w:pPr>
        <w:spacing w:after="0" w:line="480" w:lineRule="auto"/>
        <w:rPr>
          <w:rFonts w:ascii="Times New Roman" w:hAnsi="Times New Roman" w:cs="Times New Roman"/>
        </w:rPr>
      </w:pPr>
      <w:r w:rsidRPr="00DA52B9">
        <w:rPr>
          <w:rFonts w:ascii="Times New Roman" w:hAnsi="Times New Roman" w:cs="Times New Roman"/>
        </w:rPr>
        <w:t xml:space="preserve">Abbreviations: SSI, surgical site infection; NHSN, National Healthcare Safety Network; PATOS, [infection] present at time of surgery; ICU, intensive care unit; </w:t>
      </w:r>
      <w:proofErr w:type="spellStart"/>
      <w:r w:rsidRPr="00DA52B9">
        <w:rPr>
          <w:rFonts w:ascii="Times New Roman" w:hAnsi="Times New Roman" w:cs="Times New Roman"/>
        </w:rPr>
        <w:t>ALaRM</w:t>
      </w:r>
      <w:proofErr w:type="spellEnd"/>
      <w:r w:rsidRPr="00DA52B9">
        <w:rPr>
          <w:rFonts w:ascii="Times New Roman" w:hAnsi="Times New Roman" w:cs="Times New Roman"/>
        </w:rPr>
        <w:t xml:space="preserve"> Score, acute laboratory risk of mortality score; SD, standard deviation</w:t>
      </w:r>
    </w:p>
    <w:p w14:paraId="4BB1B81B" w14:textId="3691C94D" w:rsidR="00714802" w:rsidRPr="00DA52B9" w:rsidRDefault="00714802" w:rsidP="00636873">
      <w:pPr>
        <w:spacing w:after="0" w:line="480" w:lineRule="auto"/>
        <w:rPr>
          <w:rFonts w:ascii="Times New Roman" w:hAnsi="Times New Roman" w:cs="Times New Roman"/>
        </w:rPr>
        <w:sectPr w:rsidR="00714802" w:rsidRPr="00DA52B9" w:rsidSect="00921E2D">
          <w:pgSz w:w="12240" w:h="15840"/>
          <w:pgMar w:top="1440" w:right="1440" w:bottom="1440" w:left="1440" w:header="720" w:footer="720" w:gutter="0"/>
          <w:cols w:space="720"/>
          <w:docGrid w:linePitch="360"/>
        </w:sectPr>
      </w:pPr>
      <w:r w:rsidRPr="00DA52B9">
        <w:rPr>
          <w:rFonts w:ascii="Times New Roman" w:hAnsi="Times New Roman" w:cs="Times New Roman"/>
        </w:rPr>
        <w:t>* Total may not equal 100% due to having multiple procedures in the same admission</w:t>
      </w:r>
    </w:p>
    <w:p w14:paraId="2009025E" w14:textId="3B6F6936" w:rsidR="0089314C" w:rsidRPr="00DA52B9" w:rsidRDefault="00474C79" w:rsidP="00636873">
      <w:pPr>
        <w:spacing w:after="0" w:line="480" w:lineRule="auto"/>
        <w:rPr>
          <w:rFonts w:ascii="Times New Roman" w:hAnsi="Times New Roman" w:cs="Times New Roman"/>
          <w:b/>
          <w:bCs/>
        </w:rPr>
      </w:pPr>
      <w:r w:rsidRPr="00DA52B9">
        <w:rPr>
          <w:rFonts w:ascii="Times New Roman" w:hAnsi="Times New Roman" w:cs="Times New Roman"/>
          <w:b/>
          <w:bCs/>
        </w:rPr>
        <w:lastRenderedPageBreak/>
        <w:t xml:space="preserve">Supplemental Table </w:t>
      </w:r>
      <w:r w:rsidR="007A52A0" w:rsidRPr="00DA52B9">
        <w:rPr>
          <w:rFonts w:ascii="Times New Roman" w:hAnsi="Times New Roman" w:cs="Times New Roman"/>
          <w:b/>
          <w:bCs/>
        </w:rPr>
        <w:t>5</w:t>
      </w:r>
      <w:r w:rsidRPr="00DA52B9">
        <w:rPr>
          <w:rFonts w:ascii="Times New Roman" w:hAnsi="Times New Roman" w:cs="Times New Roman"/>
          <w:b/>
          <w:bCs/>
        </w:rPr>
        <w:t>. Attributable financial and clinical burden of ICD-coded SSI</w:t>
      </w:r>
      <w:r w:rsidR="0029257A" w:rsidRPr="00DA52B9">
        <w:rPr>
          <w:rFonts w:ascii="Times New Roman" w:hAnsi="Times New Roman" w:cs="Times New Roman"/>
          <w:b/>
          <w:bCs/>
        </w:rPr>
        <w:t xml:space="preserve"> in admissions with procedures under NHSN surveillance for SSI, BD Insights Research Database, October 2015 through June 2019.</w:t>
      </w:r>
    </w:p>
    <w:tbl>
      <w:tblPr>
        <w:tblW w:w="13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948"/>
        <w:gridCol w:w="3948"/>
        <w:gridCol w:w="3963"/>
      </w:tblGrid>
      <w:tr w:rsidR="00693850" w:rsidRPr="00DA52B9" w14:paraId="51B55D00" w14:textId="77777777" w:rsidTr="00DA52B9">
        <w:trPr>
          <w:trHeight w:val="331"/>
        </w:trPr>
        <w:tc>
          <w:tcPr>
            <w:tcW w:w="1537" w:type="dxa"/>
            <w:shd w:val="clear" w:color="auto" w:fill="auto"/>
            <w:vAlign w:val="center"/>
            <w:hideMark/>
          </w:tcPr>
          <w:p w14:paraId="35763DEF"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 </w:t>
            </w:r>
          </w:p>
        </w:tc>
        <w:tc>
          <w:tcPr>
            <w:tcW w:w="3948" w:type="dxa"/>
            <w:shd w:val="clear" w:color="auto" w:fill="auto"/>
            <w:vAlign w:val="center"/>
            <w:hideMark/>
          </w:tcPr>
          <w:p w14:paraId="1432D936" w14:textId="77777777" w:rsidR="0029257A" w:rsidRPr="00DA52B9" w:rsidRDefault="0029257A"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themeColor="text1"/>
                <w:lang w:eastAsia="en-US"/>
              </w:rPr>
              <w:t>Admissions with SSI</w:t>
            </w:r>
            <w:r w:rsidRPr="00DA52B9">
              <w:rPr>
                <w:rFonts w:ascii="Times New Roman" w:eastAsia="Times New Roman" w:hAnsi="Times New Roman" w:cs="Times New Roman"/>
                <w:b/>
                <w:bCs/>
                <w:color w:val="000000" w:themeColor="text1"/>
                <w:lang w:eastAsia="en-US"/>
              </w:rPr>
              <w:br/>
              <w:t>N=3,312</w:t>
            </w:r>
          </w:p>
        </w:tc>
        <w:tc>
          <w:tcPr>
            <w:tcW w:w="3948" w:type="dxa"/>
            <w:shd w:val="clear" w:color="auto" w:fill="auto"/>
            <w:vAlign w:val="center"/>
            <w:hideMark/>
          </w:tcPr>
          <w:p w14:paraId="7DC3A8DB" w14:textId="77777777" w:rsidR="0029257A" w:rsidRPr="00DA52B9" w:rsidRDefault="0029257A"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themeColor="text1"/>
                <w:lang w:eastAsia="en-US"/>
              </w:rPr>
              <w:t>Admissions without SSI,</w:t>
            </w:r>
            <w:r w:rsidRPr="00DA52B9">
              <w:rPr>
                <w:rFonts w:ascii="Times New Roman" w:eastAsia="Times New Roman" w:hAnsi="Times New Roman" w:cs="Times New Roman"/>
                <w:b/>
                <w:bCs/>
                <w:color w:val="000000" w:themeColor="text1"/>
                <w:lang w:eastAsia="en-US"/>
              </w:rPr>
              <w:br/>
              <w:t>N=208,925</w:t>
            </w:r>
          </w:p>
        </w:tc>
        <w:tc>
          <w:tcPr>
            <w:tcW w:w="3963" w:type="dxa"/>
            <w:shd w:val="clear" w:color="auto" w:fill="auto"/>
            <w:vAlign w:val="center"/>
            <w:hideMark/>
          </w:tcPr>
          <w:p w14:paraId="5631DB42" w14:textId="77777777" w:rsidR="0029257A" w:rsidRPr="00DA52B9" w:rsidRDefault="0029257A"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Estimated Difference/RR</w:t>
            </w:r>
          </w:p>
        </w:tc>
      </w:tr>
      <w:tr w:rsidR="0029257A" w:rsidRPr="00DA52B9" w14:paraId="473C825B" w14:textId="77777777" w:rsidTr="00DA52B9">
        <w:trPr>
          <w:trHeight w:val="168"/>
        </w:trPr>
        <w:tc>
          <w:tcPr>
            <w:tcW w:w="13396" w:type="dxa"/>
            <w:gridSpan w:val="4"/>
            <w:shd w:val="clear" w:color="auto" w:fill="D1D1D1" w:themeFill="background2" w:themeFillShade="E6"/>
            <w:vAlign w:val="center"/>
            <w:hideMark/>
          </w:tcPr>
          <w:p w14:paraId="35BDA3AA" w14:textId="77777777" w:rsidR="0029257A" w:rsidRPr="00DA52B9" w:rsidRDefault="0029257A" w:rsidP="00636873">
            <w:pPr>
              <w:spacing w:after="0" w:line="480" w:lineRule="auto"/>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Financial outcomes</w:t>
            </w:r>
          </w:p>
        </w:tc>
      </w:tr>
      <w:tr w:rsidR="00693850" w:rsidRPr="00DA52B9" w14:paraId="47810557" w14:textId="77777777" w:rsidTr="00DA52B9">
        <w:trPr>
          <w:trHeight w:val="205"/>
        </w:trPr>
        <w:tc>
          <w:tcPr>
            <w:tcW w:w="13396" w:type="dxa"/>
            <w:gridSpan w:val="4"/>
            <w:shd w:val="clear" w:color="auto" w:fill="auto"/>
            <w:vAlign w:val="center"/>
          </w:tcPr>
          <w:p w14:paraId="7DE14E2D" w14:textId="2FF476B9" w:rsidR="00693850" w:rsidRPr="00DA52B9" w:rsidRDefault="00693850" w:rsidP="00636873">
            <w:pPr>
              <w:spacing w:after="0" w:line="480" w:lineRule="auto"/>
              <w:rPr>
                <w:rFonts w:ascii="Times New Roman" w:eastAsia="Times New Roman" w:hAnsi="Times New Roman" w:cs="Times New Roman"/>
                <w:color w:val="000000" w:themeColor="text1"/>
                <w:lang w:eastAsia="en-US"/>
              </w:rPr>
            </w:pPr>
            <w:r w:rsidRPr="00DA52B9">
              <w:rPr>
                <w:rFonts w:ascii="Times New Roman" w:eastAsia="Times New Roman" w:hAnsi="Times New Roman" w:cs="Times New Roman"/>
                <w:color w:val="000000" w:themeColor="text1"/>
                <w:lang w:eastAsia="en-US"/>
              </w:rPr>
              <w:t>Estimated total cost (95% CI)</w:t>
            </w:r>
          </w:p>
        </w:tc>
      </w:tr>
      <w:tr w:rsidR="0029257A" w:rsidRPr="00DA52B9" w14:paraId="3FBB322D" w14:textId="77777777" w:rsidTr="00DA52B9">
        <w:trPr>
          <w:trHeight w:val="205"/>
        </w:trPr>
        <w:tc>
          <w:tcPr>
            <w:tcW w:w="1537" w:type="dxa"/>
            <w:shd w:val="clear" w:color="auto" w:fill="auto"/>
            <w:vAlign w:val="center"/>
            <w:hideMark/>
          </w:tcPr>
          <w:p w14:paraId="4D7E0A4A"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948" w:type="dxa"/>
            <w:shd w:val="clear" w:color="auto" w:fill="auto"/>
            <w:vAlign w:val="center"/>
            <w:hideMark/>
          </w:tcPr>
          <w:p w14:paraId="775D9CFC"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$27,235 ($24,682, $30,051)</w:t>
            </w:r>
          </w:p>
        </w:tc>
        <w:tc>
          <w:tcPr>
            <w:tcW w:w="3948" w:type="dxa"/>
            <w:shd w:val="clear" w:color="auto" w:fill="auto"/>
            <w:vAlign w:val="center"/>
            <w:hideMark/>
          </w:tcPr>
          <w:p w14:paraId="5D5C6329"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$16,577 ($15,070, $18,236)</w:t>
            </w:r>
          </w:p>
        </w:tc>
        <w:tc>
          <w:tcPr>
            <w:tcW w:w="3963" w:type="dxa"/>
            <w:shd w:val="clear" w:color="auto" w:fill="auto"/>
            <w:vAlign w:val="center"/>
            <w:hideMark/>
          </w:tcPr>
          <w:p w14:paraId="3C550039"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$10,657 ($10,610, $10,703) </w:t>
            </w:r>
            <w:r w:rsidRPr="00DA52B9">
              <w:rPr>
                <w:rFonts w:ascii="Times New Roman" w:eastAsia="Times New Roman" w:hAnsi="Times New Roman" w:cs="Times New Roman"/>
                <w:color w:val="000000"/>
                <w:vertAlign w:val="superscript"/>
                <w:lang w:eastAsia="en-US"/>
              </w:rPr>
              <w:t>***</w:t>
            </w:r>
          </w:p>
        </w:tc>
      </w:tr>
      <w:tr w:rsidR="0029257A" w:rsidRPr="00DA52B9" w14:paraId="13FC7B3A" w14:textId="77777777" w:rsidTr="00DA52B9">
        <w:trPr>
          <w:trHeight w:val="205"/>
        </w:trPr>
        <w:tc>
          <w:tcPr>
            <w:tcW w:w="1537" w:type="dxa"/>
            <w:shd w:val="clear" w:color="auto" w:fill="auto"/>
            <w:vAlign w:val="center"/>
            <w:hideMark/>
          </w:tcPr>
          <w:p w14:paraId="0B80C4AA"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660558D7"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$22,095 ($20,278, $24,076)</w:t>
            </w:r>
          </w:p>
        </w:tc>
        <w:tc>
          <w:tcPr>
            <w:tcW w:w="3948" w:type="dxa"/>
            <w:shd w:val="clear" w:color="auto" w:fill="auto"/>
            <w:vAlign w:val="center"/>
            <w:hideMark/>
          </w:tcPr>
          <w:p w14:paraId="762E1AF3"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$15,092 ($13,885, $16,405)</w:t>
            </w:r>
          </w:p>
        </w:tc>
        <w:tc>
          <w:tcPr>
            <w:tcW w:w="3963" w:type="dxa"/>
            <w:shd w:val="clear" w:color="auto" w:fill="auto"/>
            <w:vAlign w:val="center"/>
            <w:hideMark/>
          </w:tcPr>
          <w:p w14:paraId="61CCDD3A"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$7,002 ($6,969, $7,036) </w:t>
            </w:r>
            <w:r w:rsidRPr="00DA52B9">
              <w:rPr>
                <w:rFonts w:ascii="Times New Roman" w:eastAsia="Times New Roman" w:hAnsi="Times New Roman" w:cs="Times New Roman"/>
                <w:color w:val="000000"/>
                <w:vertAlign w:val="superscript"/>
                <w:lang w:eastAsia="en-US"/>
              </w:rPr>
              <w:t>***</w:t>
            </w:r>
          </w:p>
        </w:tc>
      </w:tr>
      <w:tr w:rsidR="0029257A" w:rsidRPr="00DA52B9" w14:paraId="4B27DB4F" w14:textId="77777777" w:rsidTr="00DA52B9">
        <w:trPr>
          <w:trHeight w:val="173"/>
        </w:trPr>
        <w:tc>
          <w:tcPr>
            <w:tcW w:w="13396" w:type="dxa"/>
            <w:gridSpan w:val="4"/>
            <w:shd w:val="clear" w:color="auto" w:fill="D1D1D1" w:themeFill="background2" w:themeFillShade="E6"/>
            <w:vAlign w:val="center"/>
            <w:hideMark/>
          </w:tcPr>
          <w:p w14:paraId="58102DEB" w14:textId="77777777" w:rsidR="0029257A" w:rsidRPr="00DA52B9" w:rsidRDefault="0029257A" w:rsidP="00636873">
            <w:pPr>
              <w:spacing w:after="0" w:line="480" w:lineRule="auto"/>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lang w:eastAsia="en-US"/>
              </w:rPr>
              <w:t>Estimated LOS (95% CI)</w:t>
            </w:r>
          </w:p>
        </w:tc>
      </w:tr>
      <w:tr w:rsidR="0029257A" w:rsidRPr="00DA52B9" w14:paraId="56B9EC1B" w14:textId="77777777" w:rsidTr="00DA52B9">
        <w:trPr>
          <w:trHeight w:val="205"/>
        </w:trPr>
        <w:tc>
          <w:tcPr>
            <w:tcW w:w="1537" w:type="dxa"/>
            <w:shd w:val="clear" w:color="auto" w:fill="auto"/>
            <w:vAlign w:val="center"/>
            <w:hideMark/>
          </w:tcPr>
          <w:p w14:paraId="531544C8"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948" w:type="dxa"/>
            <w:shd w:val="clear" w:color="auto" w:fill="auto"/>
            <w:vAlign w:val="center"/>
            <w:hideMark/>
          </w:tcPr>
          <w:p w14:paraId="71FC99C0"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10.4 (9.7, 11.0)</w:t>
            </w:r>
          </w:p>
        </w:tc>
        <w:tc>
          <w:tcPr>
            <w:tcW w:w="3948" w:type="dxa"/>
            <w:shd w:val="clear" w:color="auto" w:fill="auto"/>
            <w:vAlign w:val="center"/>
            <w:hideMark/>
          </w:tcPr>
          <w:p w14:paraId="02A34693"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4.4 (4.1, 4.6)</w:t>
            </w:r>
          </w:p>
        </w:tc>
        <w:tc>
          <w:tcPr>
            <w:tcW w:w="3963" w:type="dxa"/>
            <w:shd w:val="clear" w:color="auto" w:fill="auto"/>
            <w:vAlign w:val="center"/>
            <w:hideMark/>
          </w:tcPr>
          <w:p w14:paraId="4CD73790"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6.01 (6.0, 6.02) </w:t>
            </w:r>
            <w:r w:rsidRPr="00DA52B9">
              <w:rPr>
                <w:rFonts w:ascii="Times New Roman" w:eastAsia="Times New Roman" w:hAnsi="Times New Roman" w:cs="Times New Roman"/>
                <w:color w:val="000000"/>
                <w:vertAlign w:val="superscript"/>
                <w:lang w:eastAsia="en-US"/>
              </w:rPr>
              <w:t>***</w:t>
            </w:r>
          </w:p>
        </w:tc>
      </w:tr>
      <w:tr w:rsidR="0029257A" w:rsidRPr="00DA52B9" w14:paraId="0214B1BA" w14:textId="77777777" w:rsidTr="00DA52B9">
        <w:trPr>
          <w:trHeight w:val="205"/>
        </w:trPr>
        <w:tc>
          <w:tcPr>
            <w:tcW w:w="1537" w:type="dxa"/>
            <w:shd w:val="clear" w:color="auto" w:fill="auto"/>
            <w:vAlign w:val="center"/>
            <w:hideMark/>
          </w:tcPr>
          <w:p w14:paraId="35A3B009"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63A51625"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9.0 (8.6, 9.4)</w:t>
            </w:r>
          </w:p>
        </w:tc>
        <w:tc>
          <w:tcPr>
            <w:tcW w:w="3948" w:type="dxa"/>
            <w:shd w:val="clear" w:color="auto" w:fill="auto"/>
            <w:vAlign w:val="center"/>
            <w:hideMark/>
          </w:tcPr>
          <w:p w14:paraId="4F4F7137"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4.1 (4, 4.3)</w:t>
            </w:r>
          </w:p>
        </w:tc>
        <w:tc>
          <w:tcPr>
            <w:tcW w:w="3963" w:type="dxa"/>
            <w:shd w:val="clear" w:color="auto" w:fill="auto"/>
            <w:vAlign w:val="center"/>
            <w:hideMark/>
          </w:tcPr>
          <w:p w14:paraId="35B73AC6"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4.9 (4.89, 4.91) </w:t>
            </w:r>
            <w:r w:rsidRPr="00DA52B9">
              <w:rPr>
                <w:rFonts w:ascii="Times New Roman" w:eastAsia="Times New Roman" w:hAnsi="Times New Roman" w:cs="Times New Roman"/>
                <w:color w:val="000000"/>
                <w:vertAlign w:val="superscript"/>
                <w:lang w:eastAsia="en-US"/>
              </w:rPr>
              <w:t>***</w:t>
            </w:r>
          </w:p>
        </w:tc>
      </w:tr>
      <w:tr w:rsidR="0029257A" w:rsidRPr="00DA52B9" w14:paraId="4CB9EE15" w14:textId="77777777" w:rsidTr="00DA52B9">
        <w:trPr>
          <w:trHeight w:val="168"/>
        </w:trPr>
        <w:tc>
          <w:tcPr>
            <w:tcW w:w="13396" w:type="dxa"/>
            <w:gridSpan w:val="4"/>
            <w:shd w:val="clear" w:color="auto" w:fill="D1D1D1" w:themeFill="background2" w:themeFillShade="E6"/>
            <w:vAlign w:val="center"/>
            <w:hideMark/>
          </w:tcPr>
          <w:p w14:paraId="6EF2CF1C" w14:textId="77777777" w:rsidR="0029257A" w:rsidRPr="00DA52B9" w:rsidRDefault="0029257A" w:rsidP="00636873">
            <w:pPr>
              <w:spacing w:after="0" w:line="480" w:lineRule="auto"/>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Clinical outcomes</w:t>
            </w:r>
          </w:p>
        </w:tc>
      </w:tr>
      <w:tr w:rsidR="0029257A" w:rsidRPr="00DA52B9" w14:paraId="40B6079A" w14:textId="77777777" w:rsidTr="00DA52B9">
        <w:trPr>
          <w:trHeight w:val="173"/>
        </w:trPr>
        <w:tc>
          <w:tcPr>
            <w:tcW w:w="13396" w:type="dxa"/>
            <w:gridSpan w:val="4"/>
            <w:shd w:val="clear" w:color="000000" w:fill="E7E6E6"/>
            <w:vAlign w:val="center"/>
            <w:hideMark/>
          </w:tcPr>
          <w:p w14:paraId="13EF8641"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30-day Readmission rate (95% CI)</w:t>
            </w:r>
          </w:p>
        </w:tc>
      </w:tr>
      <w:tr w:rsidR="0029257A" w:rsidRPr="00DA52B9" w14:paraId="32C1F79C" w14:textId="77777777" w:rsidTr="00DA52B9">
        <w:trPr>
          <w:trHeight w:val="205"/>
        </w:trPr>
        <w:tc>
          <w:tcPr>
            <w:tcW w:w="1537" w:type="dxa"/>
            <w:shd w:val="clear" w:color="auto" w:fill="auto"/>
            <w:vAlign w:val="center"/>
            <w:hideMark/>
          </w:tcPr>
          <w:p w14:paraId="224E745E"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948" w:type="dxa"/>
            <w:shd w:val="clear" w:color="auto" w:fill="auto"/>
            <w:vAlign w:val="center"/>
            <w:hideMark/>
          </w:tcPr>
          <w:p w14:paraId="36D2F053"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14.37 (12.96, 15.92)</w:t>
            </w:r>
          </w:p>
        </w:tc>
        <w:tc>
          <w:tcPr>
            <w:tcW w:w="3948" w:type="dxa"/>
            <w:shd w:val="clear" w:color="auto" w:fill="auto"/>
            <w:vAlign w:val="center"/>
            <w:hideMark/>
          </w:tcPr>
          <w:p w14:paraId="555A6024"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5 (4.63, 5.39)</w:t>
            </w:r>
          </w:p>
        </w:tc>
        <w:tc>
          <w:tcPr>
            <w:tcW w:w="3963" w:type="dxa"/>
            <w:shd w:val="clear" w:color="auto" w:fill="auto"/>
            <w:vAlign w:val="center"/>
            <w:hideMark/>
          </w:tcPr>
          <w:p w14:paraId="07272391"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3.19 (2.91, 3.5) </w:t>
            </w:r>
            <w:r w:rsidRPr="00DA52B9">
              <w:rPr>
                <w:rFonts w:ascii="Times New Roman" w:eastAsia="Times New Roman" w:hAnsi="Times New Roman" w:cs="Times New Roman"/>
                <w:color w:val="000000"/>
                <w:vertAlign w:val="superscript"/>
                <w:lang w:eastAsia="en-US"/>
              </w:rPr>
              <w:t>***</w:t>
            </w:r>
          </w:p>
        </w:tc>
      </w:tr>
      <w:tr w:rsidR="0029257A" w:rsidRPr="00DA52B9" w14:paraId="0AF1058F" w14:textId="77777777" w:rsidTr="00DA52B9">
        <w:trPr>
          <w:trHeight w:val="205"/>
        </w:trPr>
        <w:tc>
          <w:tcPr>
            <w:tcW w:w="1537" w:type="dxa"/>
            <w:shd w:val="clear" w:color="auto" w:fill="auto"/>
            <w:vAlign w:val="center"/>
            <w:hideMark/>
          </w:tcPr>
          <w:p w14:paraId="5644DAC3"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2A89426F"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10.17 (9.09, 11.37)</w:t>
            </w:r>
          </w:p>
        </w:tc>
        <w:tc>
          <w:tcPr>
            <w:tcW w:w="3948" w:type="dxa"/>
            <w:shd w:val="clear" w:color="auto" w:fill="auto"/>
            <w:vAlign w:val="center"/>
            <w:hideMark/>
          </w:tcPr>
          <w:p w14:paraId="6EC65CC3"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3.92 (3.64, 4.23)</w:t>
            </w:r>
          </w:p>
        </w:tc>
        <w:tc>
          <w:tcPr>
            <w:tcW w:w="3963" w:type="dxa"/>
            <w:shd w:val="clear" w:color="auto" w:fill="auto"/>
            <w:vAlign w:val="center"/>
            <w:hideMark/>
          </w:tcPr>
          <w:p w14:paraId="4AE186C5"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2.77 (2.51, 3.06) </w:t>
            </w:r>
            <w:r w:rsidRPr="00DA52B9">
              <w:rPr>
                <w:rFonts w:ascii="Times New Roman" w:eastAsia="Times New Roman" w:hAnsi="Times New Roman" w:cs="Times New Roman"/>
                <w:color w:val="000000"/>
                <w:vertAlign w:val="superscript"/>
                <w:lang w:eastAsia="en-US"/>
              </w:rPr>
              <w:t>***</w:t>
            </w:r>
          </w:p>
        </w:tc>
      </w:tr>
      <w:tr w:rsidR="0029257A" w:rsidRPr="00DA52B9" w14:paraId="232F155B" w14:textId="77777777" w:rsidTr="00DA52B9">
        <w:trPr>
          <w:trHeight w:val="173"/>
        </w:trPr>
        <w:tc>
          <w:tcPr>
            <w:tcW w:w="13396" w:type="dxa"/>
            <w:gridSpan w:val="4"/>
            <w:shd w:val="clear" w:color="000000" w:fill="E7E6E6"/>
            <w:vAlign w:val="center"/>
            <w:hideMark/>
          </w:tcPr>
          <w:p w14:paraId="5B6EE4C9"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In-hospital mortality (95% CI)</w:t>
            </w:r>
          </w:p>
        </w:tc>
      </w:tr>
      <w:tr w:rsidR="0029257A" w:rsidRPr="00DA52B9" w14:paraId="3439B3A4" w14:textId="77777777" w:rsidTr="00DA52B9">
        <w:trPr>
          <w:trHeight w:val="205"/>
        </w:trPr>
        <w:tc>
          <w:tcPr>
            <w:tcW w:w="1537" w:type="dxa"/>
            <w:shd w:val="clear" w:color="auto" w:fill="auto"/>
            <w:vAlign w:val="center"/>
            <w:hideMark/>
          </w:tcPr>
          <w:p w14:paraId="60531AD3"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lastRenderedPageBreak/>
              <w:t>Unadjusted</w:t>
            </w:r>
          </w:p>
        </w:tc>
        <w:tc>
          <w:tcPr>
            <w:tcW w:w="3948" w:type="dxa"/>
            <w:shd w:val="clear" w:color="auto" w:fill="auto"/>
            <w:vAlign w:val="center"/>
            <w:hideMark/>
          </w:tcPr>
          <w:p w14:paraId="6F38F787"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2.19 (1.7, 2.83)</w:t>
            </w:r>
          </w:p>
        </w:tc>
        <w:tc>
          <w:tcPr>
            <w:tcW w:w="3948" w:type="dxa"/>
            <w:shd w:val="clear" w:color="auto" w:fill="auto"/>
            <w:vAlign w:val="center"/>
            <w:hideMark/>
          </w:tcPr>
          <w:p w14:paraId="777CDEF1"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0.88 (0.73, 1.06)</w:t>
            </w:r>
          </w:p>
        </w:tc>
        <w:tc>
          <w:tcPr>
            <w:tcW w:w="3963" w:type="dxa"/>
            <w:shd w:val="clear" w:color="auto" w:fill="auto"/>
            <w:vAlign w:val="center"/>
            <w:hideMark/>
          </w:tcPr>
          <w:p w14:paraId="0C81A8C8"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2.52 (2.09, 3.04) </w:t>
            </w:r>
            <w:r w:rsidRPr="00DA52B9">
              <w:rPr>
                <w:rFonts w:ascii="Times New Roman" w:eastAsia="Times New Roman" w:hAnsi="Times New Roman" w:cs="Times New Roman"/>
                <w:color w:val="000000"/>
                <w:vertAlign w:val="superscript"/>
                <w:lang w:eastAsia="en-US"/>
              </w:rPr>
              <w:t>***</w:t>
            </w:r>
          </w:p>
        </w:tc>
      </w:tr>
      <w:tr w:rsidR="0029257A" w:rsidRPr="00DA52B9" w14:paraId="3E575581" w14:textId="77777777" w:rsidTr="00DA52B9">
        <w:trPr>
          <w:trHeight w:val="205"/>
        </w:trPr>
        <w:tc>
          <w:tcPr>
            <w:tcW w:w="1537" w:type="dxa"/>
            <w:shd w:val="clear" w:color="auto" w:fill="auto"/>
            <w:vAlign w:val="center"/>
            <w:hideMark/>
          </w:tcPr>
          <w:p w14:paraId="24AD7744"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2DC539A1"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0.64 (0.48, 0.85)</w:t>
            </w:r>
          </w:p>
        </w:tc>
        <w:tc>
          <w:tcPr>
            <w:tcW w:w="3948" w:type="dxa"/>
            <w:shd w:val="clear" w:color="auto" w:fill="auto"/>
            <w:vAlign w:val="center"/>
            <w:hideMark/>
          </w:tcPr>
          <w:p w14:paraId="0240ABBC"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0.42 (0.35, 0.51)</w:t>
            </w:r>
          </w:p>
        </w:tc>
        <w:tc>
          <w:tcPr>
            <w:tcW w:w="3963" w:type="dxa"/>
            <w:shd w:val="clear" w:color="auto" w:fill="auto"/>
            <w:vAlign w:val="center"/>
            <w:hideMark/>
          </w:tcPr>
          <w:p w14:paraId="06090166"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 1.53 (1.24, 1.9) </w:t>
            </w:r>
            <w:r w:rsidRPr="00DA52B9">
              <w:rPr>
                <w:rFonts w:ascii="Times New Roman" w:eastAsia="Times New Roman" w:hAnsi="Times New Roman" w:cs="Times New Roman"/>
                <w:color w:val="000000"/>
                <w:vertAlign w:val="superscript"/>
                <w:lang w:eastAsia="en-US"/>
              </w:rPr>
              <w:t>***</w:t>
            </w:r>
          </w:p>
        </w:tc>
      </w:tr>
      <w:tr w:rsidR="0029257A" w:rsidRPr="00DA52B9" w14:paraId="173D416F" w14:textId="77777777" w:rsidTr="00DA52B9">
        <w:trPr>
          <w:trHeight w:val="173"/>
        </w:trPr>
        <w:tc>
          <w:tcPr>
            <w:tcW w:w="13396" w:type="dxa"/>
            <w:gridSpan w:val="4"/>
            <w:shd w:val="clear" w:color="000000" w:fill="E7E6E6"/>
            <w:vAlign w:val="center"/>
            <w:hideMark/>
          </w:tcPr>
          <w:p w14:paraId="3777F8E3"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HOB rate (95% CI)</w:t>
            </w:r>
          </w:p>
        </w:tc>
      </w:tr>
      <w:tr w:rsidR="0029257A" w:rsidRPr="00DA52B9" w14:paraId="4A6905CD" w14:textId="77777777" w:rsidTr="00DA52B9">
        <w:trPr>
          <w:trHeight w:val="205"/>
        </w:trPr>
        <w:tc>
          <w:tcPr>
            <w:tcW w:w="1537" w:type="dxa"/>
            <w:shd w:val="clear" w:color="auto" w:fill="auto"/>
            <w:vAlign w:val="center"/>
            <w:hideMark/>
          </w:tcPr>
          <w:p w14:paraId="2403F952"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948" w:type="dxa"/>
            <w:shd w:val="clear" w:color="auto" w:fill="auto"/>
            <w:vAlign w:val="center"/>
            <w:hideMark/>
          </w:tcPr>
          <w:p w14:paraId="478088E5"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2.13 (1.65, 2.75)</w:t>
            </w:r>
          </w:p>
        </w:tc>
        <w:tc>
          <w:tcPr>
            <w:tcW w:w="3948" w:type="dxa"/>
            <w:shd w:val="clear" w:color="auto" w:fill="auto"/>
            <w:vAlign w:val="center"/>
            <w:hideMark/>
          </w:tcPr>
          <w:p w14:paraId="29108552"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0.34 (0.28, 0.42)</w:t>
            </w:r>
          </w:p>
        </w:tc>
        <w:tc>
          <w:tcPr>
            <w:tcW w:w="3963" w:type="dxa"/>
            <w:shd w:val="clear" w:color="auto" w:fill="auto"/>
            <w:vAlign w:val="center"/>
            <w:hideMark/>
          </w:tcPr>
          <w:p w14:paraId="79D7633E"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6.33 (5.23, 7.67) </w:t>
            </w:r>
            <w:r w:rsidRPr="00DA52B9">
              <w:rPr>
                <w:rFonts w:ascii="Times New Roman" w:eastAsia="Times New Roman" w:hAnsi="Times New Roman" w:cs="Times New Roman"/>
                <w:color w:val="000000"/>
                <w:vertAlign w:val="superscript"/>
                <w:lang w:eastAsia="en-US"/>
              </w:rPr>
              <w:t>***</w:t>
            </w:r>
          </w:p>
        </w:tc>
      </w:tr>
      <w:tr w:rsidR="0029257A" w:rsidRPr="00DA52B9" w14:paraId="45E814C3" w14:textId="77777777" w:rsidTr="00DA52B9">
        <w:trPr>
          <w:trHeight w:val="205"/>
        </w:trPr>
        <w:tc>
          <w:tcPr>
            <w:tcW w:w="1537" w:type="dxa"/>
            <w:shd w:val="clear" w:color="auto" w:fill="auto"/>
            <w:vAlign w:val="center"/>
            <w:hideMark/>
          </w:tcPr>
          <w:p w14:paraId="3A105B72"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2090F351"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1.41 (1.06, 1.89)</w:t>
            </w:r>
          </w:p>
        </w:tc>
        <w:tc>
          <w:tcPr>
            <w:tcW w:w="3948" w:type="dxa"/>
            <w:shd w:val="clear" w:color="auto" w:fill="auto"/>
            <w:vAlign w:val="center"/>
            <w:hideMark/>
          </w:tcPr>
          <w:p w14:paraId="73D3282A"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0.24 (0.2, 0.3)</w:t>
            </w:r>
          </w:p>
        </w:tc>
        <w:tc>
          <w:tcPr>
            <w:tcW w:w="3963" w:type="dxa"/>
            <w:shd w:val="clear" w:color="auto" w:fill="auto"/>
            <w:vAlign w:val="center"/>
            <w:hideMark/>
          </w:tcPr>
          <w:p w14:paraId="06B8C6E0"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5.88 (4.77, 7.24) </w:t>
            </w:r>
            <w:r w:rsidRPr="00DA52B9">
              <w:rPr>
                <w:rFonts w:ascii="Times New Roman" w:eastAsia="Times New Roman" w:hAnsi="Times New Roman" w:cs="Times New Roman"/>
                <w:color w:val="000000"/>
                <w:vertAlign w:val="superscript"/>
                <w:lang w:eastAsia="en-US"/>
              </w:rPr>
              <w:t>***</w:t>
            </w:r>
          </w:p>
        </w:tc>
      </w:tr>
      <w:tr w:rsidR="0029257A" w:rsidRPr="00DA52B9" w14:paraId="62082443" w14:textId="77777777" w:rsidTr="00DA52B9">
        <w:trPr>
          <w:trHeight w:val="173"/>
        </w:trPr>
        <w:tc>
          <w:tcPr>
            <w:tcW w:w="13396" w:type="dxa"/>
            <w:gridSpan w:val="4"/>
            <w:shd w:val="clear" w:color="000000" w:fill="E7E6E6"/>
            <w:vAlign w:val="center"/>
            <w:hideMark/>
          </w:tcPr>
          <w:p w14:paraId="737154E1"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Estimated COB rate (95% CI)</w:t>
            </w:r>
          </w:p>
        </w:tc>
      </w:tr>
      <w:tr w:rsidR="0029257A" w:rsidRPr="00DA52B9" w14:paraId="0EB35D39" w14:textId="77777777" w:rsidTr="00DA52B9">
        <w:trPr>
          <w:trHeight w:val="173"/>
        </w:trPr>
        <w:tc>
          <w:tcPr>
            <w:tcW w:w="1537" w:type="dxa"/>
            <w:shd w:val="clear" w:color="auto" w:fill="auto"/>
            <w:vAlign w:val="center"/>
            <w:hideMark/>
          </w:tcPr>
          <w:p w14:paraId="6D6417DF"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948" w:type="dxa"/>
            <w:shd w:val="clear" w:color="auto" w:fill="auto"/>
            <w:vAlign w:val="center"/>
            <w:hideMark/>
          </w:tcPr>
          <w:p w14:paraId="33F4B7AE"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0.99 (0.7, 1.38)</w:t>
            </w:r>
          </w:p>
        </w:tc>
        <w:tc>
          <w:tcPr>
            <w:tcW w:w="3948" w:type="dxa"/>
            <w:shd w:val="clear" w:color="auto" w:fill="auto"/>
            <w:vAlign w:val="center"/>
            <w:hideMark/>
          </w:tcPr>
          <w:p w14:paraId="4E3756D1"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0.33 (0.28, 0.38)</w:t>
            </w:r>
          </w:p>
        </w:tc>
        <w:tc>
          <w:tcPr>
            <w:tcW w:w="3963" w:type="dxa"/>
            <w:shd w:val="clear" w:color="auto" w:fill="auto"/>
            <w:vAlign w:val="center"/>
            <w:hideMark/>
          </w:tcPr>
          <w:p w14:paraId="3C0A6A24"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3.01 (2.2, 4.12) ***</w:t>
            </w:r>
          </w:p>
        </w:tc>
      </w:tr>
      <w:tr w:rsidR="0029257A" w:rsidRPr="00DA52B9" w14:paraId="73DC1561" w14:textId="77777777" w:rsidTr="00DA52B9">
        <w:trPr>
          <w:trHeight w:val="173"/>
        </w:trPr>
        <w:tc>
          <w:tcPr>
            <w:tcW w:w="1537" w:type="dxa"/>
            <w:shd w:val="clear" w:color="auto" w:fill="auto"/>
            <w:vAlign w:val="center"/>
            <w:hideMark/>
          </w:tcPr>
          <w:p w14:paraId="120BFD98" w14:textId="77777777" w:rsidR="0029257A" w:rsidRPr="00DA52B9" w:rsidRDefault="0029257A"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948" w:type="dxa"/>
            <w:shd w:val="clear" w:color="auto" w:fill="auto"/>
            <w:vAlign w:val="center"/>
            <w:hideMark/>
          </w:tcPr>
          <w:p w14:paraId="710C784C"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0.42 (0.29, 0.63)</w:t>
            </w:r>
          </w:p>
        </w:tc>
        <w:tc>
          <w:tcPr>
            <w:tcW w:w="3948" w:type="dxa"/>
            <w:shd w:val="clear" w:color="auto" w:fill="auto"/>
            <w:vAlign w:val="center"/>
            <w:hideMark/>
          </w:tcPr>
          <w:p w14:paraId="066FF1C6"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0.21 (0.17, 0.27)</w:t>
            </w:r>
          </w:p>
        </w:tc>
        <w:tc>
          <w:tcPr>
            <w:tcW w:w="3963" w:type="dxa"/>
            <w:shd w:val="clear" w:color="auto" w:fill="auto"/>
            <w:vAlign w:val="center"/>
            <w:hideMark/>
          </w:tcPr>
          <w:p w14:paraId="0F9AFDA4" w14:textId="77777777" w:rsidR="0029257A" w:rsidRPr="00DA52B9" w:rsidRDefault="0029257A"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1.98 (1.43, 2.74) ***</w:t>
            </w:r>
          </w:p>
        </w:tc>
      </w:tr>
    </w:tbl>
    <w:p w14:paraId="70393CEE" w14:textId="77777777" w:rsidR="00693850" w:rsidRPr="00DA52B9" w:rsidRDefault="00F52417" w:rsidP="00636873">
      <w:pPr>
        <w:spacing w:after="0" w:line="480" w:lineRule="auto"/>
        <w:rPr>
          <w:rFonts w:ascii="Times New Roman" w:hAnsi="Times New Roman" w:cs="Times New Roman"/>
        </w:rPr>
      </w:pPr>
      <w:r w:rsidRPr="00DA52B9">
        <w:rPr>
          <w:rFonts w:ascii="Times New Roman" w:hAnsi="Times New Roman" w:cs="Times New Roman"/>
        </w:rPr>
        <w:t xml:space="preserve">Note: * &lt;.05, ***&lt;.0001. </w:t>
      </w:r>
    </w:p>
    <w:p w14:paraId="5EE35CA9" w14:textId="4802BD00" w:rsidR="00693850" w:rsidRPr="00DA52B9" w:rsidRDefault="00693850" w:rsidP="00636873">
      <w:pPr>
        <w:spacing w:after="0" w:line="480" w:lineRule="auto"/>
        <w:rPr>
          <w:rFonts w:ascii="Times New Roman" w:hAnsi="Times New Roman" w:cs="Times New Roman"/>
        </w:rPr>
      </w:pPr>
      <w:r w:rsidRPr="00DA52B9">
        <w:rPr>
          <w:rFonts w:ascii="Times New Roman" w:hAnsi="Times New Roman" w:cs="Times New Roman"/>
        </w:rPr>
        <w:t>Abbreviations: ICD, international classification of disease; NHSN, National Healthcare Safety Network; SSI, surgical site infection; RR, relative risk; CI, confidence interval</w:t>
      </w:r>
      <w:r w:rsidR="00B3555C" w:rsidRPr="00DA52B9">
        <w:rPr>
          <w:rFonts w:ascii="Times New Roman" w:hAnsi="Times New Roman" w:cs="Times New Roman"/>
        </w:rPr>
        <w:t>; HOB, hospital-onset bacteremia; COB, community-onset bacteremia</w:t>
      </w:r>
    </w:p>
    <w:p w14:paraId="7DE32695" w14:textId="04208FCC" w:rsidR="00F52417" w:rsidRPr="00DA52B9" w:rsidRDefault="00F52417" w:rsidP="00636873">
      <w:pPr>
        <w:spacing w:after="0" w:line="480" w:lineRule="auto"/>
        <w:rPr>
          <w:rFonts w:ascii="Times New Roman" w:hAnsi="Times New Roman" w:cs="Times New Roman"/>
        </w:rPr>
      </w:pPr>
      <w:r w:rsidRPr="00DA52B9">
        <w:rPr>
          <w:rFonts w:ascii="Times New Roman" w:hAnsi="Times New Roman" w:cs="Times New Roman"/>
        </w:rPr>
        <w:t xml:space="preserve">Models were adjusted for age, sex, </w:t>
      </w:r>
      <w:proofErr w:type="spellStart"/>
      <w:r w:rsidRPr="00DA52B9">
        <w:rPr>
          <w:rFonts w:ascii="Times New Roman" w:hAnsi="Times New Roman" w:cs="Times New Roman"/>
        </w:rPr>
        <w:t>ALaRMS</w:t>
      </w:r>
      <w:proofErr w:type="spellEnd"/>
      <w:r w:rsidRPr="00DA52B9">
        <w:rPr>
          <w:rFonts w:ascii="Times New Roman" w:hAnsi="Times New Roman" w:cs="Times New Roman"/>
        </w:rPr>
        <w:t xml:space="preserve"> score, insurance payer type, and hospital-level variables (staffed bed size, teaching status, and urbanicity). </w:t>
      </w:r>
    </w:p>
    <w:p w14:paraId="4E52F963" w14:textId="77777777" w:rsidR="00DB3709" w:rsidRPr="00DA52B9" w:rsidRDefault="00DB3709" w:rsidP="00636873">
      <w:pPr>
        <w:spacing w:line="480" w:lineRule="auto"/>
        <w:rPr>
          <w:rFonts w:ascii="Times New Roman" w:hAnsi="Times New Roman" w:cs="Times New Roman"/>
        </w:rPr>
      </w:pPr>
      <w:r w:rsidRPr="00DA52B9">
        <w:rPr>
          <w:rFonts w:ascii="Times New Roman" w:hAnsi="Times New Roman" w:cs="Times New Roman"/>
        </w:rPr>
        <w:br w:type="page"/>
      </w:r>
    </w:p>
    <w:p w14:paraId="6F20B9BD" w14:textId="4F2DDBCC" w:rsidR="00F52417" w:rsidRPr="00DA52B9" w:rsidRDefault="00F52417" w:rsidP="00636873">
      <w:pPr>
        <w:spacing w:after="0" w:line="480" w:lineRule="auto"/>
        <w:rPr>
          <w:rFonts w:ascii="Times New Roman" w:hAnsi="Times New Roman" w:cs="Times New Roman"/>
          <w:b/>
          <w:bCs/>
        </w:rPr>
      </w:pPr>
      <w:r w:rsidRPr="00DA52B9">
        <w:rPr>
          <w:rFonts w:ascii="Times New Roman" w:hAnsi="Times New Roman" w:cs="Times New Roman"/>
          <w:b/>
          <w:bCs/>
        </w:rPr>
        <w:lastRenderedPageBreak/>
        <w:t xml:space="preserve">Supplemental Table </w:t>
      </w:r>
      <w:r w:rsidR="007A52A0" w:rsidRPr="00DA52B9">
        <w:rPr>
          <w:rFonts w:ascii="Times New Roman" w:hAnsi="Times New Roman" w:cs="Times New Roman"/>
          <w:b/>
          <w:bCs/>
        </w:rPr>
        <w:t>6</w:t>
      </w:r>
      <w:r w:rsidRPr="00DA52B9">
        <w:rPr>
          <w:rFonts w:ascii="Times New Roman" w:hAnsi="Times New Roman" w:cs="Times New Roman"/>
          <w:b/>
          <w:bCs/>
        </w:rPr>
        <w:t>. Attributable financial and clinical burden of HOB in admissions with ICD-coded SSI and procedures under NHSN surveillance for SSI, BD Insights Research Database, October 2015 through June 2019.</w:t>
      </w:r>
    </w:p>
    <w:tbl>
      <w:tblPr>
        <w:tblW w:w="12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3755"/>
        <w:gridCol w:w="3598"/>
        <w:gridCol w:w="3930"/>
      </w:tblGrid>
      <w:tr w:rsidR="00BA3063" w:rsidRPr="00DA52B9" w14:paraId="66B3C9A5" w14:textId="77777777" w:rsidTr="00DA52B9">
        <w:trPr>
          <w:trHeight w:val="501"/>
        </w:trPr>
        <w:tc>
          <w:tcPr>
            <w:tcW w:w="1462" w:type="dxa"/>
            <w:vMerge w:val="restart"/>
            <w:shd w:val="clear" w:color="auto" w:fill="auto"/>
            <w:vAlign w:val="center"/>
            <w:hideMark/>
          </w:tcPr>
          <w:p w14:paraId="35C9A47C"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 </w:t>
            </w:r>
          </w:p>
        </w:tc>
        <w:tc>
          <w:tcPr>
            <w:tcW w:w="3755" w:type="dxa"/>
            <w:vMerge w:val="restart"/>
            <w:shd w:val="clear" w:color="auto" w:fill="auto"/>
            <w:vAlign w:val="center"/>
            <w:hideMark/>
          </w:tcPr>
          <w:p w14:paraId="13B7E824" w14:textId="77777777" w:rsidR="00BA3063" w:rsidRPr="00DA52B9" w:rsidRDefault="00BA3063"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themeColor="text1"/>
                <w:lang w:eastAsia="en-US"/>
              </w:rPr>
              <w:t>ICD-coded SSI with HOB</w:t>
            </w:r>
            <w:r w:rsidRPr="00DA52B9">
              <w:rPr>
                <w:rFonts w:ascii="Times New Roman" w:eastAsia="Times New Roman" w:hAnsi="Times New Roman" w:cs="Times New Roman"/>
                <w:b/>
                <w:bCs/>
                <w:color w:val="000000" w:themeColor="text1"/>
                <w:lang w:eastAsia="en-US"/>
              </w:rPr>
              <w:br/>
              <w:t>N=121</w:t>
            </w:r>
          </w:p>
        </w:tc>
        <w:tc>
          <w:tcPr>
            <w:tcW w:w="3598" w:type="dxa"/>
            <w:vMerge w:val="restart"/>
            <w:shd w:val="clear" w:color="auto" w:fill="auto"/>
            <w:vAlign w:val="center"/>
            <w:hideMark/>
          </w:tcPr>
          <w:p w14:paraId="11515E4F" w14:textId="77777777" w:rsidR="00BA3063" w:rsidRPr="00DA52B9" w:rsidRDefault="00BA3063"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themeColor="text1"/>
                <w:lang w:eastAsia="en-US"/>
              </w:rPr>
              <w:t>ICD-coded SSI without HOB</w:t>
            </w:r>
            <w:r w:rsidRPr="00DA52B9">
              <w:rPr>
                <w:rFonts w:ascii="Times New Roman" w:eastAsia="Times New Roman" w:hAnsi="Times New Roman" w:cs="Times New Roman"/>
                <w:b/>
                <w:bCs/>
                <w:color w:val="000000" w:themeColor="text1"/>
                <w:lang w:eastAsia="en-US"/>
              </w:rPr>
              <w:br/>
              <w:t>N=3,191</w:t>
            </w:r>
          </w:p>
        </w:tc>
        <w:tc>
          <w:tcPr>
            <w:tcW w:w="3930" w:type="dxa"/>
            <w:vMerge w:val="restart"/>
            <w:shd w:val="clear" w:color="auto" w:fill="auto"/>
            <w:vAlign w:val="center"/>
            <w:hideMark/>
          </w:tcPr>
          <w:p w14:paraId="799BBD22" w14:textId="77777777" w:rsidR="00BA3063" w:rsidRPr="00DA52B9" w:rsidRDefault="00BA3063" w:rsidP="00636873">
            <w:pPr>
              <w:spacing w:after="0" w:line="480" w:lineRule="auto"/>
              <w:jc w:val="center"/>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Estimated Difference/RR (95% CI)</w:t>
            </w:r>
          </w:p>
        </w:tc>
      </w:tr>
      <w:tr w:rsidR="00BA3063" w:rsidRPr="00DA52B9" w14:paraId="2C91A2B4" w14:textId="77777777" w:rsidTr="00DA52B9">
        <w:trPr>
          <w:trHeight w:val="501"/>
        </w:trPr>
        <w:tc>
          <w:tcPr>
            <w:tcW w:w="1462" w:type="dxa"/>
            <w:vMerge/>
            <w:vAlign w:val="center"/>
            <w:hideMark/>
          </w:tcPr>
          <w:p w14:paraId="1A4BA85E"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p>
        </w:tc>
        <w:tc>
          <w:tcPr>
            <w:tcW w:w="3755" w:type="dxa"/>
            <w:vMerge/>
            <w:vAlign w:val="center"/>
            <w:hideMark/>
          </w:tcPr>
          <w:p w14:paraId="6386E76D" w14:textId="77777777" w:rsidR="00BA3063" w:rsidRPr="00DA52B9" w:rsidRDefault="00BA3063" w:rsidP="00636873">
            <w:pPr>
              <w:spacing w:after="0" w:line="480" w:lineRule="auto"/>
              <w:rPr>
                <w:rFonts w:ascii="Times New Roman" w:eastAsia="Times New Roman" w:hAnsi="Times New Roman" w:cs="Times New Roman"/>
                <w:b/>
                <w:bCs/>
                <w:color w:val="000000"/>
                <w:lang w:eastAsia="en-US"/>
              </w:rPr>
            </w:pPr>
          </w:p>
        </w:tc>
        <w:tc>
          <w:tcPr>
            <w:tcW w:w="3598" w:type="dxa"/>
            <w:vMerge/>
            <w:vAlign w:val="center"/>
            <w:hideMark/>
          </w:tcPr>
          <w:p w14:paraId="4969332A" w14:textId="77777777" w:rsidR="00BA3063" w:rsidRPr="00DA52B9" w:rsidRDefault="00BA3063" w:rsidP="00636873">
            <w:pPr>
              <w:spacing w:after="0" w:line="480" w:lineRule="auto"/>
              <w:rPr>
                <w:rFonts w:ascii="Times New Roman" w:eastAsia="Times New Roman" w:hAnsi="Times New Roman" w:cs="Times New Roman"/>
                <w:b/>
                <w:bCs/>
                <w:color w:val="000000"/>
                <w:lang w:eastAsia="en-US"/>
              </w:rPr>
            </w:pPr>
          </w:p>
        </w:tc>
        <w:tc>
          <w:tcPr>
            <w:tcW w:w="3930" w:type="dxa"/>
            <w:vMerge/>
            <w:vAlign w:val="center"/>
            <w:hideMark/>
          </w:tcPr>
          <w:p w14:paraId="63DCA1AE" w14:textId="77777777" w:rsidR="00BA3063" w:rsidRPr="00DA52B9" w:rsidRDefault="00BA3063" w:rsidP="00636873">
            <w:pPr>
              <w:spacing w:after="0" w:line="480" w:lineRule="auto"/>
              <w:rPr>
                <w:rFonts w:ascii="Times New Roman" w:eastAsia="Times New Roman" w:hAnsi="Times New Roman" w:cs="Times New Roman"/>
                <w:b/>
                <w:bCs/>
                <w:color w:val="000000"/>
                <w:lang w:eastAsia="en-US"/>
              </w:rPr>
            </w:pPr>
          </w:p>
        </w:tc>
      </w:tr>
      <w:tr w:rsidR="00BA3063" w:rsidRPr="00DA52B9" w14:paraId="61815027" w14:textId="77777777" w:rsidTr="00DA52B9">
        <w:trPr>
          <w:trHeight w:val="261"/>
        </w:trPr>
        <w:tc>
          <w:tcPr>
            <w:tcW w:w="12745" w:type="dxa"/>
            <w:gridSpan w:val="4"/>
            <w:shd w:val="clear" w:color="000000" w:fill="D0CECE"/>
            <w:vAlign w:val="center"/>
            <w:hideMark/>
          </w:tcPr>
          <w:p w14:paraId="6A1B93E7" w14:textId="77777777" w:rsidR="00BA3063" w:rsidRPr="00DA52B9" w:rsidRDefault="00BA3063" w:rsidP="00636873">
            <w:pPr>
              <w:spacing w:after="0" w:line="480" w:lineRule="auto"/>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Financial outcomes</w:t>
            </w:r>
          </w:p>
        </w:tc>
      </w:tr>
      <w:tr w:rsidR="00BA3063" w:rsidRPr="00DA52B9" w14:paraId="0E485241" w14:textId="77777777" w:rsidTr="00DA52B9">
        <w:trPr>
          <w:trHeight w:val="261"/>
        </w:trPr>
        <w:tc>
          <w:tcPr>
            <w:tcW w:w="12745" w:type="dxa"/>
            <w:gridSpan w:val="4"/>
            <w:shd w:val="clear" w:color="000000" w:fill="E7E6E6"/>
            <w:vAlign w:val="center"/>
            <w:hideMark/>
          </w:tcPr>
          <w:p w14:paraId="38ECD138"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total cost (95% CI)</w:t>
            </w:r>
          </w:p>
        </w:tc>
      </w:tr>
      <w:tr w:rsidR="00BA3063" w:rsidRPr="00DA52B9" w14:paraId="00FEB0A5" w14:textId="77777777" w:rsidTr="00DA52B9">
        <w:trPr>
          <w:trHeight w:val="320"/>
        </w:trPr>
        <w:tc>
          <w:tcPr>
            <w:tcW w:w="1462" w:type="dxa"/>
            <w:shd w:val="clear" w:color="auto" w:fill="auto"/>
            <w:vAlign w:val="center"/>
            <w:hideMark/>
          </w:tcPr>
          <w:p w14:paraId="07882ECE"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755" w:type="dxa"/>
            <w:shd w:val="clear" w:color="auto" w:fill="auto"/>
            <w:vAlign w:val="center"/>
            <w:hideMark/>
          </w:tcPr>
          <w:p w14:paraId="0E78483D"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$54,322 ($44,367, $66,511)</w:t>
            </w:r>
          </w:p>
        </w:tc>
        <w:tc>
          <w:tcPr>
            <w:tcW w:w="3598" w:type="dxa"/>
            <w:shd w:val="clear" w:color="auto" w:fill="auto"/>
            <w:vAlign w:val="center"/>
            <w:hideMark/>
          </w:tcPr>
          <w:p w14:paraId="377816DD"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$24,455 ($21,121, $28,315)</w:t>
            </w:r>
          </w:p>
        </w:tc>
        <w:tc>
          <w:tcPr>
            <w:tcW w:w="3930" w:type="dxa"/>
            <w:shd w:val="clear" w:color="auto" w:fill="auto"/>
            <w:vAlign w:val="center"/>
            <w:hideMark/>
          </w:tcPr>
          <w:p w14:paraId="1511F9CC"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$29,868 ($28,866, $30,869) </w:t>
            </w:r>
            <w:r w:rsidRPr="00DA52B9">
              <w:rPr>
                <w:rFonts w:ascii="Times New Roman" w:eastAsia="Times New Roman" w:hAnsi="Times New Roman" w:cs="Times New Roman"/>
                <w:color w:val="000000"/>
                <w:vertAlign w:val="superscript"/>
                <w:lang w:eastAsia="en-US"/>
              </w:rPr>
              <w:t>***</w:t>
            </w:r>
          </w:p>
        </w:tc>
      </w:tr>
      <w:tr w:rsidR="00BA3063" w:rsidRPr="00DA52B9" w14:paraId="319BFE4B" w14:textId="77777777" w:rsidTr="00DA52B9">
        <w:trPr>
          <w:trHeight w:val="269"/>
        </w:trPr>
        <w:tc>
          <w:tcPr>
            <w:tcW w:w="12745" w:type="dxa"/>
            <w:gridSpan w:val="4"/>
            <w:shd w:val="clear" w:color="000000" w:fill="E7E6E6"/>
            <w:vAlign w:val="center"/>
            <w:hideMark/>
          </w:tcPr>
          <w:p w14:paraId="45CB644F"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LOS (95% CI)</w:t>
            </w:r>
          </w:p>
        </w:tc>
      </w:tr>
      <w:tr w:rsidR="00BA3063" w:rsidRPr="00DA52B9" w14:paraId="29C4F97E" w14:textId="77777777" w:rsidTr="00DA52B9">
        <w:trPr>
          <w:trHeight w:val="320"/>
        </w:trPr>
        <w:tc>
          <w:tcPr>
            <w:tcW w:w="1462" w:type="dxa"/>
            <w:shd w:val="clear" w:color="auto" w:fill="auto"/>
            <w:vAlign w:val="center"/>
            <w:hideMark/>
          </w:tcPr>
          <w:p w14:paraId="4877458F"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755" w:type="dxa"/>
            <w:shd w:val="clear" w:color="auto" w:fill="auto"/>
            <w:vAlign w:val="center"/>
            <w:hideMark/>
          </w:tcPr>
          <w:p w14:paraId="22B44F46"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27.9 (25.6, 30.5)</w:t>
            </w:r>
          </w:p>
        </w:tc>
        <w:tc>
          <w:tcPr>
            <w:tcW w:w="3598" w:type="dxa"/>
            <w:shd w:val="clear" w:color="auto" w:fill="auto"/>
            <w:vAlign w:val="center"/>
            <w:hideMark/>
          </w:tcPr>
          <w:p w14:paraId="7A51FF7A"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9.8 (9.1, 10.7)</w:t>
            </w:r>
          </w:p>
        </w:tc>
        <w:tc>
          <w:tcPr>
            <w:tcW w:w="3930" w:type="dxa"/>
            <w:shd w:val="clear" w:color="auto" w:fill="auto"/>
            <w:vAlign w:val="center"/>
            <w:hideMark/>
          </w:tcPr>
          <w:p w14:paraId="36C2DD5D"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18.1 (17.9, 18.3) </w:t>
            </w:r>
            <w:r w:rsidRPr="00DA52B9">
              <w:rPr>
                <w:rFonts w:ascii="Times New Roman" w:eastAsia="Times New Roman" w:hAnsi="Times New Roman" w:cs="Times New Roman"/>
                <w:color w:val="000000"/>
                <w:vertAlign w:val="superscript"/>
                <w:lang w:eastAsia="en-US"/>
              </w:rPr>
              <w:t>***</w:t>
            </w:r>
          </w:p>
        </w:tc>
      </w:tr>
      <w:tr w:rsidR="00BA3063" w:rsidRPr="00DA52B9" w14:paraId="1B462B92" w14:textId="77777777" w:rsidTr="00DA52B9">
        <w:trPr>
          <w:trHeight w:val="320"/>
        </w:trPr>
        <w:tc>
          <w:tcPr>
            <w:tcW w:w="1462" w:type="dxa"/>
            <w:shd w:val="clear" w:color="auto" w:fill="auto"/>
            <w:vAlign w:val="center"/>
            <w:hideMark/>
          </w:tcPr>
          <w:p w14:paraId="04A422D4"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755" w:type="dxa"/>
            <w:shd w:val="clear" w:color="auto" w:fill="auto"/>
            <w:vAlign w:val="center"/>
            <w:hideMark/>
          </w:tcPr>
          <w:p w14:paraId="27D8E081"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18.6 (17, 20.3)</w:t>
            </w:r>
          </w:p>
        </w:tc>
        <w:tc>
          <w:tcPr>
            <w:tcW w:w="3598" w:type="dxa"/>
            <w:shd w:val="clear" w:color="auto" w:fill="auto"/>
            <w:vAlign w:val="center"/>
            <w:hideMark/>
          </w:tcPr>
          <w:p w14:paraId="46298543"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10.1 (9.3, 11.0)</w:t>
            </w:r>
          </w:p>
        </w:tc>
        <w:tc>
          <w:tcPr>
            <w:tcW w:w="3930" w:type="dxa"/>
            <w:shd w:val="clear" w:color="auto" w:fill="auto"/>
            <w:vAlign w:val="center"/>
            <w:hideMark/>
          </w:tcPr>
          <w:p w14:paraId="41EA315C"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8.5 (8.3, 8.6) </w:t>
            </w:r>
            <w:r w:rsidRPr="00DA52B9">
              <w:rPr>
                <w:rFonts w:ascii="Times New Roman" w:eastAsia="Times New Roman" w:hAnsi="Times New Roman" w:cs="Times New Roman"/>
                <w:color w:val="000000"/>
                <w:vertAlign w:val="superscript"/>
                <w:lang w:eastAsia="en-US"/>
              </w:rPr>
              <w:t>***</w:t>
            </w:r>
          </w:p>
        </w:tc>
      </w:tr>
      <w:tr w:rsidR="00BA3063" w:rsidRPr="00DA52B9" w14:paraId="4921A45D" w14:textId="77777777" w:rsidTr="00DA52B9">
        <w:trPr>
          <w:trHeight w:val="261"/>
        </w:trPr>
        <w:tc>
          <w:tcPr>
            <w:tcW w:w="12745" w:type="dxa"/>
            <w:gridSpan w:val="4"/>
            <w:shd w:val="clear" w:color="000000" w:fill="D0CECE"/>
            <w:vAlign w:val="center"/>
            <w:hideMark/>
          </w:tcPr>
          <w:p w14:paraId="6E023B28" w14:textId="77777777" w:rsidR="00BA3063" w:rsidRPr="00DA52B9" w:rsidRDefault="00BA3063" w:rsidP="00636873">
            <w:pPr>
              <w:spacing w:after="0" w:line="480" w:lineRule="auto"/>
              <w:rPr>
                <w:rFonts w:ascii="Times New Roman" w:eastAsia="Times New Roman" w:hAnsi="Times New Roman" w:cs="Times New Roman"/>
                <w:b/>
                <w:bCs/>
                <w:color w:val="000000"/>
                <w:lang w:eastAsia="en-US"/>
              </w:rPr>
            </w:pPr>
            <w:r w:rsidRPr="00DA52B9">
              <w:rPr>
                <w:rFonts w:ascii="Times New Roman" w:eastAsia="Times New Roman" w:hAnsi="Times New Roman" w:cs="Times New Roman"/>
                <w:b/>
                <w:bCs/>
                <w:color w:val="000000"/>
                <w:lang w:eastAsia="en-US"/>
              </w:rPr>
              <w:t>Clinical outcomes</w:t>
            </w:r>
          </w:p>
        </w:tc>
      </w:tr>
      <w:tr w:rsidR="00BA3063" w:rsidRPr="00DA52B9" w14:paraId="33B13EAA" w14:textId="77777777" w:rsidTr="00DA52B9">
        <w:trPr>
          <w:trHeight w:val="269"/>
        </w:trPr>
        <w:tc>
          <w:tcPr>
            <w:tcW w:w="12745" w:type="dxa"/>
            <w:gridSpan w:val="4"/>
            <w:shd w:val="clear" w:color="000000" w:fill="E7E6E6"/>
            <w:vAlign w:val="center"/>
            <w:hideMark/>
          </w:tcPr>
          <w:p w14:paraId="2AAB51DD"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30-day Readmission rate (95% CI)</w:t>
            </w:r>
          </w:p>
        </w:tc>
      </w:tr>
      <w:tr w:rsidR="00BA3063" w:rsidRPr="00DA52B9" w14:paraId="5676B7CA" w14:textId="77777777" w:rsidTr="00DA52B9">
        <w:trPr>
          <w:trHeight w:val="269"/>
        </w:trPr>
        <w:tc>
          <w:tcPr>
            <w:tcW w:w="1462" w:type="dxa"/>
            <w:shd w:val="clear" w:color="auto" w:fill="auto"/>
            <w:vAlign w:val="center"/>
            <w:hideMark/>
          </w:tcPr>
          <w:p w14:paraId="31BDDFE4"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755" w:type="dxa"/>
            <w:shd w:val="clear" w:color="auto" w:fill="auto"/>
            <w:vAlign w:val="center"/>
            <w:hideMark/>
          </w:tcPr>
          <w:p w14:paraId="5C430964"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17.07 (11.31, 24.92)</w:t>
            </w:r>
          </w:p>
        </w:tc>
        <w:tc>
          <w:tcPr>
            <w:tcW w:w="3598" w:type="dxa"/>
            <w:shd w:val="clear" w:color="auto" w:fill="auto"/>
            <w:vAlign w:val="center"/>
            <w:hideMark/>
          </w:tcPr>
          <w:p w14:paraId="12CC19D2"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16.28 (14.78, 17.91)</w:t>
            </w:r>
          </w:p>
        </w:tc>
        <w:tc>
          <w:tcPr>
            <w:tcW w:w="3930" w:type="dxa"/>
            <w:shd w:val="clear" w:color="auto" w:fill="auto"/>
            <w:vAlign w:val="center"/>
            <w:hideMark/>
          </w:tcPr>
          <w:p w14:paraId="3B07549F" w14:textId="7A1A080B"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1.06 (0.65, 1.71)</w:t>
            </w:r>
          </w:p>
        </w:tc>
      </w:tr>
      <w:tr w:rsidR="00BA3063" w:rsidRPr="00DA52B9" w14:paraId="12D42A02" w14:textId="77777777" w:rsidTr="00DA52B9">
        <w:trPr>
          <w:trHeight w:val="269"/>
        </w:trPr>
        <w:tc>
          <w:tcPr>
            <w:tcW w:w="1462" w:type="dxa"/>
            <w:shd w:val="clear" w:color="auto" w:fill="auto"/>
            <w:vAlign w:val="center"/>
            <w:hideMark/>
          </w:tcPr>
          <w:p w14:paraId="2375A52A"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Adjusted</w:t>
            </w:r>
          </w:p>
        </w:tc>
        <w:tc>
          <w:tcPr>
            <w:tcW w:w="3755" w:type="dxa"/>
            <w:shd w:val="clear" w:color="auto" w:fill="auto"/>
            <w:vAlign w:val="center"/>
            <w:hideMark/>
          </w:tcPr>
          <w:p w14:paraId="734DFB7F"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13.64 (8.3, 21.6)</w:t>
            </w:r>
          </w:p>
        </w:tc>
        <w:tc>
          <w:tcPr>
            <w:tcW w:w="3598" w:type="dxa"/>
            <w:shd w:val="clear" w:color="auto" w:fill="auto"/>
            <w:vAlign w:val="center"/>
            <w:hideMark/>
          </w:tcPr>
          <w:p w14:paraId="11B61CAB"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14.65 (11.49, 18.51)</w:t>
            </w:r>
          </w:p>
        </w:tc>
        <w:tc>
          <w:tcPr>
            <w:tcW w:w="3930" w:type="dxa"/>
            <w:shd w:val="clear" w:color="auto" w:fill="auto"/>
            <w:vAlign w:val="center"/>
            <w:hideMark/>
          </w:tcPr>
          <w:p w14:paraId="12768465"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0.92 (0.56, 1.52)</w:t>
            </w:r>
          </w:p>
        </w:tc>
      </w:tr>
      <w:tr w:rsidR="00BA3063" w:rsidRPr="00DA52B9" w14:paraId="3CC1B7F2" w14:textId="77777777" w:rsidTr="00DA52B9">
        <w:trPr>
          <w:trHeight w:val="269"/>
        </w:trPr>
        <w:tc>
          <w:tcPr>
            <w:tcW w:w="8815" w:type="dxa"/>
            <w:gridSpan w:val="3"/>
            <w:shd w:val="clear" w:color="000000" w:fill="E7E6E6"/>
            <w:vAlign w:val="center"/>
            <w:hideMark/>
          </w:tcPr>
          <w:p w14:paraId="705C4E90"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lang w:eastAsia="en-US"/>
              </w:rPr>
              <w:t>Estimated In-hospital Mortality (95% CI)</w:t>
            </w:r>
          </w:p>
        </w:tc>
        <w:tc>
          <w:tcPr>
            <w:tcW w:w="3930" w:type="dxa"/>
            <w:shd w:val="clear" w:color="000000" w:fill="E7E6E6"/>
            <w:vAlign w:val="center"/>
            <w:hideMark/>
          </w:tcPr>
          <w:p w14:paraId="203EE13A"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 </w:t>
            </w:r>
          </w:p>
        </w:tc>
      </w:tr>
      <w:tr w:rsidR="00BA3063" w:rsidRPr="00DA52B9" w14:paraId="4D6FFF6F" w14:textId="77777777" w:rsidTr="00DA52B9">
        <w:trPr>
          <w:trHeight w:val="320"/>
        </w:trPr>
        <w:tc>
          <w:tcPr>
            <w:tcW w:w="1462" w:type="dxa"/>
            <w:shd w:val="clear" w:color="auto" w:fill="auto"/>
            <w:vAlign w:val="center"/>
            <w:hideMark/>
          </w:tcPr>
          <w:p w14:paraId="6EBA80EC"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Unadjusted</w:t>
            </w:r>
          </w:p>
        </w:tc>
        <w:tc>
          <w:tcPr>
            <w:tcW w:w="3755" w:type="dxa"/>
            <w:shd w:val="clear" w:color="auto" w:fill="auto"/>
            <w:vAlign w:val="center"/>
            <w:hideMark/>
          </w:tcPr>
          <w:p w14:paraId="03F0DEEA"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16.42 (9.99, 25.81)</w:t>
            </w:r>
          </w:p>
        </w:tc>
        <w:tc>
          <w:tcPr>
            <w:tcW w:w="3598" w:type="dxa"/>
            <w:shd w:val="clear" w:color="auto" w:fill="auto"/>
            <w:vAlign w:val="center"/>
            <w:hideMark/>
          </w:tcPr>
          <w:p w14:paraId="4AA4702E"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2.07 (1.4, 3.05)</w:t>
            </w:r>
          </w:p>
        </w:tc>
        <w:tc>
          <w:tcPr>
            <w:tcW w:w="3930" w:type="dxa"/>
            <w:shd w:val="clear" w:color="auto" w:fill="auto"/>
            <w:vAlign w:val="center"/>
            <w:hideMark/>
          </w:tcPr>
          <w:p w14:paraId="21705EE4"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t xml:space="preserve">9.29 (5.54, 15.58) </w:t>
            </w:r>
            <w:r w:rsidRPr="00DA52B9">
              <w:rPr>
                <w:rFonts w:ascii="Times New Roman" w:eastAsia="Times New Roman" w:hAnsi="Times New Roman" w:cs="Times New Roman"/>
                <w:color w:val="000000"/>
                <w:vertAlign w:val="superscript"/>
                <w:lang w:eastAsia="en-US"/>
              </w:rPr>
              <w:t>***</w:t>
            </w:r>
          </w:p>
        </w:tc>
      </w:tr>
      <w:tr w:rsidR="00BA3063" w:rsidRPr="00DA52B9" w14:paraId="18F083BC" w14:textId="77777777" w:rsidTr="00DA52B9">
        <w:trPr>
          <w:trHeight w:val="269"/>
        </w:trPr>
        <w:tc>
          <w:tcPr>
            <w:tcW w:w="1462" w:type="dxa"/>
            <w:shd w:val="clear" w:color="auto" w:fill="auto"/>
            <w:vAlign w:val="center"/>
            <w:hideMark/>
          </w:tcPr>
          <w:p w14:paraId="5CA711F9" w14:textId="77777777" w:rsidR="00BA3063" w:rsidRPr="00DA52B9" w:rsidRDefault="00BA3063" w:rsidP="00636873">
            <w:pPr>
              <w:spacing w:after="0" w:line="480" w:lineRule="auto"/>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themeColor="text1"/>
                <w:lang w:eastAsia="en-US"/>
              </w:rPr>
              <w:lastRenderedPageBreak/>
              <w:t>Adjusted</w:t>
            </w:r>
          </w:p>
        </w:tc>
        <w:tc>
          <w:tcPr>
            <w:tcW w:w="11283" w:type="dxa"/>
            <w:gridSpan w:val="3"/>
            <w:shd w:val="clear" w:color="auto" w:fill="auto"/>
            <w:vAlign w:val="center"/>
            <w:hideMark/>
          </w:tcPr>
          <w:p w14:paraId="106976B2" w14:textId="77777777" w:rsidR="00BA3063" w:rsidRPr="00DA52B9" w:rsidRDefault="00BA3063" w:rsidP="00636873">
            <w:pPr>
              <w:spacing w:after="0" w:line="480" w:lineRule="auto"/>
              <w:jc w:val="center"/>
              <w:rPr>
                <w:rFonts w:ascii="Times New Roman" w:eastAsia="Times New Roman" w:hAnsi="Times New Roman" w:cs="Times New Roman"/>
                <w:color w:val="000000"/>
                <w:lang w:eastAsia="en-US"/>
              </w:rPr>
            </w:pPr>
            <w:r w:rsidRPr="00DA52B9">
              <w:rPr>
                <w:rFonts w:ascii="Times New Roman" w:eastAsia="Times New Roman" w:hAnsi="Times New Roman" w:cs="Times New Roman"/>
                <w:color w:val="000000"/>
                <w:lang w:eastAsia="en-US"/>
              </w:rPr>
              <w:t>Too low to accurately calculate</w:t>
            </w:r>
          </w:p>
        </w:tc>
      </w:tr>
    </w:tbl>
    <w:p w14:paraId="2395CDD9" w14:textId="77777777" w:rsidR="008D34AE" w:rsidRPr="00DA52B9" w:rsidRDefault="00BA3063" w:rsidP="00636873">
      <w:pPr>
        <w:spacing w:after="0" w:line="480" w:lineRule="auto"/>
        <w:rPr>
          <w:rFonts w:ascii="Times New Roman" w:hAnsi="Times New Roman" w:cs="Times New Roman"/>
        </w:rPr>
      </w:pPr>
      <w:r w:rsidRPr="00DA52B9">
        <w:rPr>
          <w:rFonts w:ascii="Times New Roman" w:hAnsi="Times New Roman" w:cs="Times New Roman"/>
        </w:rPr>
        <w:t xml:space="preserve">Note: * &lt;.05, ***&lt;.0001. </w:t>
      </w:r>
    </w:p>
    <w:p w14:paraId="1E5E4342" w14:textId="3111AF6C" w:rsidR="008D34AE" w:rsidRPr="00DA52B9" w:rsidRDefault="008D34AE" w:rsidP="00636873">
      <w:pPr>
        <w:spacing w:after="0" w:line="480" w:lineRule="auto"/>
        <w:rPr>
          <w:rFonts w:ascii="Times New Roman" w:hAnsi="Times New Roman" w:cs="Times New Roman"/>
        </w:rPr>
      </w:pPr>
      <w:r w:rsidRPr="00DA52B9">
        <w:rPr>
          <w:rFonts w:ascii="Times New Roman" w:hAnsi="Times New Roman" w:cs="Times New Roman"/>
        </w:rPr>
        <w:t xml:space="preserve">Abbreviations: HOB, hospital-onset bacteremia; ICD, international </w:t>
      </w:r>
      <w:r w:rsidR="009A0A2A" w:rsidRPr="00DA52B9">
        <w:rPr>
          <w:rFonts w:ascii="Times New Roman" w:hAnsi="Times New Roman" w:cs="Times New Roman"/>
        </w:rPr>
        <w:t xml:space="preserve">classification of disease; NHSN, National Healthcare </w:t>
      </w:r>
      <w:r w:rsidR="003151E8" w:rsidRPr="00DA52B9">
        <w:rPr>
          <w:rFonts w:ascii="Times New Roman" w:hAnsi="Times New Roman" w:cs="Times New Roman"/>
        </w:rPr>
        <w:t>Safety Network; SSI, surgical site infection; RR, relative risk; CI, confidence interval</w:t>
      </w:r>
    </w:p>
    <w:p w14:paraId="10A8CB66" w14:textId="21AA53D1" w:rsidR="00BA3063" w:rsidRPr="00DA52B9" w:rsidRDefault="00BA3063" w:rsidP="00636873">
      <w:pPr>
        <w:spacing w:after="0" w:line="480" w:lineRule="auto"/>
        <w:rPr>
          <w:rFonts w:ascii="Times New Roman" w:hAnsi="Times New Roman" w:cs="Times New Roman"/>
        </w:rPr>
      </w:pPr>
      <w:r w:rsidRPr="00DA52B9">
        <w:rPr>
          <w:rFonts w:ascii="Times New Roman" w:hAnsi="Times New Roman" w:cs="Times New Roman"/>
        </w:rPr>
        <w:t xml:space="preserve">Models were adjusted for age, sex, </w:t>
      </w:r>
      <w:proofErr w:type="spellStart"/>
      <w:r w:rsidRPr="00DA52B9">
        <w:rPr>
          <w:rFonts w:ascii="Times New Roman" w:hAnsi="Times New Roman" w:cs="Times New Roman"/>
        </w:rPr>
        <w:t>ALaRMS</w:t>
      </w:r>
      <w:proofErr w:type="spellEnd"/>
      <w:r w:rsidRPr="00DA52B9">
        <w:rPr>
          <w:rFonts w:ascii="Times New Roman" w:hAnsi="Times New Roman" w:cs="Times New Roman"/>
        </w:rPr>
        <w:t xml:space="preserve"> score, insurance payer type, and hospital-level variables (staffed bed size, teaching status, and urbanicity). </w:t>
      </w:r>
    </w:p>
    <w:p w14:paraId="7180A401" w14:textId="3F3D1D4A" w:rsidR="00F52417" w:rsidRPr="00DA52B9" w:rsidRDefault="00F52417" w:rsidP="00636873">
      <w:pPr>
        <w:spacing w:after="0" w:line="480" w:lineRule="auto"/>
        <w:rPr>
          <w:rFonts w:ascii="Times New Roman" w:hAnsi="Times New Roman" w:cs="Times New Roman"/>
        </w:rPr>
      </w:pPr>
    </w:p>
    <w:p w14:paraId="30E5435B" w14:textId="77777777" w:rsidR="005215F8" w:rsidRPr="00DA52B9" w:rsidRDefault="005215F8" w:rsidP="00636873">
      <w:pPr>
        <w:spacing w:after="0" w:line="480" w:lineRule="auto"/>
        <w:rPr>
          <w:rFonts w:ascii="Times New Roman" w:hAnsi="Times New Roman" w:cs="Times New Roman"/>
        </w:rPr>
      </w:pPr>
    </w:p>
    <w:p w14:paraId="558C9CBF" w14:textId="77777777" w:rsidR="00EE097F" w:rsidRPr="00DA52B9" w:rsidRDefault="00EE097F" w:rsidP="00636873">
      <w:pPr>
        <w:spacing w:after="0" w:line="480" w:lineRule="auto"/>
        <w:rPr>
          <w:rFonts w:ascii="Times New Roman" w:hAnsi="Times New Roman" w:cs="Times New Roman"/>
        </w:rPr>
      </w:pPr>
    </w:p>
    <w:p w14:paraId="7F8C754A" w14:textId="77777777" w:rsidR="00EE097F" w:rsidRPr="00DA52B9" w:rsidRDefault="00EE097F" w:rsidP="00636873">
      <w:pPr>
        <w:spacing w:after="0" w:line="480" w:lineRule="auto"/>
        <w:rPr>
          <w:rFonts w:ascii="Times New Roman" w:hAnsi="Times New Roman" w:cs="Times New Roman"/>
        </w:rPr>
      </w:pPr>
    </w:p>
    <w:p w14:paraId="2A7B8360" w14:textId="77777777" w:rsidR="00EE097F" w:rsidRPr="00DA52B9" w:rsidRDefault="00EE097F" w:rsidP="00636873">
      <w:pPr>
        <w:spacing w:after="0" w:line="480" w:lineRule="auto"/>
        <w:rPr>
          <w:rFonts w:ascii="Times New Roman" w:hAnsi="Times New Roman" w:cs="Times New Roman"/>
        </w:rPr>
      </w:pPr>
    </w:p>
    <w:p w14:paraId="462A4AB7" w14:textId="77777777" w:rsidR="00EE097F" w:rsidRPr="00DA52B9" w:rsidRDefault="00EE097F" w:rsidP="00636873">
      <w:pPr>
        <w:spacing w:after="0" w:line="480" w:lineRule="auto"/>
        <w:rPr>
          <w:rFonts w:ascii="Times New Roman" w:hAnsi="Times New Roman" w:cs="Times New Roman"/>
        </w:rPr>
      </w:pPr>
    </w:p>
    <w:p w14:paraId="063E548B" w14:textId="77777777" w:rsidR="00636873" w:rsidRDefault="00636873">
      <w:pPr>
        <w:rPr>
          <w:rFonts w:ascii="Times New Roman" w:hAnsi="Times New Roman" w:cs="Times New Roman"/>
          <w:b/>
          <w:bCs/>
        </w:rPr>
      </w:pPr>
      <w:r>
        <w:rPr>
          <w:rFonts w:ascii="Times New Roman" w:hAnsi="Times New Roman" w:cs="Times New Roman"/>
          <w:b/>
          <w:bCs/>
        </w:rPr>
        <w:br w:type="page"/>
      </w:r>
    </w:p>
    <w:p w14:paraId="46E69B3C" w14:textId="7C55E4FA" w:rsidR="00EE097F" w:rsidRPr="00DA52B9" w:rsidRDefault="00EE097F" w:rsidP="00636873">
      <w:pPr>
        <w:spacing w:after="0" w:line="480" w:lineRule="auto"/>
        <w:rPr>
          <w:rFonts w:ascii="Times New Roman" w:hAnsi="Times New Roman" w:cs="Times New Roman"/>
          <w:b/>
          <w:bCs/>
        </w:rPr>
      </w:pPr>
      <w:r w:rsidRPr="00DA52B9">
        <w:rPr>
          <w:rFonts w:ascii="Times New Roman" w:hAnsi="Times New Roman" w:cs="Times New Roman"/>
          <w:b/>
          <w:bCs/>
        </w:rPr>
        <w:lastRenderedPageBreak/>
        <w:t>Supplemental Table 7. Model estimated financial and clinical outcomes by hospital reported SSI with HOB compared to SSI without HOB (</w:t>
      </w:r>
      <w:r w:rsidR="00104576" w:rsidRPr="00DA52B9">
        <w:rPr>
          <w:rFonts w:ascii="Times New Roman" w:hAnsi="Times New Roman" w:cs="Times New Roman"/>
          <w:b/>
          <w:bCs/>
        </w:rPr>
        <w:t>in</w:t>
      </w:r>
      <w:r w:rsidRPr="00DA52B9">
        <w:rPr>
          <w:rFonts w:ascii="Times New Roman" w:hAnsi="Times New Roman" w:cs="Times New Roman"/>
          <w:b/>
          <w:bCs/>
        </w:rPr>
        <w:t>cluding PATOS), October 2015 through June 2019.</w:t>
      </w:r>
    </w:p>
    <w:tbl>
      <w:tblPr>
        <w:tblW w:w="134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2780"/>
        <w:gridCol w:w="2780"/>
        <w:gridCol w:w="2780"/>
        <w:gridCol w:w="1012"/>
        <w:gridCol w:w="8"/>
      </w:tblGrid>
      <w:tr w:rsidR="00EE097F" w:rsidRPr="00DA52B9" w14:paraId="49DBF9A2" w14:textId="77777777" w:rsidTr="00DA52B9">
        <w:trPr>
          <w:gridAfter w:val="1"/>
          <w:wAfter w:w="8" w:type="dxa"/>
          <w:trHeight w:val="300"/>
        </w:trPr>
        <w:tc>
          <w:tcPr>
            <w:tcW w:w="4100" w:type="dxa"/>
            <w:shd w:val="clear" w:color="auto" w:fill="auto"/>
            <w:vAlign w:val="center"/>
            <w:hideMark/>
          </w:tcPr>
          <w:p w14:paraId="17DE1C73"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 </w:t>
            </w:r>
          </w:p>
        </w:tc>
        <w:tc>
          <w:tcPr>
            <w:tcW w:w="2780" w:type="dxa"/>
            <w:shd w:val="clear" w:color="auto" w:fill="auto"/>
            <w:vAlign w:val="center"/>
            <w:hideMark/>
          </w:tcPr>
          <w:p w14:paraId="3EF61E7A" w14:textId="721CA0ED" w:rsidR="00EE097F" w:rsidRPr="00DA52B9" w:rsidRDefault="00EE097F"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SSI admission with HOB</w:t>
            </w:r>
          </w:p>
        </w:tc>
        <w:tc>
          <w:tcPr>
            <w:tcW w:w="2780" w:type="dxa"/>
            <w:shd w:val="clear" w:color="auto" w:fill="auto"/>
            <w:vAlign w:val="center"/>
            <w:hideMark/>
          </w:tcPr>
          <w:p w14:paraId="02FBF8BA" w14:textId="4F569277" w:rsidR="00EE097F" w:rsidRPr="00DA52B9" w:rsidRDefault="00EE097F"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SSI admission without HOB</w:t>
            </w:r>
          </w:p>
        </w:tc>
        <w:tc>
          <w:tcPr>
            <w:tcW w:w="2780" w:type="dxa"/>
            <w:shd w:val="clear" w:color="auto" w:fill="auto"/>
            <w:vAlign w:val="center"/>
            <w:hideMark/>
          </w:tcPr>
          <w:p w14:paraId="1781B936" w14:textId="234E3AF6" w:rsidR="00EE097F" w:rsidRPr="00DA52B9" w:rsidRDefault="00EE097F"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Estimated Difference/RR </w:t>
            </w:r>
          </w:p>
        </w:tc>
        <w:tc>
          <w:tcPr>
            <w:tcW w:w="1012" w:type="dxa"/>
            <w:shd w:val="clear" w:color="auto" w:fill="auto"/>
            <w:noWrap/>
            <w:vAlign w:val="bottom"/>
            <w:hideMark/>
          </w:tcPr>
          <w:p w14:paraId="66AB0497" w14:textId="77777777" w:rsidR="00EE097F" w:rsidRPr="00DA52B9" w:rsidRDefault="00EE097F" w:rsidP="00636873">
            <w:pPr>
              <w:spacing w:after="0" w:line="480" w:lineRule="auto"/>
              <w:jc w:val="center"/>
              <w:rPr>
                <w:rFonts w:ascii="Times New Roman" w:hAnsi="Times New Roman" w:cs="Times New Roman"/>
                <w:b/>
                <w:bCs/>
                <w:i/>
                <w:iCs/>
              </w:rPr>
            </w:pPr>
            <w:r w:rsidRPr="00DA52B9">
              <w:rPr>
                <w:rFonts w:ascii="Times New Roman" w:hAnsi="Times New Roman" w:cs="Times New Roman"/>
                <w:b/>
                <w:bCs/>
                <w:i/>
                <w:iCs/>
              </w:rPr>
              <w:t>P</w:t>
            </w:r>
          </w:p>
        </w:tc>
      </w:tr>
      <w:tr w:rsidR="00EE097F" w:rsidRPr="00DA52B9" w14:paraId="208D8E2E" w14:textId="77777777" w:rsidTr="00DA52B9">
        <w:trPr>
          <w:gridAfter w:val="1"/>
          <w:wAfter w:w="8" w:type="dxa"/>
          <w:trHeight w:val="320"/>
        </w:trPr>
        <w:tc>
          <w:tcPr>
            <w:tcW w:w="4100" w:type="dxa"/>
            <w:shd w:val="clear" w:color="auto" w:fill="auto"/>
            <w:vAlign w:val="center"/>
            <w:hideMark/>
          </w:tcPr>
          <w:p w14:paraId="1704A175"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 </w:t>
            </w:r>
          </w:p>
        </w:tc>
        <w:tc>
          <w:tcPr>
            <w:tcW w:w="2780" w:type="dxa"/>
            <w:shd w:val="clear" w:color="auto" w:fill="auto"/>
            <w:vAlign w:val="center"/>
            <w:hideMark/>
          </w:tcPr>
          <w:p w14:paraId="27B2C4AC" w14:textId="0350D133" w:rsidR="00EE097F" w:rsidRPr="00DA52B9" w:rsidRDefault="00EE097F"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(N=</w:t>
            </w:r>
            <w:r w:rsidR="00AE5349" w:rsidRPr="00DA52B9">
              <w:rPr>
                <w:rFonts w:ascii="Times New Roman" w:hAnsi="Times New Roman" w:cs="Times New Roman"/>
                <w:b/>
                <w:bCs/>
              </w:rPr>
              <w:t>30</w:t>
            </w:r>
            <w:r w:rsidRPr="00DA52B9">
              <w:rPr>
                <w:rFonts w:ascii="Times New Roman" w:hAnsi="Times New Roman" w:cs="Times New Roman"/>
                <w:b/>
                <w:bCs/>
              </w:rPr>
              <w:t>)</w:t>
            </w:r>
          </w:p>
        </w:tc>
        <w:tc>
          <w:tcPr>
            <w:tcW w:w="2780" w:type="dxa"/>
            <w:shd w:val="clear" w:color="auto" w:fill="auto"/>
            <w:vAlign w:val="center"/>
            <w:hideMark/>
          </w:tcPr>
          <w:p w14:paraId="102FB2AF" w14:textId="173C72E9" w:rsidR="00EE097F" w:rsidRPr="00DA52B9" w:rsidRDefault="00EE097F"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(N=</w:t>
            </w:r>
            <w:r w:rsidR="00AE5349" w:rsidRPr="00DA52B9">
              <w:rPr>
                <w:rFonts w:ascii="Times New Roman" w:hAnsi="Times New Roman" w:cs="Times New Roman"/>
                <w:b/>
                <w:bCs/>
              </w:rPr>
              <w:t>212</w:t>
            </w:r>
            <w:r w:rsidRPr="00DA52B9">
              <w:rPr>
                <w:rFonts w:ascii="Times New Roman" w:hAnsi="Times New Roman" w:cs="Times New Roman"/>
                <w:b/>
                <w:bCs/>
              </w:rPr>
              <w:t>)</w:t>
            </w:r>
          </w:p>
        </w:tc>
        <w:tc>
          <w:tcPr>
            <w:tcW w:w="2780" w:type="dxa"/>
            <w:shd w:val="clear" w:color="auto" w:fill="auto"/>
            <w:vAlign w:val="center"/>
            <w:hideMark/>
          </w:tcPr>
          <w:p w14:paraId="10E69FE5" w14:textId="63EA01A6" w:rsidR="00EE097F" w:rsidRPr="00DA52B9" w:rsidRDefault="00DA52B9" w:rsidP="00636873">
            <w:pPr>
              <w:spacing w:after="0" w:line="480" w:lineRule="auto"/>
              <w:jc w:val="center"/>
              <w:rPr>
                <w:rFonts w:ascii="Times New Roman" w:hAnsi="Times New Roman" w:cs="Times New Roman"/>
                <w:b/>
                <w:bCs/>
              </w:rPr>
            </w:pPr>
            <w:r w:rsidRPr="00DA52B9">
              <w:rPr>
                <w:rFonts w:ascii="Times New Roman" w:hAnsi="Times New Roman" w:cs="Times New Roman"/>
                <w:b/>
                <w:bCs/>
              </w:rPr>
              <w:t>(95% CI)</w:t>
            </w:r>
          </w:p>
        </w:tc>
        <w:tc>
          <w:tcPr>
            <w:tcW w:w="1012" w:type="dxa"/>
            <w:shd w:val="clear" w:color="auto" w:fill="auto"/>
            <w:noWrap/>
            <w:vAlign w:val="bottom"/>
            <w:hideMark/>
          </w:tcPr>
          <w:p w14:paraId="7A90D021" w14:textId="2927D43A" w:rsidR="00EE097F" w:rsidRPr="00DA52B9" w:rsidRDefault="00EE097F" w:rsidP="00636873">
            <w:pPr>
              <w:spacing w:after="0" w:line="480" w:lineRule="auto"/>
              <w:jc w:val="center"/>
              <w:rPr>
                <w:rFonts w:ascii="Times New Roman" w:hAnsi="Times New Roman" w:cs="Times New Roman"/>
              </w:rPr>
            </w:pPr>
          </w:p>
        </w:tc>
      </w:tr>
      <w:tr w:rsidR="00EE097F" w:rsidRPr="00DA52B9" w14:paraId="61A200B9" w14:textId="77777777" w:rsidTr="00DA52B9">
        <w:trPr>
          <w:gridAfter w:val="1"/>
          <w:wAfter w:w="8" w:type="dxa"/>
          <w:trHeight w:val="310"/>
        </w:trPr>
        <w:tc>
          <w:tcPr>
            <w:tcW w:w="13452" w:type="dxa"/>
            <w:gridSpan w:val="5"/>
            <w:shd w:val="clear" w:color="auto" w:fill="D0D0D0"/>
            <w:vAlign w:val="center"/>
            <w:hideMark/>
          </w:tcPr>
          <w:p w14:paraId="71944EDA" w14:textId="77777777" w:rsidR="00EE097F" w:rsidRPr="00DA52B9" w:rsidRDefault="00EE097F" w:rsidP="00636873">
            <w:pPr>
              <w:spacing w:after="0" w:line="480" w:lineRule="auto"/>
              <w:rPr>
                <w:rFonts w:ascii="Times New Roman" w:hAnsi="Times New Roman" w:cs="Times New Roman"/>
                <w:b/>
                <w:bCs/>
              </w:rPr>
            </w:pPr>
            <w:r w:rsidRPr="00DA52B9">
              <w:rPr>
                <w:rFonts w:ascii="Times New Roman" w:hAnsi="Times New Roman" w:cs="Times New Roman"/>
                <w:b/>
                <w:bCs/>
              </w:rPr>
              <w:t>Financial outcomes </w:t>
            </w:r>
          </w:p>
        </w:tc>
      </w:tr>
      <w:tr w:rsidR="00EE097F" w:rsidRPr="00DA52B9" w14:paraId="4AEF2ECC" w14:textId="77777777" w:rsidTr="00DA52B9">
        <w:trPr>
          <w:trHeight w:val="620"/>
        </w:trPr>
        <w:tc>
          <w:tcPr>
            <w:tcW w:w="4100" w:type="dxa"/>
            <w:shd w:val="clear" w:color="auto" w:fill="auto"/>
            <w:vAlign w:val="center"/>
            <w:hideMark/>
          </w:tcPr>
          <w:p w14:paraId="1F02990B"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Total cost, $ (95% CI)</w:t>
            </w:r>
          </w:p>
        </w:tc>
        <w:tc>
          <w:tcPr>
            <w:tcW w:w="2780" w:type="dxa"/>
            <w:shd w:val="clear" w:color="auto" w:fill="auto"/>
            <w:hideMark/>
          </w:tcPr>
          <w:p w14:paraId="41B5FAAF" w14:textId="53B38548"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$6</w:t>
            </w:r>
            <w:r w:rsidR="00F04A6D" w:rsidRPr="00DA52B9">
              <w:rPr>
                <w:rFonts w:ascii="Times New Roman" w:hAnsi="Times New Roman" w:cs="Times New Roman"/>
              </w:rPr>
              <w:t>2,486</w:t>
            </w:r>
          </w:p>
          <w:p w14:paraId="7D5EF48C" w14:textId="7C725860"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w:t>
            </w:r>
            <w:r w:rsidR="00E25AA7" w:rsidRPr="00DA52B9">
              <w:rPr>
                <w:rFonts w:ascii="Times New Roman" w:hAnsi="Times New Roman" w:cs="Times New Roman"/>
              </w:rPr>
              <w:t>40,682</w:t>
            </w:r>
            <w:r w:rsidRPr="00DA52B9">
              <w:rPr>
                <w:rFonts w:ascii="Times New Roman" w:hAnsi="Times New Roman" w:cs="Times New Roman"/>
              </w:rPr>
              <w:t>, $</w:t>
            </w:r>
            <w:r w:rsidR="00203849" w:rsidRPr="00DA52B9">
              <w:rPr>
                <w:rFonts w:ascii="Times New Roman" w:hAnsi="Times New Roman" w:cs="Times New Roman"/>
              </w:rPr>
              <w:t>95,975</w:t>
            </w:r>
            <w:r w:rsidRPr="00DA52B9">
              <w:rPr>
                <w:rFonts w:ascii="Times New Roman" w:hAnsi="Times New Roman" w:cs="Times New Roman"/>
              </w:rPr>
              <w:t>)</w:t>
            </w:r>
          </w:p>
        </w:tc>
        <w:tc>
          <w:tcPr>
            <w:tcW w:w="2780" w:type="dxa"/>
            <w:shd w:val="clear" w:color="auto" w:fill="auto"/>
            <w:hideMark/>
          </w:tcPr>
          <w:p w14:paraId="3ED88B0E" w14:textId="5F19793B"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$37,</w:t>
            </w:r>
            <w:r w:rsidR="00F04A6D" w:rsidRPr="00DA52B9">
              <w:rPr>
                <w:rFonts w:ascii="Times New Roman" w:hAnsi="Times New Roman" w:cs="Times New Roman"/>
              </w:rPr>
              <w:t>900</w:t>
            </w:r>
          </w:p>
          <w:p w14:paraId="145B7D04" w14:textId="07B94DF1"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w:t>
            </w:r>
            <w:r w:rsidR="00203849" w:rsidRPr="00DA52B9">
              <w:rPr>
                <w:rFonts w:ascii="Times New Roman" w:hAnsi="Times New Roman" w:cs="Times New Roman"/>
              </w:rPr>
              <w:t>26,877</w:t>
            </w:r>
            <w:r w:rsidRPr="00DA52B9">
              <w:rPr>
                <w:rFonts w:ascii="Times New Roman" w:hAnsi="Times New Roman" w:cs="Times New Roman"/>
              </w:rPr>
              <w:t>, $</w:t>
            </w:r>
            <w:r w:rsidR="00203849" w:rsidRPr="00DA52B9">
              <w:rPr>
                <w:rFonts w:ascii="Times New Roman" w:hAnsi="Times New Roman" w:cs="Times New Roman"/>
              </w:rPr>
              <w:t>53,445</w:t>
            </w:r>
            <w:r w:rsidRPr="00DA52B9">
              <w:rPr>
                <w:rFonts w:ascii="Times New Roman" w:hAnsi="Times New Roman" w:cs="Times New Roman"/>
              </w:rPr>
              <w:t>)</w:t>
            </w:r>
          </w:p>
        </w:tc>
        <w:tc>
          <w:tcPr>
            <w:tcW w:w="2780" w:type="dxa"/>
            <w:shd w:val="clear" w:color="auto" w:fill="auto"/>
            <w:hideMark/>
          </w:tcPr>
          <w:p w14:paraId="14D7CFA2" w14:textId="290CFB97"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w:t>
            </w:r>
            <w:r w:rsidR="00F04A6D" w:rsidRPr="00DA52B9">
              <w:rPr>
                <w:rFonts w:ascii="Times New Roman" w:hAnsi="Times New Roman" w:cs="Times New Roman"/>
              </w:rPr>
              <w:t>24,586</w:t>
            </w:r>
          </w:p>
          <w:p w14:paraId="364530C6" w14:textId="5703EE21"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w:t>
            </w:r>
            <w:r w:rsidR="0090190C" w:rsidRPr="00DA52B9">
              <w:rPr>
                <w:rFonts w:ascii="Times New Roman" w:hAnsi="Times New Roman" w:cs="Times New Roman"/>
              </w:rPr>
              <w:t>19,609</w:t>
            </w:r>
            <w:r w:rsidRPr="00DA52B9">
              <w:rPr>
                <w:rFonts w:ascii="Times New Roman" w:hAnsi="Times New Roman" w:cs="Times New Roman"/>
              </w:rPr>
              <w:t>, $</w:t>
            </w:r>
            <w:r w:rsidR="0090190C" w:rsidRPr="00DA52B9">
              <w:rPr>
                <w:rFonts w:ascii="Times New Roman" w:hAnsi="Times New Roman" w:cs="Times New Roman"/>
              </w:rPr>
              <w:t>29,563</w:t>
            </w:r>
            <w:r w:rsidRPr="00DA52B9">
              <w:rPr>
                <w:rFonts w:ascii="Times New Roman" w:hAnsi="Times New Roman" w:cs="Times New Roman"/>
              </w:rPr>
              <w:t>)</w:t>
            </w:r>
          </w:p>
        </w:tc>
        <w:tc>
          <w:tcPr>
            <w:tcW w:w="1020" w:type="dxa"/>
            <w:gridSpan w:val="2"/>
            <w:shd w:val="clear" w:color="auto" w:fill="auto"/>
            <w:noWrap/>
            <w:hideMark/>
          </w:tcPr>
          <w:p w14:paraId="176CFB3E" w14:textId="38FE7683"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0.00</w:t>
            </w:r>
            <w:r w:rsidR="00E25AA7" w:rsidRPr="00DA52B9">
              <w:rPr>
                <w:rFonts w:ascii="Times New Roman" w:hAnsi="Times New Roman" w:cs="Times New Roman"/>
              </w:rPr>
              <w:t>1</w:t>
            </w:r>
          </w:p>
        </w:tc>
      </w:tr>
      <w:tr w:rsidR="00EE097F" w:rsidRPr="00DA52B9" w14:paraId="3CB070F4" w14:textId="77777777" w:rsidTr="00DA52B9">
        <w:trPr>
          <w:trHeight w:val="310"/>
        </w:trPr>
        <w:tc>
          <w:tcPr>
            <w:tcW w:w="4100" w:type="dxa"/>
            <w:shd w:val="clear" w:color="auto" w:fill="auto"/>
            <w:vAlign w:val="center"/>
            <w:hideMark/>
          </w:tcPr>
          <w:p w14:paraId="54E32791"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LOS, days (95% CI) </w:t>
            </w:r>
          </w:p>
        </w:tc>
        <w:tc>
          <w:tcPr>
            <w:tcW w:w="2780" w:type="dxa"/>
            <w:shd w:val="clear" w:color="auto" w:fill="auto"/>
            <w:noWrap/>
            <w:hideMark/>
          </w:tcPr>
          <w:p w14:paraId="2971CF40" w14:textId="291AECAE"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21.</w:t>
            </w:r>
            <w:r w:rsidR="00AE5349" w:rsidRPr="00DA52B9">
              <w:rPr>
                <w:rFonts w:ascii="Times New Roman" w:hAnsi="Times New Roman" w:cs="Times New Roman"/>
              </w:rPr>
              <w:t>7</w:t>
            </w:r>
            <w:r w:rsidRPr="00DA52B9">
              <w:rPr>
                <w:rFonts w:ascii="Times New Roman" w:hAnsi="Times New Roman" w:cs="Times New Roman"/>
              </w:rPr>
              <w:t xml:space="preserve"> (</w:t>
            </w:r>
            <w:r w:rsidR="00AE5349" w:rsidRPr="00DA52B9">
              <w:rPr>
                <w:rFonts w:ascii="Times New Roman" w:hAnsi="Times New Roman" w:cs="Times New Roman"/>
              </w:rPr>
              <w:t>18.4</w:t>
            </w:r>
            <w:r w:rsidRPr="00DA52B9">
              <w:rPr>
                <w:rFonts w:ascii="Times New Roman" w:hAnsi="Times New Roman" w:cs="Times New Roman"/>
              </w:rPr>
              <w:t>, 25.</w:t>
            </w:r>
            <w:r w:rsidR="00AE5349" w:rsidRPr="00DA52B9">
              <w:rPr>
                <w:rFonts w:ascii="Times New Roman" w:hAnsi="Times New Roman" w:cs="Times New Roman"/>
              </w:rPr>
              <w:t>6</w:t>
            </w:r>
            <w:r w:rsidRPr="00DA52B9">
              <w:rPr>
                <w:rFonts w:ascii="Times New Roman" w:hAnsi="Times New Roman" w:cs="Times New Roman"/>
              </w:rPr>
              <w:t>)</w:t>
            </w:r>
          </w:p>
        </w:tc>
        <w:tc>
          <w:tcPr>
            <w:tcW w:w="2780" w:type="dxa"/>
            <w:shd w:val="clear" w:color="auto" w:fill="auto"/>
            <w:noWrap/>
            <w:hideMark/>
          </w:tcPr>
          <w:p w14:paraId="0E28A178" w14:textId="4DAA8EDD" w:rsidR="00EE097F" w:rsidRPr="00DA52B9" w:rsidRDefault="009C5C7E" w:rsidP="00636873">
            <w:pPr>
              <w:spacing w:after="0" w:line="480" w:lineRule="auto"/>
              <w:jc w:val="center"/>
              <w:rPr>
                <w:rFonts w:ascii="Times New Roman" w:hAnsi="Times New Roman" w:cs="Times New Roman"/>
              </w:rPr>
            </w:pPr>
            <w:r w:rsidRPr="00DA52B9">
              <w:rPr>
                <w:rFonts w:ascii="Times New Roman" w:hAnsi="Times New Roman" w:cs="Times New Roman"/>
              </w:rPr>
              <w:t>15.3</w:t>
            </w:r>
            <w:r w:rsidR="00EE097F" w:rsidRPr="00DA52B9">
              <w:rPr>
                <w:rFonts w:ascii="Times New Roman" w:hAnsi="Times New Roman" w:cs="Times New Roman"/>
              </w:rPr>
              <w:t xml:space="preserve"> (</w:t>
            </w:r>
            <w:r w:rsidRPr="00DA52B9">
              <w:rPr>
                <w:rFonts w:ascii="Times New Roman" w:hAnsi="Times New Roman" w:cs="Times New Roman"/>
              </w:rPr>
              <w:t>13.2</w:t>
            </w:r>
            <w:r w:rsidR="00EE097F" w:rsidRPr="00DA52B9">
              <w:rPr>
                <w:rFonts w:ascii="Times New Roman" w:hAnsi="Times New Roman" w:cs="Times New Roman"/>
              </w:rPr>
              <w:t>, 17.</w:t>
            </w:r>
            <w:r w:rsidRPr="00DA52B9">
              <w:rPr>
                <w:rFonts w:ascii="Times New Roman" w:hAnsi="Times New Roman" w:cs="Times New Roman"/>
              </w:rPr>
              <w:t>8</w:t>
            </w:r>
            <w:r w:rsidR="00EE097F" w:rsidRPr="00DA52B9">
              <w:rPr>
                <w:rFonts w:ascii="Times New Roman" w:hAnsi="Times New Roman" w:cs="Times New Roman"/>
              </w:rPr>
              <w:t>)</w:t>
            </w:r>
          </w:p>
        </w:tc>
        <w:tc>
          <w:tcPr>
            <w:tcW w:w="2780" w:type="dxa"/>
            <w:shd w:val="clear" w:color="auto" w:fill="auto"/>
            <w:noWrap/>
            <w:hideMark/>
          </w:tcPr>
          <w:p w14:paraId="47C73C8E" w14:textId="137699D7"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6.</w:t>
            </w:r>
            <w:r w:rsidR="009C5C7E" w:rsidRPr="00DA52B9">
              <w:rPr>
                <w:rFonts w:ascii="Times New Roman" w:hAnsi="Times New Roman" w:cs="Times New Roman"/>
              </w:rPr>
              <w:t>3</w:t>
            </w:r>
            <w:r w:rsidRPr="00DA52B9">
              <w:rPr>
                <w:rFonts w:ascii="Times New Roman" w:hAnsi="Times New Roman" w:cs="Times New Roman"/>
              </w:rPr>
              <w:t xml:space="preserve"> (5.</w:t>
            </w:r>
            <w:r w:rsidR="009C5C7E" w:rsidRPr="00DA52B9">
              <w:rPr>
                <w:rFonts w:ascii="Times New Roman" w:hAnsi="Times New Roman" w:cs="Times New Roman"/>
              </w:rPr>
              <w:t>7</w:t>
            </w:r>
            <w:r w:rsidRPr="00DA52B9">
              <w:rPr>
                <w:rFonts w:ascii="Times New Roman" w:hAnsi="Times New Roman" w:cs="Times New Roman"/>
              </w:rPr>
              <w:t>, 7.</w:t>
            </w:r>
            <w:r w:rsidR="009C5C7E" w:rsidRPr="00DA52B9">
              <w:rPr>
                <w:rFonts w:ascii="Times New Roman" w:hAnsi="Times New Roman" w:cs="Times New Roman"/>
              </w:rPr>
              <w:t>0</w:t>
            </w:r>
            <w:r w:rsidRPr="00DA52B9">
              <w:rPr>
                <w:rFonts w:ascii="Times New Roman" w:hAnsi="Times New Roman" w:cs="Times New Roman"/>
              </w:rPr>
              <w:t>)</w:t>
            </w:r>
          </w:p>
        </w:tc>
        <w:tc>
          <w:tcPr>
            <w:tcW w:w="1020" w:type="dxa"/>
            <w:gridSpan w:val="2"/>
            <w:shd w:val="clear" w:color="auto" w:fill="auto"/>
            <w:noWrap/>
            <w:hideMark/>
          </w:tcPr>
          <w:p w14:paraId="416AE3C2" w14:textId="77777777"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&lt;0.0001</w:t>
            </w:r>
          </w:p>
        </w:tc>
      </w:tr>
      <w:tr w:rsidR="00EE097F" w:rsidRPr="00DA52B9" w14:paraId="4A239C92" w14:textId="77777777" w:rsidTr="00DA52B9">
        <w:trPr>
          <w:gridAfter w:val="1"/>
          <w:wAfter w:w="8" w:type="dxa"/>
          <w:trHeight w:val="310"/>
        </w:trPr>
        <w:tc>
          <w:tcPr>
            <w:tcW w:w="13452" w:type="dxa"/>
            <w:gridSpan w:val="5"/>
            <w:shd w:val="clear" w:color="auto" w:fill="D0D0D0"/>
            <w:vAlign w:val="center"/>
            <w:hideMark/>
          </w:tcPr>
          <w:p w14:paraId="57EA148F" w14:textId="77777777" w:rsidR="00EE097F" w:rsidRPr="00DA52B9" w:rsidRDefault="00EE097F" w:rsidP="00636873">
            <w:pPr>
              <w:spacing w:after="0" w:line="480" w:lineRule="auto"/>
              <w:rPr>
                <w:rFonts w:ascii="Times New Roman" w:hAnsi="Times New Roman" w:cs="Times New Roman"/>
                <w:b/>
                <w:bCs/>
              </w:rPr>
            </w:pPr>
            <w:r w:rsidRPr="00DA52B9">
              <w:rPr>
                <w:rFonts w:ascii="Times New Roman" w:hAnsi="Times New Roman" w:cs="Times New Roman"/>
                <w:b/>
                <w:bCs/>
              </w:rPr>
              <w:t>Clinical outcomes</w:t>
            </w:r>
          </w:p>
        </w:tc>
      </w:tr>
      <w:tr w:rsidR="00EE097F" w:rsidRPr="00DA52B9" w14:paraId="14F9F193" w14:textId="77777777" w:rsidTr="00DA52B9">
        <w:trPr>
          <w:trHeight w:val="310"/>
        </w:trPr>
        <w:tc>
          <w:tcPr>
            <w:tcW w:w="4100" w:type="dxa"/>
            <w:shd w:val="clear" w:color="auto" w:fill="auto"/>
            <w:vAlign w:val="center"/>
            <w:hideMark/>
          </w:tcPr>
          <w:p w14:paraId="533A7916"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30-day Readmission, % (95% CI) </w:t>
            </w:r>
          </w:p>
        </w:tc>
        <w:tc>
          <w:tcPr>
            <w:tcW w:w="2780" w:type="dxa"/>
            <w:shd w:val="clear" w:color="auto" w:fill="auto"/>
            <w:noWrap/>
            <w:hideMark/>
          </w:tcPr>
          <w:p w14:paraId="054417FD" w14:textId="6463B575"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w:t>
            </w:r>
            <w:r w:rsidR="00C10527" w:rsidRPr="00DA52B9">
              <w:rPr>
                <w:rFonts w:ascii="Times New Roman" w:hAnsi="Times New Roman" w:cs="Times New Roman"/>
              </w:rPr>
              <w:t>37</w:t>
            </w:r>
            <w:r w:rsidRPr="00DA52B9">
              <w:rPr>
                <w:rFonts w:ascii="Times New Roman" w:hAnsi="Times New Roman" w:cs="Times New Roman"/>
              </w:rPr>
              <w:t xml:space="preserve"> (0, 100)</w:t>
            </w:r>
          </w:p>
        </w:tc>
        <w:tc>
          <w:tcPr>
            <w:tcW w:w="2780" w:type="dxa"/>
            <w:shd w:val="clear" w:color="auto" w:fill="auto"/>
            <w:noWrap/>
            <w:hideMark/>
          </w:tcPr>
          <w:p w14:paraId="2058F3F8" w14:textId="60353C4B"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w:t>
            </w:r>
            <w:r w:rsidR="00FC7503" w:rsidRPr="00DA52B9">
              <w:rPr>
                <w:rFonts w:ascii="Times New Roman" w:hAnsi="Times New Roman" w:cs="Times New Roman"/>
              </w:rPr>
              <w:t>1</w:t>
            </w:r>
            <w:r w:rsidR="00C10527" w:rsidRPr="00DA52B9">
              <w:rPr>
                <w:rFonts w:ascii="Times New Roman" w:hAnsi="Times New Roman" w:cs="Times New Roman"/>
              </w:rPr>
              <w:t>4</w:t>
            </w:r>
            <w:r w:rsidRPr="00DA52B9">
              <w:rPr>
                <w:rFonts w:ascii="Times New Roman" w:hAnsi="Times New Roman" w:cs="Times New Roman"/>
              </w:rPr>
              <w:t xml:space="preserve"> (0, 100)</w:t>
            </w:r>
          </w:p>
        </w:tc>
        <w:tc>
          <w:tcPr>
            <w:tcW w:w="2780" w:type="dxa"/>
            <w:shd w:val="clear" w:color="auto" w:fill="auto"/>
            <w:noWrap/>
            <w:hideMark/>
          </w:tcPr>
          <w:p w14:paraId="0F942745" w14:textId="2D584DB3" w:rsidR="00EE097F" w:rsidRPr="00DA52B9" w:rsidRDefault="00FC7503" w:rsidP="00636873">
            <w:pPr>
              <w:spacing w:after="0" w:line="480" w:lineRule="auto"/>
              <w:jc w:val="center"/>
              <w:rPr>
                <w:rFonts w:ascii="Times New Roman" w:hAnsi="Times New Roman" w:cs="Times New Roman"/>
              </w:rPr>
            </w:pPr>
            <w:r w:rsidRPr="00DA52B9">
              <w:rPr>
                <w:rFonts w:ascii="Times New Roman" w:hAnsi="Times New Roman" w:cs="Times New Roman"/>
              </w:rPr>
              <w:t>2.7</w:t>
            </w:r>
            <w:r w:rsidR="00EE097F" w:rsidRPr="00DA52B9">
              <w:rPr>
                <w:rFonts w:ascii="Times New Roman" w:hAnsi="Times New Roman" w:cs="Times New Roman"/>
              </w:rPr>
              <w:t xml:space="preserve"> (</w:t>
            </w:r>
            <w:r w:rsidR="00C10527" w:rsidRPr="00DA52B9">
              <w:rPr>
                <w:rFonts w:ascii="Times New Roman" w:hAnsi="Times New Roman" w:cs="Times New Roman"/>
              </w:rPr>
              <w:t>0.9</w:t>
            </w:r>
            <w:r w:rsidR="00EE097F" w:rsidRPr="00DA52B9">
              <w:rPr>
                <w:rFonts w:ascii="Times New Roman" w:hAnsi="Times New Roman" w:cs="Times New Roman"/>
              </w:rPr>
              <w:t xml:space="preserve">, </w:t>
            </w:r>
            <w:r w:rsidR="00C10527" w:rsidRPr="00DA52B9">
              <w:rPr>
                <w:rFonts w:ascii="Times New Roman" w:hAnsi="Times New Roman" w:cs="Times New Roman"/>
              </w:rPr>
              <w:t>8.09</w:t>
            </w:r>
            <w:r w:rsidR="00EE097F" w:rsidRPr="00DA52B9">
              <w:rPr>
                <w:rFonts w:ascii="Times New Roman" w:hAnsi="Times New Roman" w:cs="Times New Roman"/>
              </w:rPr>
              <w:t>)</w:t>
            </w:r>
          </w:p>
        </w:tc>
        <w:tc>
          <w:tcPr>
            <w:tcW w:w="1020" w:type="dxa"/>
            <w:gridSpan w:val="2"/>
            <w:shd w:val="clear" w:color="auto" w:fill="auto"/>
            <w:noWrap/>
            <w:hideMark/>
          </w:tcPr>
          <w:p w14:paraId="41B3420E" w14:textId="369EA434"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0.0</w:t>
            </w:r>
            <w:r w:rsidR="00884454" w:rsidRPr="00DA52B9">
              <w:rPr>
                <w:rFonts w:ascii="Times New Roman" w:hAnsi="Times New Roman" w:cs="Times New Roman"/>
              </w:rPr>
              <w:t>8</w:t>
            </w:r>
          </w:p>
        </w:tc>
      </w:tr>
      <w:tr w:rsidR="00EE097F" w:rsidRPr="00DA52B9" w14:paraId="677018BF" w14:textId="77777777" w:rsidTr="00DA52B9">
        <w:trPr>
          <w:gridAfter w:val="1"/>
          <w:wAfter w:w="8" w:type="dxa"/>
          <w:trHeight w:val="320"/>
        </w:trPr>
        <w:tc>
          <w:tcPr>
            <w:tcW w:w="4100" w:type="dxa"/>
            <w:shd w:val="clear" w:color="auto" w:fill="auto"/>
            <w:vAlign w:val="center"/>
            <w:hideMark/>
          </w:tcPr>
          <w:p w14:paraId="53B549C0"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In-hospital mortality, % (95% CI) </w:t>
            </w:r>
          </w:p>
        </w:tc>
        <w:tc>
          <w:tcPr>
            <w:tcW w:w="2780" w:type="dxa"/>
            <w:shd w:val="clear" w:color="auto" w:fill="auto"/>
            <w:noWrap/>
            <w:hideMark/>
          </w:tcPr>
          <w:p w14:paraId="6CDB312D" w14:textId="77777777"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 (0, 100)</w:t>
            </w:r>
          </w:p>
        </w:tc>
        <w:tc>
          <w:tcPr>
            <w:tcW w:w="2780" w:type="dxa"/>
            <w:shd w:val="clear" w:color="auto" w:fill="auto"/>
            <w:noWrap/>
            <w:hideMark/>
          </w:tcPr>
          <w:p w14:paraId="2FFA70CD" w14:textId="77777777"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 (0, 100)</w:t>
            </w:r>
          </w:p>
        </w:tc>
        <w:tc>
          <w:tcPr>
            <w:tcW w:w="2780" w:type="dxa"/>
            <w:shd w:val="clear" w:color="auto" w:fill="auto"/>
            <w:noWrap/>
            <w:hideMark/>
          </w:tcPr>
          <w:p w14:paraId="35C64037" w14:textId="51C980FF"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3.</w:t>
            </w:r>
            <w:r w:rsidR="008F5CDA" w:rsidRPr="00DA52B9">
              <w:rPr>
                <w:rFonts w:ascii="Times New Roman" w:hAnsi="Times New Roman" w:cs="Times New Roman"/>
              </w:rPr>
              <w:t>4</w:t>
            </w:r>
            <w:r w:rsidRPr="00DA52B9">
              <w:rPr>
                <w:rFonts w:ascii="Times New Roman" w:hAnsi="Times New Roman" w:cs="Times New Roman"/>
              </w:rPr>
              <w:t xml:space="preserve"> (</w:t>
            </w:r>
            <w:r w:rsidR="008F5CDA" w:rsidRPr="00DA52B9">
              <w:rPr>
                <w:rFonts w:ascii="Times New Roman" w:hAnsi="Times New Roman" w:cs="Times New Roman"/>
              </w:rPr>
              <w:t>1.06</w:t>
            </w:r>
            <w:r w:rsidRPr="00DA52B9">
              <w:rPr>
                <w:rFonts w:ascii="Times New Roman" w:hAnsi="Times New Roman" w:cs="Times New Roman"/>
              </w:rPr>
              <w:t>, 1</w:t>
            </w:r>
            <w:r w:rsidR="008F5CDA" w:rsidRPr="00DA52B9">
              <w:rPr>
                <w:rFonts w:ascii="Times New Roman" w:hAnsi="Times New Roman" w:cs="Times New Roman"/>
              </w:rPr>
              <w:t>0.82</w:t>
            </w:r>
            <w:r w:rsidRPr="00DA52B9">
              <w:rPr>
                <w:rFonts w:ascii="Times New Roman" w:hAnsi="Times New Roman" w:cs="Times New Roman"/>
              </w:rPr>
              <w:t>)</w:t>
            </w:r>
          </w:p>
        </w:tc>
        <w:tc>
          <w:tcPr>
            <w:tcW w:w="1012" w:type="dxa"/>
            <w:shd w:val="clear" w:color="auto" w:fill="auto"/>
            <w:noWrap/>
            <w:hideMark/>
          </w:tcPr>
          <w:p w14:paraId="119A4C5C" w14:textId="3F33E713" w:rsidR="00EE097F" w:rsidRPr="00DA52B9" w:rsidRDefault="00EE097F" w:rsidP="00636873">
            <w:pPr>
              <w:spacing w:after="0" w:line="480" w:lineRule="auto"/>
              <w:jc w:val="center"/>
              <w:rPr>
                <w:rFonts w:ascii="Times New Roman" w:hAnsi="Times New Roman" w:cs="Times New Roman"/>
              </w:rPr>
            </w:pPr>
            <w:r w:rsidRPr="00DA52B9">
              <w:rPr>
                <w:rFonts w:ascii="Times New Roman" w:hAnsi="Times New Roman" w:cs="Times New Roman"/>
              </w:rPr>
              <w:t>0.</w:t>
            </w:r>
            <w:r w:rsidR="008F5CDA" w:rsidRPr="00DA52B9">
              <w:rPr>
                <w:rFonts w:ascii="Times New Roman" w:hAnsi="Times New Roman" w:cs="Times New Roman"/>
              </w:rPr>
              <w:t>04</w:t>
            </w:r>
          </w:p>
        </w:tc>
      </w:tr>
    </w:tbl>
    <w:p w14:paraId="5272417C"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Note: The analysis did not implement a propensity-match cohort due to limited sample size.</w:t>
      </w:r>
    </w:p>
    <w:p w14:paraId="044713AF" w14:textId="77777777"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Abbreviations: SSI, surgical site infection; HOB, hospital-onset bacteremia; PATOS, [infection] present at time of surgery; RR, relative risk; CI, confidence interval; LOS, length of stay; COB, community-onset bacteremia.</w:t>
      </w:r>
    </w:p>
    <w:p w14:paraId="76B2DD74" w14:textId="203E0694" w:rsidR="00EE097F" w:rsidRPr="00DA52B9" w:rsidRDefault="00EE097F" w:rsidP="00636873">
      <w:pPr>
        <w:spacing w:after="0" w:line="480" w:lineRule="auto"/>
        <w:rPr>
          <w:rFonts w:ascii="Times New Roman" w:hAnsi="Times New Roman" w:cs="Times New Roman"/>
        </w:rPr>
      </w:pPr>
      <w:r w:rsidRPr="00DA52B9">
        <w:rPr>
          <w:rFonts w:ascii="Times New Roman" w:hAnsi="Times New Roman" w:cs="Times New Roman"/>
        </w:rPr>
        <w:t xml:space="preserve">Models were adjusted for age, sex, </w:t>
      </w:r>
      <w:proofErr w:type="spellStart"/>
      <w:r w:rsidRPr="00DA52B9">
        <w:rPr>
          <w:rFonts w:ascii="Times New Roman" w:hAnsi="Times New Roman" w:cs="Times New Roman"/>
        </w:rPr>
        <w:t>ALaRM</w:t>
      </w:r>
      <w:r w:rsidR="00DA52B9">
        <w:rPr>
          <w:rFonts w:ascii="Times New Roman" w:hAnsi="Times New Roman" w:cs="Times New Roman"/>
        </w:rPr>
        <w:t>S</w:t>
      </w:r>
      <w:proofErr w:type="spellEnd"/>
      <w:r w:rsidRPr="00DA52B9">
        <w:rPr>
          <w:rFonts w:ascii="Times New Roman" w:hAnsi="Times New Roman" w:cs="Times New Roman"/>
        </w:rPr>
        <w:t>, insurance payer type, and hospital-level variables (staffed bed size, teaching status, and urbanicity). </w:t>
      </w:r>
    </w:p>
    <w:sectPr w:rsidR="00EE097F" w:rsidRPr="00DA52B9" w:rsidSect="008560C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9A7F" w14:textId="77777777" w:rsidR="00124222" w:rsidRDefault="00124222" w:rsidP="007A52A0">
      <w:pPr>
        <w:spacing w:after="0" w:line="240" w:lineRule="auto"/>
      </w:pPr>
      <w:r>
        <w:separator/>
      </w:r>
    </w:p>
  </w:endnote>
  <w:endnote w:type="continuationSeparator" w:id="0">
    <w:p w14:paraId="598A7740" w14:textId="77777777" w:rsidR="00124222" w:rsidRDefault="00124222" w:rsidP="007A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35701077"/>
      <w:docPartObj>
        <w:docPartGallery w:val="Page Numbers (Bottom of Page)"/>
        <w:docPartUnique/>
      </w:docPartObj>
    </w:sdtPr>
    <w:sdtEndPr>
      <w:rPr>
        <w:noProof/>
      </w:rPr>
    </w:sdtEndPr>
    <w:sdtContent>
      <w:p w14:paraId="784A5E57" w14:textId="4B709927" w:rsidR="007A52A0" w:rsidRPr="007A52A0" w:rsidRDefault="007A52A0">
        <w:pPr>
          <w:pStyle w:val="Footer"/>
          <w:jc w:val="right"/>
          <w:rPr>
            <w:rFonts w:ascii="Times New Roman" w:hAnsi="Times New Roman" w:cs="Times New Roman"/>
          </w:rPr>
        </w:pPr>
        <w:r w:rsidRPr="007A52A0">
          <w:rPr>
            <w:rFonts w:ascii="Times New Roman" w:hAnsi="Times New Roman" w:cs="Times New Roman"/>
          </w:rPr>
          <w:fldChar w:fldCharType="begin"/>
        </w:r>
        <w:r w:rsidRPr="007A52A0">
          <w:rPr>
            <w:rFonts w:ascii="Times New Roman" w:hAnsi="Times New Roman" w:cs="Times New Roman"/>
          </w:rPr>
          <w:instrText xml:space="preserve"> PAGE   \* MERGEFORMAT </w:instrText>
        </w:r>
        <w:r w:rsidRPr="007A52A0">
          <w:rPr>
            <w:rFonts w:ascii="Times New Roman" w:hAnsi="Times New Roman" w:cs="Times New Roman"/>
          </w:rPr>
          <w:fldChar w:fldCharType="separate"/>
        </w:r>
        <w:r w:rsidRPr="007A52A0">
          <w:rPr>
            <w:rFonts w:ascii="Times New Roman" w:hAnsi="Times New Roman" w:cs="Times New Roman"/>
            <w:noProof/>
          </w:rPr>
          <w:t>2</w:t>
        </w:r>
        <w:r w:rsidRPr="007A52A0">
          <w:rPr>
            <w:rFonts w:ascii="Times New Roman" w:hAnsi="Times New Roman" w:cs="Times New Roman"/>
            <w:noProof/>
          </w:rPr>
          <w:fldChar w:fldCharType="end"/>
        </w:r>
      </w:p>
    </w:sdtContent>
  </w:sdt>
  <w:p w14:paraId="234632F5" w14:textId="77777777" w:rsidR="007A52A0" w:rsidRDefault="007A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5D5E" w14:textId="77777777" w:rsidR="00124222" w:rsidRDefault="00124222" w:rsidP="007A52A0">
      <w:pPr>
        <w:spacing w:after="0" w:line="240" w:lineRule="auto"/>
      </w:pPr>
      <w:r>
        <w:separator/>
      </w:r>
    </w:p>
  </w:footnote>
  <w:footnote w:type="continuationSeparator" w:id="0">
    <w:p w14:paraId="1D278308" w14:textId="77777777" w:rsidR="00124222" w:rsidRDefault="00124222" w:rsidP="007A5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D60897"/>
    <w:rsid w:val="00040A71"/>
    <w:rsid w:val="000744B1"/>
    <w:rsid w:val="00096257"/>
    <w:rsid w:val="000E22BA"/>
    <w:rsid w:val="000E4BA2"/>
    <w:rsid w:val="00104576"/>
    <w:rsid w:val="00110274"/>
    <w:rsid w:val="00112011"/>
    <w:rsid w:val="00124222"/>
    <w:rsid w:val="00141E76"/>
    <w:rsid w:val="00154630"/>
    <w:rsid w:val="00175742"/>
    <w:rsid w:val="001F72A3"/>
    <w:rsid w:val="00203849"/>
    <w:rsid w:val="0021691E"/>
    <w:rsid w:val="002413AA"/>
    <w:rsid w:val="0029257A"/>
    <w:rsid w:val="002A5AA1"/>
    <w:rsid w:val="002A7C52"/>
    <w:rsid w:val="002B1E0F"/>
    <w:rsid w:val="002D0F6D"/>
    <w:rsid w:val="003151E8"/>
    <w:rsid w:val="00386766"/>
    <w:rsid w:val="003A5D71"/>
    <w:rsid w:val="003D2496"/>
    <w:rsid w:val="004409D9"/>
    <w:rsid w:val="00474C79"/>
    <w:rsid w:val="00517932"/>
    <w:rsid w:val="005215F8"/>
    <w:rsid w:val="00523743"/>
    <w:rsid w:val="0053058D"/>
    <w:rsid w:val="00535F0C"/>
    <w:rsid w:val="00541DFE"/>
    <w:rsid w:val="005D089A"/>
    <w:rsid w:val="005E0C21"/>
    <w:rsid w:val="00630638"/>
    <w:rsid w:val="00636873"/>
    <w:rsid w:val="00693850"/>
    <w:rsid w:val="006A0C71"/>
    <w:rsid w:val="006A31B8"/>
    <w:rsid w:val="006A6DCF"/>
    <w:rsid w:val="006C45C7"/>
    <w:rsid w:val="006C60A3"/>
    <w:rsid w:val="006D194B"/>
    <w:rsid w:val="006F12ED"/>
    <w:rsid w:val="007022F6"/>
    <w:rsid w:val="00714802"/>
    <w:rsid w:val="007247E1"/>
    <w:rsid w:val="0073029D"/>
    <w:rsid w:val="00743276"/>
    <w:rsid w:val="00753606"/>
    <w:rsid w:val="00755CE0"/>
    <w:rsid w:val="00791203"/>
    <w:rsid w:val="007A52A0"/>
    <w:rsid w:val="007E6875"/>
    <w:rsid w:val="007F1552"/>
    <w:rsid w:val="008015A9"/>
    <w:rsid w:val="0085162C"/>
    <w:rsid w:val="008560CE"/>
    <w:rsid w:val="00884454"/>
    <w:rsid w:val="0089314C"/>
    <w:rsid w:val="008D34AE"/>
    <w:rsid w:val="008E26FC"/>
    <w:rsid w:val="008F5CDA"/>
    <w:rsid w:val="0090190C"/>
    <w:rsid w:val="00902299"/>
    <w:rsid w:val="00915D58"/>
    <w:rsid w:val="00921E2D"/>
    <w:rsid w:val="009317E7"/>
    <w:rsid w:val="009457D8"/>
    <w:rsid w:val="00951F62"/>
    <w:rsid w:val="00985DC9"/>
    <w:rsid w:val="009A0A2A"/>
    <w:rsid w:val="009B0CBB"/>
    <w:rsid w:val="009C5C7E"/>
    <w:rsid w:val="00A3278A"/>
    <w:rsid w:val="00A348FF"/>
    <w:rsid w:val="00A80E40"/>
    <w:rsid w:val="00AE5349"/>
    <w:rsid w:val="00B3555C"/>
    <w:rsid w:val="00B55C05"/>
    <w:rsid w:val="00B56BEA"/>
    <w:rsid w:val="00B72E64"/>
    <w:rsid w:val="00B96EC0"/>
    <w:rsid w:val="00BA3063"/>
    <w:rsid w:val="00BB7F53"/>
    <w:rsid w:val="00BF0C19"/>
    <w:rsid w:val="00C10527"/>
    <w:rsid w:val="00C16B9B"/>
    <w:rsid w:val="00C16CF2"/>
    <w:rsid w:val="00C3670C"/>
    <w:rsid w:val="00C371F2"/>
    <w:rsid w:val="00C529CC"/>
    <w:rsid w:val="00C754C8"/>
    <w:rsid w:val="00C83C14"/>
    <w:rsid w:val="00CA667B"/>
    <w:rsid w:val="00CC70D6"/>
    <w:rsid w:val="00D0390D"/>
    <w:rsid w:val="00D15375"/>
    <w:rsid w:val="00D72DC3"/>
    <w:rsid w:val="00DA52B9"/>
    <w:rsid w:val="00DB3709"/>
    <w:rsid w:val="00DC7A56"/>
    <w:rsid w:val="00DF5DBC"/>
    <w:rsid w:val="00E17A9D"/>
    <w:rsid w:val="00E25AA7"/>
    <w:rsid w:val="00E86202"/>
    <w:rsid w:val="00EE097F"/>
    <w:rsid w:val="00EF69C7"/>
    <w:rsid w:val="00F04A6D"/>
    <w:rsid w:val="00F20078"/>
    <w:rsid w:val="00F51400"/>
    <w:rsid w:val="00F52417"/>
    <w:rsid w:val="00F643A6"/>
    <w:rsid w:val="00FC7503"/>
    <w:rsid w:val="00FD5761"/>
    <w:rsid w:val="0B3B3C41"/>
    <w:rsid w:val="0B792513"/>
    <w:rsid w:val="0E963963"/>
    <w:rsid w:val="11D110BA"/>
    <w:rsid w:val="166FAC49"/>
    <w:rsid w:val="17D4CF6A"/>
    <w:rsid w:val="20E62282"/>
    <w:rsid w:val="235CE817"/>
    <w:rsid w:val="26C42CA6"/>
    <w:rsid w:val="2B1B3051"/>
    <w:rsid w:val="2EE23A41"/>
    <w:rsid w:val="34149606"/>
    <w:rsid w:val="3BD288D2"/>
    <w:rsid w:val="48EEEB56"/>
    <w:rsid w:val="4EDFAF5C"/>
    <w:rsid w:val="54022AB5"/>
    <w:rsid w:val="5BF81CAB"/>
    <w:rsid w:val="62D60897"/>
    <w:rsid w:val="6431DB4C"/>
    <w:rsid w:val="646B5ECC"/>
    <w:rsid w:val="6C753393"/>
    <w:rsid w:val="7E34E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0897"/>
  <w15:chartTrackingRefBased/>
  <w15:docId w15:val="{DD658709-1CFE-46FA-809A-BCC0177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F1552"/>
    <w:rPr>
      <w:b/>
      <w:bCs/>
    </w:rPr>
  </w:style>
  <w:style w:type="character" w:customStyle="1" w:styleId="CommentSubjectChar">
    <w:name w:val="Comment Subject Char"/>
    <w:basedOn w:val="CommentTextChar"/>
    <w:link w:val="CommentSubject"/>
    <w:uiPriority w:val="99"/>
    <w:semiHidden/>
    <w:rsid w:val="007F1552"/>
    <w:rPr>
      <w:b/>
      <w:bCs/>
      <w:sz w:val="20"/>
      <w:szCs w:val="20"/>
    </w:rPr>
  </w:style>
  <w:style w:type="paragraph" w:styleId="Header">
    <w:name w:val="header"/>
    <w:basedOn w:val="Normal"/>
    <w:link w:val="HeaderChar"/>
    <w:uiPriority w:val="99"/>
    <w:unhideWhenUsed/>
    <w:rsid w:val="007A5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2A0"/>
  </w:style>
  <w:style w:type="paragraph" w:styleId="Footer">
    <w:name w:val="footer"/>
    <w:basedOn w:val="Normal"/>
    <w:link w:val="FooterChar"/>
    <w:uiPriority w:val="99"/>
    <w:unhideWhenUsed/>
    <w:rsid w:val="007A5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826">
      <w:bodyDiv w:val="1"/>
      <w:marLeft w:val="0"/>
      <w:marRight w:val="0"/>
      <w:marTop w:val="0"/>
      <w:marBottom w:val="0"/>
      <w:divBdr>
        <w:top w:val="none" w:sz="0" w:space="0" w:color="auto"/>
        <w:left w:val="none" w:sz="0" w:space="0" w:color="auto"/>
        <w:bottom w:val="none" w:sz="0" w:space="0" w:color="auto"/>
        <w:right w:val="none" w:sz="0" w:space="0" w:color="auto"/>
      </w:divBdr>
    </w:div>
    <w:div w:id="225071600">
      <w:bodyDiv w:val="1"/>
      <w:marLeft w:val="0"/>
      <w:marRight w:val="0"/>
      <w:marTop w:val="0"/>
      <w:marBottom w:val="0"/>
      <w:divBdr>
        <w:top w:val="none" w:sz="0" w:space="0" w:color="auto"/>
        <w:left w:val="none" w:sz="0" w:space="0" w:color="auto"/>
        <w:bottom w:val="none" w:sz="0" w:space="0" w:color="auto"/>
        <w:right w:val="none" w:sz="0" w:space="0" w:color="auto"/>
      </w:divBdr>
    </w:div>
    <w:div w:id="920794486">
      <w:bodyDiv w:val="1"/>
      <w:marLeft w:val="0"/>
      <w:marRight w:val="0"/>
      <w:marTop w:val="0"/>
      <w:marBottom w:val="0"/>
      <w:divBdr>
        <w:top w:val="none" w:sz="0" w:space="0" w:color="auto"/>
        <w:left w:val="none" w:sz="0" w:space="0" w:color="auto"/>
        <w:bottom w:val="none" w:sz="0" w:space="0" w:color="auto"/>
        <w:right w:val="none" w:sz="0" w:space="0" w:color="auto"/>
      </w:divBdr>
    </w:div>
    <w:div w:id="2014264164">
      <w:bodyDiv w:val="1"/>
      <w:marLeft w:val="0"/>
      <w:marRight w:val="0"/>
      <w:marTop w:val="0"/>
      <w:marBottom w:val="0"/>
      <w:divBdr>
        <w:top w:val="none" w:sz="0" w:space="0" w:color="auto"/>
        <w:left w:val="none" w:sz="0" w:space="0" w:color="auto"/>
        <w:bottom w:val="none" w:sz="0" w:space="0" w:color="auto"/>
        <w:right w:val="none" w:sz="0" w:space="0" w:color="auto"/>
      </w:divBdr>
    </w:div>
    <w:div w:id="2091539644">
      <w:bodyDiv w:val="1"/>
      <w:marLeft w:val="0"/>
      <w:marRight w:val="0"/>
      <w:marTop w:val="0"/>
      <w:marBottom w:val="0"/>
      <w:divBdr>
        <w:top w:val="none" w:sz="0" w:space="0" w:color="auto"/>
        <w:left w:val="none" w:sz="0" w:space="0" w:color="auto"/>
        <w:bottom w:val="none" w:sz="0" w:space="0" w:color="auto"/>
        <w:right w:val="none" w:sz="0" w:space="0" w:color="auto"/>
      </w:divBdr>
    </w:div>
    <w:div w:id="21138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9F178D9BFC5409281A6354B7799EC" ma:contentTypeVersion="14" ma:contentTypeDescription="Create a new document." ma:contentTypeScope="" ma:versionID="10177caf66c09b9e71b6c9c40c3eecb2">
  <xsd:schema xmlns:xsd="http://www.w3.org/2001/XMLSchema" xmlns:xs="http://www.w3.org/2001/XMLSchema" xmlns:p="http://schemas.microsoft.com/office/2006/metadata/properties" xmlns:ns2="ce45bae4-02dd-4c3e-b72b-408201d18ea7" xmlns:ns3="033fee48-ea87-4260-9c9f-b5342489b792" targetNamespace="http://schemas.microsoft.com/office/2006/metadata/properties" ma:root="true" ma:fieldsID="bc006c86ef124749d92dd3b7e1596bd7" ns2:_="" ns3:_="">
    <xsd:import namespace="ce45bae4-02dd-4c3e-b72b-408201d18ea7"/>
    <xsd:import namespace="033fee48-ea87-4260-9c9f-b5342489b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5bae4-02dd-4c3e-b72b-408201d1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d104d9-2970-43dd-b406-660e55edb1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fee48-ea87-4260-9c9f-b5342489b7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45bae4-02dd-4c3e-b72b-408201d18e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D4AB7-E99C-46DD-9631-964BD072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5bae4-02dd-4c3e-b72b-408201d18ea7"/>
    <ds:schemaRef ds:uri="033fee48-ea87-4260-9c9f-b5342489b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51AE2-92DF-4E66-A8CF-5665EA67F593}">
  <ds:schemaRefs>
    <ds:schemaRef ds:uri="http://schemas.microsoft.com/office/2006/metadata/properties"/>
    <ds:schemaRef ds:uri="http://schemas.microsoft.com/office/infopath/2007/PartnerControls"/>
    <ds:schemaRef ds:uri="ce45bae4-02dd-4c3e-b72b-408201d18ea7"/>
  </ds:schemaRefs>
</ds:datastoreItem>
</file>

<file path=customXml/itemProps3.xml><?xml version="1.0" encoding="utf-8"?>
<ds:datastoreItem xmlns:ds="http://schemas.openxmlformats.org/officeDocument/2006/customXml" ds:itemID="{881410E1-DE93-4946-A187-69C340E056A8}">
  <ds:schemaRefs>
    <ds:schemaRef ds:uri="http://schemas.microsoft.com/sharepoint/v3/contenttype/forms"/>
  </ds:schemaRefs>
</ds:datastoreItem>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ChinEn Ai</dc:creator>
  <cp:keywords/>
  <dc:description/>
  <cp:lastModifiedBy>Stephanie Tedford</cp:lastModifiedBy>
  <cp:revision>3</cp:revision>
  <dcterms:created xsi:type="dcterms:W3CDTF">2024-12-17T22:17:00Z</dcterms:created>
  <dcterms:modified xsi:type="dcterms:W3CDTF">2024-12-17T22:22:00Z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0x010100EE69F178D9BFC5409281A6354B7799EC</vt:lpwstr>
  </property>
  <property fmtid="{D5CDD505-2E9C-101B-9397-08002B2CF9AE}" pid="3" name="MediaServiceImageTags">
    <vt:lpwstr/>
  </property>
</Properties>
</file>