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A2D" w:rsidRDefault="00344A2D" w:rsidP="00827DF0">
      <w:pPr>
        <w:pStyle w:val="Titre2"/>
        <w:spacing w:line="48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 xml:space="preserve">Supplementary data </w:t>
      </w:r>
    </w:p>
    <w:p w:rsidR="00827DF0" w:rsidRPr="00827DF0" w:rsidRDefault="00827DF0" w:rsidP="00827DF0">
      <w:pPr>
        <w:rPr>
          <w:lang w:val="en-US"/>
        </w:rPr>
      </w:pPr>
    </w:p>
    <w:p w:rsidR="00344A2D" w:rsidRDefault="00344A2D" w:rsidP="00827DF0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color w:val="000000"/>
          <w:lang w:val="en-US"/>
        </w:rPr>
      </w:pPr>
      <w:r w:rsidRPr="002036D0">
        <w:rPr>
          <w:rFonts w:ascii="Calibri" w:hAnsi="Calibri" w:cs="Calibri"/>
          <w:color w:val="000000"/>
          <w:lang w:val="en-US"/>
        </w:rPr>
        <w:t xml:space="preserve">Table </w:t>
      </w:r>
      <w:r>
        <w:rPr>
          <w:rFonts w:ascii="Calibri" w:hAnsi="Calibri" w:cs="Calibri"/>
          <w:color w:val="000000"/>
          <w:lang w:val="en-US"/>
        </w:rPr>
        <w:t>S</w:t>
      </w:r>
      <w:r w:rsidRPr="002036D0">
        <w:rPr>
          <w:rFonts w:ascii="Calibri" w:hAnsi="Calibri" w:cs="Calibri"/>
          <w:color w:val="000000"/>
          <w:lang w:val="en-US"/>
        </w:rPr>
        <w:t xml:space="preserve">1. </w:t>
      </w:r>
      <w:r>
        <w:rPr>
          <w:rFonts w:ascii="Calibri" w:hAnsi="Calibri" w:cs="Calibri"/>
          <w:color w:val="000000"/>
          <w:lang w:val="en-US"/>
        </w:rPr>
        <w:t>CDI and MRSA HAI definition used by clinical coding team and IPC team in Ontario, Canada</w:t>
      </w:r>
    </w:p>
    <w:tbl>
      <w:tblPr>
        <w:tblStyle w:val="Tableausimple2"/>
        <w:tblW w:w="0" w:type="auto"/>
        <w:tblLook w:val="04A0" w:firstRow="1" w:lastRow="0" w:firstColumn="1" w:lastColumn="0" w:noHBand="0" w:noVBand="1"/>
      </w:tblPr>
      <w:tblGrid>
        <w:gridCol w:w="720"/>
        <w:gridCol w:w="1413"/>
        <w:gridCol w:w="6507"/>
      </w:tblGrid>
      <w:tr w:rsidR="00344A2D" w:rsidRPr="005E0992" w:rsidTr="00827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7F7F7F" w:themeColor="text1" w:themeTint="80"/>
            </w:tcBorders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7F7F7F" w:themeColor="text1" w:themeTint="80"/>
              <w:right w:val="single" w:sz="4" w:space="0" w:color="E7E6E6" w:themeColor="background2"/>
            </w:tcBorders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08" w:type="dxa"/>
            <w:tcBorders>
              <w:top w:val="single" w:sz="4" w:space="0" w:color="7F7F7F" w:themeColor="text1" w:themeTint="80"/>
              <w:left w:val="single" w:sz="4" w:space="0" w:color="E7E6E6" w:themeColor="background2"/>
            </w:tcBorders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Definitions</w:t>
            </w:r>
          </w:p>
        </w:tc>
      </w:tr>
      <w:tr w:rsidR="00344A2D" w:rsidRPr="003658A1" w:rsidTr="00827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CDI</w:t>
            </w:r>
          </w:p>
        </w:tc>
        <w:tc>
          <w:tcPr>
            <w:tcW w:w="1413" w:type="dxa"/>
            <w:tcBorders>
              <w:right w:val="single" w:sz="4" w:space="0" w:color="E7E6E6" w:themeColor="background2"/>
            </w:tcBorders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Clinical coding team - Positive chart</w:t>
            </w:r>
          </w:p>
        </w:tc>
        <w:tc>
          <w:tcPr>
            <w:tcW w:w="6508" w:type="dxa"/>
            <w:tcBorders>
              <w:left w:val="single" w:sz="4" w:space="0" w:color="E7E6E6" w:themeColor="background2"/>
            </w:tcBorders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A04.7 type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</w:t>
            </w:r>
            <w:r w:rsidRPr="005E0992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2</w:t>
            </w:r>
          </w:p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E09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Exclusion:</w:t>
            </w:r>
          </w:p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1. Abstracts with age on admission less than 1 year </w:t>
            </w:r>
          </w:p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2. Abstracts with a length of stay less than 3 days </w:t>
            </w:r>
          </w:p>
        </w:tc>
      </w:tr>
      <w:tr w:rsidR="00344A2D" w:rsidRPr="005E0992" w:rsidTr="00827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E7E6E6" w:themeColor="background2"/>
            </w:tcBorders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Clinical coding team - Negative chart</w:t>
            </w:r>
          </w:p>
        </w:tc>
        <w:tc>
          <w:tcPr>
            <w:tcW w:w="6508" w:type="dxa"/>
            <w:tcBorders>
              <w:top w:val="single" w:sz="4" w:space="0" w:color="7F7F7F" w:themeColor="text1" w:themeTint="80"/>
              <w:left w:val="single" w:sz="4" w:space="0" w:color="E7E6E6" w:themeColor="background2"/>
              <w:bottom w:val="single" w:sz="4" w:space="0" w:color="7F7F7F" w:themeColor="text1" w:themeTint="80"/>
            </w:tcBorders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A04.7 type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-1</w:t>
            </w:r>
          </w:p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44A2D" w:rsidRPr="003658A1" w:rsidTr="00827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right w:val="single" w:sz="4" w:space="0" w:color="E7E6E6" w:themeColor="background2"/>
            </w:tcBorders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IPC team - HAI</w:t>
            </w:r>
          </w:p>
        </w:tc>
        <w:tc>
          <w:tcPr>
            <w:tcW w:w="6508" w:type="dxa"/>
            <w:tcBorders>
              <w:left w:val="single" w:sz="4" w:space="0" w:color="E7E6E6" w:themeColor="background2"/>
            </w:tcBorders>
          </w:tcPr>
          <w:p w:rsidR="00344A2D" w:rsidRPr="00290DE5" w:rsidRDefault="00344A2D" w:rsidP="00827DF0">
            <w:pPr>
              <w:pStyle w:val="Default"/>
              <w:widowControl/>
              <w:spacing w:line="276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color w:val="auto"/>
                <w:sz w:val="20"/>
                <w:szCs w:val="18"/>
              </w:rPr>
              <w:t xml:space="preserve">(1) </w:t>
            </w:r>
            <w:r w:rsidRPr="00C400EF">
              <w:rPr>
                <w:rFonts w:ascii="Calibri" w:hAnsi="Calibri" w:cs="Calibri"/>
                <w:color w:val="auto"/>
                <w:sz w:val="20"/>
                <w:szCs w:val="18"/>
              </w:rPr>
              <w:t>Diarrhea</w:t>
            </w:r>
            <w:r>
              <w:rPr>
                <w:rFonts w:ascii="Calibri" w:hAnsi="Calibri" w:cs="Calibri"/>
                <w:color w:val="auto"/>
                <w:sz w:val="20"/>
                <w:szCs w:val="18"/>
              </w:rPr>
              <w:t>*</w:t>
            </w:r>
            <w:r w:rsidRPr="00C400EF">
              <w:rPr>
                <w:rFonts w:ascii="Calibri" w:hAnsi="Calibri" w:cs="Calibri"/>
                <w:color w:val="auto"/>
                <w:sz w:val="20"/>
                <w:szCs w:val="18"/>
              </w:rPr>
              <w:t xml:space="preserve"> with laboratory confirmation of a positive toxin assay (A/B) for </w:t>
            </w:r>
            <w:r w:rsidRPr="00C400EF">
              <w:rPr>
                <w:rFonts w:ascii="Calibri" w:hAnsi="Calibri" w:cs="Calibri"/>
                <w:i/>
                <w:color w:val="auto"/>
                <w:sz w:val="20"/>
                <w:szCs w:val="18"/>
              </w:rPr>
              <w:t>C. difficile</w:t>
            </w:r>
            <w:r w:rsidRPr="00C400EF">
              <w:rPr>
                <w:rFonts w:ascii="Calibri" w:hAnsi="Calibri" w:cs="Calibri"/>
                <w:color w:val="auto"/>
                <w:sz w:val="20"/>
                <w:szCs w:val="18"/>
              </w:rPr>
              <w:t>;</w:t>
            </w:r>
            <w:r>
              <w:rPr>
                <w:rFonts w:ascii="Calibri" w:hAnsi="Calibri" w:cs="Calibri"/>
                <w:color w:val="auto"/>
                <w:sz w:val="20"/>
                <w:szCs w:val="18"/>
              </w:rPr>
              <w:t xml:space="preserve"> </w:t>
            </w:r>
            <w:r w:rsidRPr="001F6676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 xml:space="preserve">OR </w:t>
            </w:r>
            <w:r>
              <w:rPr>
                <w:rFonts w:ascii="Calibri" w:hAnsi="Calibri" w:cs="Calibri"/>
                <w:color w:val="auto"/>
                <w:sz w:val="20"/>
                <w:szCs w:val="18"/>
              </w:rPr>
              <w:t xml:space="preserve">(2) </w:t>
            </w:r>
            <w:r w:rsidRPr="00C400EF">
              <w:rPr>
                <w:rFonts w:ascii="Calibri" w:hAnsi="Calibri" w:cs="Calibri"/>
                <w:color w:val="auto"/>
                <w:sz w:val="20"/>
                <w:szCs w:val="18"/>
              </w:rPr>
              <w:t xml:space="preserve">Visualization of pseudomembranes on sigmoidoscopy or colonoscopy; </w:t>
            </w:r>
            <w:r w:rsidRPr="001F6676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 xml:space="preserve">OR </w:t>
            </w:r>
            <w:r>
              <w:rPr>
                <w:rFonts w:ascii="Calibri" w:hAnsi="Calibri" w:cs="Calibri"/>
                <w:color w:val="auto"/>
                <w:sz w:val="20"/>
                <w:szCs w:val="18"/>
              </w:rPr>
              <w:t xml:space="preserve">(3) </w:t>
            </w:r>
            <w:r w:rsidRPr="00C400EF">
              <w:rPr>
                <w:rFonts w:ascii="Calibri" w:hAnsi="Calibri" w:cs="Calibri"/>
                <w:color w:val="auto"/>
                <w:sz w:val="20"/>
                <w:szCs w:val="18"/>
              </w:rPr>
              <w:t xml:space="preserve">Histological/pathological diagnosis of pseudomembranous colitis. </w:t>
            </w:r>
          </w:p>
          <w:p w:rsidR="00344A2D" w:rsidRPr="003B1AA5" w:rsidRDefault="00344A2D" w:rsidP="00827DF0">
            <w:pPr>
              <w:spacing w:line="276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18"/>
                <w:lang w:val="en-CA"/>
              </w:rPr>
            </w:pPr>
            <w:r w:rsidRPr="00C400EF">
              <w:rPr>
                <w:rFonts w:ascii="Calibri" w:hAnsi="Calibri" w:cs="Calibri"/>
                <w:sz w:val="20"/>
                <w:szCs w:val="18"/>
                <w:lang w:val="en-CA"/>
              </w:rPr>
              <w:t>*Diarrhea is defined as:</w:t>
            </w:r>
            <w:r w:rsidR="00827DF0">
              <w:rPr>
                <w:rFonts w:ascii="Calibri" w:hAnsi="Calibri" w:cs="Calibri"/>
                <w:sz w:val="20"/>
                <w:szCs w:val="18"/>
                <w:lang w:val="en-CA"/>
              </w:rPr>
              <w:t xml:space="preserve"> </w:t>
            </w:r>
            <w:r w:rsidRPr="00C400EF">
              <w:rPr>
                <w:rFonts w:ascii="Calibri" w:hAnsi="Calibri" w:cs="Calibri"/>
                <w:sz w:val="20"/>
                <w:szCs w:val="18"/>
                <w:lang w:val="en-CA"/>
              </w:rPr>
              <w:t xml:space="preserve">loose/watery bowel movements (conform to the shape of the container) </w:t>
            </w:r>
            <w:r>
              <w:rPr>
                <w:rFonts w:ascii="Calibri" w:hAnsi="Calibri" w:cs="Calibri"/>
                <w:sz w:val="20"/>
                <w:szCs w:val="18"/>
                <w:lang w:val="en-CA"/>
              </w:rPr>
              <w:t xml:space="preserve">AND </w:t>
            </w:r>
            <w:r w:rsidRPr="00C400EF">
              <w:rPr>
                <w:rFonts w:ascii="Calibri" w:hAnsi="Calibri" w:cs="Calibri"/>
                <w:sz w:val="20"/>
                <w:szCs w:val="18"/>
                <w:lang w:val="en-CA"/>
              </w:rPr>
              <w:t xml:space="preserve">the bowel movements are unusual or different for the patient, </w:t>
            </w:r>
            <w:r>
              <w:rPr>
                <w:rFonts w:ascii="Calibri" w:hAnsi="Calibri" w:cs="Calibri"/>
                <w:sz w:val="20"/>
                <w:szCs w:val="18"/>
                <w:lang w:val="en-CA"/>
              </w:rPr>
              <w:t xml:space="preserve">AND </w:t>
            </w:r>
            <w:r w:rsidRPr="00C400EF">
              <w:rPr>
                <w:rFonts w:ascii="Calibri" w:hAnsi="Calibri" w:cs="Calibri"/>
                <w:sz w:val="20"/>
                <w:szCs w:val="18"/>
                <w:lang w:val="en-CA"/>
              </w:rPr>
              <w:t>there is no other recognized etiology for the diarrhea (for example, laxative use)</w:t>
            </w:r>
          </w:p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90DE5">
              <w:rPr>
                <w:rFonts w:ascii="Calibri" w:hAnsi="Calibri" w:cs="Calibri"/>
                <w:b/>
                <w:sz w:val="20"/>
                <w:szCs w:val="18"/>
                <w:lang w:val="en-CA"/>
              </w:rPr>
              <w:t xml:space="preserve">HAI </w:t>
            </w:r>
            <w:r>
              <w:rPr>
                <w:rFonts w:ascii="Calibri" w:hAnsi="Calibri" w:cs="Calibri"/>
                <w:b/>
                <w:sz w:val="20"/>
                <w:szCs w:val="18"/>
                <w:lang w:val="en-CA"/>
              </w:rPr>
              <w:t>–</w:t>
            </w:r>
            <w:r>
              <w:rPr>
                <w:rFonts w:ascii="Calibri" w:hAnsi="Calibri" w:cs="Calibri"/>
                <w:bCs/>
                <w:sz w:val="20"/>
                <w:szCs w:val="18"/>
                <w:lang w:val="en-CA"/>
              </w:rPr>
              <w:t xml:space="preserve"> if the case </w:t>
            </w:r>
            <w:r w:rsidRPr="00C400EF">
              <w:rPr>
                <w:rFonts w:ascii="Calibri" w:hAnsi="Calibri" w:cs="Calibri"/>
                <w:sz w:val="20"/>
                <w:szCs w:val="18"/>
                <w:lang w:val="en-CA"/>
              </w:rPr>
              <w:t>meets the case definition for C</w:t>
            </w:r>
            <w:r>
              <w:rPr>
                <w:rFonts w:ascii="Calibri" w:hAnsi="Calibri" w:cs="Calibri"/>
                <w:sz w:val="20"/>
                <w:szCs w:val="18"/>
                <w:lang w:val="en-CA"/>
              </w:rPr>
              <w:t>DI</w:t>
            </w:r>
            <w:r w:rsidRPr="00C400EF">
              <w:rPr>
                <w:rFonts w:ascii="Calibri" w:hAnsi="Calibri" w:cs="Calibri"/>
                <w:sz w:val="20"/>
                <w:szCs w:val="18"/>
                <w:lang w:val="en-CA"/>
              </w:rPr>
              <w:t>; AND</w:t>
            </w:r>
            <w:r>
              <w:rPr>
                <w:rFonts w:ascii="Calibri" w:hAnsi="Calibri" w:cs="Calibri"/>
                <w:sz w:val="20"/>
                <w:szCs w:val="18"/>
                <w:lang w:val="en-CA"/>
              </w:rPr>
              <w:t xml:space="preserve"> </w:t>
            </w:r>
            <w:r w:rsidRPr="00C400EF">
              <w:rPr>
                <w:rFonts w:ascii="Calibri" w:hAnsi="Calibri" w:cs="Calibri"/>
                <w:sz w:val="20"/>
                <w:szCs w:val="18"/>
                <w:lang w:val="en-CA"/>
              </w:rPr>
              <w:t>CD</w:t>
            </w:r>
            <w:r>
              <w:rPr>
                <w:rFonts w:ascii="Calibri" w:hAnsi="Calibri" w:cs="Calibri"/>
                <w:sz w:val="20"/>
                <w:szCs w:val="18"/>
                <w:lang w:val="en-CA"/>
              </w:rPr>
              <w:t>I</w:t>
            </w:r>
            <w:r w:rsidRPr="00C400EF">
              <w:rPr>
                <w:rFonts w:ascii="Calibri" w:hAnsi="Calibri" w:cs="Calibri"/>
                <w:sz w:val="20"/>
                <w:szCs w:val="18"/>
                <w:lang w:val="en-CA"/>
              </w:rPr>
              <w:t xml:space="preserve"> was not present on admission (i.e., onset of symptoms &gt;72 hours after admission); OR</w:t>
            </w:r>
            <w:r>
              <w:rPr>
                <w:rFonts w:ascii="Calibri" w:hAnsi="Calibri" w:cs="Calibri"/>
                <w:bCs/>
                <w:sz w:val="20"/>
                <w:szCs w:val="18"/>
                <w:lang w:val="en-CA"/>
              </w:rPr>
              <w:t xml:space="preserve"> </w:t>
            </w:r>
            <w:r w:rsidRPr="00C400EF">
              <w:rPr>
                <w:rFonts w:ascii="Calibri" w:hAnsi="Calibri" w:cs="Calibri"/>
                <w:sz w:val="20"/>
                <w:szCs w:val="18"/>
                <w:lang w:val="en-CA"/>
              </w:rPr>
              <w:t>the infection was present at time of admission, but patient was admitted to the same facility within the last 4 weeks</w:t>
            </w:r>
            <w:r>
              <w:rPr>
                <w:rFonts w:ascii="Calibri" w:hAnsi="Calibri" w:cs="Calibri"/>
                <w:sz w:val="20"/>
                <w:szCs w:val="18"/>
                <w:lang w:val="en-CA"/>
              </w:rPr>
              <w:t xml:space="preserve">, </w:t>
            </w:r>
            <w:r w:rsidRPr="00C400EF">
              <w:rPr>
                <w:rFonts w:ascii="Calibri" w:hAnsi="Calibri" w:cs="Calibri"/>
                <w:sz w:val="20"/>
                <w:szCs w:val="18"/>
                <w:lang w:val="en-CA"/>
              </w:rPr>
              <w:t>AND</w:t>
            </w:r>
            <w:r>
              <w:rPr>
                <w:rFonts w:ascii="Calibri" w:hAnsi="Calibri" w:cs="Calibri"/>
                <w:sz w:val="20"/>
                <w:szCs w:val="18"/>
                <w:lang w:val="en-CA"/>
              </w:rPr>
              <w:t xml:space="preserve"> </w:t>
            </w:r>
            <w:r w:rsidRPr="00C400EF">
              <w:rPr>
                <w:rFonts w:ascii="Calibri" w:hAnsi="Calibri" w:cs="Calibri"/>
                <w:sz w:val="20"/>
                <w:szCs w:val="18"/>
                <w:lang w:val="en-CA"/>
              </w:rPr>
              <w:t>the case has not had CD</w:t>
            </w:r>
            <w:r>
              <w:rPr>
                <w:rFonts w:ascii="Calibri" w:hAnsi="Calibri" w:cs="Calibri"/>
                <w:sz w:val="20"/>
                <w:szCs w:val="18"/>
                <w:lang w:val="en-CA"/>
              </w:rPr>
              <w:t>I</w:t>
            </w:r>
            <w:r w:rsidRPr="00C400EF">
              <w:rPr>
                <w:rFonts w:ascii="Calibri" w:hAnsi="Calibri" w:cs="Calibri"/>
                <w:sz w:val="20"/>
                <w:szCs w:val="18"/>
                <w:lang w:val="en-CA"/>
              </w:rPr>
              <w:t xml:space="preserve"> in the past 8 weeks.</w:t>
            </w:r>
          </w:p>
        </w:tc>
      </w:tr>
      <w:tr w:rsidR="00344A2D" w:rsidRPr="00827DF0" w:rsidTr="00827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MRSA</w:t>
            </w:r>
          </w:p>
        </w:tc>
        <w:tc>
          <w:tcPr>
            <w:tcW w:w="141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E7E6E6" w:themeColor="background2"/>
            </w:tcBorders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Clinical coding team - Positive chart</w:t>
            </w:r>
          </w:p>
        </w:tc>
        <w:tc>
          <w:tcPr>
            <w:tcW w:w="6508" w:type="dxa"/>
            <w:tcBorders>
              <w:top w:val="single" w:sz="4" w:space="0" w:color="7F7F7F" w:themeColor="text1" w:themeTint="80"/>
              <w:left w:val="single" w:sz="4" w:space="0" w:color="E7E6E6" w:themeColor="background2"/>
              <w:bottom w:val="single" w:sz="4" w:space="0" w:color="7F7F7F" w:themeColor="text1" w:themeTint="80"/>
            </w:tcBorders>
          </w:tcPr>
          <w:p w:rsidR="00344A2D" w:rsidRPr="002036D0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A41.0 type-2 or type-3 AND U82.1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A49.0 type-2 AND U82.1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J15.2 type-2 AND U82.1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G00.3 type-2 AND U82.1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L00 type-2 AND U82.1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M00.0– type-2 AND U82.1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B95.6 type-3 AND U82.1</w:t>
            </w:r>
          </w:p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036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Exclusion: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Abstracts with a length of stay less than 3 days </w:t>
            </w:r>
          </w:p>
        </w:tc>
      </w:tr>
      <w:tr w:rsidR="00344A2D" w:rsidRPr="005E0992" w:rsidTr="00827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right w:val="single" w:sz="4" w:space="0" w:color="E7E6E6" w:themeColor="background2"/>
            </w:tcBorders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Clinical coding team - Negative chart</w:t>
            </w:r>
          </w:p>
        </w:tc>
        <w:tc>
          <w:tcPr>
            <w:tcW w:w="6508" w:type="dxa"/>
            <w:tcBorders>
              <w:left w:val="single" w:sz="4" w:space="0" w:color="E7E6E6" w:themeColor="background2"/>
            </w:tcBorders>
          </w:tcPr>
          <w:p w:rsidR="00344A2D" w:rsidRPr="002036D0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A41.0 type-2 or type-3 AND U82.1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A49.0 type-2 AND U82.1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J15.2 type-2 AND U82.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1,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G00.3 type-2 AND U82.1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L00 type-2 AND U82.1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M00.0– type-2 AND U82.1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B95.6 type-3 AND U82.1</w:t>
            </w:r>
          </w:p>
          <w:p w:rsidR="00344A2D" w:rsidRPr="002036D0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036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Exclusion:</w:t>
            </w:r>
          </w:p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036D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All positive charts</w:t>
            </w:r>
          </w:p>
        </w:tc>
      </w:tr>
      <w:tr w:rsidR="00344A2D" w:rsidRPr="00827DF0" w:rsidTr="00827DF0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E7E6E6" w:themeColor="background2"/>
            </w:tcBorders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IPC team - HAI</w:t>
            </w:r>
          </w:p>
        </w:tc>
        <w:tc>
          <w:tcPr>
            <w:tcW w:w="6508" w:type="dxa"/>
            <w:tcBorders>
              <w:top w:val="single" w:sz="4" w:space="0" w:color="7F7F7F" w:themeColor="text1" w:themeTint="80"/>
              <w:left w:val="single" w:sz="4" w:space="0" w:color="E7E6E6" w:themeColor="background2"/>
              <w:bottom w:val="single" w:sz="4" w:space="0" w:color="7F7F7F" w:themeColor="text1" w:themeTint="80"/>
            </w:tcBorders>
          </w:tcPr>
          <w:p w:rsidR="00344A2D" w:rsidRPr="009A319E" w:rsidRDefault="00344A2D" w:rsidP="00827DF0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18"/>
                <w:lang w:val="en-US"/>
              </w:rPr>
            </w:pPr>
            <w:r w:rsidRPr="00290DE5">
              <w:rPr>
                <w:rFonts w:ascii="Calibri" w:hAnsi="Calibri" w:cs="Calibri"/>
                <w:sz w:val="20"/>
                <w:szCs w:val="18"/>
                <w:lang w:val="en-US"/>
              </w:rPr>
              <w:t>Laboratory isolation of MRSA culture</w:t>
            </w:r>
            <w:r>
              <w:rPr>
                <w:rFonts w:ascii="Calibri" w:hAnsi="Calibri" w:cs="Calibri"/>
                <w:sz w:val="20"/>
                <w:szCs w:val="18"/>
                <w:lang w:val="en-US"/>
              </w:rPr>
              <w:t xml:space="preserve"> (blood culture or other body site if infection was present and being treated).</w:t>
            </w:r>
            <w:r w:rsidRPr="009A319E">
              <w:rPr>
                <w:rFonts w:ascii="Calibri" w:hAnsi="Calibri" w:cs="Calibri"/>
                <w:sz w:val="20"/>
                <w:szCs w:val="18"/>
                <w:lang w:val="en-US"/>
              </w:rPr>
              <w:t xml:space="preserve"> </w:t>
            </w:r>
          </w:p>
          <w:p w:rsidR="00344A2D" w:rsidRPr="00290DE5" w:rsidRDefault="00344A2D" w:rsidP="00827DF0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18"/>
                <w:lang w:val="en-US"/>
              </w:rPr>
            </w:pPr>
            <w:r w:rsidRPr="00290DE5">
              <w:rPr>
                <w:rFonts w:ascii="Calibri" w:hAnsi="Calibri" w:cs="Calibri"/>
                <w:b/>
                <w:sz w:val="20"/>
                <w:szCs w:val="18"/>
                <w:lang w:val="en-US"/>
              </w:rPr>
              <w:t>HAI</w:t>
            </w:r>
            <w:r w:rsidRPr="00290DE5">
              <w:rPr>
                <w:rFonts w:ascii="Calibri" w:hAnsi="Calibri" w:cs="Calibri"/>
                <w:sz w:val="20"/>
                <w:szCs w:val="18"/>
                <w:lang w:val="en-US"/>
              </w:rPr>
              <w:t>- MRSA case identified on a clinical specimen or screening specimen taken more than 72 hours after admission.</w:t>
            </w:r>
          </w:p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344A2D" w:rsidRDefault="00344A2D" w:rsidP="00827DF0">
      <w:pPr>
        <w:spacing w:line="276" w:lineRule="auto"/>
        <w:rPr>
          <w:i/>
          <w:i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Legend</w:t>
      </w:r>
      <w:r w:rsidRPr="0078014A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 xml:space="preserve">CDI, </w:t>
      </w:r>
      <w:r w:rsidRPr="00A72486">
        <w:rPr>
          <w:i/>
          <w:iCs/>
          <w:sz w:val="20"/>
          <w:szCs w:val="20"/>
          <w:lang w:val="en-US"/>
        </w:rPr>
        <w:t>Clostridioides difficile;</w:t>
      </w:r>
      <w:r>
        <w:rPr>
          <w:sz w:val="20"/>
          <w:szCs w:val="20"/>
          <w:lang w:val="en-US"/>
        </w:rPr>
        <w:t xml:space="preserve"> HAI, Healthcare-associated infection; IPC, Infection, prevention and control; MRSA, </w:t>
      </w:r>
      <w:r w:rsidRPr="00A72486">
        <w:rPr>
          <w:sz w:val="20"/>
          <w:szCs w:val="20"/>
          <w:lang w:val="en-US"/>
        </w:rPr>
        <w:t xml:space="preserve">Methicillin-resistant </w:t>
      </w:r>
      <w:r w:rsidRPr="00A72486">
        <w:rPr>
          <w:i/>
          <w:iCs/>
          <w:sz w:val="20"/>
          <w:szCs w:val="20"/>
          <w:lang w:val="en-US"/>
        </w:rPr>
        <w:t>Staphylococcus aureus</w:t>
      </w:r>
    </w:p>
    <w:p w:rsidR="00827DF0" w:rsidRDefault="00344A2D" w:rsidP="00827DF0">
      <w:pPr>
        <w:spacing w:line="276" w:lineRule="auto"/>
        <w:rPr>
          <w:sz w:val="20"/>
          <w:szCs w:val="20"/>
          <w:lang w:val="en-US"/>
        </w:rPr>
      </w:pPr>
      <w:r w:rsidRPr="00425EBC">
        <w:rPr>
          <w:sz w:val="20"/>
          <w:szCs w:val="20"/>
          <w:lang w:val="en-US"/>
        </w:rPr>
        <w:t>Note.</w:t>
      </w:r>
      <w:r>
        <w:rPr>
          <w:sz w:val="20"/>
          <w:szCs w:val="20"/>
          <w:lang w:val="en-US"/>
        </w:rPr>
        <w:t xml:space="preserve"> A</w:t>
      </w:r>
      <w:r>
        <w:rPr>
          <w:i/>
          <w:iCs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type-1 diagnosis represent pre-admit comorbidity; type-2, post-admit comorbidity; type-3, secondary diagnosis</w:t>
      </w:r>
    </w:p>
    <w:p w:rsidR="00344A2D" w:rsidRDefault="00344A2D" w:rsidP="00827DF0">
      <w:pPr>
        <w:spacing w:line="276" w:lineRule="auto"/>
        <w:rPr>
          <w:rFonts w:ascii="Calibri" w:hAnsi="Calibri" w:cs="Calibri"/>
          <w:color w:val="000000"/>
          <w:lang w:val="en-US"/>
        </w:rPr>
      </w:pPr>
      <w:r w:rsidRPr="002036D0">
        <w:rPr>
          <w:rFonts w:ascii="Calibri" w:hAnsi="Calibri" w:cs="Calibri"/>
          <w:color w:val="000000"/>
          <w:lang w:val="en-US"/>
        </w:rPr>
        <w:lastRenderedPageBreak/>
        <w:t xml:space="preserve">Table </w:t>
      </w:r>
      <w:r>
        <w:rPr>
          <w:rFonts w:ascii="Calibri" w:hAnsi="Calibri" w:cs="Calibri"/>
          <w:color w:val="000000"/>
          <w:lang w:val="en-US"/>
        </w:rPr>
        <w:t>S2</w:t>
      </w:r>
      <w:r w:rsidRPr="002036D0">
        <w:rPr>
          <w:rFonts w:ascii="Calibri" w:hAnsi="Calibri" w:cs="Calibri"/>
          <w:color w:val="000000"/>
          <w:lang w:val="en-US"/>
        </w:rPr>
        <w:t xml:space="preserve">. </w:t>
      </w:r>
      <w:r>
        <w:rPr>
          <w:rFonts w:ascii="Calibri" w:hAnsi="Calibri" w:cs="Calibri"/>
          <w:color w:val="000000"/>
          <w:lang w:val="en-US"/>
        </w:rPr>
        <w:t>CDI and MRSA HAI definition used by clinical coding team and IPC team in Quebec, Canada</w:t>
      </w:r>
    </w:p>
    <w:p w:rsidR="00827DF0" w:rsidRPr="00827DF0" w:rsidRDefault="00827DF0" w:rsidP="00827DF0">
      <w:pPr>
        <w:spacing w:line="276" w:lineRule="auto"/>
        <w:rPr>
          <w:sz w:val="20"/>
          <w:szCs w:val="20"/>
          <w:lang w:val="en-US"/>
        </w:rPr>
      </w:pPr>
    </w:p>
    <w:tbl>
      <w:tblPr>
        <w:tblStyle w:val="Tableausimple2"/>
        <w:tblW w:w="0" w:type="auto"/>
        <w:tblLook w:val="04A0" w:firstRow="1" w:lastRow="0" w:firstColumn="1" w:lastColumn="0" w:noHBand="0" w:noVBand="1"/>
      </w:tblPr>
      <w:tblGrid>
        <w:gridCol w:w="720"/>
        <w:gridCol w:w="1548"/>
        <w:gridCol w:w="6372"/>
      </w:tblGrid>
      <w:tr w:rsidR="00827DF0" w:rsidRPr="005E0992" w:rsidTr="00827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single" w:sz="4" w:space="0" w:color="7F7F7F" w:themeColor="text1" w:themeTint="80"/>
              <w:right w:val="single" w:sz="4" w:space="0" w:color="E7E6E6" w:themeColor="background2"/>
            </w:tcBorders>
          </w:tcPr>
          <w:p w:rsidR="00827DF0" w:rsidRPr="005E0992" w:rsidRDefault="00827DF0" w:rsidP="00827DF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72" w:type="dxa"/>
            <w:tcBorders>
              <w:top w:val="single" w:sz="4" w:space="0" w:color="7F7F7F" w:themeColor="text1" w:themeTint="80"/>
              <w:left w:val="single" w:sz="4" w:space="0" w:color="E7E6E6" w:themeColor="background2"/>
            </w:tcBorders>
          </w:tcPr>
          <w:p w:rsidR="00827DF0" w:rsidRPr="005E0992" w:rsidRDefault="00827DF0" w:rsidP="00827DF0">
            <w:pPr>
              <w:pStyle w:val="NormalWeb"/>
              <w:spacing w:before="0" w:beforeAutospacing="0"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Definitions</w:t>
            </w:r>
          </w:p>
        </w:tc>
      </w:tr>
      <w:tr w:rsidR="00344A2D" w:rsidRPr="003658A1" w:rsidTr="00827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 w:val="restart"/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CDI</w:t>
            </w:r>
          </w:p>
        </w:tc>
        <w:tc>
          <w:tcPr>
            <w:tcW w:w="1548" w:type="dxa"/>
            <w:tcBorders>
              <w:right w:val="single" w:sz="4" w:space="0" w:color="E7E6E6" w:themeColor="background2"/>
            </w:tcBorders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Clinical coding team - Positive chart</w:t>
            </w:r>
          </w:p>
        </w:tc>
        <w:tc>
          <w:tcPr>
            <w:tcW w:w="6372" w:type="dxa"/>
            <w:tcBorders>
              <w:left w:val="single" w:sz="4" w:space="0" w:color="E7E6E6" w:themeColor="background2"/>
            </w:tcBorders>
          </w:tcPr>
          <w:p w:rsidR="00344A2D" w:rsidRPr="007B799E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B799E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A04.7 AND Y95, A04.7 + V </w:t>
            </w:r>
          </w:p>
          <w:p w:rsidR="00344A2D" w:rsidRPr="007B799E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B79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Exclusion:</w:t>
            </w:r>
          </w:p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1. Abstracts with age on admission less than 1 year </w:t>
            </w:r>
          </w:p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2. Abstracts with a length of stay less than 3 days </w:t>
            </w:r>
          </w:p>
        </w:tc>
      </w:tr>
      <w:tr w:rsidR="00344A2D" w:rsidRPr="005E0992" w:rsidTr="00827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E7E6E6" w:themeColor="background2"/>
            </w:tcBorders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Clinical coding team - Negative chart</w:t>
            </w:r>
          </w:p>
        </w:tc>
        <w:tc>
          <w:tcPr>
            <w:tcW w:w="6372" w:type="dxa"/>
            <w:tcBorders>
              <w:top w:val="single" w:sz="4" w:space="0" w:color="7F7F7F" w:themeColor="text1" w:themeTint="80"/>
              <w:left w:val="single" w:sz="4" w:space="0" w:color="E7E6E6" w:themeColor="background2"/>
              <w:bottom w:val="single" w:sz="4" w:space="0" w:color="7F7F7F" w:themeColor="text1" w:themeTint="80"/>
            </w:tcBorders>
          </w:tcPr>
          <w:p w:rsidR="00344A2D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3B1AA5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A04.7</w:t>
            </w:r>
          </w:p>
          <w:p w:rsidR="00344A2D" w:rsidRPr="003B1AA5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1A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Exclusion:</w:t>
            </w:r>
          </w:p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Positive chart</w:t>
            </w:r>
          </w:p>
        </w:tc>
      </w:tr>
      <w:tr w:rsidR="00344A2D" w:rsidRPr="003658A1" w:rsidTr="00827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tcBorders>
              <w:right w:val="single" w:sz="4" w:space="0" w:color="E7E6E6" w:themeColor="background2"/>
            </w:tcBorders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IPC team - HAI</w:t>
            </w:r>
          </w:p>
        </w:tc>
        <w:tc>
          <w:tcPr>
            <w:tcW w:w="6372" w:type="dxa"/>
            <w:tcBorders>
              <w:left w:val="single" w:sz="4" w:space="0" w:color="E7E6E6" w:themeColor="background2"/>
            </w:tcBorders>
          </w:tcPr>
          <w:p w:rsidR="00344A2D" w:rsidRDefault="00344A2D" w:rsidP="00827DF0">
            <w:pPr>
              <w:pStyle w:val="NormalWe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A72486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CDI</w:t>
            </w:r>
            <w:r w:rsidRPr="0078014A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infection 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is</w:t>
            </w:r>
            <w:r w:rsidRPr="0078014A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defined as (1) diarrhea (≥3 unformed or liquid stools in &lt;24 hours) lasting at least 24 hours without any other known etiology, combined with a positive assay for toxigenic </w:t>
            </w:r>
            <w:r w:rsidRPr="0078014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C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.</w:t>
            </w:r>
            <w:r w:rsidRPr="0078014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difficile</w:t>
            </w:r>
            <w:r w:rsidRPr="0078014A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;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Pr="001F66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  <w:lang w:val="en-US"/>
              </w:rPr>
              <w:t xml:space="preserve">OR </w:t>
            </w:r>
            <w:r w:rsidRPr="0078014A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(2) visualization of pseudomembranes by colonoscopy; or a histopathologic diagnosis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; </w:t>
            </w:r>
            <w:r w:rsidRPr="001F66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  <w:lang w:val="en-US"/>
              </w:rPr>
              <w:t>OR</w:t>
            </w:r>
            <w:r w:rsidRPr="0078014A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(3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) </w:t>
            </w:r>
            <w:r w:rsidRPr="0078014A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patient is diagnosed with toxic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Pr="0078014A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megacolon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78014A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combined with a positive assay for toxigenic </w:t>
            </w:r>
            <w:r w:rsidRPr="0078014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C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.</w:t>
            </w:r>
            <w:r w:rsidRPr="0078014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difficile</w:t>
            </w:r>
            <w:r w:rsidRPr="0078014A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.</w:t>
            </w:r>
          </w:p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78014A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Pr="00290D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HAI -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Pr="0078014A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if symptoms appeared at least 72 hours after admission and up to 4 weeks after discharge.</w:t>
            </w:r>
          </w:p>
        </w:tc>
      </w:tr>
      <w:tr w:rsidR="00344A2D" w:rsidRPr="003658A1" w:rsidTr="00827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 w:val="restart"/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MRSA</w:t>
            </w:r>
          </w:p>
        </w:tc>
        <w:tc>
          <w:tcPr>
            <w:tcW w:w="154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E7E6E6" w:themeColor="background2"/>
            </w:tcBorders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Clinical coding team - Positive chart</w:t>
            </w:r>
          </w:p>
        </w:tc>
        <w:tc>
          <w:tcPr>
            <w:tcW w:w="6372" w:type="dxa"/>
            <w:tcBorders>
              <w:top w:val="single" w:sz="4" w:space="0" w:color="7F7F7F" w:themeColor="text1" w:themeTint="80"/>
              <w:left w:val="single" w:sz="4" w:space="0" w:color="E7E6E6" w:themeColor="background2"/>
              <w:bottom w:val="single" w:sz="4" w:space="0" w:color="7F7F7F" w:themeColor="text1" w:themeTint="80"/>
            </w:tcBorders>
          </w:tcPr>
          <w:p w:rsidR="00344A2D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A41.0 AND U82.1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A49.0 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AND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U82.1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J15.2 AND U82.1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G00.3 type-2 AND U82.1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L00 type-2 AND U82.1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M00.0–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AND U82.1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B95.6 AND U82.1</w:t>
            </w:r>
          </w:p>
          <w:p w:rsidR="00344A2D" w:rsidRPr="003B1AA5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3B1A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AND</w:t>
            </w:r>
          </w:p>
          <w:p w:rsidR="00344A2D" w:rsidRPr="002036D0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Y95 OR V</w:t>
            </w:r>
          </w:p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036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Exclusion: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Abstracts with a length of stay less than 3 days </w:t>
            </w:r>
          </w:p>
        </w:tc>
      </w:tr>
      <w:tr w:rsidR="00344A2D" w:rsidRPr="005E0992" w:rsidTr="00827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tcBorders>
              <w:right w:val="single" w:sz="4" w:space="0" w:color="E7E6E6" w:themeColor="background2"/>
            </w:tcBorders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Clinical coding team - Negative chart</w:t>
            </w:r>
          </w:p>
        </w:tc>
        <w:tc>
          <w:tcPr>
            <w:tcW w:w="6372" w:type="dxa"/>
            <w:tcBorders>
              <w:left w:val="single" w:sz="4" w:space="0" w:color="E7E6E6" w:themeColor="background2"/>
            </w:tcBorders>
          </w:tcPr>
          <w:p w:rsidR="00344A2D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A41.0 AND U82.1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A49.0 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AND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U82.1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J15.2 AND U82.1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G00.3 type-2 AND U82.1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L00 type-2 AND U82.1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M00.0–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AND U82.1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 w:rsidRPr="002036D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B95.6 AND U82.1</w:t>
            </w:r>
          </w:p>
          <w:p w:rsidR="00344A2D" w:rsidRPr="002036D0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036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Exclusion:</w:t>
            </w:r>
          </w:p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036D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All positive charts</w:t>
            </w:r>
          </w:p>
        </w:tc>
      </w:tr>
      <w:tr w:rsidR="00344A2D" w:rsidRPr="003658A1" w:rsidTr="00827DF0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E7E6E6" w:themeColor="background2"/>
            </w:tcBorders>
          </w:tcPr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E099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IPC team - HAI</w:t>
            </w:r>
          </w:p>
        </w:tc>
        <w:tc>
          <w:tcPr>
            <w:tcW w:w="6372" w:type="dxa"/>
            <w:tcBorders>
              <w:top w:val="single" w:sz="4" w:space="0" w:color="7F7F7F" w:themeColor="text1" w:themeTint="80"/>
              <w:left w:val="single" w:sz="4" w:space="0" w:color="E7E6E6" w:themeColor="background2"/>
              <w:bottom w:val="single" w:sz="4" w:space="0" w:color="7F7F7F" w:themeColor="text1" w:themeTint="80"/>
            </w:tcBorders>
          </w:tcPr>
          <w:p w:rsidR="00344A2D" w:rsidRDefault="00344A2D" w:rsidP="00827DF0">
            <w:pPr>
              <w:pStyle w:val="NormalWeb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E83CDC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1 or more signs/symptoms: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Pr="00E83CDC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Fever (&gt;38°C, rectal)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, hypotension, h</w:t>
            </w:r>
            <w:r w:rsidRPr="00E83CDC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ypothermia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, a</w:t>
            </w:r>
            <w:r w:rsidRPr="00E83CDC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pnea or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bradycardia</w:t>
            </w:r>
            <w:r w:rsidRPr="00E83CDC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1F66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  <w:lang w:val="en-US"/>
              </w:rPr>
              <w:t xml:space="preserve">AND 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one positive MRSA blood culture and </w:t>
            </w:r>
            <w:r w:rsidRPr="00E83CDC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signs, symptoms, and laboratory results not related to an infection at another site</w:t>
            </w:r>
            <w:r w:rsidRPr="001F6676">
              <w:rPr>
                <w:rFonts w:ascii="Calibri" w:hAnsi="Calibri" w:cs="Calibri"/>
                <w:color w:val="000000"/>
                <w:sz w:val="20"/>
                <w:szCs w:val="20"/>
                <w:u w:val="single"/>
                <w:bdr w:val="none" w:sz="0" w:space="0" w:color="auto" w:frame="1"/>
                <w:lang w:val="en-US"/>
              </w:rPr>
              <w:t xml:space="preserve"> </w:t>
            </w:r>
            <w:r w:rsidRPr="001F66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  <w:lang w:val="en-US"/>
              </w:rPr>
              <w:t>OR</w:t>
            </w:r>
            <w:r w:rsidRPr="001F66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one positive MRSA blood culture and </w:t>
            </w:r>
            <w:r w:rsidRPr="001F6676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associated with an infection with the same organism at another site in the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body (secondary bacteremia)</w:t>
            </w:r>
          </w:p>
          <w:p w:rsidR="00344A2D" w:rsidRPr="005E0992" w:rsidRDefault="00344A2D" w:rsidP="00827DF0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F7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HAI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–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8"/>
                <w:lang w:val="en-US"/>
              </w:rPr>
              <w:t>Bacteremia identified</w:t>
            </w:r>
            <w:r w:rsidRPr="00290DE5">
              <w:rPr>
                <w:rFonts w:ascii="Calibri" w:hAnsi="Calibri" w:cs="Calibri"/>
                <w:sz w:val="20"/>
                <w:szCs w:val="18"/>
                <w:lang w:val="en-US"/>
              </w:rPr>
              <w:t xml:space="preserve"> more than 72 hours after admission.</w:t>
            </w:r>
          </w:p>
        </w:tc>
      </w:tr>
    </w:tbl>
    <w:p w:rsidR="00344A2D" w:rsidRDefault="00344A2D" w:rsidP="00827DF0">
      <w:pPr>
        <w:spacing w:line="276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Legend</w:t>
      </w:r>
      <w:r w:rsidRPr="0078014A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 xml:space="preserve">CDI, </w:t>
      </w:r>
      <w:r w:rsidRPr="00A72486">
        <w:rPr>
          <w:i/>
          <w:iCs/>
          <w:sz w:val="20"/>
          <w:szCs w:val="20"/>
          <w:lang w:val="en-US"/>
        </w:rPr>
        <w:t>Clostridioides difficile;</w:t>
      </w:r>
      <w:r>
        <w:rPr>
          <w:sz w:val="20"/>
          <w:szCs w:val="20"/>
          <w:lang w:val="en-US"/>
        </w:rPr>
        <w:t xml:space="preserve"> HAI, Healthcare-associated infection; IPC, Infection, prevention and control; MRSA, </w:t>
      </w:r>
      <w:r w:rsidRPr="00A72486">
        <w:rPr>
          <w:sz w:val="20"/>
          <w:szCs w:val="20"/>
          <w:lang w:val="en-US"/>
        </w:rPr>
        <w:t xml:space="preserve">Methicillin-resistant </w:t>
      </w:r>
      <w:r w:rsidRPr="00A72486">
        <w:rPr>
          <w:i/>
          <w:iCs/>
          <w:sz w:val="20"/>
          <w:szCs w:val="20"/>
          <w:lang w:val="en-US"/>
        </w:rPr>
        <w:t>Staphylococcus aureus</w:t>
      </w:r>
      <w:r>
        <w:rPr>
          <w:sz w:val="20"/>
          <w:szCs w:val="20"/>
          <w:lang w:val="en-US"/>
        </w:rPr>
        <w:t xml:space="preserve">; </w:t>
      </w:r>
    </w:p>
    <w:p w:rsidR="00344A2D" w:rsidRPr="003B1AA5" w:rsidRDefault="00344A2D" w:rsidP="00827DF0">
      <w:pPr>
        <w:spacing w:line="276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Note. In Quebec, the V characteristic associated to a code means “during hospitalization” </w:t>
      </w:r>
    </w:p>
    <w:p w:rsidR="00344A2D" w:rsidRDefault="00344A2D" w:rsidP="00827DF0">
      <w:pPr>
        <w:spacing w:line="276" w:lineRule="auto"/>
        <w:rPr>
          <w:lang w:val="en-US"/>
        </w:rPr>
      </w:pPr>
    </w:p>
    <w:p w:rsidR="00344A2D" w:rsidRDefault="00344A2D" w:rsidP="00344A2D">
      <w:pPr>
        <w:spacing w:line="480" w:lineRule="auto"/>
        <w:rPr>
          <w:lang w:val="en-US"/>
        </w:rPr>
      </w:pPr>
    </w:p>
    <w:p w:rsidR="009B7DC8" w:rsidRPr="00344A2D" w:rsidRDefault="009B7DC8">
      <w:pPr>
        <w:rPr>
          <w:lang w:val="en-US"/>
        </w:rPr>
      </w:pPr>
    </w:p>
    <w:sectPr w:rsidR="009B7DC8" w:rsidRPr="00344A2D" w:rsidSect="002812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2D"/>
    <w:rsid w:val="00003C89"/>
    <w:rsid w:val="00007983"/>
    <w:rsid w:val="00012657"/>
    <w:rsid w:val="000150CA"/>
    <w:rsid w:val="0001548B"/>
    <w:rsid w:val="00032DC3"/>
    <w:rsid w:val="00034188"/>
    <w:rsid w:val="00045267"/>
    <w:rsid w:val="00046BB5"/>
    <w:rsid w:val="00080811"/>
    <w:rsid w:val="00085B01"/>
    <w:rsid w:val="00086597"/>
    <w:rsid w:val="000941D5"/>
    <w:rsid w:val="000A0F34"/>
    <w:rsid w:val="000A2693"/>
    <w:rsid w:val="000A2AC9"/>
    <w:rsid w:val="000B1EBC"/>
    <w:rsid w:val="000C252E"/>
    <w:rsid w:val="000C75DB"/>
    <w:rsid w:val="000C784B"/>
    <w:rsid w:val="000D7F3E"/>
    <w:rsid w:val="000E586B"/>
    <w:rsid w:val="00112483"/>
    <w:rsid w:val="00114810"/>
    <w:rsid w:val="0013599E"/>
    <w:rsid w:val="0013656C"/>
    <w:rsid w:val="00141A74"/>
    <w:rsid w:val="00143BDD"/>
    <w:rsid w:val="0014657E"/>
    <w:rsid w:val="00155636"/>
    <w:rsid w:val="00155F28"/>
    <w:rsid w:val="00157B4E"/>
    <w:rsid w:val="00163CCD"/>
    <w:rsid w:val="001641DF"/>
    <w:rsid w:val="00172130"/>
    <w:rsid w:val="00184784"/>
    <w:rsid w:val="001A01E6"/>
    <w:rsid w:val="001A7C0C"/>
    <w:rsid w:val="001B551D"/>
    <w:rsid w:val="001C3FD1"/>
    <w:rsid w:val="001C4FA0"/>
    <w:rsid w:val="001C5CF5"/>
    <w:rsid w:val="001D3087"/>
    <w:rsid w:val="001E006F"/>
    <w:rsid w:val="001F09FD"/>
    <w:rsid w:val="001F469A"/>
    <w:rsid w:val="002040C3"/>
    <w:rsid w:val="00210479"/>
    <w:rsid w:val="0021668C"/>
    <w:rsid w:val="002277FA"/>
    <w:rsid w:val="00235CF3"/>
    <w:rsid w:val="002443DD"/>
    <w:rsid w:val="00245259"/>
    <w:rsid w:val="00263F8C"/>
    <w:rsid w:val="002643B0"/>
    <w:rsid w:val="00270C82"/>
    <w:rsid w:val="00281230"/>
    <w:rsid w:val="0028152D"/>
    <w:rsid w:val="00290D55"/>
    <w:rsid w:val="002A2050"/>
    <w:rsid w:val="002B6142"/>
    <w:rsid w:val="002C228D"/>
    <w:rsid w:val="002C4377"/>
    <w:rsid w:val="002C642A"/>
    <w:rsid w:val="002D0A23"/>
    <w:rsid w:val="002D311F"/>
    <w:rsid w:val="002D61AD"/>
    <w:rsid w:val="002F3322"/>
    <w:rsid w:val="00307EDB"/>
    <w:rsid w:val="00316E43"/>
    <w:rsid w:val="00320FF3"/>
    <w:rsid w:val="003410EC"/>
    <w:rsid w:val="00344A2D"/>
    <w:rsid w:val="00346E26"/>
    <w:rsid w:val="003473A0"/>
    <w:rsid w:val="003658A1"/>
    <w:rsid w:val="00374A8F"/>
    <w:rsid w:val="003813C3"/>
    <w:rsid w:val="003905FA"/>
    <w:rsid w:val="00396406"/>
    <w:rsid w:val="00396AF8"/>
    <w:rsid w:val="003B077D"/>
    <w:rsid w:val="003C07C4"/>
    <w:rsid w:val="003D5C3F"/>
    <w:rsid w:val="003F4BE5"/>
    <w:rsid w:val="0040165C"/>
    <w:rsid w:val="00414533"/>
    <w:rsid w:val="00414774"/>
    <w:rsid w:val="004170E7"/>
    <w:rsid w:val="00433252"/>
    <w:rsid w:val="00444ED2"/>
    <w:rsid w:val="00461681"/>
    <w:rsid w:val="00480DAD"/>
    <w:rsid w:val="00480FF5"/>
    <w:rsid w:val="0048444C"/>
    <w:rsid w:val="00485893"/>
    <w:rsid w:val="0048675E"/>
    <w:rsid w:val="004A0C47"/>
    <w:rsid w:val="004B3473"/>
    <w:rsid w:val="004E1EAB"/>
    <w:rsid w:val="004F0F14"/>
    <w:rsid w:val="004F719A"/>
    <w:rsid w:val="005067B4"/>
    <w:rsid w:val="00510E0B"/>
    <w:rsid w:val="00516BD4"/>
    <w:rsid w:val="0052379E"/>
    <w:rsid w:val="00530226"/>
    <w:rsid w:val="0053079C"/>
    <w:rsid w:val="00530DBE"/>
    <w:rsid w:val="00540602"/>
    <w:rsid w:val="00543F4F"/>
    <w:rsid w:val="00564804"/>
    <w:rsid w:val="00570908"/>
    <w:rsid w:val="0057492F"/>
    <w:rsid w:val="00595797"/>
    <w:rsid w:val="005964D0"/>
    <w:rsid w:val="005969A3"/>
    <w:rsid w:val="005C6530"/>
    <w:rsid w:val="005D2DC7"/>
    <w:rsid w:val="005E3178"/>
    <w:rsid w:val="005F4BC4"/>
    <w:rsid w:val="0062485F"/>
    <w:rsid w:val="00630F12"/>
    <w:rsid w:val="0065024C"/>
    <w:rsid w:val="00661A7D"/>
    <w:rsid w:val="006703D3"/>
    <w:rsid w:val="00670F61"/>
    <w:rsid w:val="0067714D"/>
    <w:rsid w:val="006834CC"/>
    <w:rsid w:val="006956B4"/>
    <w:rsid w:val="006B4FEC"/>
    <w:rsid w:val="006D1D94"/>
    <w:rsid w:val="006D217A"/>
    <w:rsid w:val="006D43D5"/>
    <w:rsid w:val="006D4D65"/>
    <w:rsid w:val="006F3E14"/>
    <w:rsid w:val="006F636A"/>
    <w:rsid w:val="0070350B"/>
    <w:rsid w:val="00703779"/>
    <w:rsid w:val="00715567"/>
    <w:rsid w:val="00717F5F"/>
    <w:rsid w:val="00720AD4"/>
    <w:rsid w:val="007332D9"/>
    <w:rsid w:val="00733F98"/>
    <w:rsid w:val="0073614C"/>
    <w:rsid w:val="00743224"/>
    <w:rsid w:val="0074578F"/>
    <w:rsid w:val="0075189A"/>
    <w:rsid w:val="0075424C"/>
    <w:rsid w:val="00762C91"/>
    <w:rsid w:val="007727E3"/>
    <w:rsid w:val="00777748"/>
    <w:rsid w:val="00780C8D"/>
    <w:rsid w:val="007836CF"/>
    <w:rsid w:val="00784990"/>
    <w:rsid w:val="0078628E"/>
    <w:rsid w:val="0079142A"/>
    <w:rsid w:val="00793036"/>
    <w:rsid w:val="007A03EA"/>
    <w:rsid w:val="007A2396"/>
    <w:rsid w:val="007A4F39"/>
    <w:rsid w:val="007B79A2"/>
    <w:rsid w:val="007C0570"/>
    <w:rsid w:val="007E4E28"/>
    <w:rsid w:val="00812BBE"/>
    <w:rsid w:val="00812E40"/>
    <w:rsid w:val="00815189"/>
    <w:rsid w:val="00827DF0"/>
    <w:rsid w:val="00840F10"/>
    <w:rsid w:val="008511D5"/>
    <w:rsid w:val="00851F2C"/>
    <w:rsid w:val="00853856"/>
    <w:rsid w:val="008548ED"/>
    <w:rsid w:val="00867DB7"/>
    <w:rsid w:val="00872C7C"/>
    <w:rsid w:val="00881B12"/>
    <w:rsid w:val="00881C75"/>
    <w:rsid w:val="00893D46"/>
    <w:rsid w:val="00895113"/>
    <w:rsid w:val="008A4F1B"/>
    <w:rsid w:val="008B4F47"/>
    <w:rsid w:val="008C16BC"/>
    <w:rsid w:val="008C26BF"/>
    <w:rsid w:val="008C6603"/>
    <w:rsid w:val="008F45EC"/>
    <w:rsid w:val="008F7B52"/>
    <w:rsid w:val="009139EB"/>
    <w:rsid w:val="00915B07"/>
    <w:rsid w:val="00916199"/>
    <w:rsid w:val="00917BB0"/>
    <w:rsid w:val="00925B59"/>
    <w:rsid w:val="00981DD9"/>
    <w:rsid w:val="009836DB"/>
    <w:rsid w:val="00987725"/>
    <w:rsid w:val="009A50E7"/>
    <w:rsid w:val="009A7851"/>
    <w:rsid w:val="009B0720"/>
    <w:rsid w:val="009B1EE9"/>
    <w:rsid w:val="009B7DC8"/>
    <w:rsid w:val="009C1869"/>
    <w:rsid w:val="009D0C5A"/>
    <w:rsid w:val="009D37B4"/>
    <w:rsid w:val="009D6858"/>
    <w:rsid w:val="009F59FE"/>
    <w:rsid w:val="00A1414F"/>
    <w:rsid w:val="00A462D5"/>
    <w:rsid w:val="00A50E46"/>
    <w:rsid w:val="00A57AFA"/>
    <w:rsid w:val="00A72F44"/>
    <w:rsid w:val="00A81C95"/>
    <w:rsid w:val="00A83DDA"/>
    <w:rsid w:val="00A94BE3"/>
    <w:rsid w:val="00A95588"/>
    <w:rsid w:val="00A97560"/>
    <w:rsid w:val="00AB40E2"/>
    <w:rsid w:val="00AD75F9"/>
    <w:rsid w:val="00AF0F3C"/>
    <w:rsid w:val="00AF7913"/>
    <w:rsid w:val="00B02AEE"/>
    <w:rsid w:val="00B11659"/>
    <w:rsid w:val="00B151B4"/>
    <w:rsid w:val="00B20BD4"/>
    <w:rsid w:val="00B31AE7"/>
    <w:rsid w:val="00B522BD"/>
    <w:rsid w:val="00B76B14"/>
    <w:rsid w:val="00B87A98"/>
    <w:rsid w:val="00BA1604"/>
    <w:rsid w:val="00BA1C3B"/>
    <w:rsid w:val="00BA50AF"/>
    <w:rsid w:val="00BA7A2C"/>
    <w:rsid w:val="00BB6382"/>
    <w:rsid w:val="00BB64CE"/>
    <w:rsid w:val="00BD0286"/>
    <w:rsid w:val="00BD2047"/>
    <w:rsid w:val="00BD2138"/>
    <w:rsid w:val="00BF5772"/>
    <w:rsid w:val="00BF63E8"/>
    <w:rsid w:val="00BF66BD"/>
    <w:rsid w:val="00C0246F"/>
    <w:rsid w:val="00C05198"/>
    <w:rsid w:val="00C20185"/>
    <w:rsid w:val="00C2695C"/>
    <w:rsid w:val="00C40489"/>
    <w:rsid w:val="00C61BE8"/>
    <w:rsid w:val="00C63EA9"/>
    <w:rsid w:val="00C81C0B"/>
    <w:rsid w:val="00C872B9"/>
    <w:rsid w:val="00C87E77"/>
    <w:rsid w:val="00C921BB"/>
    <w:rsid w:val="00C941DB"/>
    <w:rsid w:val="00CA0A0C"/>
    <w:rsid w:val="00CA348D"/>
    <w:rsid w:val="00CA5E9A"/>
    <w:rsid w:val="00CA6000"/>
    <w:rsid w:val="00CA7AC2"/>
    <w:rsid w:val="00CB3EC8"/>
    <w:rsid w:val="00CB4310"/>
    <w:rsid w:val="00CD2D4A"/>
    <w:rsid w:val="00CE1477"/>
    <w:rsid w:val="00CE334E"/>
    <w:rsid w:val="00CE456A"/>
    <w:rsid w:val="00CF07FF"/>
    <w:rsid w:val="00CF221E"/>
    <w:rsid w:val="00CF3932"/>
    <w:rsid w:val="00CF7F05"/>
    <w:rsid w:val="00D055F5"/>
    <w:rsid w:val="00D27900"/>
    <w:rsid w:val="00D37855"/>
    <w:rsid w:val="00D41A36"/>
    <w:rsid w:val="00D65C32"/>
    <w:rsid w:val="00D92E1E"/>
    <w:rsid w:val="00D94753"/>
    <w:rsid w:val="00D95DA9"/>
    <w:rsid w:val="00DA1876"/>
    <w:rsid w:val="00DB30D9"/>
    <w:rsid w:val="00DB71C7"/>
    <w:rsid w:val="00DC1E6D"/>
    <w:rsid w:val="00DC2FA7"/>
    <w:rsid w:val="00DC3E3C"/>
    <w:rsid w:val="00DD5436"/>
    <w:rsid w:val="00DE3C1F"/>
    <w:rsid w:val="00DE663C"/>
    <w:rsid w:val="00E010D5"/>
    <w:rsid w:val="00E11220"/>
    <w:rsid w:val="00E317AC"/>
    <w:rsid w:val="00E33C42"/>
    <w:rsid w:val="00E454B7"/>
    <w:rsid w:val="00E537C4"/>
    <w:rsid w:val="00E61858"/>
    <w:rsid w:val="00E633A6"/>
    <w:rsid w:val="00E63757"/>
    <w:rsid w:val="00E63FD6"/>
    <w:rsid w:val="00E7019B"/>
    <w:rsid w:val="00E92DB5"/>
    <w:rsid w:val="00E94A01"/>
    <w:rsid w:val="00EA2C51"/>
    <w:rsid w:val="00EB2D46"/>
    <w:rsid w:val="00EC07AD"/>
    <w:rsid w:val="00EC0832"/>
    <w:rsid w:val="00ED27AE"/>
    <w:rsid w:val="00ED4E55"/>
    <w:rsid w:val="00EE2ECB"/>
    <w:rsid w:val="00EE3182"/>
    <w:rsid w:val="00F02017"/>
    <w:rsid w:val="00F31CB2"/>
    <w:rsid w:val="00F3434A"/>
    <w:rsid w:val="00F374B6"/>
    <w:rsid w:val="00F409D9"/>
    <w:rsid w:val="00F42F6C"/>
    <w:rsid w:val="00F432C1"/>
    <w:rsid w:val="00F43574"/>
    <w:rsid w:val="00F53CC3"/>
    <w:rsid w:val="00F644F8"/>
    <w:rsid w:val="00F70B6C"/>
    <w:rsid w:val="00F7737A"/>
    <w:rsid w:val="00F80062"/>
    <w:rsid w:val="00FA0427"/>
    <w:rsid w:val="00FB0FD5"/>
    <w:rsid w:val="00FB217F"/>
    <w:rsid w:val="00FD1445"/>
    <w:rsid w:val="00FD5C2F"/>
    <w:rsid w:val="00FE2495"/>
    <w:rsid w:val="00FF5906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EFE1BB"/>
  <w15:chartTrackingRefBased/>
  <w15:docId w15:val="{86E31CD3-4FBA-6247-8F8E-BD9E65BF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A2D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4A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44A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344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4A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paragraph" w:customStyle="1" w:styleId="Default">
    <w:name w:val="Default"/>
    <w:semiHidden/>
    <w:rsid w:val="00344A2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/>
    </w:rPr>
  </w:style>
  <w:style w:type="table" w:styleId="Grilledetableauclaire">
    <w:name w:val="Grid Table Light"/>
    <w:basedOn w:val="TableauNormal"/>
    <w:uiPriority w:val="40"/>
    <w:rsid w:val="00827D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827D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827D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Boulanger (HSJ)</dc:creator>
  <cp:keywords/>
  <dc:description/>
  <cp:lastModifiedBy>Virginie Boulanger (HSJ)</cp:lastModifiedBy>
  <cp:revision>3</cp:revision>
  <dcterms:created xsi:type="dcterms:W3CDTF">2024-09-25T17:43:00Z</dcterms:created>
  <dcterms:modified xsi:type="dcterms:W3CDTF">2024-09-25T17:43:00Z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2023-07-18T18:18:08Z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c725db55-a2df-4753-9777-00008795928e</vt:lpwstr>
  </property>
  <property fmtid="{D5CDD505-2E9C-101B-9397-08002B2CF9AE}" pid="8" name="MSIP_Label_6a7d8d5d-78e2-4a62-9fcd-016eb5e4c57c_ContentBits">
    <vt:lpwstr>0</vt:lpwstr>
  </property>
</Properties>
</file>