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B7B14" w:rsidP="75C8CFAC" w:rsidRDefault="44DA05FE" w14:paraId="11C12200" w14:noSpellErr="1" w14:textId="59C72A5C">
      <w:pPr>
        <w:spacing w:line="480" w:lineRule="auto"/>
        <w:rPr>
          <w:rFonts w:ascii="Calibri" w:hAnsi="Calibri" w:eastAsia="Calibri" w:cs="Calibri"/>
          <w:sz w:val="22"/>
          <w:szCs w:val="22"/>
        </w:rPr>
      </w:pPr>
    </w:p>
    <w:p w:rsidR="00FB7B14" w:rsidP="17E9D82C" w:rsidRDefault="00DE2589" w14:paraId="3715B72E" w14:textId="4D0E6553">
      <w:pPr>
        <w:spacing w:after="0" w:line="480" w:lineRule="auto"/>
        <w:ind w:right="195"/>
      </w:pPr>
      <w:r>
        <w:rPr>
          <w:noProof/>
        </w:rPr>
        <w:drawing>
          <wp:inline distT="0" distB="0" distL="0" distR="0" wp14:anchorId="3C51F047" wp14:editId="2E7BA671">
            <wp:extent cx="5105402" cy="3162300"/>
            <wp:effectExtent l="0" t="0" r="0" b="0"/>
            <wp:docPr id="887783250" name="Picture 1420320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32087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2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B14" w:rsidP="17E9D82C" w:rsidRDefault="44DA05FE" w14:paraId="7029C137" w14:textId="268A5625">
      <w:pPr>
        <w:spacing w:after="0" w:line="480" w:lineRule="auto"/>
        <w:ind w:right="195"/>
      </w:pPr>
      <w:r w:rsidRPr="17E9D82C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Supplementary Figure 1. Flowchart demonstrating patients included in the cohort. </w:t>
      </w:r>
    </w:p>
    <w:p w:rsidR="00FB7B14" w:rsidP="17E9D82C" w:rsidRDefault="44DA05FE" w14:paraId="4B57AC1F" w14:textId="2E67B209">
      <w:pPr>
        <w:spacing w:after="0" w:line="480" w:lineRule="auto"/>
        <w:ind w:right="195"/>
        <w:rPr>
          <w:rFonts w:ascii="Times New Roman" w:hAnsi="Times New Roman" w:eastAsia="Times New Roman" w:cs="Times New Roman"/>
          <w:i/>
          <w:iCs/>
          <w:color w:val="000000" w:themeColor="text1"/>
        </w:rPr>
      </w:pPr>
      <w:r w:rsidRPr="17E9D82C">
        <w:rPr>
          <w:rFonts w:ascii="Times New Roman" w:hAnsi="Times New Roman" w:eastAsia="Times New Roman" w:cs="Times New Roman"/>
          <w:color w:val="000000" w:themeColor="text1"/>
        </w:rPr>
        <w:t xml:space="preserve">* Included organisms: </w:t>
      </w:r>
      <w:r w:rsidRPr="17E9D82C">
        <w:rPr>
          <w:rFonts w:ascii="Times New Roman" w:hAnsi="Times New Roman" w:eastAsia="Times New Roman" w:cs="Times New Roman"/>
          <w:i/>
          <w:iCs/>
          <w:color w:val="000000" w:themeColor="text1"/>
        </w:rPr>
        <w:t>Staphylococcus, Escherichia, Pseudomonas, Enterococcus, Klebsiella, Streptococcus, Proteus, Enterobacter, Haemophilus, Serratia, Citrobacter, Stenotrophomonas, Acinetobacter, Corynebacterium, Candida, Morganella, Achromobacter, Providencia, Salmonella, Mycobacterium, Burkholderia, Bacteroides, Alcaligenes, Propionibacterium, Clostridium</w:t>
      </w:r>
      <w:r w:rsidR="004F647B">
        <w:rPr>
          <w:rFonts w:ascii="Times New Roman" w:hAnsi="Times New Roman" w:eastAsia="Times New Roman" w:cs="Times New Roman"/>
          <w:i/>
          <w:iCs/>
          <w:color w:val="000000" w:themeColor="text1"/>
        </w:rPr>
        <w:t>.</w:t>
      </w:r>
    </w:p>
    <w:p w:rsidR="00FB7B14" w:rsidP="004F647B" w:rsidRDefault="44DA05FE" w14:paraId="39E3A472" w14:textId="05D45B9E">
      <w:pPr>
        <w:spacing w:line="480" w:lineRule="auto"/>
      </w:pPr>
      <w:r w:rsidRPr="17E9D82C">
        <w:rPr>
          <w:rFonts w:ascii="Calibri" w:hAnsi="Calibri" w:eastAsia="Calibri" w:cs="Calibri"/>
          <w:sz w:val="22"/>
          <w:szCs w:val="22"/>
        </w:rPr>
        <w:lastRenderedPageBreak/>
        <w:t xml:space="preserve"> </w:t>
      </w:r>
      <w:r w:rsidR="004F647B">
        <w:rPr>
          <w:noProof/>
        </w:rPr>
        <w:drawing>
          <wp:inline distT="0" distB="0" distL="0" distR="0" wp14:anchorId="7A920B1B" wp14:editId="392DD596">
            <wp:extent cx="5943600" cy="4181475"/>
            <wp:effectExtent l="0" t="0" r="0" b="9525"/>
            <wp:docPr id="473974018" name="Picture 473974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7E9D82C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Supplementary Figure 2. Trends in hospital-onset infections </w:t>
      </w:r>
    </w:p>
    <w:p w:rsidR="00FB7B14" w:rsidP="17E9D82C" w:rsidRDefault="44DA05FE" w14:paraId="4E729615" w14:textId="2E0B985D">
      <w:pPr>
        <w:spacing w:after="0" w:line="480" w:lineRule="auto"/>
        <w:ind w:right="195"/>
      </w:pPr>
      <w:r w:rsidRPr="17E9D82C">
        <w:rPr>
          <w:rFonts w:ascii="Times New Roman" w:hAnsi="Times New Roman" w:eastAsia="Times New Roman" w:cs="Times New Roman"/>
          <w:color w:val="000000" w:themeColor="text1"/>
        </w:rPr>
        <w:t>Number of hospital-onset infections in total frequency per month (gray bars that correspond to left y-axis) and the percentage of infections that had a potential room exposure (black lines that correspond to the percentage of the total observed connections on the right y-axis) using 60 days until room exposure. The MIC match assumes further phenotypic matching at both the AST level as well as the MIC level, which is a conservative estimate given the variability in the doubling dilutions. The surprise index measures the relative rarity of MIC-matched phenotypes.</w:t>
      </w:r>
    </w:p>
    <w:p w:rsidR="00FB7B14" w:rsidP="17E9D82C" w:rsidRDefault="44DA05FE" w14:paraId="06B34DB1" w14:textId="74CC1A06">
      <w:pPr>
        <w:spacing w:after="0" w:line="480" w:lineRule="auto"/>
        <w:ind w:right="195"/>
      </w:pPr>
      <w:r w:rsidRPr="17E9D82C">
        <w:rPr>
          <w:rFonts w:ascii="Times New Roman" w:hAnsi="Times New Roman" w:eastAsia="Times New Roman" w:cs="Times New Roman"/>
          <w:color w:val="000000" w:themeColor="text1"/>
        </w:rPr>
        <w:lastRenderedPageBreak/>
        <w:t xml:space="preserve"> </w:t>
      </w:r>
      <w:r w:rsidR="0018334C">
        <w:rPr>
          <w:noProof/>
        </w:rPr>
        <w:drawing>
          <wp:inline distT="0" distB="0" distL="0" distR="0" wp14:anchorId="550F614C" wp14:editId="4707A206">
            <wp:extent cx="5943600" cy="2628900"/>
            <wp:effectExtent l="0" t="0" r="0" b="0"/>
            <wp:docPr id="365140866" name="Picture 365140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B14" w:rsidP="17E9D82C" w:rsidRDefault="44DA05FE" w14:paraId="3D076C85" w14:textId="78E8E220">
      <w:pPr>
        <w:spacing w:after="0" w:line="480" w:lineRule="auto"/>
        <w:ind w:right="195"/>
      </w:pPr>
      <w:r w:rsidRPr="17E9D82C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Supplementary Figure 3. Definition of a transmission event </w:t>
      </w:r>
    </w:p>
    <w:p w:rsidR="00FB7B14" w:rsidP="17E9D82C" w:rsidRDefault="44DA05FE" w14:paraId="38479306" w14:textId="7B5AB3B5">
      <w:pPr>
        <w:spacing w:line="480" w:lineRule="auto"/>
      </w:pPr>
      <w:r w:rsidRPr="17E9D82C">
        <w:rPr>
          <w:rFonts w:ascii="Times New Roman" w:hAnsi="Times New Roman" w:eastAsia="Times New Roman" w:cs="Times New Roman"/>
          <w:color w:val="000000" w:themeColor="text1"/>
        </w:rPr>
        <w:t xml:space="preserve">This figure illustrates the definition of a transmission event used for the development of this measure which is described in the Methods. </w:t>
      </w:r>
    </w:p>
    <w:p w:rsidR="0018334C" w:rsidRDefault="0018334C" w14:paraId="7A7C326E" w14:textId="0ADF8857">
      <w:r>
        <w:br w:type="page"/>
      </w:r>
    </w:p>
    <w:tbl>
      <w:tblPr>
        <w:tblStyle w:val="TableGrid"/>
        <w:tblW w:w="9361" w:type="dxa"/>
        <w:tblLayout w:type="fixed"/>
        <w:tblLook w:val="04A0" w:firstRow="1" w:lastRow="0" w:firstColumn="1" w:lastColumn="0" w:noHBand="0" w:noVBand="1"/>
      </w:tblPr>
      <w:tblGrid>
        <w:gridCol w:w="2857"/>
        <w:gridCol w:w="1084"/>
        <w:gridCol w:w="1084"/>
        <w:gridCol w:w="1084"/>
        <w:gridCol w:w="1084"/>
        <w:gridCol w:w="1084"/>
        <w:gridCol w:w="1084"/>
      </w:tblGrid>
      <w:tr w:rsidR="17E9D82C" w:rsidTr="00504F98" w14:paraId="316A28C7" w14:textId="77777777">
        <w:trPr>
          <w:trHeight w:val="645"/>
        </w:trPr>
        <w:tc>
          <w:tcPr>
            <w:tcW w:w="9361" w:type="dxa"/>
            <w:gridSpan w:val="7"/>
          </w:tcPr>
          <w:p w:rsidR="17E9D82C" w:rsidP="17E9D82C" w:rsidRDefault="17E9D82C" w14:paraId="14CEAD24" w14:textId="56DB84AE">
            <w:r w:rsidRPr="17E9D82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lastRenderedPageBreak/>
              <w:t xml:space="preserve">Supplementary Table 1. Sensitivity analysis of incidents of hospital onset infections and percentage of patients exposed to infected prior room occupants overall and by hospital and unit type and organism. </w:t>
            </w:r>
          </w:p>
        </w:tc>
      </w:tr>
      <w:tr w:rsidR="17E9D82C" w:rsidTr="00504F98" w14:paraId="3EE801F8" w14:textId="77777777">
        <w:trPr>
          <w:trHeight w:val="885"/>
        </w:trPr>
        <w:tc>
          <w:tcPr>
            <w:tcW w:w="2857" w:type="dxa"/>
            <w:vMerge w:val="restart"/>
          </w:tcPr>
          <w:p w:rsidR="17E9D82C" w:rsidP="17E9D82C" w:rsidRDefault="17E9D82C" w14:paraId="6FB253C4" w14:textId="213B3B37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252" w:type="dxa"/>
            <w:gridSpan w:val="3"/>
          </w:tcPr>
          <w:p w:rsidR="17E9D82C" w:rsidP="17E9D82C" w:rsidRDefault="17E9D82C" w14:paraId="63D96BB7" w14:textId="3DE9DF0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Number of infections with exposure from prior room occupants (MIC match)</w:t>
            </w:r>
          </w:p>
        </w:tc>
        <w:tc>
          <w:tcPr>
            <w:tcW w:w="3252" w:type="dxa"/>
            <w:gridSpan w:val="3"/>
          </w:tcPr>
          <w:p w:rsidR="17E9D82C" w:rsidP="17E9D82C" w:rsidRDefault="17E9D82C" w14:paraId="35B2FBFF" w14:textId="23598A3F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Number of infections with exposure from prior room occupants (Organism Surprise Index &lt;.05)†</w:t>
            </w:r>
          </w:p>
        </w:tc>
      </w:tr>
      <w:tr w:rsidR="17E9D82C" w:rsidTr="00504F98" w14:paraId="1D64C526" w14:textId="77777777">
        <w:trPr>
          <w:trHeight w:val="960"/>
        </w:trPr>
        <w:tc>
          <w:tcPr>
            <w:tcW w:w="2857" w:type="dxa"/>
            <w:vMerge/>
          </w:tcPr>
          <w:p w:rsidR="00FB7B14" w:rsidRDefault="00FB7B14" w14:paraId="43571D2B" w14:textId="77777777"/>
        </w:tc>
        <w:tc>
          <w:tcPr>
            <w:tcW w:w="1084" w:type="dxa"/>
          </w:tcPr>
          <w:p w:rsidR="17E9D82C" w:rsidP="17E9D82C" w:rsidRDefault="17E9D82C" w14:paraId="0154B825" w14:textId="410C758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30 days until room exposure</w:t>
            </w:r>
          </w:p>
        </w:tc>
        <w:tc>
          <w:tcPr>
            <w:tcW w:w="1084" w:type="dxa"/>
          </w:tcPr>
          <w:p w:rsidR="17E9D82C" w:rsidP="17E9D82C" w:rsidRDefault="17E9D82C" w14:paraId="5EE85A74" w14:textId="5F105C2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60 days until room exposure</w:t>
            </w:r>
          </w:p>
        </w:tc>
        <w:tc>
          <w:tcPr>
            <w:tcW w:w="1084" w:type="dxa"/>
          </w:tcPr>
          <w:p w:rsidR="17E9D82C" w:rsidP="17E9D82C" w:rsidRDefault="17E9D82C" w14:paraId="34AEBA05" w14:textId="597BEE2A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90 days until room exposure</w:t>
            </w:r>
          </w:p>
        </w:tc>
        <w:tc>
          <w:tcPr>
            <w:tcW w:w="1084" w:type="dxa"/>
          </w:tcPr>
          <w:p w:rsidR="17E9D82C" w:rsidP="17E9D82C" w:rsidRDefault="17E9D82C" w14:paraId="55198763" w14:textId="431A21A3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30 days until room exposure</w:t>
            </w:r>
          </w:p>
        </w:tc>
        <w:tc>
          <w:tcPr>
            <w:tcW w:w="1084" w:type="dxa"/>
          </w:tcPr>
          <w:p w:rsidR="17E9D82C" w:rsidP="17E9D82C" w:rsidRDefault="17E9D82C" w14:paraId="275C1D17" w14:textId="6B7A437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60 days until room exposure</w:t>
            </w:r>
          </w:p>
        </w:tc>
        <w:tc>
          <w:tcPr>
            <w:tcW w:w="1084" w:type="dxa"/>
          </w:tcPr>
          <w:p w:rsidR="17E9D82C" w:rsidP="17E9D82C" w:rsidRDefault="17E9D82C" w14:paraId="028F6BE6" w14:textId="7E6203FC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90 days until room exposure</w:t>
            </w:r>
          </w:p>
        </w:tc>
      </w:tr>
      <w:tr w:rsidR="17E9D82C" w:rsidTr="00504F98" w14:paraId="14D4426F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6243CF28" w14:textId="5BFE15EA"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All</w:t>
            </w:r>
          </w:p>
        </w:tc>
        <w:tc>
          <w:tcPr>
            <w:tcW w:w="1084" w:type="dxa"/>
          </w:tcPr>
          <w:p w:rsidR="17E9D82C" w:rsidP="17E9D82C" w:rsidRDefault="17E9D82C" w14:paraId="366ADE7D" w14:textId="530877B2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257 (8.9)</w:t>
            </w:r>
          </w:p>
        </w:tc>
        <w:tc>
          <w:tcPr>
            <w:tcW w:w="1084" w:type="dxa"/>
          </w:tcPr>
          <w:p w:rsidR="17E9D82C" w:rsidP="17E9D82C" w:rsidRDefault="17E9D82C" w14:paraId="4B720FED" w14:textId="7B0BF117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437 (15.1)</w:t>
            </w:r>
          </w:p>
        </w:tc>
        <w:tc>
          <w:tcPr>
            <w:tcW w:w="1084" w:type="dxa"/>
          </w:tcPr>
          <w:p w:rsidR="17E9D82C" w:rsidP="17E9D82C" w:rsidRDefault="17E9D82C" w14:paraId="48AA4710" w14:textId="3D6F698C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554 (19.1)</w:t>
            </w:r>
          </w:p>
        </w:tc>
        <w:tc>
          <w:tcPr>
            <w:tcW w:w="1084" w:type="dxa"/>
          </w:tcPr>
          <w:p w:rsidR="17E9D82C" w:rsidP="17E9D82C" w:rsidRDefault="17E9D82C" w14:paraId="1C2E7C26" w14:textId="3504DE0F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103 (3.5)</w:t>
            </w:r>
          </w:p>
        </w:tc>
        <w:tc>
          <w:tcPr>
            <w:tcW w:w="1084" w:type="dxa"/>
          </w:tcPr>
          <w:p w:rsidR="17E9D82C" w:rsidP="17E9D82C" w:rsidRDefault="17E9D82C" w14:paraId="0556395F" w14:textId="5779D86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184 (6.3)</w:t>
            </w:r>
          </w:p>
        </w:tc>
        <w:tc>
          <w:tcPr>
            <w:tcW w:w="1084" w:type="dxa"/>
          </w:tcPr>
          <w:p w:rsidR="17E9D82C" w:rsidP="17E9D82C" w:rsidRDefault="17E9D82C" w14:paraId="17FF8E13" w14:textId="389E6DB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250 (8.6)</w:t>
            </w:r>
          </w:p>
        </w:tc>
      </w:tr>
      <w:tr w:rsidR="17E9D82C" w:rsidTr="00504F98" w14:paraId="765132FF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2D2B5E46" w14:textId="52DBA8FB"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By hospital</w:t>
            </w:r>
          </w:p>
        </w:tc>
        <w:tc>
          <w:tcPr>
            <w:tcW w:w="1084" w:type="dxa"/>
          </w:tcPr>
          <w:p w:rsidR="17E9D82C" w:rsidRDefault="17E9D82C" w14:paraId="4BC20676" w14:textId="37213C3D"/>
        </w:tc>
        <w:tc>
          <w:tcPr>
            <w:tcW w:w="1084" w:type="dxa"/>
          </w:tcPr>
          <w:p w:rsidR="17E9D82C" w:rsidRDefault="17E9D82C" w14:paraId="6CE4A552" w14:textId="45EEC7B8"/>
        </w:tc>
        <w:tc>
          <w:tcPr>
            <w:tcW w:w="1084" w:type="dxa"/>
          </w:tcPr>
          <w:p w:rsidR="17E9D82C" w:rsidRDefault="17E9D82C" w14:paraId="2473CD0E" w14:textId="234CC3C3"/>
        </w:tc>
        <w:tc>
          <w:tcPr>
            <w:tcW w:w="1084" w:type="dxa"/>
          </w:tcPr>
          <w:p w:rsidR="17E9D82C" w:rsidRDefault="17E9D82C" w14:paraId="501A31E4" w14:textId="0A3A73B7"/>
        </w:tc>
        <w:tc>
          <w:tcPr>
            <w:tcW w:w="1084" w:type="dxa"/>
          </w:tcPr>
          <w:p w:rsidR="17E9D82C" w:rsidRDefault="17E9D82C" w14:paraId="5C9D1CF0" w14:textId="75930E0F"/>
        </w:tc>
        <w:tc>
          <w:tcPr>
            <w:tcW w:w="1084" w:type="dxa"/>
          </w:tcPr>
          <w:p w:rsidR="17E9D82C" w:rsidRDefault="17E9D82C" w14:paraId="1BBACA91" w14:textId="26952E37"/>
        </w:tc>
      </w:tr>
      <w:tr w:rsidR="17E9D82C" w:rsidTr="00504F98" w14:paraId="68B01214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5CAABD40" w14:textId="2FB0D225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Academic hospital #1</w:t>
            </w:r>
          </w:p>
        </w:tc>
        <w:tc>
          <w:tcPr>
            <w:tcW w:w="1084" w:type="dxa"/>
          </w:tcPr>
          <w:p w:rsidR="17E9D82C" w:rsidP="17E9D82C" w:rsidRDefault="17E9D82C" w14:paraId="209658E2" w14:textId="3BA137E6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108 (8.4)</w:t>
            </w:r>
          </w:p>
        </w:tc>
        <w:tc>
          <w:tcPr>
            <w:tcW w:w="1084" w:type="dxa"/>
          </w:tcPr>
          <w:p w:rsidR="17E9D82C" w:rsidP="17E9D82C" w:rsidRDefault="17E9D82C" w14:paraId="4CB13506" w14:textId="37D70743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187 (14.5)</w:t>
            </w:r>
          </w:p>
        </w:tc>
        <w:tc>
          <w:tcPr>
            <w:tcW w:w="1084" w:type="dxa"/>
          </w:tcPr>
          <w:p w:rsidR="17E9D82C" w:rsidP="17E9D82C" w:rsidRDefault="17E9D82C" w14:paraId="24B115BD" w14:textId="2B9D00C7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236 (18.3)</w:t>
            </w:r>
          </w:p>
        </w:tc>
        <w:tc>
          <w:tcPr>
            <w:tcW w:w="1084" w:type="dxa"/>
          </w:tcPr>
          <w:p w:rsidR="17E9D82C" w:rsidP="17E9D82C" w:rsidRDefault="17E9D82C" w14:paraId="79FFD00C" w14:textId="1D960972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28 (2.2)</w:t>
            </w:r>
          </w:p>
        </w:tc>
        <w:tc>
          <w:tcPr>
            <w:tcW w:w="1084" w:type="dxa"/>
          </w:tcPr>
          <w:p w:rsidR="17E9D82C" w:rsidP="17E9D82C" w:rsidRDefault="17E9D82C" w14:paraId="145352C0" w14:textId="5CA8A52B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54 (4.2)</w:t>
            </w:r>
          </w:p>
        </w:tc>
        <w:tc>
          <w:tcPr>
            <w:tcW w:w="1084" w:type="dxa"/>
          </w:tcPr>
          <w:p w:rsidR="17E9D82C" w:rsidP="17E9D82C" w:rsidRDefault="17E9D82C" w14:paraId="4DC7193E" w14:textId="3CFFA224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70 (5.4)</w:t>
            </w:r>
          </w:p>
        </w:tc>
      </w:tr>
      <w:tr w:rsidR="17E9D82C" w:rsidTr="00504F98" w14:paraId="049D2F35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1154DA99" w14:textId="328A6F5A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Academic hospital #2</w:t>
            </w:r>
          </w:p>
        </w:tc>
        <w:tc>
          <w:tcPr>
            <w:tcW w:w="1084" w:type="dxa"/>
          </w:tcPr>
          <w:p w:rsidR="17E9D82C" w:rsidP="17E9D82C" w:rsidRDefault="17E9D82C" w14:paraId="234F64E5" w14:textId="4C2446B4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61 (13.0)</w:t>
            </w:r>
          </w:p>
        </w:tc>
        <w:tc>
          <w:tcPr>
            <w:tcW w:w="1084" w:type="dxa"/>
          </w:tcPr>
          <w:p w:rsidR="17E9D82C" w:rsidP="17E9D82C" w:rsidRDefault="17E9D82C" w14:paraId="4DA920E7" w14:textId="31FB214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96 (20.5)</w:t>
            </w:r>
          </w:p>
        </w:tc>
        <w:tc>
          <w:tcPr>
            <w:tcW w:w="1084" w:type="dxa"/>
          </w:tcPr>
          <w:p w:rsidR="17E9D82C" w:rsidP="17E9D82C" w:rsidRDefault="17E9D82C" w14:paraId="3F9DEC19" w14:textId="7C2ACD3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120 (25.7)</w:t>
            </w:r>
          </w:p>
        </w:tc>
        <w:tc>
          <w:tcPr>
            <w:tcW w:w="1084" w:type="dxa"/>
          </w:tcPr>
          <w:p w:rsidR="17E9D82C" w:rsidP="17E9D82C" w:rsidRDefault="17E9D82C" w14:paraId="23AB3EB0" w14:textId="4EF7570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12 (2.6)</w:t>
            </w:r>
          </w:p>
        </w:tc>
        <w:tc>
          <w:tcPr>
            <w:tcW w:w="1084" w:type="dxa"/>
          </w:tcPr>
          <w:p w:rsidR="17E9D82C" w:rsidP="17E9D82C" w:rsidRDefault="17E9D82C" w14:paraId="7681AF99" w14:textId="3BA24553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25 (5.3)</w:t>
            </w:r>
          </w:p>
        </w:tc>
        <w:tc>
          <w:tcPr>
            <w:tcW w:w="1084" w:type="dxa"/>
          </w:tcPr>
          <w:p w:rsidR="17E9D82C" w:rsidP="17E9D82C" w:rsidRDefault="17E9D82C" w14:paraId="05DD38B7" w14:textId="0DCD4EF5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37 (7.9)</w:t>
            </w:r>
          </w:p>
        </w:tc>
      </w:tr>
      <w:tr w:rsidR="17E9D82C" w:rsidTr="00504F98" w14:paraId="55175072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35E20FA0" w14:textId="3436552D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Community hospital #1</w:t>
            </w:r>
          </w:p>
        </w:tc>
        <w:tc>
          <w:tcPr>
            <w:tcW w:w="1084" w:type="dxa"/>
          </w:tcPr>
          <w:p w:rsidR="17E9D82C" w:rsidP="17E9D82C" w:rsidRDefault="17E9D82C" w14:paraId="666A5C4D" w14:textId="036FC655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61 (12.6)</w:t>
            </w:r>
          </w:p>
        </w:tc>
        <w:tc>
          <w:tcPr>
            <w:tcW w:w="1084" w:type="dxa"/>
          </w:tcPr>
          <w:p w:rsidR="17E9D82C" w:rsidP="17E9D82C" w:rsidRDefault="17E9D82C" w14:paraId="48CB7FF2" w14:textId="645CEE9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103 (21.3)</w:t>
            </w:r>
          </w:p>
        </w:tc>
        <w:tc>
          <w:tcPr>
            <w:tcW w:w="1084" w:type="dxa"/>
          </w:tcPr>
          <w:p w:rsidR="17E9D82C" w:rsidP="17E9D82C" w:rsidRDefault="17E9D82C" w14:paraId="32798957" w14:textId="47DA3632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137 (28.3)</w:t>
            </w:r>
          </w:p>
        </w:tc>
        <w:tc>
          <w:tcPr>
            <w:tcW w:w="1084" w:type="dxa"/>
          </w:tcPr>
          <w:p w:rsidR="17E9D82C" w:rsidP="17E9D82C" w:rsidRDefault="17E9D82C" w14:paraId="0B238184" w14:textId="1A59A8CA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41 (8.5)</w:t>
            </w:r>
          </w:p>
        </w:tc>
        <w:tc>
          <w:tcPr>
            <w:tcW w:w="1084" w:type="dxa"/>
          </w:tcPr>
          <w:p w:rsidR="17E9D82C" w:rsidP="17E9D82C" w:rsidRDefault="17E9D82C" w14:paraId="23D98359" w14:textId="243BF7DE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67 (13.8)</w:t>
            </w:r>
          </w:p>
        </w:tc>
        <w:tc>
          <w:tcPr>
            <w:tcW w:w="1084" w:type="dxa"/>
          </w:tcPr>
          <w:p w:rsidR="17E9D82C" w:rsidP="17E9D82C" w:rsidRDefault="17E9D82C" w14:paraId="3B684998" w14:textId="4459765A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90 (18.6)</w:t>
            </w:r>
          </w:p>
        </w:tc>
      </w:tr>
      <w:tr w:rsidR="17E9D82C" w:rsidTr="00504F98" w14:paraId="39DE23D1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1F034DD2" w14:textId="24D14E83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Community hospital #2</w:t>
            </w:r>
          </w:p>
        </w:tc>
        <w:tc>
          <w:tcPr>
            <w:tcW w:w="1084" w:type="dxa"/>
          </w:tcPr>
          <w:p w:rsidR="17E9D82C" w:rsidP="17E9D82C" w:rsidRDefault="17E9D82C" w14:paraId="6F28312A" w14:textId="79B657BF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10 (3.0)</w:t>
            </w:r>
          </w:p>
        </w:tc>
        <w:tc>
          <w:tcPr>
            <w:tcW w:w="1084" w:type="dxa"/>
          </w:tcPr>
          <w:p w:rsidR="17E9D82C" w:rsidP="17E9D82C" w:rsidRDefault="17E9D82C" w14:paraId="2B6F66C6" w14:textId="45DCF3D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17 (5.1)</w:t>
            </w:r>
          </w:p>
        </w:tc>
        <w:tc>
          <w:tcPr>
            <w:tcW w:w="1084" w:type="dxa"/>
          </w:tcPr>
          <w:p w:rsidR="17E9D82C" w:rsidP="17E9D82C" w:rsidRDefault="17E9D82C" w14:paraId="1A51BF1E" w14:textId="1FC568D8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19 (5.7)</w:t>
            </w:r>
          </w:p>
        </w:tc>
        <w:tc>
          <w:tcPr>
            <w:tcW w:w="1084" w:type="dxa"/>
          </w:tcPr>
          <w:p w:rsidR="17E9D82C" w:rsidP="17E9D82C" w:rsidRDefault="17E9D82C" w14:paraId="1CC7583C" w14:textId="1DF00334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0 (0.0)</w:t>
            </w:r>
          </w:p>
        </w:tc>
        <w:tc>
          <w:tcPr>
            <w:tcW w:w="1084" w:type="dxa"/>
          </w:tcPr>
          <w:p w:rsidR="17E9D82C" w:rsidP="17E9D82C" w:rsidRDefault="17E9D82C" w14:paraId="1395E623" w14:textId="1D875013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 (0.6)</w:t>
            </w:r>
          </w:p>
        </w:tc>
        <w:tc>
          <w:tcPr>
            <w:tcW w:w="1084" w:type="dxa"/>
          </w:tcPr>
          <w:p w:rsidR="17E9D82C" w:rsidP="17E9D82C" w:rsidRDefault="17E9D82C" w14:paraId="0856FB5A" w14:textId="2DCC8E55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6 (1.8)</w:t>
            </w:r>
          </w:p>
        </w:tc>
      </w:tr>
      <w:tr w:rsidR="17E9D82C" w:rsidTr="00504F98" w14:paraId="35665CB3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0F271CE6" w14:textId="5EDEA9C5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Community hospital #3</w:t>
            </w:r>
          </w:p>
        </w:tc>
        <w:tc>
          <w:tcPr>
            <w:tcW w:w="1084" w:type="dxa"/>
          </w:tcPr>
          <w:p w:rsidR="17E9D82C" w:rsidP="17E9D82C" w:rsidRDefault="17E9D82C" w14:paraId="1B542865" w14:textId="2FE85A5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17 (5.2)</w:t>
            </w:r>
          </w:p>
        </w:tc>
        <w:tc>
          <w:tcPr>
            <w:tcW w:w="1084" w:type="dxa"/>
          </w:tcPr>
          <w:p w:rsidR="17E9D82C" w:rsidP="17E9D82C" w:rsidRDefault="17E9D82C" w14:paraId="12B47D09" w14:textId="64769AC6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34 (10.4)</w:t>
            </w:r>
          </w:p>
        </w:tc>
        <w:tc>
          <w:tcPr>
            <w:tcW w:w="1084" w:type="dxa"/>
          </w:tcPr>
          <w:p w:rsidR="17E9D82C" w:rsidP="17E9D82C" w:rsidRDefault="17E9D82C" w14:paraId="13754134" w14:textId="2D28EB2B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42 (12.9)</w:t>
            </w:r>
          </w:p>
        </w:tc>
        <w:tc>
          <w:tcPr>
            <w:tcW w:w="1084" w:type="dxa"/>
          </w:tcPr>
          <w:p w:rsidR="17E9D82C" w:rsidP="17E9D82C" w:rsidRDefault="17E9D82C" w14:paraId="768FE82C" w14:textId="43E679B6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22 (6.7)</w:t>
            </w:r>
          </w:p>
        </w:tc>
        <w:tc>
          <w:tcPr>
            <w:tcW w:w="1084" w:type="dxa"/>
          </w:tcPr>
          <w:p w:rsidR="17E9D82C" w:rsidP="17E9D82C" w:rsidRDefault="17E9D82C" w14:paraId="747B844B" w14:textId="646AFC18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36 (11.0)</w:t>
            </w:r>
          </w:p>
        </w:tc>
        <w:tc>
          <w:tcPr>
            <w:tcW w:w="1084" w:type="dxa"/>
          </w:tcPr>
          <w:p w:rsidR="17E9D82C" w:rsidP="17E9D82C" w:rsidRDefault="17E9D82C" w14:paraId="172CDA36" w14:textId="1A64EA95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47 (14.4)</w:t>
            </w:r>
          </w:p>
        </w:tc>
      </w:tr>
      <w:tr w:rsidR="17E9D82C" w:rsidTr="00504F98" w14:paraId="1230533D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2E51C183" w14:textId="5CE15FA4"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By unit type</w:t>
            </w:r>
          </w:p>
        </w:tc>
        <w:tc>
          <w:tcPr>
            <w:tcW w:w="1084" w:type="dxa"/>
          </w:tcPr>
          <w:p w:rsidR="17E9D82C" w:rsidRDefault="17E9D82C" w14:paraId="01A1D160" w14:textId="17A8E5C3"/>
        </w:tc>
        <w:tc>
          <w:tcPr>
            <w:tcW w:w="1084" w:type="dxa"/>
          </w:tcPr>
          <w:p w:rsidR="17E9D82C" w:rsidRDefault="17E9D82C" w14:paraId="7D911DFC" w14:textId="65BD7B18"/>
        </w:tc>
        <w:tc>
          <w:tcPr>
            <w:tcW w:w="1084" w:type="dxa"/>
          </w:tcPr>
          <w:p w:rsidR="17E9D82C" w:rsidRDefault="17E9D82C" w14:paraId="39F8E101" w14:textId="7448CC23"/>
        </w:tc>
        <w:tc>
          <w:tcPr>
            <w:tcW w:w="1084" w:type="dxa"/>
          </w:tcPr>
          <w:p w:rsidR="17E9D82C" w:rsidRDefault="17E9D82C" w14:paraId="456C3224" w14:textId="32E65FA9"/>
        </w:tc>
        <w:tc>
          <w:tcPr>
            <w:tcW w:w="1084" w:type="dxa"/>
          </w:tcPr>
          <w:p w:rsidR="17E9D82C" w:rsidRDefault="17E9D82C" w14:paraId="7CBE14F0" w14:textId="3B96C9E3"/>
        </w:tc>
        <w:tc>
          <w:tcPr>
            <w:tcW w:w="1084" w:type="dxa"/>
          </w:tcPr>
          <w:p w:rsidR="17E9D82C" w:rsidRDefault="17E9D82C" w14:paraId="1096D408" w14:textId="5EEED1CD"/>
        </w:tc>
      </w:tr>
      <w:tr w:rsidR="17E9D82C" w:rsidTr="00504F98" w14:paraId="07872D42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7C67D801" w14:textId="4474720F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Inpatient ICU</w:t>
            </w:r>
          </w:p>
        </w:tc>
        <w:tc>
          <w:tcPr>
            <w:tcW w:w="1084" w:type="dxa"/>
          </w:tcPr>
          <w:p w:rsidR="17E9D82C" w:rsidP="17E9D82C" w:rsidRDefault="17E9D82C" w14:paraId="5473F474" w14:textId="56328C9A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106 (30.7)</w:t>
            </w:r>
          </w:p>
        </w:tc>
        <w:tc>
          <w:tcPr>
            <w:tcW w:w="1084" w:type="dxa"/>
          </w:tcPr>
          <w:p w:rsidR="17E9D82C" w:rsidP="17E9D82C" w:rsidRDefault="17E9D82C" w14:paraId="3606067B" w14:textId="2A5F5C8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172 (49.8)</w:t>
            </w:r>
          </w:p>
        </w:tc>
        <w:tc>
          <w:tcPr>
            <w:tcW w:w="1084" w:type="dxa"/>
          </w:tcPr>
          <w:p w:rsidR="17E9D82C" w:rsidP="17E9D82C" w:rsidRDefault="17E9D82C" w14:paraId="7577D0A7" w14:textId="4F003A59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215 (62.2)</w:t>
            </w:r>
          </w:p>
        </w:tc>
        <w:tc>
          <w:tcPr>
            <w:tcW w:w="1084" w:type="dxa"/>
          </w:tcPr>
          <w:p w:rsidR="17E9D82C" w:rsidP="17E9D82C" w:rsidRDefault="17E9D82C" w14:paraId="69B2B2FA" w14:textId="105DD06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38 (11.0)</w:t>
            </w:r>
          </w:p>
        </w:tc>
        <w:tc>
          <w:tcPr>
            <w:tcW w:w="1084" w:type="dxa"/>
          </w:tcPr>
          <w:p w:rsidR="17E9D82C" w:rsidP="17E9D82C" w:rsidRDefault="17E9D82C" w14:paraId="2D77A566" w14:textId="7971DBD2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74 (21.4)</w:t>
            </w:r>
          </w:p>
        </w:tc>
        <w:tc>
          <w:tcPr>
            <w:tcW w:w="1084" w:type="dxa"/>
          </w:tcPr>
          <w:p w:rsidR="17E9D82C" w:rsidP="17E9D82C" w:rsidRDefault="17E9D82C" w14:paraId="1B5245D7" w14:textId="2EF1B0D4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102 (29.5)</w:t>
            </w:r>
          </w:p>
        </w:tc>
      </w:tr>
      <w:tr w:rsidR="17E9D82C" w:rsidTr="00504F98" w14:paraId="781A83DB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29EB00BA" w14:textId="2D40F499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Inpatient Floor</w:t>
            </w:r>
          </w:p>
        </w:tc>
        <w:tc>
          <w:tcPr>
            <w:tcW w:w="1084" w:type="dxa"/>
          </w:tcPr>
          <w:p w:rsidR="17E9D82C" w:rsidP="17E9D82C" w:rsidRDefault="17E9D82C" w14:paraId="4FCEEEF0" w14:textId="5E7D6D56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112 (8.3)</w:t>
            </w:r>
          </w:p>
        </w:tc>
        <w:tc>
          <w:tcPr>
            <w:tcW w:w="1084" w:type="dxa"/>
          </w:tcPr>
          <w:p w:rsidR="17E9D82C" w:rsidP="17E9D82C" w:rsidRDefault="17E9D82C" w14:paraId="04E8E91E" w14:textId="5B84F6A6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185 (13.7)</w:t>
            </w:r>
          </w:p>
        </w:tc>
        <w:tc>
          <w:tcPr>
            <w:tcW w:w="1084" w:type="dxa"/>
          </w:tcPr>
          <w:p w:rsidR="17E9D82C" w:rsidP="17E9D82C" w:rsidRDefault="17E9D82C" w14:paraId="2068DE59" w14:textId="3BA9BB58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242 (17.9)</w:t>
            </w:r>
          </w:p>
        </w:tc>
        <w:tc>
          <w:tcPr>
            <w:tcW w:w="1084" w:type="dxa"/>
          </w:tcPr>
          <w:p w:rsidR="17E9D82C" w:rsidP="17E9D82C" w:rsidRDefault="17E9D82C" w14:paraId="1C217171" w14:textId="05D2002C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52 (3.8)</w:t>
            </w:r>
          </w:p>
        </w:tc>
        <w:tc>
          <w:tcPr>
            <w:tcW w:w="1084" w:type="dxa"/>
          </w:tcPr>
          <w:p w:rsidR="17E9D82C" w:rsidP="17E9D82C" w:rsidRDefault="17E9D82C" w14:paraId="44FC06AB" w14:textId="4C36EC28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87 (6.4)</w:t>
            </w:r>
          </w:p>
        </w:tc>
        <w:tc>
          <w:tcPr>
            <w:tcW w:w="1084" w:type="dxa"/>
          </w:tcPr>
          <w:p w:rsidR="17E9D82C" w:rsidP="17E9D82C" w:rsidRDefault="17E9D82C" w14:paraId="06741281" w14:textId="7369ECA2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110 (8.1)</w:t>
            </w:r>
          </w:p>
        </w:tc>
      </w:tr>
      <w:tr w:rsidR="17E9D82C" w:rsidTr="00504F98" w14:paraId="2F2CF5A2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575193EB" w14:textId="61645DA0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Other*</w:t>
            </w:r>
          </w:p>
        </w:tc>
        <w:tc>
          <w:tcPr>
            <w:tcW w:w="1084" w:type="dxa"/>
          </w:tcPr>
          <w:p w:rsidR="17E9D82C" w:rsidP="17E9D82C" w:rsidRDefault="17E9D82C" w14:paraId="0CAFCBF6" w14:textId="1509054E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39 (3.2)</w:t>
            </w:r>
          </w:p>
        </w:tc>
        <w:tc>
          <w:tcPr>
            <w:tcW w:w="1084" w:type="dxa"/>
          </w:tcPr>
          <w:p w:rsidR="17E9D82C" w:rsidP="17E9D82C" w:rsidRDefault="17E9D82C" w14:paraId="0D54008F" w14:textId="5F6E5C43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80 (6.6)</w:t>
            </w:r>
          </w:p>
        </w:tc>
        <w:tc>
          <w:tcPr>
            <w:tcW w:w="1084" w:type="dxa"/>
          </w:tcPr>
          <w:p w:rsidR="17E9D82C" w:rsidP="17E9D82C" w:rsidRDefault="17E9D82C" w14:paraId="6DF1E68F" w14:textId="72BE1784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97 (8.1)</w:t>
            </w:r>
          </w:p>
        </w:tc>
        <w:tc>
          <w:tcPr>
            <w:tcW w:w="1084" w:type="dxa"/>
          </w:tcPr>
          <w:p w:rsidR="17E9D82C" w:rsidP="17E9D82C" w:rsidRDefault="17E9D82C" w14:paraId="3E81E314" w14:textId="0A3DE44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13 (1.1)</w:t>
            </w:r>
          </w:p>
        </w:tc>
        <w:tc>
          <w:tcPr>
            <w:tcW w:w="1084" w:type="dxa"/>
          </w:tcPr>
          <w:p w:rsidR="17E9D82C" w:rsidP="17E9D82C" w:rsidRDefault="17E9D82C" w14:paraId="01061DB0" w14:textId="0BF6715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23 (1.9)</w:t>
            </w:r>
          </w:p>
        </w:tc>
        <w:tc>
          <w:tcPr>
            <w:tcW w:w="1084" w:type="dxa"/>
          </w:tcPr>
          <w:p w:rsidR="17E9D82C" w:rsidP="17E9D82C" w:rsidRDefault="17E9D82C" w14:paraId="46325830" w14:textId="4C0777FB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38 (3.2)</w:t>
            </w:r>
          </w:p>
        </w:tc>
      </w:tr>
      <w:tr w:rsidR="17E9D82C" w:rsidTr="00504F98" w14:paraId="68A06A7F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597CDF85" w14:textId="39F84629"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By Organism</w:t>
            </w:r>
          </w:p>
        </w:tc>
        <w:tc>
          <w:tcPr>
            <w:tcW w:w="1084" w:type="dxa"/>
          </w:tcPr>
          <w:p w:rsidR="17E9D82C" w:rsidRDefault="17E9D82C" w14:paraId="73017B5C" w14:textId="70FD35A5"/>
        </w:tc>
        <w:tc>
          <w:tcPr>
            <w:tcW w:w="1084" w:type="dxa"/>
          </w:tcPr>
          <w:p w:rsidR="17E9D82C" w:rsidRDefault="17E9D82C" w14:paraId="6070AA72" w14:textId="19DE5FA4"/>
        </w:tc>
        <w:tc>
          <w:tcPr>
            <w:tcW w:w="1084" w:type="dxa"/>
          </w:tcPr>
          <w:p w:rsidR="17E9D82C" w:rsidRDefault="17E9D82C" w14:paraId="428D1436" w14:textId="0CE5EB20"/>
        </w:tc>
        <w:tc>
          <w:tcPr>
            <w:tcW w:w="1084" w:type="dxa"/>
          </w:tcPr>
          <w:p w:rsidR="17E9D82C" w:rsidRDefault="17E9D82C" w14:paraId="20A542E8" w14:textId="516D8E5C"/>
        </w:tc>
        <w:tc>
          <w:tcPr>
            <w:tcW w:w="1084" w:type="dxa"/>
          </w:tcPr>
          <w:p w:rsidR="17E9D82C" w:rsidRDefault="17E9D82C" w14:paraId="687C7BA1" w14:textId="641D91CC"/>
        </w:tc>
        <w:tc>
          <w:tcPr>
            <w:tcW w:w="1084" w:type="dxa"/>
          </w:tcPr>
          <w:p w:rsidR="17E9D82C" w:rsidRDefault="17E9D82C" w14:paraId="5A6CEEC5" w14:textId="0BF39F1B"/>
        </w:tc>
      </w:tr>
      <w:tr w:rsidR="17E9D82C" w:rsidTr="00504F98" w14:paraId="192762BE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17DDEC83" w14:textId="6BBAE4BB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Escherichia coli</w:t>
            </w:r>
          </w:p>
        </w:tc>
        <w:tc>
          <w:tcPr>
            <w:tcW w:w="1084" w:type="dxa"/>
          </w:tcPr>
          <w:p w:rsidR="17E9D82C" w:rsidP="17E9D82C" w:rsidRDefault="17E9D82C" w14:paraId="5304A28D" w14:textId="4F520137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44 (1.5)</w:t>
            </w:r>
          </w:p>
        </w:tc>
        <w:tc>
          <w:tcPr>
            <w:tcW w:w="1084" w:type="dxa"/>
          </w:tcPr>
          <w:p w:rsidR="17E9D82C" w:rsidP="17E9D82C" w:rsidRDefault="17E9D82C" w14:paraId="62E89C4E" w14:textId="677E9F1F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82 (2.8)</w:t>
            </w:r>
          </w:p>
        </w:tc>
        <w:tc>
          <w:tcPr>
            <w:tcW w:w="1084" w:type="dxa"/>
          </w:tcPr>
          <w:p w:rsidR="17E9D82C" w:rsidP="17E9D82C" w:rsidRDefault="17E9D82C" w14:paraId="0DE44A5B" w14:textId="7FCA28E1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106 (3.7)</w:t>
            </w:r>
          </w:p>
        </w:tc>
        <w:tc>
          <w:tcPr>
            <w:tcW w:w="1084" w:type="dxa"/>
          </w:tcPr>
          <w:p w:rsidR="17E9D82C" w:rsidP="17E9D82C" w:rsidRDefault="17E9D82C" w14:paraId="2D671FB7" w14:textId="5CF56615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25 (0.9)</w:t>
            </w:r>
          </w:p>
        </w:tc>
        <w:tc>
          <w:tcPr>
            <w:tcW w:w="1084" w:type="dxa"/>
          </w:tcPr>
          <w:p w:rsidR="17E9D82C" w:rsidP="17E9D82C" w:rsidRDefault="17E9D82C" w14:paraId="60D4A7DD" w14:textId="287CF51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51 (1.8)</w:t>
            </w:r>
          </w:p>
        </w:tc>
        <w:tc>
          <w:tcPr>
            <w:tcW w:w="1084" w:type="dxa"/>
          </w:tcPr>
          <w:p w:rsidR="17E9D82C" w:rsidP="17E9D82C" w:rsidRDefault="17E9D82C" w14:paraId="758175F3" w14:textId="77A74EF2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64 (2.2)</w:t>
            </w:r>
          </w:p>
        </w:tc>
      </w:tr>
      <w:tr w:rsidR="17E9D82C" w:rsidTr="00504F98" w14:paraId="3989B490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1C041B5D" w14:textId="0E5B4976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Staphylococcus aureus</w:t>
            </w:r>
          </w:p>
        </w:tc>
        <w:tc>
          <w:tcPr>
            <w:tcW w:w="1084" w:type="dxa"/>
          </w:tcPr>
          <w:p w:rsidR="17E9D82C" w:rsidP="17E9D82C" w:rsidRDefault="17E9D82C" w14:paraId="1A7A0586" w14:textId="12216DC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102 (3.5)</w:t>
            </w:r>
          </w:p>
        </w:tc>
        <w:tc>
          <w:tcPr>
            <w:tcW w:w="1084" w:type="dxa"/>
          </w:tcPr>
          <w:p w:rsidR="17E9D82C" w:rsidP="17E9D82C" w:rsidRDefault="17E9D82C" w14:paraId="61691026" w14:textId="1440E362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156 (5.4)</w:t>
            </w:r>
          </w:p>
        </w:tc>
        <w:tc>
          <w:tcPr>
            <w:tcW w:w="1084" w:type="dxa"/>
          </w:tcPr>
          <w:p w:rsidR="17E9D82C" w:rsidP="17E9D82C" w:rsidRDefault="17E9D82C" w14:paraId="000CFA45" w14:textId="1F7EE1F9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191 (6.6)</w:t>
            </w:r>
          </w:p>
        </w:tc>
        <w:tc>
          <w:tcPr>
            <w:tcW w:w="1084" w:type="dxa"/>
          </w:tcPr>
          <w:p w:rsidR="17E9D82C" w:rsidP="17E9D82C" w:rsidRDefault="17E9D82C" w14:paraId="549780E4" w14:textId="20E35D8E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19 (0.7)</w:t>
            </w:r>
          </w:p>
        </w:tc>
        <w:tc>
          <w:tcPr>
            <w:tcW w:w="1084" w:type="dxa"/>
          </w:tcPr>
          <w:p w:rsidR="17E9D82C" w:rsidP="17E9D82C" w:rsidRDefault="17E9D82C" w14:paraId="5C117BA6" w14:textId="296CA632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34 (1.2)</w:t>
            </w:r>
          </w:p>
        </w:tc>
        <w:tc>
          <w:tcPr>
            <w:tcW w:w="1084" w:type="dxa"/>
          </w:tcPr>
          <w:p w:rsidR="17E9D82C" w:rsidP="17E9D82C" w:rsidRDefault="17E9D82C" w14:paraId="70587D43" w14:textId="28EA4ABF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53 (1.8)</w:t>
            </w:r>
          </w:p>
        </w:tc>
      </w:tr>
      <w:tr w:rsidR="17E9D82C" w:rsidTr="00504F98" w14:paraId="4E9A97DC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2400C825" w14:textId="65232973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    MSSA</w:t>
            </w:r>
          </w:p>
        </w:tc>
        <w:tc>
          <w:tcPr>
            <w:tcW w:w="1084" w:type="dxa"/>
          </w:tcPr>
          <w:p w:rsidR="17E9D82C" w:rsidP="17E9D82C" w:rsidRDefault="17E9D82C" w14:paraId="43DD2C78" w14:textId="632468BC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69 (2.4)</w:t>
            </w:r>
          </w:p>
        </w:tc>
        <w:tc>
          <w:tcPr>
            <w:tcW w:w="1084" w:type="dxa"/>
          </w:tcPr>
          <w:p w:rsidR="17E9D82C" w:rsidP="17E9D82C" w:rsidRDefault="17E9D82C" w14:paraId="1D50C8DB" w14:textId="4FE908B1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104 (3.6)</w:t>
            </w:r>
          </w:p>
        </w:tc>
        <w:tc>
          <w:tcPr>
            <w:tcW w:w="1084" w:type="dxa"/>
          </w:tcPr>
          <w:p w:rsidR="17E9D82C" w:rsidP="17E9D82C" w:rsidRDefault="17E9D82C" w14:paraId="055F4AAD" w14:textId="720121E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118 (4.1)</w:t>
            </w:r>
          </w:p>
        </w:tc>
        <w:tc>
          <w:tcPr>
            <w:tcW w:w="1084" w:type="dxa"/>
          </w:tcPr>
          <w:p w:rsidR="17E9D82C" w:rsidP="17E9D82C" w:rsidRDefault="17E9D82C" w14:paraId="6DE6822D" w14:textId="041A543F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9 (0.3)</w:t>
            </w:r>
          </w:p>
        </w:tc>
        <w:tc>
          <w:tcPr>
            <w:tcW w:w="1084" w:type="dxa"/>
          </w:tcPr>
          <w:p w:rsidR="17E9D82C" w:rsidP="17E9D82C" w:rsidRDefault="17E9D82C" w14:paraId="1F56B338" w14:textId="646C029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19 (0.7)</w:t>
            </w:r>
          </w:p>
        </w:tc>
        <w:tc>
          <w:tcPr>
            <w:tcW w:w="1084" w:type="dxa"/>
          </w:tcPr>
          <w:p w:rsidR="17E9D82C" w:rsidP="17E9D82C" w:rsidRDefault="17E9D82C" w14:paraId="75C0076C" w14:textId="599687FA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29 (1.0)</w:t>
            </w:r>
          </w:p>
        </w:tc>
      </w:tr>
      <w:tr w:rsidR="17E9D82C" w:rsidTr="00504F98" w14:paraId="35DC8A86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6438BD9E" w14:textId="6708E940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    MRSA</w:t>
            </w:r>
          </w:p>
        </w:tc>
        <w:tc>
          <w:tcPr>
            <w:tcW w:w="1084" w:type="dxa"/>
          </w:tcPr>
          <w:p w:rsidR="17E9D82C" w:rsidP="17E9D82C" w:rsidRDefault="17E9D82C" w14:paraId="449CC5BE" w14:textId="2805CFDA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33 (1.1)</w:t>
            </w:r>
          </w:p>
        </w:tc>
        <w:tc>
          <w:tcPr>
            <w:tcW w:w="1084" w:type="dxa"/>
          </w:tcPr>
          <w:p w:rsidR="17E9D82C" w:rsidP="17E9D82C" w:rsidRDefault="17E9D82C" w14:paraId="1AAD4C11" w14:textId="5D47E6EF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52 (1.8)</w:t>
            </w:r>
          </w:p>
        </w:tc>
        <w:tc>
          <w:tcPr>
            <w:tcW w:w="1084" w:type="dxa"/>
          </w:tcPr>
          <w:p w:rsidR="17E9D82C" w:rsidP="17E9D82C" w:rsidRDefault="17E9D82C" w14:paraId="1872F6E1" w14:textId="2427A66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73 (2.5)</w:t>
            </w:r>
          </w:p>
        </w:tc>
        <w:tc>
          <w:tcPr>
            <w:tcW w:w="1084" w:type="dxa"/>
          </w:tcPr>
          <w:p w:rsidR="17E9D82C" w:rsidP="17E9D82C" w:rsidRDefault="17E9D82C" w14:paraId="2D0BADA7" w14:textId="3D69C5EF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10 (0.3)</w:t>
            </w:r>
          </w:p>
        </w:tc>
        <w:tc>
          <w:tcPr>
            <w:tcW w:w="1084" w:type="dxa"/>
          </w:tcPr>
          <w:p w:rsidR="17E9D82C" w:rsidP="17E9D82C" w:rsidRDefault="17E9D82C" w14:paraId="2CB80863" w14:textId="115C488A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15 (0.5)</w:t>
            </w:r>
          </w:p>
        </w:tc>
        <w:tc>
          <w:tcPr>
            <w:tcW w:w="1084" w:type="dxa"/>
          </w:tcPr>
          <w:p w:rsidR="17E9D82C" w:rsidP="17E9D82C" w:rsidRDefault="17E9D82C" w14:paraId="32241515" w14:textId="5C184628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24 (0.8)</w:t>
            </w:r>
          </w:p>
        </w:tc>
      </w:tr>
      <w:tr w:rsidR="17E9D82C" w:rsidTr="00504F98" w14:paraId="273DEFB9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49FAF626" w14:textId="73E51282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Enterococcus faecalis/faecium</w:t>
            </w:r>
          </w:p>
        </w:tc>
        <w:tc>
          <w:tcPr>
            <w:tcW w:w="1084" w:type="dxa"/>
          </w:tcPr>
          <w:p w:rsidR="17E9D82C" w:rsidP="17E9D82C" w:rsidRDefault="17E9D82C" w14:paraId="3FDB7B2F" w14:textId="124FBE53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25 (0.9)</w:t>
            </w:r>
          </w:p>
        </w:tc>
        <w:tc>
          <w:tcPr>
            <w:tcW w:w="1084" w:type="dxa"/>
          </w:tcPr>
          <w:p w:rsidR="17E9D82C" w:rsidP="17E9D82C" w:rsidRDefault="17E9D82C" w14:paraId="407C3365" w14:textId="39BEE03A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46 (1.6)</w:t>
            </w:r>
          </w:p>
        </w:tc>
        <w:tc>
          <w:tcPr>
            <w:tcW w:w="1084" w:type="dxa"/>
          </w:tcPr>
          <w:p w:rsidR="17E9D82C" w:rsidP="17E9D82C" w:rsidRDefault="17E9D82C" w14:paraId="06A6AE00" w14:textId="462F3AF8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59 (2.0)</w:t>
            </w:r>
          </w:p>
        </w:tc>
        <w:tc>
          <w:tcPr>
            <w:tcW w:w="1084" w:type="dxa"/>
          </w:tcPr>
          <w:p w:rsidR="17E9D82C" w:rsidP="17E9D82C" w:rsidRDefault="17E9D82C" w14:paraId="135EB53A" w14:textId="1CCD86B9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11 (0.4)</w:t>
            </w:r>
          </w:p>
        </w:tc>
        <w:tc>
          <w:tcPr>
            <w:tcW w:w="1084" w:type="dxa"/>
          </w:tcPr>
          <w:p w:rsidR="17E9D82C" w:rsidP="17E9D82C" w:rsidRDefault="17E9D82C" w14:paraId="040537DB" w14:textId="32EAB297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20 (0.7)</w:t>
            </w:r>
          </w:p>
        </w:tc>
        <w:tc>
          <w:tcPr>
            <w:tcW w:w="1084" w:type="dxa"/>
          </w:tcPr>
          <w:p w:rsidR="17E9D82C" w:rsidP="17E9D82C" w:rsidRDefault="17E9D82C" w14:paraId="42DBE6EC" w14:textId="7D32FCEF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20 (0.7)</w:t>
            </w:r>
          </w:p>
        </w:tc>
      </w:tr>
      <w:tr w:rsidR="17E9D82C" w:rsidTr="00504F98" w14:paraId="47091DAC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286BBDC8" w14:textId="0AE1265F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    VSE</w:t>
            </w:r>
          </w:p>
        </w:tc>
        <w:tc>
          <w:tcPr>
            <w:tcW w:w="1084" w:type="dxa"/>
          </w:tcPr>
          <w:p w:rsidR="17E9D82C" w:rsidP="17E9D82C" w:rsidRDefault="17E9D82C" w14:paraId="6396B0B7" w14:textId="259FB2B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23 (0.8)</w:t>
            </w:r>
          </w:p>
        </w:tc>
        <w:tc>
          <w:tcPr>
            <w:tcW w:w="1084" w:type="dxa"/>
          </w:tcPr>
          <w:p w:rsidR="17E9D82C" w:rsidP="17E9D82C" w:rsidRDefault="17E9D82C" w14:paraId="5918D4E8" w14:textId="73E059E7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42 (1.4)</w:t>
            </w:r>
          </w:p>
        </w:tc>
        <w:tc>
          <w:tcPr>
            <w:tcW w:w="1084" w:type="dxa"/>
          </w:tcPr>
          <w:p w:rsidR="17E9D82C" w:rsidP="17E9D82C" w:rsidRDefault="17E9D82C" w14:paraId="4EB64AFF" w14:textId="6CA25334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50 (1.7)</w:t>
            </w:r>
          </w:p>
        </w:tc>
        <w:tc>
          <w:tcPr>
            <w:tcW w:w="1084" w:type="dxa"/>
          </w:tcPr>
          <w:p w:rsidR="17E9D82C" w:rsidP="17E9D82C" w:rsidRDefault="17E9D82C" w14:paraId="071AF1B1" w14:textId="1E359C05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10 (0.3)</w:t>
            </w:r>
          </w:p>
        </w:tc>
        <w:tc>
          <w:tcPr>
            <w:tcW w:w="1084" w:type="dxa"/>
          </w:tcPr>
          <w:p w:rsidR="17E9D82C" w:rsidP="17E9D82C" w:rsidRDefault="17E9D82C" w14:paraId="6C0D8B8D" w14:textId="02D98824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19 (0.7)</w:t>
            </w:r>
          </w:p>
        </w:tc>
        <w:tc>
          <w:tcPr>
            <w:tcW w:w="1084" w:type="dxa"/>
          </w:tcPr>
          <w:p w:rsidR="17E9D82C" w:rsidP="17E9D82C" w:rsidRDefault="17E9D82C" w14:paraId="3B5C9FA2" w14:textId="66DA9733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19 (0.7)</w:t>
            </w:r>
          </w:p>
        </w:tc>
      </w:tr>
      <w:tr w:rsidR="17E9D82C" w:rsidTr="00504F98" w14:paraId="761E392C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42A6BC76" w14:textId="1DD3C686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    VRE</w:t>
            </w:r>
          </w:p>
        </w:tc>
        <w:tc>
          <w:tcPr>
            <w:tcW w:w="1084" w:type="dxa"/>
          </w:tcPr>
          <w:p w:rsidR="17E9D82C" w:rsidP="17E9D82C" w:rsidRDefault="17E9D82C" w14:paraId="2C91F997" w14:textId="051FD5C4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 (0.1)</w:t>
            </w:r>
          </w:p>
        </w:tc>
        <w:tc>
          <w:tcPr>
            <w:tcW w:w="1084" w:type="dxa"/>
          </w:tcPr>
          <w:p w:rsidR="17E9D82C" w:rsidP="17E9D82C" w:rsidRDefault="17E9D82C" w14:paraId="015386A1" w14:textId="4C73B0A5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4 (0.1)</w:t>
            </w:r>
          </w:p>
        </w:tc>
        <w:tc>
          <w:tcPr>
            <w:tcW w:w="1084" w:type="dxa"/>
          </w:tcPr>
          <w:p w:rsidR="17E9D82C" w:rsidP="17E9D82C" w:rsidRDefault="17E9D82C" w14:paraId="0F3FBF2E" w14:textId="43B3B835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9 (0.3)</w:t>
            </w:r>
          </w:p>
        </w:tc>
        <w:tc>
          <w:tcPr>
            <w:tcW w:w="1084" w:type="dxa"/>
          </w:tcPr>
          <w:p w:rsidR="17E9D82C" w:rsidP="17E9D82C" w:rsidRDefault="17E9D82C" w14:paraId="49D9AB8E" w14:textId="4AA793C5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 (0.0)</w:t>
            </w:r>
          </w:p>
        </w:tc>
        <w:tc>
          <w:tcPr>
            <w:tcW w:w="1084" w:type="dxa"/>
          </w:tcPr>
          <w:p w:rsidR="17E9D82C" w:rsidP="17E9D82C" w:rsidRDefault="17E9D82C" w14:paraId="710F3514" w14:textId="5AD9523B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 (0.0)</w:t>
            </w:r>
          </w:p>
        </w:tc>
        <w:tc>
          <w:tcPr>
            <w:tcW w:w="1084" w:type="dxa"/>
          </w:tcPr>
          <w:p w:rsidR="17E9D82C" w:rsidP="17E9D82C" w:rsidRDefault="17E9D82C" w14:paraId="34488760" w14:textId="5DDCA047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 (0.0)</w:t>
            </w:r>
          </w:p>
        </w:tc>
      </w:tr>
      <w:tr w:rsidR="17E9D82C" w:rsidTr="00504F98" w14:paraId="75063588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6FA038A3" w14:textId="654C084D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Pseudomonas aeruginosa</w:t>
            </w:r>
          </w:p>
        </w:tc>
        <w:tc>
          <w:tcPr>
            <w:tcW w:w="1084" w:type="dxa"/>
          </w:tcPr>
          <w:p w:rsidR="17E9D82C" w:rsidP="17E9D82C" w:rsidRDefault="17E9D82C" w14:paraId="3B6B4895" w14:textId="40F5122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34 (1.2)</w:t>
            </w:r>
          </w:p>
        </w:tc>
        <w:tc>
          <w:tcPr>
            <w:tcW w:w="1084" w:type="dxa"/>
          </w:tcPr>
          <w:p w:rsidR="17E9D82C" w:rsidP="17E9D82C" w:rsidRDefault="17E9D82C" w14:paraId="77A4A9A2" w14:textId="30C71053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57 (2.0)</w:t>
            </w:r>
          </w:p>
        </w:tc>
        <w:tc>
          <w:tcPr>
            <w:tcW w:w="1084" w:type="dxa"/>
          </w:tcPr>
          <w:p w:rsidR="17E9D82C" w:rsidP="17E9D82C" w:rsidRDefault="17E9D82C" w14:paraId="5FA6971C" w14:textId="5E192EDC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75 (2.6)</w:t>
            </w:r>
          </w:p>
        </w:tc>
        <w:tc>
          <w:tcPr>
            <w:tcW w:w="1084" w:type="dxa"/>
          </w:tcPr>
          <w:p w:rsidR="17E9D82C" w:rsidP="17E9D82C" w:rsidRDefault="17E9D82C" w14:paraId="6147E421" w14:textId="250CAF03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26 (0.9)</w:t>
            </w:r>
          </w:p>
        </w:tc>
        <w:tc>
          <w:tcPr>
            <w:tcW w:w="1084" w:type="dxa"/>
          </w:tcPr>
          <w:p w:rsidR="17E9D82C" w:rsidP="17E9D82C" w:rsidRDefault="17E9D82C" w14:paraId="53FC1BA8" w14:textId="6290B0C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40 (1.4)</w:t>
            </w:r>
          </w:p>
        </w:tc>
        <w:tc>
          <w:tcPr>
            <w:tcW w:w="1084" w:type="dxa"/>
          </w:tcPr>
          <w:p w:rsidR="17E9D82C" w:rsidP="17E9D82C" w:rsidRDefault="17E9D82C" w14:paraId="09448D01" w14:textId="48B40E5B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56 (1.9)</w:t>
            </w:r>
          </w:p>
        </w:tc>
      </w:tr>
      <w:tr w:rsidR="17E9D82C" w:rsidTr="00504F98" w14:paraId="31ABB466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70FB3F97" w14:textId="31FA3FF1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Klebsiella pneumoniae</w:t>
            </w:r>
          </w:p>
        </w:tc>
        <w:tc>
          <w:tcPr>
            <w:tcW w:w="1084" w:type="dxa"/>
          </w:tcPr>
          <w:p w:rsidR="17E9D82C" w:rsidP="17E9D82C" w:rsidRDefault="17E9D82C" w14:paraId="1A3C6CAF" w14:textId="1C50FC58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20 (0.7)</w:t>
            </w:r>
          </w:p>
        </w:tc>
        <w:tc>
          <w:tcPr>
            <w:tcW w:w="1084" w:type="dxa"/>
          </w:tcPr>
          <w:p w:rsidR="17E9D82C" w:rsidP="17E9D82C" w:rsidRDefault="17E9D82C" w14:paraId="2CCEC6D2" w14:textId="7889C043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34 (1.2)</w:t>
            </w:r>
          </w:p>
        </w:tc>
        <w:tc>
          <w:tcPr>
            <w:tcW w:w="1084" w:type="dxa"/>
          </w:tcPr>
          <w:p w:rsidR="17E9D82C" w:rsidP="17E9D82C" w:rsidRDefault="17E9D82C" w14:paraId="0B2D4124" w14:textId="7ACB987E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47 (1.6)</w:t>
            </w:r>
          </w:p>
        </w:tc>
        <w:tc>
          <w:tcPr>
            <w:tcW w:w="1084" w:type="dxa"/>
          </w:tcPr>
          <w:p w:rsidR="17E9D82C" w:rsidP="17E9D82C" w:rsidRDefault="17E9D82C" w14:paraId="335335AE" w14:textId="4496CAD7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9 (0.3)</w:t>
            </w:r>
          </w:p>
        </w:tc>
        <w:tc>
          <w:tcPr>
            <w:tcW w:w="1084" w:type="dxa"/>
          </w:tcPr>
          <w:p w:rsidR="17E9D82C" w:rsidP="17E9D82C" w:rsidRDefault="17E9D82C" w14:paraId="48032480" w14:textId="3F88A818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20 (0.7)</w:t>
            </w:r>
          </w:p>
        </w:tc>
        <w:tc>
          <w:tcPr>
            <w:tcW w:w="1084" w:type="dxa"/>
          </w:tcPr>
          <w:p w:rsidR="17E9D82C" w:rsidP="17E9D82C" w:rsidRDefault="17E9D82C" w14:paraId="7FD9C130" w14:textId="1845F712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29 (1.0)</w:t>
            </w:r>
          </w:p>
        </w:tc>
      </w:tr>
      <w:tr w:rsidR="17E9D82C" w:rsidTr="00504F98" w14:paraId="423A880D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71702451" w14:textId="44DAB1B3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Staphylococcus (CONS)</w:t>
            </w:r>
          </w:p>
        </w:tc>
        <w:tc>
          <w:tcPr>
            <w:tcW w:w="1084" w:type="dxa"/>
          </w:tcPr>
          <w:p w:rsidR="17E9D82C" w:rsidP="17E9D82C" w:rsidRDefault="17E9D82C" w14:paraId="685F26A9" w14:textId="27766543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8 (0.3)</w:t>
            </w:r>
          </w:p>
        </w:tc>
        <w:tc>
          <w:tcPr>
            <w:tcW w:w="1084" w:type="dxa"/>
          </w:tcPr>
          <w:p w:rsidR="17E9D82C" w:rsidP="17E9D82C" w:rsidRDefault="17E9D82C" w14:paraId="16875269" w14:textId="56C2680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17 (0.6)</w:t>
            </w:r>
          </w:p>
        </w:tc>
        <w:tc>
          <w:tcPr>
            <w:tcW w:w="1084" w:type="dxa"/>
          </w:tcPr>
          <w:p w:rsidR="17E9D82C" w:rsidP="17E9D82C" w:rsidRDefault="17E9D82C" w14:paraId="0A954C6B" w14:textId="6DB66D26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19 (0.7)</w:t>
            </w:r>
          </w:p>
        </w:tc>
        <w:tc>
          <w:tcPr>
            <w:tcW w:w="1084" w:type="dxa"/>
          </w:tcPr>
          <w:p w:rsidR="17E9D82C" w:rsidP="17E9D82C" w:rsidRDefault="17E9D82C" w14:paraId="35A5D022" w14:textId="6CD65FE8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 (0.1)</w:t>
            </w:r>
          </w:p>
        </w:tc>
        <w:tc>
          <w:tcPr>
            <w:tcW w:w="1084" w:type="dxa"/>
          </w:tcPr>
          <w:p w:rsidR="17E9D82C" w:rsidP="17E9D82C" w:rsidRDefault="17E9D82C" w14:paraId="57AC352D" w14:textId="4A08B5E9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 (0.2)</w:t>
            </w:r>
          </w:p>
        </w:tc>
        <w:tc>
          <w:tcPr>
            <w:tcW w:w="1084" w:type="dxa"/>
          </w:tcPr>
          <w:p w:rsidR="17E9D82C" w:rsidP="17E9D82C" w:rsidRDefault="17E9D82C" w14:paraId="38976C4A" w14:textId="17281859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13 (0.4)</w:t>
            </w:r>
          </w:p>
        </w:tc>
      </w:tr>
      <w:tr w:rsidR="17E9D82C" w:rsidTr="00504F98" w14:paraId="56896A4A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5B799BB0" w14:textId="70A17632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lastRenderedPageBreak/>
              <w:t>Enterobacter cloacae</w:t>
            </w:r>
          </w:p>
        </w:tc>
        <w:tc>
          <w:tcPr>
            <w:tcW w:w="1084" w:type="dxa"/>
          </w:tcPr>
          <w:p w:rsidR="17E9D82C" w:rsidP="17E9D82C" w:rsidRDefault="17E9D82C" w14:paraId="15DBB882" w14:textId="25448F6A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7 (0.2)</w:t>
            </w:r>
          </w:p>
        </w:tc>
        <w:tc>
          <w:tcPr>
            <w:tcW w:w="1084" w:type="dxa"/>
          </w:tcPr>
          <w:p w:rsidR="17E9D82C" w:rsidP="17E9D82C" w:rsidRDefault="17E9D82C" w14:paraId="5DA583FC" w14:textId="736431DA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12 (0.4)</w:t>
            </w:r>
          </w:p>
        </w:tc>
        <w:tc>
          <w:tcPr>
            <w:tcW w:w="1084" w:type="dxa"/>
          </w:tcPr>
          <w:p w:rsidR="17E9D82C" w:rsidP="17E9D82C" w:rsidRDefault="17E9D82C" w14:paraId="791555BB" w14:textId="194399D4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16 (0.6)</w:t>
            </w:r>
          </w:p>
        </w:tc>
        <w:tc>
          <w:tcPr>
            <w:tcW w:w="1084" w:type="dxa"/>
          </w:tcPr>
          <w:p w:rsidR="17E9D82C" w:rsidP="17E9D82C" w:rsidRDefault="17E9D82C" w14:paraId="45EDD2BF" w14:textId="092AF46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4 (0.1)</w:t>
            </w:r>
          </w:p>
        </w:tc>
        <w:tc>
          <w:tcPr>
            <w:tcW w:w="1084" w:type="dxa"/>
          </w:tcPr>
          <w:p w:rsidR="17E9D82C" w:rsidP="17E9D82C" w:rsidRDefault="17E9D82C" w14:paraId="5F261A98" w14:textId="3FA8A8DB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6 (0.2)</w:t>
            </w:r>
          </w:p>
        </w:tc>
        <w:tc>
          <w:tcPr>
            <w:tcW w:w="1084" w:type="dxa"/>
          </w:tcPr>
          <w:p w:rsidR="17E9D82C" w:rsidP="17E9D82C" w:rsidRDefault="17E9D82C" w14:paraId="7E714B3E" w14:textId="6D1300FB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8 (0.3)</w:t>
            </w:r>
          </w:p>
        </w:tc>
      </w:tr>
      <w:tr w:rsidR="17E9D82C" w:rsidTr="00504F98" w14:paraId="7CFCA3D0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29E173FB" w14:textId="5EC894E4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Proteus mirabilis</w:t>
            </w:r>
          </w:p>
        </w:tc>
        <w:tc>
          <w:tcPr>
            <w:tcW w:w="1084" w:type="dxa"/>
          </w:tcPr>
          <w:p w:rsidR="17E9D82C" w:rsidP="17E9D82C" w:rsidRDefault="17E9D82C" w14:paraId="3BDE7F85" w14:textId="6D8D4932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7 (0.2)</w:t>
            </w:r>
          </w:p>
        </w:tc>
        <w:tc>
          <w:tcPr>
            <w:tcW w:w="1084" w:type="dxa"/>
          </w:tcPr>
          <w:p w:rsidR="17E9D82C" w:rsidP="17E9D82C" w:rsidRDefault="17E9D82C" w14:paraId="09FAFC18" w14:textId="26DED68A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14 (0.5)</w:t>
            </w:r>
          </w:p>
        </w:tc>
        <w:tc>
          <w:tcPr>
            <w:tcW w:w="1084" w:type="dxa"/>
          </w:tcPr>
          <w:p w:rsidR="17E9D82C" w:rsidP="17E9D82C" w:rsidRDefault="17E9D82C" w14:paraId="07D3F570" w14:textId="45D503CC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18 (0.6)</w:t>
            </w:r>
          </w:p>
        </w:tc>
        <w:tc>
          <w:tcPr>
            <w:tcW w:w="1084" w:type="dxa"/>
          </w:tcPr>
          <w:p w:rsidR="17E9D82C" w:rsidP="17E9D82C" w:rsidRDefault="17E9D82C" w14:paraId="02F2A059" w14:textId="11FBD134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 (0.0)</w:t>
            </w:r>
          </w:p>
        </w:tc>
        <w:tc>
          <w:tcPr>
            <w:tcW w:w="1084" w:type="dxa"/>
          </w:tcPr>
          <w:p w:rsidR="17E9D82C" w:rsidP="17E9D82C" w:rsidRDefault="17E9D82C" w14:paraId="52AE41DF" w14:textId="4CDDD001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 (0.0)</w:t>
            </w:r>
          </w:p>
        </w:tc>
        <w:tc>
          <w:tcPr>
            <w:tcW w:w="1084" w:type="dxa"/>
          </w:tcPr>
          <w:p w:rsidR="17E9D82C" w:rsidP="17E9D82C" w:rsidRDefault="17E9D82C" w14:paraId="6C3CAE17" w14:textId="0E8B539A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 (0.0)</w:t>
            </w:r>
          </w:p>
        </w:tc>
      </w:tr>
      <w:tr w:rsidR="17E9D82C" w:rsidTr="00504F98" w14:paraId="37F5A33B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543B0118" w14:textId="080FFD15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Stenotrophomonas maltophilia</w:t>
            </w:r>
          </w:p>
        </w:tc>
        <w:tc>
          <w:tcPr>
            <w:tcW w:w="1084" w:type="dxa"/>
          </w:tcPr>
          <w:p w:rsidR="17E9D82C" w:rsidP="17E9D82C" w:rsidRDefault="17E9D82C" w14:paraId="546B5F9C" w14:textId="31ED097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0 (0.0)</w:t>
            </w:r>
          </w:p>
        </w:tc>
        <w:tc>
          <w:tcPr>
            <w:tcW w:w="1084" w:type="dxa"/>
          </w:tcPr>
          <w:p w:rsidR="17E9D82C" w:rsidP="17E9D82C" w:rsidRDefault="17E9D82C" w14:paraId="15359560" w14:textId="25669A33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0 (0.0)</w:t>
            </w:r>
          </w:p>
        </w:tc>
        <w:tc>
          <w:tcPr>
            <w:tcW w:w="1084" w:type="dxa"/>
          </w:tcPr>
          <w:p w:rsidR="17E9D82C" w:rsidP="17E9D82C" w:rsidRDefault="17E9D82C" w14:paraId="1CE6816C" w14:textId="0C70C0F8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0 (0.0)</w:t>
            </w:r>
          </w:p>
        </w:tc>
        <w:tc>
          <w:tcPr>
            <w:tcW w:w="1084" w:type="dxa"/>
          </w:tcPr>
          <w:p w:rsidR="17E9D82C" w:rsidP="17E9D82C" w:rsidRDefault="17E9D82C" w14:paraId="446A618B" w14:textId="49FAA965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0 (0.0)</w:t>
            </w:r>
          </w:p>
        </w:tc>
        <w:tc>
          <w:tcPr>
            <w:tcW w:w="1084" w:type="dxa"/>
          </w:tcPr>
          <w:p w:rsidR="17E9D82C" w:rsidP="17E9D82C" w:rsidRDefault="17E9D82C" w14:paraId="00FE7011" w14:textId="1E08D50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0 (0.0)</w:t>
            </w:r>
          </w:p>
        </w:tc>
        <w:tc>
          <w:tcPr>
            <w:tcW w:w="1084" w:type="dxa"/>
          </w:tcPr>
          <w:p w:rsidR="17E9D82C" w:rsidP="17E9D82C" w:rsidRDefault="17E9D82C" w14:paraId="41F90669" w14:textId="1BEA1772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0 (0.0)</w:t>
            </w:r>
          </w:p>
        </w:tc>
      </w:tr>
      <w:tr w:rsidR="17E9D82C" w:rsidTr="00504F98" w14:paraId="38231DE6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4539A0DD" w14:textId="0F4E3B24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Serratia marcescens</w:t>
            </w:r>
          </w:p>
        </w:tc>
        <w:tc>
          <w:tcPr>
            <w:tcW w:w="1084" w:type="dxa"/>
          </w:tcPr>
          <w:p w:rsidR="17E9D82C" w:rsidP="17E9D82C" w:rsidRDefault="17E9D82C" w14:paraId="31535C35" w14:textId="567C87F8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 (0.2)</w:t>
            </w:r>
          </w:p>
        </w:tc>
        <w:tc>
          <w:tcPr>
            <w:tcW w:w="1084" w:type="dxa"/>
          </w:tcPr>
          <w:p w:rsidR="17E9D82C" w:rsidP="17E9D82C" w:rsidRDefault="17E9D82C" w14:paraId="15FAE072" w14:textId="6D8BFDC7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9 (0.3)</w:t>
            </w:r>
          </w:p>
        </w:tc>
        <w:tc>
          <w:tcPr>
            <w:tcW w:w="1084" w:type="dxa"/>
          </w:tcPr>
          <w:p w:rsidR="17E9D82C" w:rsidP="17E9D82C" w:rsidRDefault="17E9D82C" w14:paraId="6DC7512B" w14:textId="28555E53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13 (0.4)</w:t>
            </w:r>
          </w:p>
        </w:tc>
        <w:tc>
          <w:tcPr>
            <w:tcW w:w="1084" w:type="dxa"/>
          </w:tcPr>
          <w:p w:rsidR="17E9D82C" w:rsidP="17E9D82C" w:rsidRDefault="17E9D82C" w14:paraId="409F04CD" w14:textId="24DC7A24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 (0.1)</w:t>
            </w:r>
          </w:p>
        </w:tc>
        <w:tc>
          <w:tcPr>
            <w:tcW w:w="1084" w:type="dxa"/>
          </w:tcPr>
          <w:p w:rsidR="17E9D82C" w:rsidP="17E9D82C" w:rsidRDefault="17E9D82C" w14:paraId="36636916" w14:textId="3FAEC6C7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 (0.1)</w:t>
            </w:r>
          </w:p>
        </w:tc>
        <w:tc>
          <w:tcPr>
            <w:tcW w:w="1084" w:type="dxa"/>
          </w:tcPr>
          <w:p w:rsidR="17E9D82C" w:rsidP="17E9D82C" w:rsidRDefault="17E9D82C" w14:paraId="51FC364F" w14:textId="48467AD1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 (0.1)</w:t>
            </w:r>
          </w:p>
        </w:tc>
      </w:tr>
      <w:tr w:rsidR="17E9D82C" w:rsidTr="00504F98" w14:paraId="4DC43384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3171B321" w14:textId="76449783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Klebsiella oxytoca</w:t>
            </w:r>
          </w:p>
        </w:tc>
        <w:tc>
          <w:tcPr>
            <w:tcW w:w="1084" w:type="dxa"/>
          </w:tcPr>
          <w:p w:rsidR="17E9D82C" w:rsidP="17E9D82C" w:rsidRDefault="17E9D82C" w14:paraId="5C7775DE" w14:textId="77F77BCB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 (0.0)</w:t>
            </w:r>
          </w:p>
        </w:tc>
        <w:tc>
          <w:tcPr>
            <w:tcW w:w="1084" w:type="dxa"/>
          </w:tcPr>
          <w:p w:rsidR="17E9D82C" w:rsidP="17E9D82C" w:rsidRDefault="17E9D82C" w14:paraId="23DE2456" w14:textId="05E7DE61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 (0.0)</w:t>
            </w:r>
          </w:p>
        </w:tc>
        <w:tc>
          <w:tcPr>
            <w:tcW w:w="1084" w:type="dxa"/>
          </w:tcPr>
          <w:p w:rsidR="17E9D82C" w:rsidP="17E9D82C" w:rsidRDefault="17E9D82C" w14:paraId="73727AFB" w14:textId="2A7EBD11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 (0.0)</w:t>
            </w:r>
          </w:p>
        </w:tc>
        <w:tc>
          <w:tcPr>
            <w:tcW w:w="1084" w:type="dxa"/>
          </w:tcPr>
          <w:p w:rsidR="17E9D82C" w:rsidP="17E9D82C" w:rsidRDefault="17E9D82C" w14:paraId="7FF55A73" w14:textId="3ED03668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 (0.1)</w:t>
            </w:r>
          </w:p>
        </w:tc>
        <w:tc>
          <w:tcPr>
            <w:tcW w:w="1084" w:type="dxa"/>
          </w:tcPr>
          <w:p w:rsidR="17E9D82C" w:rsidP="17E9D82C" w:rsidRDefault="17E9D82C" w14:paraId="26C7AB27" w14:textId="0EE2554F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 (0.1)</w:t>
            </w:r>
          </w:p>
        </w:tc>
        <w:tc>
          <w:tcPr>
            <w:tcW w:w="1084" w:type="dxa"/>
          </w:tcPr>
          <w:p w:rsidR="17E9D82C" w:rsidP="17E9D82C" w:rsidRDefault="17E9D82C" w14:paraId="6128508C" w14:textId="37A967EE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 (0.1)</w:t>
            </w:r>
          </w:p>
        </w:tc>
      </w:tr>
      <w:tr w:rsidR="17E9D82C" w:rsidTr="00504F98" w14:paraId="41E56068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6C5162A0" w14:textId="20DD5CEA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Corynebacterium striatum</w:t>
            </w:r>
          </w:p>
        </w:tc>
        <w:tc>
          <w:tcPr>
            <w:tcW w:w="1084" w:type="dxa"/>
          </w:tcPr>
          <w:p w:rsidR="17E9D82C" w:rsidP="17E9D82C" w:rsidRDefault="17E9D82C" w14:paraId="4A2FB0DD" w14:textId="7AB38291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0 (0.0)</w:t>
            </w:r>
          </w:p>
        </w:tc>
        <w:tc>
          <w:tcPr>
            <w:tcW w:w="1084" w:type="dxa"/>
          </w:tcPr>
          <w:p w:rsidR="17E9D82C" w:rsidP="17E9D82C" w:rsidRDefault="17E9D82C" w14:paraId="337E9A26" w14:textId="1218EFD7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 (0.0)</w:t>
            </w:r>
          </w:p>
        </w:tc>
        <w:tc>
          <w:tcPr>
            <w:tcW w:w="1084" w:type="dxa"/>
          </w:tcPr>
          <w:p w:rsidR="17E9D82C" w:rsidP="17E9D82C" w:rsidRDefault="17E9D82C" w14:paraId="1610052F" w14:textId="539B81D3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 (0.0)</w:t>
            </w:r>
          </w:p>
        </w:tc>
        <w:tc>
          <w:tcPr>
            <w:tcW w:w="1084" w:type="dxa"/>
          </w:tcPr>
          <w:p w:rsidR="17E9D82C" w:rsidP="17E9D82C" w:rsidRDefault="17E9D82C" w14:paraId="1373D3B2" w14:textId="14318ABC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0 (0.0)</w:t>
            </w:r>
          </w:p>
        </w:tc>
        <w:tc>
          <w:tcPr>
            <w:tcW w:w="1084" w:type="dxa"/>
          </w:tcPr>
          <w:p w:rsidR="17E9D82C" w:rsidP="17E9D82C" w:rsidRDefault="17E9D82C" w14:paraId="5E17C040" w14:textId="4AD9BAD9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0 (0.0)</w:t>
            </w:r>
          </w:p>
        </w:tc>
        <w:tc>
          <w:tcPr>
            <w:tcW w:w="1084" w:type="dxa"/>
          </w:tcPr>
          <w:p w:rsidR="17E9D82C" w:rsidP="17E9D82C" w:rsidRDefault="17E9D82C" w14:paraId="1F13BA23" w14:textId="70938E0E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0 (0.0)</w:t>
            </w:r>
          </w:p>
        </w:tc>
      </w:tr>
      <w:tr w:rsidR="17E9D82C" w:rsidTr="00504F98" w14:paraId="49C7FC8C" w14:textId="77777777">
        <w:trPr>
          <w:trHeight w:val="300"/>
        </w:trPr>
        <w:tc>
          <w:tcPr>
            <w:tcW w:w="2857" w:type="dxa"/>
          </w:tcPr>
          <w:p w:rsidR="17E9D82C" w:rsidP="17E9D82C" w:rsidRDefault="17E9D82C" w14:paraId="28101B89" w14:textId="03AF12C4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Other</w:t>
            </w:r>
          </w:p>
        </w:tc>
        <w:tc>
          <w:tcPr>
            <w:tcW w:w="1084" w:type="dxa"/>
          </w:tcPr>
          <w:p w:rsidR="17E9D82C" w:rsidP="17E9D82C" w:rsidRDefault="17E9D82C" w14:paraId="2BBE50C2" w14:textId="5419845C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0 (0.0)</w:t>
            </w:r>
          </w:p>
        </w:tc>
        <w:tc>
          <w:tcPr>
            <w:tcW w:w="1084" w:type="dxa"/>
          </w:tcPr>
          <w:p w:rsidR="17E9D82C" w:rsidP="17E9D82C" w:rsidRDefault="17E9D82C" w14:paraId="4271943A" w14:textId="5813D3A8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 (0.1)</w:t>
            </w:r>
          </w:p>
        </w:tc>
        <w:tc>
          <w:tcPr>
            <w:tcW w:w="1084" w:type="dxa"/>
          </w:tcPr>
          <w:p w:rsidR="17E9D82C" w:rsidP="17E9D82C" w:rsidRDefault="17E9D82C" w14:paraId="6388DF05" w14:textId="1995EED1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 (0.1)</w:t>
            </w:r>
          </w:p>
        </w:tc>
        <w:tc>
          <w:tcPr>
            <w:tcW w:w="1084" w:type="dxa"/>
          </w:tcPr>
          <w:p w:rsidR="17E9D82C" w:rsidP="17E9D82C" w:rsidRDefault="17E9D82C" w14:paraId="45069F78" w14:textId="3077397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0 (0.0)</w:t>
            </w:r>
          </w:p>
        </w:tc>
        <w:tc>
          <w:tcPr>
            <w:tcW w:w="1084" w:type="dxa"/>
          </w:tcPr>
          <w:p w:rsidR="17E9D82C" w:rsidP="17E9D82C" w:rsidRDefault="17E9D82C" w14:paraId="4B7A8D0C" w14:textId="1E8993C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0 (0.0)</w:t>
            </w:r>
          </w:p>
        </w:tc>
        <w:tc>
          <w:tcPr>
            <w:tcW w:w="1084" w:type="dxa"/>
          </w:tcPr>
          <w:p w:rsidR="17E9D82C" w:rsidP="17E9D82C" w:rsidRDefault="17E9D82C" w14:paraId="3E11DBC4" w14:textId="7871EDDA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0 (0.0)</w:t>
            </w:r>
          </w:p>
        </w:tc>
      </w:tr>
      <w:tr w:rsidR="17E9D82C" w:rsidTr="00504F98" w14:paraId="68BA22C1" w14:textId="77777777">
        <w:trPr>
          <w:trHeight w:val="660"/>
        </w:trPr>
        <w:tc>
          <w:tcPr>
            <w:tcW w:w="9361" w:type="dxa"/>
            <w:gridSpan w:val="7"/>
          </w:tcPr>
          <w:p w:rsidR="17E9D82C" w:rsidP="17E9D82C" w:rsidRDefault="17E9D82C" w14:paraId="0DDABC44" w14:textId="38D60125"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*Including procedural units and emergency departments; ** assumes exposure location not where specimen taken; † measures the relative rarity of each organism phenotype based on AST and MIC levels, lower percentages </w:t>
            </w:r>
            <w:proofErr w:type="gramStart"/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means</w:t>
            </w:r>
            <w:proofErr w:type="gramEnd"/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rarer phenotype. MRSA = Methicillin-resistant </w:t>
            </w: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S. aureus</w:t>
            </w: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; MSSA = Methicillin-sensitive </w:t>
            </w: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S. aureus</w:t>
            </w: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; VSE = Vancomycin-susceptible enterococci; VRE = Vancomycin-resistant enterococci</w:t>
            </w:r>
          </w:p>
        </w:tc>
      </w:tr>
    </w:tbl>
    <w:p w:rsidR="0018334C" w:rsidP="17E9D82C" w:rsidRDefault="0018334C" w14:paraId="485D3369" w14:textId="1FB80149">
      <w:pPr>
        <w:spacing w:line="480" w:lineRule="auto"/>
      </w:pPr>
    </w:p>
    <w:p w:rsidR="0018334C" w:rsidRDefault="0018334C" w14:paraId="711600EB" w14:textId="77777777">
      <w:r>
        <w:br w:type="page"/>
      </w:r>
    </w:p>
    <w:tbl>
      <w:tblPr>
        <w:tblStyle w:val="TableGrid"/>
        <w:tblW w:w="9361" w:type="dxa"/>
        <w:tblLayout w:type="fixed"/>
        <w:tblLook w:val="04A0" w:firstRow="1" w:lastRow="0" w:firstColumn="1" w:lastColumn="0" w:noHBand="0" w:noVBand="1"/>
      </w:tblPr>
      <w:tblGrid>
        <w:gridCol w:w="3886"/>
        <w:gridCol w:w="1299"/>
        <w:gridCol w:w="1207"/>
        <w:gridCol w:w="1392"/>
        <w:gridCol w:w="1577"/>
      </w:tblGrid>
      <w:tr w:rsidR="17E9D82C" w:rsidTr="00504F98" w14:paraId="77108C21" w14:textId="77777777">
        <w:trPr>
          <w:trHeight w:val="300"/>
        </w:trPr>
        <w:tc>
          <w:tcPr>
            <w:tcW w:w="9361" w:type="dxa"/>
            <w:gridSpan w:val="5"/>
          </w:tcPr>
          <w:p w:rsidR="17E9D82C" w:rsidP="17E9D82C" w:rsidRDefault="17E9D82C" w14:paraId="11E31C4D" w14:textId="43FBB523">
            <w:r w:rsidRPr="17E9D82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lastRenderedPageBreak/>
              <w:t>Supplementary Table 2. Sensitivity analysis of patients exposed to infected prior room occupants overall and by hospital and unit type for post exposure surveillance time</w:t>
            </w:r>
          </w:p>
        </w:tc>
      </w:tr>
      <w:tr w:rsidR="17E9D82C" w:rsidTr="00504F98" w14:paraId="6DA333F2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51C9B601" w14:textId="6C0A6074"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99" w:type="dxa"/>
          </w:tcPr>
          <w:p w:rsidR="17E9D82C" w:rsidP="17E9D82C" w:rsidRDefault="17E9D82C" w14:paraId="6CBD056A" w14:textId="2D3D473A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7 days</w:t>
            </w:r>
          </w:p>
        </w:tc>
        <w:tc>
          <w:tcPr>
            <w:tcW w:w="1207" w:type="dxa"/>
          </w:tcPr>
          <w:p w:rsidR="17E9D82C" w:rsidP="17E9D82C" w:rsidRDefault="17E9D82C" w14:paraId="5EE47495" w14:textId="3F228662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30 days</w:t>
            </w:r>
          </w:p>
        </w:tc>
        <w:tc>
          <w:tcPr>
            <w:tcW w:w="1392" w:type="dxa"/>
          </w:tcPr>
          <w:p w:rsidR="17E9D82C" w:rsidP="17E9D82C" w:rsidRDefault="17E9D82C" w14:paraId="297325B3" w14:textId="7E835648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60 days</w:t>
            </w:r>
          </w:p>
        </w:tc>
        <w:tc>
          <w:tcPr>
            <w:tcW w:w="1577" w:type="dxa"/>
          </w:tcPr>
          <w:p w:rsidR="17E9D82C" w:rsidP="17E9D82C" w:rsidRDefault="17E9D82C" w14:paraId="52FD3FC4" w14:textId="6BB8D95F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90 days</w:t>
            </w:r>
          </w:p>
        </w:tc>
      </w:tr>
      <w:tr w:rsidR="17E9D82C" w:rsidTr="00504F98" w14:paraId="1892E105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5FAA08F4" w14:textId="3340C043"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All</w:t>
            </w:r>
          </w:p>
        </w:tc>
        <w:tc>
          <w:tcPr>
            <w:tcW w:w="1299" w:type="dxa"/>
          </w:tcPr>
          <w:p w:rsidR="17E9D82C" w:rsidP="17E9D82C" w:rsidRDefault="17E9D82C" w14:paraId="68DA924C" w14:textId="026B1FA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959</w:t>
            </w:r>
          </w:p>
        </w:tc>
        <w:tc>
          <w:tcPr>
            <w:tcW w:w="1207" w:type="dxa"/>
          </w:tcPr>
          <w:p w:rsidR="17E9D82C" w:rsidP="17E9D82C" w:rsidRDefault="17E9D82C" w14:paraId="3C5EF914" w14:textId="3D98B001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1,371</w:t>
            </w:r>
          </w:p>
        </w:tc>
        <w:tc>
          <w:tcPr>
            <w:tcW w:w="1392" w:type="dxa"/>
          </w:tcPr>
          <w:p w:rsidR="17E9D82C" w:rsidP="17E9D82C" w:rsidRDefault="17E9D82C" w14:paraId="134E4BDD" w14:textId="1F7A941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1,436</w:t>
            </w:r>
          </w:p>
        </w:tc>
        <w:tc>
          <w:tcPr>
            <w:tcW w:w="1577" w:type="dxa"/>
          </w:tcPr>
          <w:p w:rsidR="17E9D82C" w:rsidP="17E9D82C" w:rsidRDefault="17E9D82C" w14:paraId="402DF7CE" w14:textId="71DADEC8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1,444</w:t>
            </w:r>
          </w:p>
        </w:tc>
      </w:tr>
      <w:tr w:rsidR="17E9D82C" w:rsidTr="00504F98" w14:paraId="69EACD39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3254300A" w14:textId="449857A0"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By hospital</w:t>
            </w:r>
          </w:p>
        </w:tc>
        <w:tc>
          <w:tcPr>
            <w:tcW w:w="1299" w:type="dxa"/>
          </w:tcPr>
          <w:p w:rsidR="17E9D82C" w:rsidRDefault="17E9D82C" w14:paraId="099AF88E" w14:textId="784017AF"/>
        </w:tc>
        <w:tc>
          <w:tcPr>
            <w:tcW w:w="1207" w:type="dxa"/>
          </w:tcPr>
          <w:p w:rsidR="17E9D82C" w:rsidRDefault="17E9D82C" w14:paraId="006DBB6E" w14:textId="10586ABE"/>
        </w:tc>
        <w:tc>
          <w:tcPr>
            <w:tcW w:w="1392" w:type="dxa"/>
          </w:tcPr>
          <w:p w:rsidR="17E9D82C" w:rsidRDefault="17E9D82C" w14:paraId="7D1EFAC6" w14:textId="690FAD34"/>
        </w:tc>
        <w:tc>
          <w:tcPr>
            <w:tcW w:w="1577" w:type="dxa"/>
          </w:tcPr>
          <w:p w:rsidR="17E9D82C" w:rsidRDefault="17E9D82C" w14:paraId="6643A357" w14:textId="4D69661E"/>
        </w:tc>
      </w:tr>
      <w:tr w:rsidR="17E9D82C" w:rsidTr="00504F98" w14:paraId="7DFB9D19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58C7A186" w14:textId="31DC09F0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Academic hospital #1</w:t>
            </w:r>
          </w:p>
        </w:tc>
        <w:tc>
          <w:tcPr>
            <w:tcW w:w="1299" w:type="dxa"/>
          </w:tcPr>
          <w:p w:rsidR="17E9D82C" w:rsidP="17E9D82C" w:rsidRDefault="17E9D82C" w14:paraId="33DC434F" w14:textId="66853C45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473</w:t>
            </w:r>
          </w:p>
        </w:tc>
        <w:tc>
          <w:tcPr>
            <w:tcW w:w="1207" w:type="dxa"/>
          </w:tcPr>
          <w:p w:rsidR="17E9D82C" w:rsidP="17E9D82C" w:rsidRDefault="17E9D82C" w14:paraId="42359E99" w14:textId="34D88785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711</w:t>
            </w:r>
          </w:p>
        </w:tc>
        <w:tc>
          <w:tcPr>
            <w:tcW w:w="1392" w:type="dxa"/>
          </w:tcPr>
          <w:p w:rsidR="17E9D82C" w:rsidP="17E9D82C" w:rsidRDefault="17E9D82C" w14:paraId="014F2698" w14:textId="6BB1B787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762</w:t>
            </w:r>
          </w:p>
        </w:tc>
        <w:tc>
          <w:tcPr>
            <w:tcW w:w="1577" w:type="dxa"/>
          </w:tcPr>
          <w:p w:rsidR="17E9D82C" w:rsidP="17E9D82C" w:rsidRDefault="17E9D82C" w14:paraId="44AB3D9B" w14:textId="1A583CB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767</w:t>
            </w:r>
          </w:p>
        </w:tc>
      </w:tr>
      <w:tr w:rsidR="17E9D82C" w:rsidTr="00504F98" w14:paraId="5B8DE89F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79D91AC3" w14:textId="6ECA83E2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Academic hospital #2</w:t>
            </w:r>
          </w:p>
        </w:tc>
        <w:tc>
          <w:tcPr>
            <w:tcW w:w="1299" w:type="dxa"/>
          </w:tcPr>
          <w:p w:rsidR="17E9D82C" w:rsidP="17E9D82C" w:rsidRDefault="17E9D82C" w14:paraId="5D83070F" w14:textId="28E3C0D2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256</w:t>
            </w:r>
          </w:p>
        </w:tc>
        <w:tc>
          <w:tcPr>
            <w:tcW w:w="1207" w:type="dxa"/>
          </w:tcPr>
          <w:p w:rsidR="17E9D82C" w:rsidP="17E9D82C" w:rsidRDefault="17E9D82C" w14:paraId="0CE2F4D7" w14:textId="2A2CD7F2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374</w:t>
            </w:r>
          </w:p>
        </w:tc>
        <w:tc>
          <w:tcPr>
            <w:tcW w:w="1392" w:type="dxa"/>
          </w:tcPr>
          <w:p w:rsidR="17E9D82C" w:rsidP="17E9D82C" w:rsidRDefault="17E9D82C" w14:paraId="549BBCD3" w14:textId="258FA816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382</w:t>
            </w:r>
          </w:p>
        </w:tc>
        <w:tc>
          <w:tcPr>
            <w:tcW w:w="1577" w:type="dxa"/>
          </w:tcPr>
          <w:p w:rsidR="17E9D82C" w:rsidP="17E9D82C" w:rsidRDefault="17E9D82C" w14:paraId="6289BB3F" w14:textId="06DA5FA5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385</w:t>
            </w:r>
          </w:p>
        </w:tc>
      </w:tr>
      <w:tr w:rsidR="17E9D82C" w:rsidTr="00504F98" w14:paraId="12D58A6A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395C49D2" w14:textId="0CC20D05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Community hospital #1</w:t>
            </w:r>
          </w:p>
        </w:tc>
        <w:tc>
          <w:tcPr>
            <w:tcW w:w="1299" w:type="dxa"/>
          </w:tcPr>
          <w:p w:rsidR="17E9D82C" w:rsidP="17E9D82C" w:rsidRDefault="17E9D82C" w14:paraId="3EE2E95F" w14:textId="2119C4AE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113</w:t>
            </w:r>
          </w:p>
        </w:tc>
        <w:tc>
          <w:tcPr>
            <w:tcW w:w="1207" w:type="dxa"/>
          </w:tcPr>
          <w:p w:rsidR="17E9D82C" w:rsidP="17E9D82C" w:rsidRDefault="17E9D82C" w14:paraId="3DBA723D" w14:textId="11FAD475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154</w:t>
            </w:r>
          </w:p>
        </w:tc>
        <w:tc>
          <w:tcPr>
            <w:tcW w:w="1392" w:type="dxa"/>
          </w:tcPr>
          <w:p w:rsidR="17E9D82C" w:rsidP="17E9D82C" w:rsidRDefault="17E9D82C" w14:paraId="3960FFF2" w14:textId="1C898948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159</w:t>
            </w:r>
          </w:p>
        </w:tc>
        <w:tc>
          <w:tcPr>
            <w:tcW w:w="1577" w:type="dxa"/>
          </w:tcPr>
          <w:p w:rsidR="17E9D82C" w:rsidP="17E9D82C" w:rsidRDefault="17E9D82C" w14:paraId="4CF97404" w14:textId="6CB0C927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159</w:t>
            </w:r>
          </w:p>
        </w:tc>
      </w:tr>
      <w:tr w:rsidR="17E9D82C" w:rsidTr="00504F98" w14:paraId="28DF5EC3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64B180D6" w14:textId="247D20B7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Community hospital #2</w:t>
            </w:r>
          </w:p>
        </w:tc>
        <w:tc>
          <w:tcPr>
            <w:tcW w:w="1299" w:type="dxa"/>
          </w:tcPr>
          <w:p w:rsidR="17E9D82C" w:rsidP="17E9D82C" w:rsidRDefault="17E9D82C" w14:paraId="2B25D22E" w14:textId="7751A25B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71</w:t>
            </w:r>
          </w:p>
        </w:tc>
        <w:tc>
          <w:tcPr>
            <w:tcW w:w="1207" w:type="dxa"/>
          </w:tcPr>
          <w:p w:rsidR="17E9D82C" w:rsidP="17E9D82C" w:rsidRDefault="17E9D82C" w14:paraId="55154768" w14:textId="3185DBE8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78</w:t>
            </w:r>
          </w:p>
        </w:tc>
        <w:tc>
          <w:tcPr>
            <w:tcW w:w="1392" w:type="dxa"/>
          </w:tcPr>
          <w:p w:rsidR="17E9D82C" w:rsidP="17E9D82C" w:rsidRDefault="17E9D82C" w14:paraId="3BEB748B" w14:textId="68EEA0D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78</w:t>
            </w:r>
          </w:p>
        </w:tc>
        <w:tc>
          <w:tcPr>
            <w:tcW w:w="1577" w:type="dxa"/>
          </w:tcPr>
          <w:p w:rsidR="17E9D82C" w:rsidP="17E9D82C" w:rsidRDefault="17E9D82C" w14:paraId="6849542F" w14:textId="53074FF7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78</w:t>
            </w:r>
          </w:p>
        </w:tc>
      </w:tr>
      <w:tr w:rsidR="17E9D82C" w:rsidTr="00504F98" w14:paraId="084D5F65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5E51715C" w14:textId="6A453FD5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Community hospital #3</w:t>
            </w:r>
          </w:p>
        </w:tc>
        <w:tc>
          <w:tcPr>
            <w:tcW w:w="1299" w:type="dxa"/>
          </w:tcPr>
          <w:p w:rsidR="17E9D82C" w:rsidP="17E9D82C" w:rsidRDefault="17E9D82C" w14:paraId="609AC0EB" w14:textId="3E5B38A7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46</w:t>
            </w:r>
          </w:p>
        </w:tc>
        <w:tc>
          <w:tcPr>
            <w:tcW w:w="1207" w:type="dxa"/>
          </w:tcPr>
          <w:p w:rsidR="17E9D82C" w:rsidP="17E9D82C" w:rsidRDefault="17E9D82C" w14:paraId="5F06BECA" w14:textId="6FDB72EB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54</w:t>
            </w:r>
          </w:p>
        </w:tc>
        <w:tc>
          <w:tcPr>
            <w:tcW w:w="1392" w:type="dxa"/>
          </w:tcPr>
          <w:p w:rsidR="17E9D82C" w:rsidP="17E9D82C" w:rsidRDefault="17E9D82C" w14:paraId="4E352852" w14:textId="3F032912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55</w:t>
            </w:r>
          </w:p>
        </w:tc>
        <w:tc>
          <w:tcPr>
            <w:tcW w:w="1577" w:type="dxa"/>
          </w:tcPr>
          <w:p w:rsidR="17E9D82C" w:rsidP="17E9D82C" w:rsidRDefault="17E9D82C" w14:paraId="4BB439E0" w14:textId="4D3B5945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55</w:t>
            </w:r>
          </w:p>
        </w:tc>
      </w:tr>
      <w:tr w:rsidR="17E9D82C" w:rsidTr="00504F98" w14:paraId="1DF98F7B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45FBA26E" w14:textId="5AC730A3"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By unit type</w:t>
            </w:r>
          </w:p>
        </w:tc>
        <w:tc>
          <w:tcPr>
            <w:tcW w:w="1299" w:type="dxa"/>
          </w:tcPr>
          <w:p w:rsidR="17E9D82C" w:rsidRDefault="17E9D82C" w14:paraId="144AB3EB" w14:textId="39B02043"/>
        </w:tc>
        <w:tc>
          <w:tcPr>
            <w:tcW w:w="1207" w:type="dxa"/>
          </w:tcPr>
          <w:p w:rsidR="17E9D82C" w:rsidRDefault="17E9D82C" w14:paraId="62BEF80B" w14:textId="131E465F"/>
        </w:tc>
        <w:tc>
          <w:tcPr>
            <w:tcW w:w="1392" w:type="dxa"/>
          </w:tcPr>
          <w:p w:rsidR="17E9D82C" w:rsidRDefault="17E9D82C" w14:paraId="53C075CA" w14:textId="4F61D573"/>
        </w:tc>
        <w:tc>
          <w:tcPr>
            <w:tcW w:w="1577" w:type="dxa"/>
          </w:tcPr>
          <w:p w:rsidR="17E9D82C" w:rsidRDefault="17E9D82C" w14:paraId="582AE7E0" w14:textId="14C45A58"/>
        </w:tc>
      </w:tr>
      <w:tr w:rsidR="17E9D82C" w:rsidTr="00504F98" w14:paraId="413253A9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4CB87825" w14:textId="3BFAD4F0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Inpatient ICU</w:t>
            </w:r>
          </w:p>
        </w:tc>
        <w:tc>
          <w:tcPr>
            <w:tcW w:w="1299" w:type="dxa"/>
          </w:tcPr>
          <w:p w:rsidR="17E9D82C" w:rsidP="17E9D82C" w:rsidRDefault="17E9D82C" w14:paraId="51398FF1" w14:textId="647EDDE5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422</w:t>
            </w:r>
          </w:p>
        </w:tc>
        <w:tc>
          <w:tcPr>
            <w:tcW w:w="1207" w:type="dxa"/>
          </w:tcPr>
          <w:p w:rsidR="17E9D82C" w:rsidP="17E9D82C" w:rsidRDefault="17E9D82C" w14:paraId="5A5D0A66" w14:textId="238E846C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624</w:t>
            </w:r>
          </w:p>
        </w:tc>
        <w:tc>
          <w:tcPr>
            <w:tcW w:w="1392" w:type="dxa"/>
          </w:tcPr>
          <w:p w:rsidR="17E9D82C" w:rsidP="17E9D82C" w:rsidRDefault="17E9D82C" w14:paraId="6EC57B52" w14:textId="50D5D1DC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658</w:t>
            </w:r>
          </w:p>
        </w:tc>
        <w:tc>
          <w:tcPr>
            <w:tcW w:w="1577" w:type="dxa"/>
          </w:tcPr>
          <w:p w:rsidR="17E9D82C" w:rsidP="17E9D82C" w:rsidRDefault="17E9D82C" w14:paraId="306D5326" w14:textId="2754ACF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663</w:t>
            </w:r>
          </w:p>
        </w:tc>
      </w:tr>
      <w:tr w:rsidR="17E9D82C" w:rsidTr="00504F98" w14:paraId="069406B5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5CA2DF39" w14:textId="7CD9C6F0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Inpatient Floor</w:t>
            </w:r>
          </w:p>
        </w:tc>
        <w:tc>
          <w:tcPr>
            <w:tcW w:w="1299" w:type="dxa"/>
          </w:tcPr>
          <w:p w:rsidR="17E9D82C" w:rsidP="17E9D82C" w:rsidRDefault="17E9D82C" w14:paraId="1D3E1C9F" w14:textId="1AB98197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359</w:t>
            </w:r>
          </w:p>
        </w:tc>
        <w:tc>
          <w:tcPr>
            <w:tcW w:w="1207" w:type="dxa"/>
          </w:tcPr>
          <w:p w:rsidR="17E9D82C" w:rsidP="17E9D82C" w:rsidRDefault="17E9D82C" w14:paraId="4239AD2D" w14:textId="33683A4B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529</w:t>
            </w:r>
          </w:p>
        </w:tc>
        <w:tc>
          <w:tcPr>
            <w:tcW w:w="1392" w:type="dxa"/>
          </w:tcPr>
          <w:p w:rsidR="17E9D82C" w:rsidP="17E9D82C" w:rsidRDefault="17E9D82C" w14:paraId="195B239C" w14:textId="38320AB1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554</w:t>
            </w:r>
          </w:p>
        </w:tc>
        <w:tc>
          <w:tcPr>
            <w:tcW w:w="1577" w:type="dxa"/>
          </w:tcPr>
          <w:p w:rsidR="17E9D82C" w:rsidP="17E9D82C" w:rsidRDefault="17E9D82C" w14:paraId="30757823" w14:textId="3F2BF19E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556</w:t>
            </w:r>
          </w:p>
        </w:tc>
      </w:tr>
      <w:tr w:rsidR="17E9D82C" w:rsidTr="00504F98" w14:paraId="12A358AA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37DC741D" w14:textId="2E615A00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Other*</w:t>
            </w:r>
          </w:p>
        </w:tc>
        <w:tc>
          <w:tcPr>
            <w:tcW w:w="1299" w:type="dxa"/>
          </w:tcPr>
          <w:p w:rsidR="17E9D82C" w:rsidP="17E9D82C" w:rsidRDefault="17E9D82C" w14:paraId="6B1AB957" w14:textId="438FAC7E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178</w:t>
            </w:r>
          </w:p>
        </w:tc>
        <w:tc>
          <w:tcPr>
            <w:tcW w:w="1207" w:type="dxa"/>
          </w:tcPr>
          <w:p w:rsidR="17E9D82C" w:rsidP="17E9D82C" w:rsidRDefault="17E9D82C" w14:paraId="64AB9444" w14:textId="7D063C8E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218</w:t>
            </w:r>
          </w:p>
        </w:tc>
        <w:tc>
          <w:tcPr>
            <w:tcW w:w="1392" w:type="dxa"/>
          </w:tcPr>
          <w:p w:rsidR="17E9D82C" w:rsidP="17E9D82C" w:rsidRDefault="17E9D82C" w14:paraId="5CD18D31" w14:textId="6C24599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224</w:t>
            </w:r>
          </w:p>
        </w:tc>
        <w:tc>
          <w:tcPr>
            <w:tcW w:w="1577" w:type="dxa"/>
          </w:tcPr>
          <w:p w:rsidR="17E9D82C" w:rsidP="17E9D82C" w:rsidRDefault="17E9D82C" w14:paraId="62F37644" w14:textId="264AE334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225</w:t>
            </w:r>
          </w:p>
        </w:tc>
      </w:tr>
      <w:tr w:rsidR="17E9D82C" w:rsidTr="00504F98" w14:paraId="135B650F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4863F477" w14:textId="40A4B729"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By Organism</w:t>
            </w:r>
          </w:p>
        </w:tc>
        <w:tc>
          <w:tcPr>
            <w:tcW w:w="1299" w:type="dxa"/>
          </w:tcPr>
          <w:p w:rsidR="17E9D82C" w:rsidRDefault="17E9D82C" w14:paraId="35CCF62E" w14:textId="2F508E4F"/>
        </w:tc>
        <w:tc>
          <w:tcPr>
            <w:tcW w:w="1207" w:type="dxa"/>
          </w:tcPr>
          <w:p w:rsidR="17E9D82C" w:rsidRDefault="17E9D82C" w14:paraId="3429A498" w14:textId="0DAB80D3"/>
        </w:tc>
        <w:tc>
          <w:tcPr>
            <w:tcW w:w="1392" w:type="dxa"/>
          </w:tcPr>
          <w:p w:rsidR="17E9D82C" w:rsidRDefault="17E9D82C" w14:paraId="612639EE" w14:textId="7AC97B00"/>
        </w:tc>
        <w:tc>
          <w:tcPr>
            <w:tcW w:w="1577" w:type="dxa"/>
          </w:tcPr>
          <w:p w:rsidR="17E9D82C" w:rsidRDefault="17E9D82C" w14:paraId="7D445721" w14:textId="1368D3F3"/>
        </w:tc>
      </w:tr>
      <w:tr w:rsidR="17E9D82C" w:rsidTr="00504F98" w14:paraId="49755991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1C2E2815" w14:textId="4A457BA4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Escherichia coli</w:t>
            </w:r>
          </w:p>
        </w:tc>
        <w:tc>
          <w:tcPr>
            <w:tcW w:w="1299" w:type="dxa"/>
          </w:tcPr>
          <w:p w:rsidR="17E9D82C" w:rsidP="17E9D82C" w:rsidRDefault="17E9D82C" w14:paraId="232F523F" w14:textId="4060B1E1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144</w:t>
            </w:r>
          </w:p>
        </w:tc>
        <w:tc>
          <w:tcPr>
            <w:tcW w:w="1207" w:type="dxa"/>
          </w:tcPr>
          <w:p w:rsidR="17E9D82C" w:rsidP="17E9D82C" w:rsidRDefault="17E9D82C" w14:paraId="566C706F" w14:textId="510A1F86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194</w:t>
            </w:r>
          </w:p>
        </w:tc>
        <w:tc>
          <w:tcPr>
            <w:tcW w:w="1392" w:type="dxa"/>
          </w:tcPr>
          <w:p w:rsidR="17E9D82C" w:rsidP="17E9D82C" w:rsidRDefault="17E9D82C" w14:paraId="2B21F713" w14:textId="5927280C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197</w:t>
            </w:r>
          </w:p>
        </w:tc>
        <w:tc>
          <w:tcPr>
            <w:tcW w:w="1577" w:type="dxa"/>
          </w:tcPr>
          <w:p w:rsidR="17E9D82C" w:rsidP="17E9D82C" w:rsidRDefault="17E9D82C" w14:paraId="7154865B" w14:textId="199B95D9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197</w:t>
            </w:r>
          </w:p>
        </w:tc>
      </w:tr>
      <w:tr w:rsidR="17E9D82C" w:rsidTr="00504F98" w14:paraId="3DA5E9CF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4C1DA700" w14:textId="3175C1F2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Staphylococcus aureus</w:t>
            </w:r>
          </w:p>
        </w:tc>
        <w:tc>
          <w:tcPr>
            <w:tcW w:w="1299" w:type="dxa"/>
          </w:tcPr>
          <w:p w:rsidR="17E9D82C" w:rsidP="17E9D82C" w:rsidRDefault="17E9D82C" w14:paraId="6F3F5071" w14:textId="2AE5288A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268</w:t>
            </w:r>
          </w:p>
        </w:tc>
        <w:tc>
          <w:tcPr>
            <w:tcW w:w="1207" w:type="dxa"/>
          </w:tcPr>
          <w:p w:rsidR="17E9D82C" w:rsidP="17E9D82C" w:rsidRDefault="17E9D82C" w14:paraId="33DCB8F2" w14:textId="04F020BE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348</w:t>
            </w:r>
          </w:p>
        </w:tc>
        <w:tc>
          <w:tcPr>
            <w:tcW w:w="1392" w:type="dxa"/>
          </w:tcPr>
          <w:p w:rsidR="17E9D82C" w:rsidP="17E9D82C" w:rsidRDefault="17E9D82C" w14:paraId="4D1C5EB3" w14:textId="69B46BA4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358</w:t>
            </w:r>
          </w:p>
        </w:tc>
        <w:tc>
          <w:tcPr>
            <w:tcW w:w="1577" w:type="dxa"/>
          </w:tcPr>
          <w:p w:rsidR="17E9D82C" w:rsidP="17E9D82C" w:rsidRDefault="17E9D82C" w14:paraId="123C61F4" w14:textId="50523A1A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358</w:t>
            </w:r>
          </w:p>
        </w:tc>
      </w:tr>
      <w:tr w:rsidR="17E9D82C" w:rsidTr="00504F98" w14:paraId="1CDA85D0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7042384C" w14:textId="29F567BD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    MSSA</w:t>
            </w:r>
          </w:p>
        </w:tc>
        <w:tc>
          <w:tcPr>
            <w:tcW w:w="1299" w:type="dxa"/>
          </w:tcPr>
          <w:p w:rsidR="17E9D82C" w:rsidP="17E9D82C" w:rsidRDefault="17E9D82C" w14:paraId="2DCD7DF9" w14:textId="5F49EF14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187</w:t>
            </w:r>
          </w:p>
        </w:tc>
        <w:tc>
          <w:tcPr>
            <w:tcW w:w="1207" w:type="dxa"/>
          </w:tcPr>
          <w:p w:rsidR="17E9D82C" w:rsidP="17E9D82C" w:rsidRDefault="17E9D82C" w14:paraId="482831AD" w14:textId="2475488B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242</w:t>
            </w:r>
          </w:p>
        </w:tc>
        <w:tc>
          <w:tcPr>
            <w:tcW w:w="1392" w:type="dxa"/>
          </w:tcPr>
          <w:p w:rsidR="17E9D82C" w:rsidP="17E9D82C" w:rsidRDefault="17E9D82C" w14:paraId="7BBDB2FE" w14:textId="28AFA601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248</w:t>
            </w:r>
          </w:p>
        </w:tc>
        <w:tc>
          <w:tcPr>
            <w:tcW w:w="1577" w:type="dxa"/>
          </w:tcPr>
          <w:p w:rsidR="17E9D82C" w:rsidP="17E9D82C" w:rsidRDefault="17E9D82C" w14:paraId="439F24FF" w14:textId="430F6301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248</w:t>
            </w:r>
          </w:p>
        </w:tc>
      </w:tr>
      <w:tr w:rsidR="17E9D82C" w:rsidTr="00504F98" w14:paraId="0082D244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6F4A4A61" w14:textId="1024703A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    MRSA</w:t>
            </w:r>
          </w:p>
        </w:tc>
        <w:tc>
          <w:tcPr>
            <w:tcW w:w="1299" w:type="dxa"/>
          </w:tcPr>
          <w:p w:rsidR="17E9D82C" w:rsidP="17E9D82C" w:rsidRDefault="17E9D82C" w14:paraId="345E6DE5" w14:textId="420A75E5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81</w:t>
            </w:r>
          </w:p>
        </w:tc>
        <w:tc>
          <w:tcPr>
            <w:tcW w:w="1207" w:type="dxa"/>
          </w:tcPr>
          <w:p w:rsidR="17E9D82C" w:rsidP="17E9D82C" w:rsidRDefault="17E9D82C" w14:paraId="659A9EB3" w14:textId="588057D2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106</w:t>
            </w:r>
          </w:p>
        </w:tc>
        <w:tc>
          <w:tcPr>
            <w:tcW w:w="1392" w:type="dxa"/>
          </w:tcPr>
          <w:p w:rsidR="17E9D82C" w:rsidP="17E9D82C" w:rsidRDefault="17E9D82C" w14:paraId="456BA7A1" w14:textId="62D97A9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110</w:t>
            </w:r>
          </w:p>
        </w:tc>
        <w:tc>
          <w:tcPr>
            <w:tcW w:w="1577" w:type="dxa"/>
          </w:tcPr>
          <w:p w:rsidR="17E9D82C" w:rsidP="17E9D82C" w:rsidRDefault="17E9D82C" w14:paraId="43EC999E" w14:textId="414D8B96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110</w:t>
            </w:r>
          </w:p>
        </w:tc>
      </w:tr>
      <w:tr w:rsidR="17E9D82C" w:rsidTr="00504F98" w14:paraId="1D51CD02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01A68257" w14:textId="0422FBAD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Enterococcus faecalis/faecium</w:t>
            </w:r>
          </w:p>
        </w:tc>
        <w:tc>
          <w:tcPr>
            <w:tcW w:w="1299" w:type="dxa"/>
          </w:tcPr>
          <w:p w:rsidR="17E9D82C" w:rsidP="17E9D82C" w:rsidRDefault="17E9D82C" w14:paraId="667805CA" w14:textId="78FE918E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92</w:t>
            </w:r>
          </w:p>
        </w:tc>
        <w:tc>
          <w:tcPr>
            <w:tcW w:w="1207" w:type="dxa"/>
          </w:tcPr>
          <w:p w:rsidR="17E9D82C" w:rsidP="17E9D82C" w:rsidRDefault="17E9D82C" w14:paraId="3655B83D" w14:textId="71B9C278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138</w:t>
            </w:r>
          </w:p>
        </w:tc>
        <w:tc>
          <w:tcPr>
            <w:tcW w:w="1392" w:type="dxa"/>
          </w:tcPr>
          <w:p w:rsidR="17E9D82C" w:rsidP="17E9D82C" w:rsidRDefault="17E9D82C" w14:paraId="679512BB" w14:textId="40EB4A41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150</w:t>
            </w:r>
          </w:p>
        </w:tc>
        <w:tc>
          <w:tcPr>
            <w:tcW w:w="1577" w:type="dxa"/>
          </w:tcPr>
          <w:p w:rsidR="17E9D82C" w:rsidP="17E9D82C" w:rsidRDefault="17E9D82C" w14:paraId="6D3D30B6" w14:textId="37F40AD3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155</w:t>
            </w:r>
          </w:p>
        </w:tc>
      </w:tr>
      <w:tr w:rsidR="17E9D82C" w:rsidTr="00504F98" w14:paraId="5032799C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7BAF9CD7" w14:textId="28EB48B1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    VSE</w:t>
            </w:r>
          </w:p>
        </w:tc>
        <w:tc>
          <w:tcPr>
            <w:tcW w:w="1299" w:type="dxa"/>
          </w:tcPr>
          <w:p w:rsidR="17E9D82C" w:rsidP="17E9D82C" w:rsidRDefault="17E9D82C" w14:paraId="39C67387" w14:textId="667C3131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78</w:t>
            </w:r>
          </w:p>
        </w:tc>
        <w:tc>
          <w:tcPr>
            <w:tcW w:w="1207" w:type="dxa"/>
          </w:tcPr>
          <w:p w:rsidR="17E9D82C" w:rsidP="17E9D82C" w:rsidRDefault="17E9D82C" w14:paraId="4ED7D979" w14:textId="657599B3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113</w:t>
            </w:r>
          </w:p>
        </w:tc>
        <w:tc>
          <w:tcPr>
            <w:tcW w:w="1392" w:type="dxa"/>
          </w:tcPr>
          <w:p w:rsidR="17E9D82C" w:rsidP="17E9D82C" w:rsidRDefault="17E9D82C" w14:paraId="5E170B2B" w14:textId="060CE58E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124</w:t>
            </w:r>
          </w:p>
        </w:tc>
        <w:tc>
          <w:tcPr>
            <w:tcW w:w="1577" w:type="dxa"/>
          </w:tcPr>
          <w:p w:rsidR="17E9D82C" w:rsidP="17E9D82C" w:rsidRDefault="17E9D82C" w14:paraId="04F1B0E8" w14:textId="255384D2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127</w:t>
            </w:r>
          </w:p>
        </w:tc>
      </w:tr>
      <w:tr w:rsidR="17E9D82C" w:rsidTr="00504F98" w14:paraId="0CD9AE84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7D876B52" w14:textId="46D18FBF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    VRE</w:t>
            </w:r>
          </w:p>
        </w:tc>
        <w:tc>
          <w:tcPr>
            <w:tcW w:w="1299" w:type="dxa"/>
          </w:tcPr>
          <w:p w:rsidR="17E9D82C" w:rsidP="17E9D82C" w:rsidRDefault="17E9D82C" w14:paraId="7042D61F" w14:textId="6EE032A4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14</w:t>
            </w:r>
          </w:p>
        </w:tc>
        <w:tc>
          <w:tcPr>
            <w:tcW w:w="1207" w:type="dxa"/>
          </w:tcPr>
          <w:p w:rsidR="17E9D82C" w:rsidP="17E9D82C" w:rsidRDefault="17E9D82C" w14:paraId="510F4BFF" w14:textId="2CE0E451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25</w:t>
            </w:r>
          </w:p>
        </w:tc>
        <w:tc>
          <w:tcPr>
            <w:tcW w:w="1392" w:type="dxa"/>
          </w:tcPr>
          <w:p w:rsidR="17E9D82C" w:rsidP="17E9D82C" w:rsidRDefault="17E9D82C" w14:paraId="6A60D756" w14:textId="24F1B42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26</w:t>
            </w:r>
          </w:p>
        </w:tc>
        <w:tc>
          <w:tcPr>
            <w:tcW w:w="1577" w:type="dxa"/>
          </w:tcPr>
          <w:p w:rsidR="17E9D82C" w:rsidP="17E9D82C" w:rsidRDefault="17E9D82C" w14:paraId="3D434962" w14:textId="4D666816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28</w:t>
            </w:r>
          </w:p>
        </w:tc>
      </w:tr>
      <w:tr w:rsidR="17E9D82C" w:rsidTr="00504F98" w14:paraId="09A723AB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3CF12564" w14:textId="67C425CD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Pseudomonas aeruginosa</w:t>
            </w:r>
          </w:p>
        </w:tc>
        <w:tc>
          <w:tcPr>
            <w:tcW w:w="1299" w:type="dxa"/>
          </w:tcPr>
          <w:p w:rsidR="17E9D82C" w:rsidP="17E9D82C" w:rsidRDefault="17E9D82C" w14:paraId="163419AB" w14:textId="37BB25F4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274</w:t>
            </w:r>
          </w:p>
        </w:tc>
        <w:tc>
          <w:tcPr>
            <w:tcW w:w="1207" w:type="dxa"/>
          </w:tcPr>
          <w:p w:rsidR="17E9D82C" w:rsidP="17E9D82C" w:rsidRDefault="17E9D82C" w14:paraId="18E33C01" w14:textId="0642FEB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399</w:t>
            </w:r>
          </w:p>
        </w:tc>
        <w:tc>
          <w:tcPr>
            <w:tcW w:w="1392" w:type="dxa"/>
          </w:tcPr>
          <w:p w:rsidR="17E9D82C" w:rsidP="17E9D82C" w:rsidRDefault="17E9D82C" w14:paraId="2F64F473" w14:textId="04066C29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427</w:t>
            </w:r>
          </w:p>
        </w:tc>
        <w:tc>
          <w:tcPr>
            <w:tcW w:w="1577" w:type="dxa"/>
          </w:tcPr>
          <w:p w:rsidR="17E9D82C" w:rsidP="17E9D82C" w:rsidRDefault="17E9D82C" w14:paraId="795A8BE2" w14:textId="487422E3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428</w:t>
            </w:r>
          </w:p>
        </w:tc>
      </w:tr>
      <w:tr w:rsidR="17E9D82C" w:rsidTr="00504F98" w14:paraId="500DC8AB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38C4B1F7" w14:textId="294DFB0E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Klebsiella pneumoniae</w:t>
            </w:r>
          </w:p>
        </w:tc>
        <w:tc>
          <w:tcPr>
            <w:tcW w:w="1299" w:type="dxa"/>
          </w:tcPr>
          <w:p w:rsidR="17E9D82C" w:rsidP="17E9D82C" w:rsidRDefault="17E9D82C" w14:paraId="00754D2A" w14:textId="7368C6FD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75</w:t>
            </w:r>
          </w:p>
        </w:tc>
        <w:tc>
          <w:tcPr>
            <w:tcW w:w="1207" w:type="dxa"/>
          </w:tcPr>
          <w:p w:rsidR="17E9D82C" w:rsidP="17E9D82C" w:rsidRDefault="17E9D82C" w14:paraId="34E363BD" w14:textId="748F97E6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114</w:t>
            </w:r>
          </w:p>
        </w:tc>
        <w:tc>
          <w:tcPr>
            <w:tcW w:w="1392" w:type="dxa"/>
          </w:tcPr>
          <w:p w:rsidR="17E9D82C" w:rsidP="17E9D82C" w:rsidRDefault="17E9D82C" w14:paraId="10BD0791" w14:textId="7EC62727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119</w:t>
            </w:r>
          </w:p>
        </w:tc>
        <w:tc>
          <w:tcPr>
            <w:tcW w:w="1577" w:type="dxa"/>
          </w:tcPr>
          <w:p w:rsidR="17E9D82C" w:rsidP="17E9D82C" w:rsidRDefault="17E9D82C" w14:paraId="098D077E" w14:textId="59B516B0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119</w:t>
            </w:r>
          </w:p>
        </w:tc>
      </w:tr>
      <w:tr w:rsidR="17E9D82C" w:rsidTr="00504F98" w14:paraId="6D1E1369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48F4D873" w14:textId="14D35A61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Staphylococcus (CONS)</w:t>
            </w:r>
          </w:p>
        </w:tc>
        <w:tc>
          <w:tcPr>
            <w:tcW w:w="1299" w:type="dxa"/>
          </w:tcPr>
          <w:p w:rsidR="17E9D82C" w:rsidP="17E9D82C" w:rsidRDefault="17E9D82C" w14:paraId="3FA22F87" w14:textId="72E3468A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34</w:t>
            </w:r>
          </w:p>
        </w:tc>
        <w:tc>
          <w:tcPr>
            <w:tcW w:w="1207" w:type="dxa"/>
          </w:tcPr>
          <w:p w:rsidR="17E9D82C" w:rsidP="17E9D82C" w:rsidRDefault="17E9D82C" w14:paraId="0936E124" w14:textId="14EA47DB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53</w:t>
            </w:r>
          </w:p>
        </w:tc>
        <w:tc>
          <w:tcPr>
            <w:tcW w:w="1392" w:type="dxa"/>
          </w:tcPr>
          <w:p w:rsidR="17E9D82C" w:rsidP="17E9D82C" w:rsidRDefault="17E9D82C" w14:paraId="65BEB281" w14:textId="482DF101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56</w:t>
            </w:r>
          </w:p>
        </w:tc>
        <w:tc>
          <w:tcPr>
            <w:tcW w:w="1577" w:type="dxa"/>
          </w:tcPr>
          <w:p w:rsidR="17E9D82C" w:rsidP="17E9D82C" w:rsidRDefault="17E9D82C" w14:paraId="6C1E8604" w14:textId="05D49755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56</w:t>
            </w:r>
          </w:p>
        </w:tc>
      </w:tr>
      <w:tr w:rsidR="17E9D82C" w:rsidTr="00504F98" w14:paraId="4D7880E1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18C2647F" w14:textId="68CC29CB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Enterobacter cloacae</w:t>
            </w:r>
          </w:p>
        </w:tc>
        <w:tc>
          <w:tcPr>
            <w:tcW w:w="1299" w:type="dxa"/>
          </w:tcPr>
          <w:p w:rsidR="17E9D82C" w:rsidP="17E9D82C" w:rsidRDefault="17E9D82C" w14:paraId="1DDA291F" w14:textId="0385A226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16</w:t>
            </w:r>
          </w:p>
        </w:tc>
        <w:tc>
          <w:tcPr>
            <w:tcW w:w="1207" w:type="dxa"/>
          </w:tcPr>
          <w:p w:rsidR="17E9D82C" w:rsidP="17E9D82C" w:rsidRDefault="17E9D82C" w14:paraId="6B273B3C" w14:textId="253D4B48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28</w:t>
            </w:r>
          </w:p>
        </w:tc>
        <w:tc>
          <w:tcPr>
            <w:tcW w:w="1392" w:type="dxa"/>
          </w:tcPr>
          <w:p w:rsidR="17E9D82C" w:rsidP="17E9D82C" w:rsidRDefault="17E9D82C" w14:paraId="4DEEBB8B" w14:textId="41A66D26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31</w:t>
            </w:r>
          </w:p>
        </w:tc>
        <w:tc>
          <w:tcPr>
            <w:tcW w:w="1577" w:type="dxa"/>
          </w:tcPr>
          <w:p w:rsidR="17E9D82C" w:rsidP="17E9D82C" w:rsidRDefault="17E9D82C" w14:paraId="1CB1B2CB" w14:textId="4F3763DF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31</w:t>
            </w:r>
          </w:p>
        </w:tc>
      </w:tr>
      <w:tr w:rsidR="17E9D82C" w:rsidTr="00504F98" w14:paraId="426408C4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353279D9" w14:textId="242BEE0D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Proteus mirabilis</w:t>
            </w:r>
          </w:p>
        </w:tc>
        <w:tc>
          <w:tcPr>
            <w:tcW w:w="1299" w:type="dxa"/>
          </w:tcPr>
          <w:p w:rsidR="17E9D82C" w:rsidP="17E9D82C" w:rsidRDefault="17E9D82C" w14:paraId="2B611A6F" w14:textId="258FE6D2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14</w:t>
            </w:r>
          </w:p>
        </w:tc>
        <w:tc>
          <w:tcPr>
            <w:tcW w:w="1207" w:type="dxa"/>
          </w:tcPr>
          <w:p w:rsidR="17E9D82C" w:rsidP="17E9D82C" w:rsidRDefault="17E9D82C" w14:paraId="67EE6364" w14:textId="19B16006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29</w:t>
            </w:r>
          </w:p>
        </w:tc>
        <w:tc>
          <w:tcPr>
            <w:tcW w:w="1392" w:type="dxa"/>
          </w:tcPr>
          <w:p w:rsidR="17E9D82C" w:rsidP="17E9D82C" w:rsidRDefault="17E9D82C" w14:paraId="5BB6BDAA" w14:textId="01133526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29</w:t>
            </w:r>
          </w:p>
        </w:tc>
        <w:tc>
          <w:tcPr>
            <w:tcW w:w="1577" w:type="dxa"/>
          </w:tcPr>
          <w:p w:rsidR="17E9D82C" w:rsidP="17E9D82C" w:rsidRDefault="17E9D82C" w14:paraId="6243DA1B" w14:textId="24C38A74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31</w:t>
            </w:r>
          </w:p>
        </w:tc>
      </w:tr>
      <w:tr w:rsidR="17E9D82C" w:rsidTr="00504F98" w14:paraId="71DE8EFD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7126C673" w14:textId="645D1E10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Stenotrophomonas maltophilia</w:t>
            </w:r>
          </w:p>
        </w:tc>
        <w:tc>
          <w:tcPr>
            <w:tcW w:w="1299" w:type="dxa"/>
          </w:tcPr>
          <w:p w:rsidR="17E9D82C" w:rsidP="17E9D82C" w:rsidRDefault="17E9D82C" w14:paraId="51AC262E" w14:textId="03A8A68B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0</w:t>
            </w:r>
          </w:p>
        </w:tc>
        <w:tc>
          <w:tcPr>
            <w:tcW w:w="1207" w:type="dxa"/>
          </w:tcPr>
          <w:p w:rsidR="17E9D82C" w:rsidP="17E9D82C" w:rsidRDefault="17E9D82C" w14:paraId="434D0CBF" w14:textId="07CDF7BF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0</w:t>
            </w:r>
          </w:p>
        </w:tc>
        <w:tc>
          <w:tcPr>
            <w:tcW w:w="1392" w:type="dxa"/>
          </w:tcPr>
          <w:p w:rsidR="17E9D82C" w:rsidP="17E9D82C" w:rsidRDefault="17E9D82C" w14:paraId="479DE1E7" w14:textId="4E6DF2C9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0</w:t>
            </w:r>
          </w:p>
        </w:tc>
        <w:tc>
          <w:tcPr>
            <w:tcW w:w="1577" w:type="dxa"/>
          </w:tcPr>
          <w:p w:rsidR="17E9D82C" w:rsidP="17E9D82C" w:rsidRDefault="17E9D82C" w14:paraId="5085AF5E" w14:textId="43181163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0</w:t>
            </w:r>
          </w:p>
        </w:tc>
      </w:tr>
      <w:tr w:rsidR="17E9D82C" w:rsidTr="00504F98" w14:paraId="22015A24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7093F122" w14:textId="5AA903C1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Serratia marcescens</w:t>
            </w:r>
          </w:p>
        </w:tc>
        <w:tc>
          <w:tcPr>
            <w:tcW w:w="1299" w:type="dxa"/>
          </w:tcPr>
          <w:p w:rsidR="17E9D82C" w:rsidP="17E9D82C" w:rsidRDefault="17E9D82C" w14:paraId="7D9B60F4" w14:textId="3EB4F246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23</w:t>
            </w:r>
          </w:p>
        </w:tc>
        <w:tc>
          <w:tcPr>
            <w:tcW w:w="1207" w:type="dxa"/>
          </w:tcPr>
          <w:p w:rsidR="17E9D82C" w:rsidP="17E9D82C" w:rsidRDefault="17E9D82C" w14:paraId="106992D5" w14:textId="492FE3BA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35</w:t>
            </w:r>
          </w:p>
        </w:tc>
        <w:tc>
          <w:tcPr>
            <w:tcW w:w="1392" w:type="dxa"/>
          </w:tcPr>
          <w:p w:rsidR="17E9D82C" w:rsidP="17E9D82C" w:rsidRDefault="17E9D82C" w14:paraId="5EF0320C" w14:textId="7022A415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36</w:t>
            </w:r>
          </w:p>
        </w:tc>
        <w:tc>
          <w:tcPr>
            <w:tcW w:w="1577" w:type="dxa"/>
          </w:tcPr>
          <w:p w:rsidR="17E9D82C" w:rsidP="17E9D82C" w:rsidRDefault="17E9D82C" w14:paraId="41D88006" w14:textId="11F47501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36</w:t>
            </w:r>
          </w:p>
        </w:tc>
      </w:tr>
      <w:tr w:rsidR="17E9D82C" w:rsidTr="00504F98" w14:paraId="12A59C83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61D0E550" w14:textId="7D9AE35A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Klebsiella oxytoca</w:t>
            </w:r>
          </w:p>
        </w:tc>
        <w:tc>
          <w:tcPr>
            <w:tcW w:w="1299" w:type="dxa"/>
          </w:tcPr>
          <w:p w:rsidR="17E9D82C" w:rsidP="17E9D82C" w:rsidRDefault="17E9D82C" w14:paraId="4338D0F7" w14:textId="4E341E9B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  <w:tc>
          <w:tcPr>
            <w:tcW w:w="1207" w:type="dxa"/>
          </w:tcPr>
          <w:p w:rsidR="17E9D82C" w:rsidP="17E9D82C" w:rsidRDefault="17E9D82C" w14:paraId="64ACC7D9" w14:textId="3BCA9D91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  <w:tc>
          <w:tcPr>
            <w:tcW w:w="1392" w:type="dxa"/>
          </w:tcPr>
          <w:p w:rsidR="17E9D82C" w:rsidP="17E9D82C" w:rsidRDefault="17E9D82C" w14:paraId="33C0007D" w14:textId="2245E90B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  <w:tc>
          <w:tcPr>
            <w:tcW w:w="1577" w:type="dxa"/>
          </w:tcPr>
          <w:p w:rsidR="17E9D82C" w:rsidP="17E9D82C" w:rsidRDefault="17E9D82C" w14:paraId="30FB565B" w14:textId="672595B9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</w:tr>
      <w:tr w:rsidR="17E9D82C" w:rsidTr="00504F98" w14:paraId="5BD814D7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288CF6FF" w14:textId="626BF581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Corynebacterium striatum</w:t>
            </w:r>
          </w:p>
        </w:tc>
        <w:tc>
          <w:tcPr>
            <w:tcW w:w="1299" w:type="dxa"/>
          </w:tcPr>
          <w:p w:rsidR="17E9D82C" w:rsidP="17E9D82C" w:rsidRDefault="17E9D82C" w14:paraId="0FE70BEB" w14:textId="0310CD64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  <w:tc>
          <w:tcPr>
            <w:tcW w:w="1207" w:type="dxa"/>
          </w:tcPr>
          <w:p w:rsidR="17E9D82C" w:rsidP="17E9D82C" w:rsidRDefault="17E9D82C" w14:paraId="44C7585C" w14:textId="1DE1215F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  <w:tc>
          <w:tcPr>
            <w:tcW w:w="1392" w:type="dxa"/>
          </w:tcPr>
          <w:p w:rsidR="17E9D82C" w:rsidP="17E9D82C" w:rsidRDefault="17E9D82C" w14:paraId="45649FF0" w14:textId="2CB767A6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  <w:tc>
          <w:tcPr>
            <w:tcW w:w="1577" w:type="dxa"/>
          </w:tcPr>
          <w:p w:rsidR="17E9D82C" w:rsidP="17E9D82C" w:rsidRDefault="17E9D82C" w14:paraId="55AB4C53" w14:textId="5E39572B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</w:tr>
      <w:tr w:rsidR="17E9D82C" w:rsidTr="00504F98" w14:paraId="32C39AF8" w14:textId="77777777">
        <w:trPr>
          <w:trHeight w:val="300"/>
        </w:trPr>
        <w:tc>
          <w:tcPr>
            <w:tcW w:w="3886" w:type="dxa"/>
          </w:tcPr>
          <w:p w:rsidR="17E9D82C" w:rsidP="17E9D82C" w:rsidRDefault="17E9D82C" w14:paraId="2D324D94" w14:textId="431564FE">
            <w:pPr>
              <w:ind w:firstLine="240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Other</w:t>
            </w:r>
          </w:p>
        </w:tc>
        <w:tc>
          <w:tcPr>
            <w:tcW w:w="1299" w:type="dxa"/>
          </w:tcPr>
          <w:p w:rsidR="17E9D82C" w:rsidP="17E9D82C" w:rsidRDefault="17E9D82C" w14:paraId="108AA816" w14:textId="6DC1E9BC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17</w:t>
            </w:r>
          </w:p>
        </w:tc>
        <w:tc>
          <w:tcPr>
            <w:tcW w:w="1207" w:type="dxa"/>
          </w:tcPr>
          <w:p w:rsidR="17E9D82C" w:rsidP="17E9D82C" w:rsidRDefault="17E9D82C" w14:paraId="5582D991" w14:textId="25C804AF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28</w:t>
            </w:r>
          </w:p>
        </w:tc>
        <w:tc>
          <w:tcPr>
            <w:tcW w:w="1392" w:type="dxa"/>
          </w:tcPr>
          <w:p w:rsidR="17E9D82C" w:rsidP="17E9D82C" w:rsidRDefault="17E9D82C" w14:paraId="57830AF0" w14:textId="46863F79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29</w:t>
            </w:r>
          </w:p>
        </w:tc>
        <w:tc>
          <w:tcPr>
            <w:tcW w:w="1577" w:type="dxa"/>
          </w:tcPr>
          <w:p w:rsidR="17E9D82C" w:rsidP="17E9D82C" w:rsidRDefault="17E9D82C" w14:paraId="3501EC87" w14:textId="19D22332">
            <w:pPr>
              <w:jc w:val="center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29</w:t>
            </w:r>
          </w:p>
        </w:tc>
      </w:tr>
      <w:tr w:rsidR="17E9D82C" w:rsidTr="00504F98" w14:paraId="1E675DEF" w14:textId="77777777">
        <w:trPr>
          <w:trHeight w:val="1200"/>
        </w:trPr>
        <w:tc>
          <w:tcPr>
            <w:tcW w:w="9361" w:type="dxa"/>
            <w:gridSpan w:val="5"/>
          </w:tcPr>
          <w:p w:rsidR="17E9D82C" w:rsidP="17E9D82C" w:rsidRDefault="17E9D82C" w14:paraId="28284BA4" w14:textId="521C550E"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*Including procedural units and emergency departments; cases based on days after exposure ends until surveillance for new infection concludes. MRSA = Methicillin-resistant </w:t>
            </w: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S. aureus</w:t>
            </w: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; MSSA = Methicillin-sensitive </w:t>
            </w: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S. aureus</w:t>
            </w:r>
            <w:r w:rsidRPr="17E9D82C">
              <w:rPr>
                <w:rFonts w:ascii="Times New Roman" w:hAnsi="Times New Roman" w:eastAsia="Times New Roman" w:cs="Times New Roman"/>
                <w:color w:val="000000" w:themeColor="text1"/>
              </w:rPr>
              <w:t>; VSE = Vancomycin-susceptible enterococci; VRE = Vancomycin-resistant enterococci</w:t>
            </w:r>
          </w:p>
        </w:tc>
      </w:tr>
    </w:tbl>
    <w:p w:rsidR="00504F98" w:rsidP="17E9D82C" w:rsidRDefault="44DA05FE" w14:paraId="036C07A6" w14:textId="3ECD125D">
      <w:pPr>
        <w:spacing w:line="480" w:lineRule="auto"/>
        <w:rPr>
          <w:rFonts w:ascii="Calibri" w:hAnsi="Calibri" w:eastAsia="Calibri" w:cs="Calibri"/>
          <w:sz w:val="22"/>
          <w:szCs w:val="22"/>
        </w:rPr>
      </w:pPr>
      <w:r w:rsidRPr="17E9D82C">
        <w:rPr>
          <w:rFonts w:ascii="Calibri" w:hAnsi="Calibri" w:eastAsia="Calibri" w:cs="Calibri"/>
          <w:sz w:val="22"/>
          <w:szCs w:val="22"/>
        </w:rPr>
        <w:t xml:space="preserve"> </w:t>
      </w:r>
    </w:p>
    <w:p w:rsidR="00504F98" w:rsidRDefault="00504F98" w14:paraId="5C465D83" w14:textId="77777777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br w:type="page"/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7E9D82C" w:rsidTr="0018334C" w14:paraId="02133070" w14:textId="77777777">
        <w:trPr>
          <w:trHeight w:val="300"/>
        </w:trPr>
        <w:tc>
          <w:tcPr>
            <w:tcW w:w="9360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0018334C" w14:paraId="322E384A" w14:textId="12B2884A">
            <w:pPr>
              <w:spacing w:line="257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lastRenderedPageBreak/>
              <w:br w:type="page"/>
            </w:r>
            <w:r w:rsidRPr="17E9D82C" w:rsidR="17E9D82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>Supplementary Table 3. Multidrug-resistant organism (MDRO) definitions</w:t>
            </w:r>
          </w:p>
        </w:tc>
      </w:tr>
      <w:tr w:rsidR="17E9D82C" w:rsidTr="0018334C" w14:paraId="34AF6807" w14:textId="77777777">
        <w:trPr>
          <w:trHeight w:val="300"/>
        </w:trPr>
        <w:tc>
          <w:tcPr>
            <w:tcW w:w="4680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17E9D82C" w14:paraId="63A0D379" w14:textId="7767484C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Type </w:t>
            </w:r>
          </w:p>
        </w:tc>
        <w:tc>
          <w:tcPr>
            <w:tcW w:w="468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auto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17E9D82C" w14:paraId="7B912C2B" w14:textId="5A6ACAED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Definition </w:t>
            </w:r>
          </w:p>
        </w:tc>
      </w:tr>
      <w:tr w:rsidR="17E9D82C" w:rsidTr="0018334C" w14:paraId="2159E430" w14:textId="77777777">
        <w:trPr>
          <w:trHeight w:val="300"/>
        </w:trPr>
        <w:tc>
          <w:tcPr>
            <w:tcW w:w="4680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17E9D82C" w14:paraId="5227531B" w14:textId="4472FD00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Methicillin-resistant </w:t>
            </w: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Staphylococcus aureus </w:t>
            </w: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auto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17E9D82C" w14:paraId="14B2B6DA" w14:textId="5034E26B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Includes </w:t>
            </w: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S. aureus </w:t>
            </w: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>cultured from any specimen that tests oxacillin-resistant, ceoxitin-resistant, or methicillin-resistant by standard susceptibility testing methods, or by a laboratory test that is FDA-approved for MRSA detection from isolated colonies; these methods may also include a positive result by any FDA-approved test for MRSA detection from specific sources</w:t>
            </w:r>
          </w:p>
        </w:tc>
      </w:tr>
      <w:tr w:rsidR="17E9D82C" w:rsidTr="0018334C" w14:paraId="43A19FAD" w14:textId="77777777">
        <w:trPr>
          <w:trHeight w:val="300"/>
        </w:trPr>
        <w:tc>
          <w:tcPr>
            <w:tcW w:w="4680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17E9D82C" w14:paraId="61A3FA65" w14:textId="595292FD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Vancomycin-resistant </w:t>
            </w: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Enterococcus </w:t>
            </w: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spp. </w:t>
            </w: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auto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17E9D82C" w14:paraId="228ECB83" w14:textId="01B1069E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Any </w:t>
            </w: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Enterococcus </w:t>
            </w: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>spp. (regardless of whether identified to the species level), that is resistant to vancomycin, by standard susceptibility testing methods or by results from any FDA-approved test for VRE detection from specific specimen sources.</w:t>
            </w:r>
          </w:p>
        </w:tc>
      </w:tr>
      <w:tr w:rsidR="17E9D82C" w:rsidTr="0018334C" w14:paraId="2B3F5C94" w14:textId="77777777">
        <w:trPr>
          <w:trHeight w:val="300"/>
        </w:trPr>
        <w:tc>
          <w:tcPr>
            <w:tcW w:w="4680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17E9D82C" w14:paraId="63F2777B" w14:textId="41FEE9ED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CRE </w:t>
            </w: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auto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17E9D82C" w14:paraId="113D7559" w14:textId="62879406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Any </w:t>
            </w: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Enterobacteriaceae </w:t>
            </w: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>spp. testing resistant to any carbapenem including doripenem, ertapenem, imipenem or meromenem using the current CLSI breakpoints; or by a positive result for any method FDA approved for carapenemase detection.</w:t>
            </w:r>
          </w:p>
        </w:tc>
      </w:tr>
      <w:tr w:rsidR="17E9D82C" w:rsidTr="0018334C" w14:paraId="4BF9AD47" w14:textId="77777777">
        <w:trPr>
          <w:trHeight w:val="300"/>
        </w:trPr>
        <w:tc>
          <w:tcPr>
            <w:tcW w:w="4680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17E9D82C" w14:paraId="1228B0B6" w14:textId="2B11ED76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>MDR-</w:t>
            </w: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Acinetobacter </w:t>
            </w: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auto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17E9D82C" w14:paraId="210ED5FC" w14:textId="75F767DD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Non-susceptibility (i.e., resistant or intermediate) to at least one agent in at least 3 antimicrobial classes of the following 6 classes: </w:t>
            </w:r>
          </w:p>
          <w:p w:rsidR="17E9D82C" w:rsidP="17E9D82C" w:rsidRDefault="17E9D82C" w14:paraId="78EC7017" w14:textId="656761B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Ampicillin/sulbactam </w:t>
            </w:r>
          </w:p>
          <w:p w:rsidR="17E9D82C" w:rsidP="17E9D82C" w:rsidRDefault="17E9D82C" w14:paraId="53026FB6" w14:textId="73852D2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Cephalosporins (cefepime, ceftazidime) </w:t>
            </w:r>
          </w:p>
          <w:p w:rsidR="17E9D82C" w:rsidP="17E9D82C" w:rsidRDefault="17E9D82C" w14:paraId="3F2CF0AB" w14:textId="53E6A54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β-lactam/β-lactam β-lactamase inhibitor combination (piperacillin, piperacillin/tazobactam) </w:t>
            </w:r>
          </w:p>
          <w:p w:rsidR="17E9D82C" w:rsidP="17E9D82C" w:rsidRDefault="17E9D82C" w14:paraId="284CDEF9" w14:textId="6B52C27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Carbapenems (imipenem,meropenem, doripenem) </w:t>
            </w:r>
          </w:p>
          <w:p w:rsidR="17E9D82C" w:rsidP="17E9D82C" w:rsidRDefault="17E9D82C" w14:paraId="09D991AC" w14:textId="4B1061C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Fluoroquinolones (ciprofloxacin or levofloxacin) </w:t>
            </w:r>
          </w:p>
          <w:p w:rsidR="17E9D82C" w:rsidP="17E9D82C" w:rsidRDefault="17E9D82C" w14:paraId="5309603F" w14:textId="40E8D59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>Aminoglycosides (gentamicin, tobramycin, or amikacin)</w:t>
            </w:r>
          </w:p>
        </w:tc>
      </w:tr>
      <w:tr w:rsidR="17E9D82C" w:rsidTr="0018334C" w14:paraId="5D3F517C" w14:textId="77777777">
        <w:trPr>
          <w:trHeight w:val="300"/>
        </w:trPr>
        <w:tc>
          <w:tcPr>
            <w:tcW w:w="4680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17E9D82C" w14:paraId="3ECAD293" w14:textId="496AE3D0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>MDR-</w:t>
            </w: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Pseudomonas </w:t>
            </w: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auto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17E9D82C" w14:paraId="5C99C359" w14:textId="357C0C15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>Non-susceptibility (i.e., resistant or intermediate) to at least one agent in at least 3 antimicrobial classes of the following 5 classes:</w:t>
            </w:r>
          </w:p>
          <w:p w:rsidR="17E9D82C" w:rsidP="17E9D82C" w:rsidRDefault="17E9D82C" w14:paraId="740183B9" w14:textId="6153396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Cephalosporins (cefepime, ceftazidime) </w:t>
            </w:r>
          </w:p>
          <w:p w:rsidR="17E9D82C" w:rsidP="17E9D82C" w:rsidRDefault="17E9D82C" w14:paraId="4C96E104" w14:textId="03A18FE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β-lactam/β-lactam β-lactamase inhibitor combination (piperacillin, piperacillin/tazobactam) </w:t>
            </w:r>
          </w:p>
          <w:p w:rsidR="17E9D82C" w:rsidP="17E9D82C" w:rsidRDefault="17E9D82C" w14:paraId="36B40490" w14:textId="71CA363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Carbapenems (imipenem, meropenem, doripenem) </w:t>
            </w:r>
          </w:p>
          <w:p w:rsidR="17E9D82C" w:rsidP="17E9D82C" w:rsidRDefault="17E9D82C" w14:paraId="3BB7E7D3" w14:textId="67970B3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Fluoroquinolones (ciprofloxacin or levofloxacin) </w:t>
            </w:r>
          </w:p>
          <w:p w:rsidR="17E9D82C" w:rsidP="17E9D82C" w:rsidRDefault="17E9D82C" w14:paraId="6E78052D" w14:textId="5DFDDB1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lastRenderedPageBreak/>
              <w:t>Aminoglycosides (gentamicin, tobramycin, or amikacin)</w:t>
            </w:r>
          </w:p>
        </w:tc>
      </w:tr>
      <w:tr w:rsidR="17E9D82C" w:rsidTr="0018334C" w14:paraId="757A65C7" w14:textId="77777777">
        <w:trPr>
          <w:trHeight w:val="300"/>
        </w:trPr>
        <w:tc>
          <w:tcPr>
            <w:tcW w:w="4680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17E9D82C" w14:paraId="5353C03B" w14:textId="4F289862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Extended-spectrum beta-lactamase Gram negatives </w:t>
            </w: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auto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17E9D82C" w14:paraId="47B6AA18" w14:textId="1FFC0170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Enterobacteriaceae spp. non-susceptible (i.e., resistant or intermediate) to ceftazidime, cefepime, ceftriaxone, or cefotaxime. </w:t>
            </w:r>
          </w:p>
          <w:p w:rsidR="17E9D82C" w:rsidP="17E9D82C" w:rsidRDefault="17E9D82C" w14:paraId="5B9FFCFF" w14:textId="69C36E93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>Pseudomonas aeruginosa non-susceptible (i.e., resistant or intermediate) to ceftazidime or cefepime.</w:t>
            </w:r>
          </w:p>
        </w:tc>
      </w:tr>
      <w:tr w:rsidR="17E9D82C" w:rsidTr="0018334C" w14:paraId="75A5AEBB" w14:textId="77777777">
        <w:trPr>
          <w:trHeight w:val="300"/>
        </w:trPr>
        <w:tc>
          <w:tcPr>
            <w:tcW w:w="4680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17E9D82C" w14:paraId="2BAFC657" w14:textId="7A6EA4A6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Clostridium difficile </w:t>
            </w: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auto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17E9D82C" w14:paraId="425E4E66" w14:textId="3987CE84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A positive laboratory test result for C. difficile toxin A or B, (includes molecular assays [PCR] or toxin assays) </w:t>
            </w:r>
          </w:p>
          <w:p w:rsidR="17E9D82C" w:rsidP="17E9D82C" w:rsidRDefault="17E9D82C" w14:paraId="7BC039A9" w14:textId="2E04A2E6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OR </w:t>
            </w:r>
          </w:p>
          <w:p w:rsidR="17E9D82C" w:rsidP="17E9D82C" w:rsidRDefault="17E9D82C" w14:paraId="646304E1" w14:textId="41F00CBD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A toxin-producing C. difficile organism detected by culture or </w:t>
            </w:r>
            <w:proofErr w:type="gramStart"/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>other</w:t>
            </w:r>
            <w:proofErr w:type="gramEnd"/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laboratory means performed on a stool sample.</w:t>
            </w:r>
          </w:p>
        </w:tc>
      </w:tr>
      <w:tr w:rsidR="17E9D82C" w:rsidTr="0018334C" w14:paraId="719981E2" w14:textId="77777777">
        <w:trPr>
          <w:trHeight w:val="300"/>
        </w:trPr>
        <w:tc>
          <w:tcPr>
            <w:tcW w:w="4680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17E9D82C" w14:paraId="06C83B4E" w14:textId="70D40CDC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Drug-resistant </w:t>
            </w: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Streptococcus pneumoniae </w:t>
            </w: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auto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17E9D82C" w14:paraId="26E50312" w14:textId="1EF0614D">
            <w:pPr>
              <w:spacing w:line="257" w:lineRule="auto"/>
            </w:pPr>
            <w:r w:rsidRPr="17E9D82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</w:rPr>
              <w:t>S. pneumoniae</w:t>
            </w: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isolated from a sterile site and nonsusceptible to "at least one antimicrobial agent currently approved for use in treating pneumococcal infection." (NO LONGER INCLUDED IN LIST)</w:t>
            </w:r>
          </w:p>
        </w:tc>
      </w:tr>
      <w:tr w:rsidR="17E9D82C" w:rsidTr="0018334C" w14:paraId="3A3C0F7C" w14:textId="77777777">
        <w:trPr>
          <w:trHeight w:val="1035"/>
        </w:trPr>
        <w:tc>
          <w:tcPr>
            <w:tcW w:w="9360" w:type="dxa"/>
            <w:gridSpan w:val="2"/>
            <w:tcBorders>
              <w:top w:val="single" w:color="000000" w:themeColor="text1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5" w:type="dxa"/>
              <w:right w:w="105" w:type="dxa"/>
            </w:tcMar>
          </w:tcPr>
          <w:p w:rsidR="17E9D82C" w:rsidP="17E9D82C" w:rsidRDefault="17E9D82C" w14:paraId="13D2D65A" w14:textId="6CB53C7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CDC. Multidrug-Resistant Organism &amp; Clostridium difficile Infection (MDRO/CDI) Module. January 2014. </w:t>
            </w:r>
            <w:hyperlink r:id="rId8">
              <w:r w:rsidRPr="17E9D82C">
                <w:rPr>
                  <w:rStyle w:val="Hyperlink"/>
                  <w:rFonts w:ascii="Times New Roman" w:hAnsi="Times New Roman" w:eastAsia="Times New Roman" w:cs="Times New Roman"/>
                  <w:color w:val="0000FF"/>
                </w:rPr>
                <w:t>http://www.cdc.gov/nhsn/PDFs/pscManual/12pscMDRO_CDADcurrent.pdf</w:t>
              </w:r>
            </w:hyperlink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17E9D82C" w:rsidP="17E9D82C" w:rsidRDefault="17E9D82C" w14:paraId="0A6DCBD6" w14:textId="3481554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Oregon Public Health Division, OAR 333-019-0015 </w:t>
            </w:r>
          </w:p>
          <w:p w:rsidR="17E9D82C" w:rsidP="17E9D82C" w:rsidRDefault="17E9D82C" w14:paraId="73DDE337" w14:textId="4BB5E2C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17E9D82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>Sievert DM et al. Antimicrobial-Resistant Pathogens Associated with Healthcare-Associated Infections: Summary of Data Reported to the National Healthcare Safety Network at the Centers for Disease Control and Prevention, 2009–2010. ICHE 2013;34:1–14.</w:t>
            </w:r>
          </w:p>
        </w:tc>
      </w:tr>
    </w:tbl>
    <w:p w:rsidR="00FB7B14" w:rsidP="0018334C" w:rsidRDefault="44DA05FE" w14:paraId="2C078E63" w14:textId="1739755E">
      <w:pPr>
        <w:spacing w:line="480" w:lineRule="auto"/>
      </w:pPr>
      <w:r w:rsidRPr="17E9D82C">
        <w:rPr>
          <w:rFonts w:ascii="Calibri" w:hAnsi="Calibri" w:eastAsia="Calibri" w:cs="Calibri"/>
          <w:sz w:val="22"/>
          <w:szCs w:val="22"/>
        </w:rPr>
        <w:t xml:space="preserve"> </w:t>
      </w:r>
    </w:p>
    <w:p w:rsidR="0018334C" w:rsidP="0018334C" w:rsidRDefault="0018334C" w14:paraId="03F60DBF" w14:textId="77777777">
      <w:pPr>
        <w:spacing w:line="480" w:lineRule="auto"/>
      </w:pPr>
    </w:p>
    <w:sectPr w:rsidR="0018334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D8BF"/>
    <w:multiLevelType w:val="hybridMultilevel"/>
    <w:tmpl w:val="AFF61414"/>
    <w:lvl w:ilvl="0" w:tplc="843A0D5C">
      <w:start w:val="1"/>
      <w:numFmt w:val="decimal"/>
      <w:lvlText w:val="%1."/>
      <w:lvlJc w:val="left"/>
      <w:pPr>
        <w:ind w:left="720" w:hanging="360"/>
      </w:pPr>
    </w:lvl>
    <w:lvl w:ilvl="1" w:tplc="0358C104">
      <w:start w:val="1"/>
      <w:numFmt w:val="lowerLetter"/>
      <w:lvlText w:val="%2."/>
      <w:lvlJc w:val="left"/>
      <w:pPr>
        <w:ind w:left="1440" w:hanging="360"/>
      </w:pPr>
    </w:lvl>
    <w:lvl w:ilvl="2" w:tplc="6776B8D0">
      <w:start w:val="1"/>
      <w:numFmt w:val="lowerRoman"/>
      <w:lvlText w:val="%3."/>
      <w:lvlJc w:val="right"/>
      <w:pPr>
        <w:ind w:left="2160" w:hanging="180"/>
      </w:pPr>
    </w:lvl>
    <w:lvl w:ilvl="3" w:tplc="8EE2E0F2">
      <w:start w:val="1"/>
      <w:numFmt w:val="decimal"/>
      <w:lvlText w:val="%4."/>
      <w:lvlJc w:val="left"/>
      <w:pPr>
        <w:ind w:left="2880" w:hanging="360"/>
      </w:pPr>
    </w:lvl>
    <w:lvl w:ilvl="4" w:tplc="37F2C788">
      <w:start w:val="1"/>
      <w:numFmt w:val="lowerLetter"/>
      <w:lvlText w:val="%5."/>
      <w:lvlJc w:val="left"/>
      <w:pPr>
        <w:ind w:left="3600" w:hanging="360"/>
      </w:pPr>
    </w:lvl>
    <w:lvl w:ilvl="5" w:tplc="24E24770">
      <w:start w:val="1"/>
      <w:numFmt w:val="lowerRoman"/>
      <w:lvlText w:val="%6."/>
      <w:lvlJc w:val="right"/>
      <w:pPr>
        <w:ind w:left="4320" w:hanging="180"/>
      </w:pPr>
    </w:lvl>
    <w:lvl w:ilvl="6" w:tplc="01B6188E">
      <w:start w:val="1"/>
      <w:numFmt w:val="decimal"/>
      <w:lvlText w:val="%7."/>
      <w:lvlJc w:val="left"/>
      <w:pPr>
        <w:ind w:left="5040" w:hanging="360"/>
      </w:pPr>
    </w:lvl>
    <w:lvl w:ilvl="7" w:tplc="4052E4AE">
      <w:start w:val="1"/>
      <w:numFmt w:val="lowerLetter"/>
      <w:lvlText w:val="%8."/>
      <w:lvlJc w:val="left"/>
      <w:pPr>
        <w:ind w:left="5760" w:hanging="360"/>
      </w:pPr>
    </w:lvl>
    <w:lvl w:ilvl="8" w:tplc="73A865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B6EF3"/>
    <w:multiLevelType w:val="hybridMultilevel"/>
    <w:tmpl w:val="EC4CB774"/>
    <w:lvl w:ilvl="0" w:tplc="6EB8024C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60A4EE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EC85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20DD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9AB4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C2B6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D079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567A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E294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699508"/>
    <w:multiLevelType w:val="hybridMultilevel"/>
    <w:tmpl w:val="6508605E"/>
    <w:lvl w:ilvl="0" w:tplc="59684032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39BA21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E862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D6AA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044D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4CB4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26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C886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4CFA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C5733A"/>
    <w:rsid w:val="0018334C"/>
    <w:rsid w:val="004F647B"/>
    <w:rsid w:val="00504F98"/>
    <w:rsid w:val="00506B54"/>
    <w:rsid w:val="005A3B75"/>
    <w:rsid w:val="00DE2589"/>
    <w:rsid w:val="00FB7B14"/>
    <w:rsid w:val="17E9D82C"/>
    <w:rsid w:val="44DA05FE"/>
    <w:rsid w:val="52C5733A"/>
    <w:rsid w:val="75C8C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733A"/>
  <w15:chartTrackingRefBased/>
  <w15:docId w15:val="{FE94A13B-6B32-479D-A98E-4BD57490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dc.gov/nhsn/PDFs/pscManual/12pscMDRO_CDADcurrent.pdf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Abigail Vorsteg</dc:creator>
  <keywords/>
  <dc:description/>
  <lastModifiedBy>Abigail Vorsteg</lastModifiedBy>
  <revision>8</revision>
  <dcterms:created xsi:type="dcterms:W3CDTF">2024-09-26T21:15:00.0000000Z</dcterms:created>
  <dcterms:modified xsi:type="dcterms:W3CDTF">2024-09-26T21:23:02.0244609Z</dcterms:modified>
</coreProperties>
</file>