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1B0E" w14:textId="508D3C04" w:rsidR="00E86D0A" w:rsidRDefault="00E86D0A" w:rsidP="00E86D0A">
      <w:pPr>
        <w:spacing w:line="480" w:lineRule="auto"/>
        <w:jc w:val="both"/>
        <w:rPr>
          <w:rFonts w:ascii="Arial" w:hAnsi="Arial" w:cs="Arial"/>
          <w:bCs/>
        </w:rPr>
      </w:pPr>
      <w:r>
        <w:rPr>
          <w:rFonts w:ascii="Arial" w:hAnsi="Arial" w:cs="Arial"/>
          <w:bCs/>
        </w:rPr>
        <w:t>Supplemental File</w:t>
      </w:r>
      <w:r w:rsidR="00BC37A1">
        <w:rPr>
          <w:rFonts w:ascii="Arial" w:hAnsi="Arial" w:cs="Arial"/>
          <w:bCs/>
        </w:rPr>
        <w:t>s</w:t>
      </w:r>
    </w:p>
    <w:p w14:paraId="4919AC98" w14:textId="11880807" w:rsidR="00AF1E72" w:rsidRPr="00AF1E72" w:rsidRDefault="00AF1E72" w:rsidP="00E86D0A">
      <w:pPr>
        <w:spacing w:line="480" w:lineRule="auto"/>
        <w:jc w:val="both"/>
        <w:rPr>
          <w:rFonts w:ascii="Arial" w:hAnsi="Arial" w:cs="Arial"/>
          <w:b/>
        </w:rPr>
      </w:pPr>
      <w:r w:rsidRPr="00AF1E72">
        <w:rPr>
          <w:rFonts w:ascii="Arial" w:hAnsi="Arial" w:cs="Arial"/>
          <w:b/>
        </w:rPr>
        <w:t>SUPPLEMENTAL METHODS</w:t>
      </w:r>
    </w:p>
    <w:p w14:paraId="2ABEBAF0" w14:textId="77777777" w:rsidR="00755AFF" w:rsidRPr="00522068" w:rsidRDefault="00755AFF" w:rsidP="00755AFF">
      <w:pPr>
        <w:spacing w:line="480" w:lineRule="auto"/>
        <w:jc w:val="both"/>
        <w:rPr>
          <w:rFonts w:ascii="Arial" w:hAnsi="Arial" w:cs="Arial"/>
          <w:bCs/>
          <w:u w:val="single"/>
        </w:rPr>
      </w:pPr>
      <w:r w:rsidRPr="00522068">
        <w:rPr>
          <w:rFonts w:ascii="Arial" w:hAnsi="Arial" w:cs="Arial"/>
          <w:bCs/>
          <w:u w:val="single"/>
        </w:rPr>
        <w:t>Molecular Analysis</w:t>
      </w:r>
    </w:p>
    <w:p w14:paraId="721650BE" w14:textId="7E432AA2" w:rsidR="00755AFF" w:rsidRPr="00522068" w:rsidRDefault="00755AFF" w:rsidP="00755AFF">
      <w:pPr>
        <w:spacing w:line="480" w:lineRule="auto"/>
        <w:jc w:val="both"/>
        <w:rPr>
          <w:rFonts w:ascii="Arial" w:hAnsi="Arial" w:cs="Arial"/>
          <w:bCs/>
        </w:rPr>
      </w:pPr>
      <w:r w:rsidRPr="00522068">
        <w:rPr>
          <w:rFonts w:ascii="Arial" w:hAnsi="Arial" w:cs="Arial"/>
          <w:b/>
        </w:rPr>
        <w:tab/>
      </w:r>
      <w:r w:rsidRPr="00522068">
        <w:rPr>
          <w:rFonts w:ascii="Arial" w:hAnsi="Arial" w:cs="Arial"/>
          <w:bCs/>
        </w:rPr>
        <w:t xml:space="preserve">Isolates of GAS from patients and, where available, HCWs who were cultured as a part of an </w:t>
      </w:r>
      <w:proofErr w:type="spellStart"/>
      <w:r w:rsidRPr="00522068">
        <w:rPr>
          <w:rFonts w:ascii="Arial" w:hAnsi="Arial" w:cs="Arial"/>
          <w:bCs/>
        </w:rPr>
        <w:t>iGAS</w:t>
      </w:r>
      <w:proofErr w:type="spellEnd"/>
      <w:r w:rsidRPr="00522068">
        <w:rPr>
          <w:rFonts w:ascii="Arial" w:hAnsi="Arial" w:cs="Arial"/>
          <w:bCs/>
        </w:rPr>
        <w:t xml:space="preserve"> case investigation or if symptomatic, were analyzed using molecular techniques. As per the</w:t>
      </w:r>
      <w:r w:rsidRPr="00522068">
        <w:rPr>
          <w:rFonts w:ascii="Arial" w:hAnsi="Arial" w:cs="Arial"/>
        </w:rPr>
        <w:t xml:space="preserve"> </w:t>
      </w:r>
      <w:r w:rsidRPr="00522068">
        <w:rPr>
          <w:rFonts w:ascii="Arial" w:hAnsi="Arial" w:cs="Arial"/>
          <w:bCs/>
        </w:rPr>
        <w:t xml:space="preserve">Alberta Public Health Disease Management Guidelines for </w:t>
      </w:r>
      <w:proofErr w:type="spellStart"/>
      <w:r w:rsidRPr="00522068">
        <w:rPr>
          <w:rFonts w:ascii="Arial" w:hAnsi="Arial" w:cs="Arial"/>
          <w:bCs/>
        </w:rPr>
        <w:t>iGAS</w:t>
      </w:r>
      <w:proofErr w:type="spellEnd"/>
      <w:r w:rsidRPr="00522068">
        <w:rPr>
          <w:rFonts w:ascii="Arial" w:hAnsi="Arial" w:cs="Arial"/>
          <w:bCs/>
        </w:rPr>
        <w:t xml:space="preserve">, </w:t>
      </w:r>
      <w:r>
        <w:rPr>
          <w:rFonts w:ascii="Arial" w:hAnsi="Arial" w:cs="Arial"/>
          <w:bCs/>
        </w:rPr>
        <w:t>i</w:t>
      </w:r>
      <w:r w:rsidRPr="00522068">
        <w:rPr>
          <w:rFonts w:ascii="Arial" w:hAnsi="Arial" w:cs="Arial"/>
          <w:bCs/>
        </w:rPr>
        <w:t xml:space="preserve">solates of GAS were submitted to the Provincial Public Health Laboratory (Alberta Precision Laboratories (APL) for sequencing of the </w:t>
      </w:r>
      <w:proofErr w:type="spellStart"/>
      <w:r w:rsidRPr="00522068">
        <w:rPr>
          <w:rFonts w:ascii="Arial" w:hAnsi="Arial" w:cs="Arial"/>
          <w:bCs/>
          <w:i/>
          <w:iCs/>
        </w:rPr>
        <w:t>emm</w:t>
      </w:r>
      <w:proofErr w:type="spellEnd"/>
      <w:r w:rsidRPr="00522068">
        <w:rPr>
          <w:rFonts w:ascii="Arial" w:hAnsi="Arial" w:cs="Arial"/>
          <w:bCs/>
        </w:rPr>
        <w:t xml:space="preserve"> gene which encodes the cell surface M protein</w:t>
      </w:r>
      <w:r>
        <w:rPr>
          <w:rFonts w:ascii="Arial" w:hAnsi="Arial" w:cs="Arial"/>
          <w:bCs/>
        </w:rPr>
        <w:t>,</w:t>
      </w:r>
      <w:r w:rsidRPr="00522068">
        <w:rPr>
          <w:rFonts w:ascii="Arial" w:hAnsi="Arial" w:cs="Arial"/>
          <w:bCs/>
        </w:rPr>
        <w:t xml:space="preserve"> using previously described techniques</w:t>
      </w:r>
      <w:r w:rsidRPr="00522068">
        <w:rPr>
          <w:rFonts w:ascii="Arial" w:hAnsi="Arial" w:cs="Arial"/>
          <w:bCs/>
        </w:rPr>
        <w:fldChar w:fldCharType="begin"/>
      </w:r>
      <w:r w:rsidRPr="00522068">
        <w:rPr>
          <w:rFonts w:ascii="Arial" w:hAnsi="Arial" w:cs="Arial"/>
          <w:bCs/>
        </w:rPr>
        <w:instrText xml:space="preserve"> ADDIN EN.CITE &lt;EndNote&gt;&lt;Cite&gt;&lt;RecNum&gt;203&lt;/RecNum&gt;&lt;DisplayText&gt;&lt;style face="superscript"&gt;31,32&lt;/style&gt;&lt;/DisplayText&gt;&lt;record&gt;&lt;rec-number&gt;203&lt;/rec-number&gt;&lt;foreign-keys&gt;&lt;key app="EN" db-id="pvttsdapzps52ief2w75pszh905vpxfazv9r" timestamp="1637923788" guid="e1bea7ff-b230-454b-a8f3-70b859ba9878"&gt;203&lt;/key&gt;&lt;/foreign-keys&gt;&lt;ref-type name="Journal Article"&gt;17&lt;/ref-type&gt;&lt;contributors&gt;&lt;/contributors&gt;&lt;titles&gt;&lt;title&gt;&lt;style face="normal" font="default" size="100%"&gt;Centers for Disease Control and Prevention. Protocol for &lt;/style&gt;&lt;style face="italic" font="default" size="100%"&gt;emm&lt;/style&gt;&lt;style face="normal" font="default" size="100%"&gt; typing.  Last reviewed: July 23, 2021. Available from: https://www.cdc.gov/streplab/groupa-strep/emm-typing-protocol.html?CDC_AA_refVal=https%3A%2F%2Fwww.cdc.gov%2Fstreplab%2Fprotocol-emm-type.html.&lt;/style&gt;&lt;/title&gt;&lt;/titles&gt;&lt;dates&gt;&lt;/dates&gt;&lt;urls&gt;&lt;/urls&gt;&lt;/record&gt;&lt;/Cite&gt;&lt;Cite&gt;&lt;RecNum&gt;204&lt;/RecNum&gt;&lt;record&gt;&lt;rec-number&gt;204&lt;/rec-number&gt;&lt;foreign-keys&gt;&lt;key app="EN" db-id="pvttsdapzps52ief2w75pszh905vpxfazv9r" timestamp="1637923891" guid="a06b385c-56c0-49fc-8fef-426f15f5f65b"&gt;204&lt;/key&gt;&lt;/foreign-keys&gt;&lt;ref-type name="Journal Article"&gt;17&lt;/ref-type&gt;&lt;contributors&gt;&lt;/contributors&gt;&lt;titles&gt;&lt;title&gt;&lt;style face="normal" font="default" size="100%"&gt;Centers for Disease Control and Prevention. M Protein Gene (&lt;/style&gt;&lt;style face="italic" font="default" size="100%"&gt;emm&lt;/style&gt;&lt;style face="normal" font="default" size="100%"&gt;) Typing. Last reviewed: July 23, 2021. Available from: https://www.cdc.gov/streplab/groupa-strep/emm-background.html.&lt;/style&gt;&lt;/title&gt;&lt;/titles&gt;&lt;dates&gt;&lt;/dates&gt;&lt;urls&gt;&lt;/urls&gt;&lt;/record&gt;&lt;/Cite&gt;&lt;/EndNote&gt;</w:instrText>
      </w:r>
      <w:r w:rsidRPr="00522068">
        <w:rPr>
          <w:rFonts w:ascii="Arial" w:hAnsi="Arial" w:cs="Arial"/>
          <w:bCs/>
        </w:rPr>
        <w:fldChar w:fldCharType="separate"/>
      </w:r>
      <w:r w:rsidRPr="00522068">
        <w:rPr>
          <w:rFonts w:ascii="Arial" w:hAnsi="Arial" w:cs="Arial"/>
          <w:bCs/>
          <w:noProof/>
          <w:vertAlign w:val="superscript"/>
        </w:rPr>
        <w:t>1,2</w:t>
      </w:r>
      <w:r w:rsidRPr="00522068">
        <w:rPr>
          <w:rFonts w:ascii="Arial" w:hAnsi="Arial" w:cs="Arial"/>
          <w:bCs/>
        </w:rPr>
        <w:fldChar w:fldCharType="end"/>
      </w:r>
      <w:r w:rsidRPr="00522068">
        <w:rPr>
          <w:rFonts w:ascii="Arial" w:hAnsi="Arial" w:cs="Arial"/>
          <w:bCs/>
        </w:rPr>
        <w:t xml:space="preserve">. </w:t>
      </w:r>
      <w:r w:rsidRPr="00522068">
        <w:rPr>
          <w:rFonts w:ascii="Arial" w:hAnsi="Arial" w:cs="Arial"/>
          <w:szCs w:val="24"/>
        </w:rPr>
        <w:t xml:space="preserve">Whole </w:t>
      </w:r>
      <w:r w:rsidRPr="00522068">
        <w:rPr>
          <w:rFonts w:ascii="Arial" w:hAnsi="Arial" w:cs="Arial"/>
          <w:bCs/>
        </w:rPr>
        <w:t>genome sequencing (WGS) was performed by the National Microbiology Laboratory and the APL Public Health laboratory</w:t>
      </w:r>
      <w:r>
        <w:rPr>
          <w:rFonts w:ascii="Arial" w:hAnsi="Arial" w:cs="Arial"/>
          <w:bCs/>
        </w:rPr>
        <w:t xml:space="preserve">, details of which are provided below. </w:t>
      </w:r>
    </w:p>
    <w:p w14:paraId="5D2474C5" w14:textId="77777777" w:rsidR="00755AFF" w:rsidRPr="00522068" w:rsidRDefault="00755AFF" w:rsidP="00755AFF">
      <w:pPr>
        <w:spacing w:line="480" w:lineRule="auto"/>
        <w:jc w:val="both"/>
        <w:rPr>
          <w:rFonts w:ascii="Arial" w:hAnsi="Arial" w:cs="Arial"/>
          <w:bCs/>
          <w:u w:val="single"/>
        </w:rPr>
      </w:pPr>
      <w:r w:rsidRPr="00522068">
        <w:rPr>
          <w:rFonts w:ascii="Arial" w:hAnsi="Arial" w:cs="Arial"/>
          <w:bCs/>
          <w:u w:val="single"/>
        </w:rPr>
        <w:t>Data Analysis</w:t>
      </w:r>
      <w:r>
        <w:rPr>
          <w:rFonts w:ascii="Arial" w:hAnsi="Arial" w:cs="Arial"/>
          <w:bCs/>
          <w:u w:val="single"/>
        </w:rPr>
        <w:t xml:space="preserve"> for Isolate Similarity</w:t>
      </w:r>
    </w:p>
    <w:p w14:paraId="7B295007" w14:textId="4BF3BCF3" w:rsidR="00755AFF" w:rsidRDefault="00755AFF" w:rsidP="00AF1E72">
      <w:pPr>
        <w:spacing w:line="480" w:lineRule="auto"/>
        <w:rPr>
          <w:rFonts w:ascii="Arial" w:hAnsi="Arial" w:cs="Arial"/>
          <w:bCs/>
        </w:rPr>
      </w:pPr>
      <w:r w:rsidRPr="00522068">
        <w:rPr>
          <w:rFonts w:ascii="Arial" w:hAnsi="Arial" w:cs="Arial"/>
          <w:bCs/>
        </w:rPr>
        <w:tab/>
        <w:t xml:space="preserve">Both clinical and laboratory data were analyzed by assessing temporo-spatially related cases and clusters and comparing </w:t>
      </w:r>
      <w:proofErr w:type="spellStart"/>
      <w:r w:rsidRPr="00522068">
        <w:rPr>
          <w:rFonts w:ascii="Arial" w:hAnsi="Arial" w:cs="Arial"/>
          <w:bCs/>
          <w:i/>
          <w:iCs/>
        </w:rPr>
        <w:t>emm</w:t>
      </w:r>
      <w:proofErr w:type="spellEnd"/>
      <w:r w:rsidRPr="00522068">
        <w:rPr>
          <w:rFonts w:ascii="Arial" w:hAnsi="Arial" w:cs="Arial"/>
          <w:bCs/>
        </w:rPr>
        <w:t xml:space="preserve"> typing, </w:t>
      </w:r>
      <w:proofErr w:type="spellStart"/>
      <w:r w:rsidRPr="00522068">
        <w:rPr>
          <w:rFonts w:ascii="Arial" w:hAnsi="Arial" w:cs="Arial"/>
          <w:bCs/>
        </w:rPr>
        <w:t>multilocus</w:t>
      </w:r>
      <w:proofErr w:type="spellEnd"/>
      <w:r w:rsidRPr="00522068">
        <w:rPr>
          <w:rFonts w:ascii="Arial" w:hAnsi="Arial" w:cs="Arial"/>
          <w:bCs/>
        </w:rPr>
        <w:t xml:space="preserve"> sequence typing (MLST), single-nucleotide variant (SNV) analyses and virulence factor profiling to ascertain if there was a match between isolates found in any HCWs, other family members, and the affected patients</w:t>
      </w:r>
      <w:r w:rsidR="00630657">
        <w:rPr>
          <w:rFonts w:ascii="Arial" w:hAnsi="Arial" w:cs="Arial"/>
          <w:bCs/>
        </w:rPr>
        <w:t>.</w:t>
      </w:r>
      <w:r w:rsidRPr="00522068">
        <w:rPr>
          <w:rFonts w:ascii="Arial" w:hAnsi="Arial" w:cs="Arial"/>
          <w:bCs/>
        </w:rPr>
        <w:t xml:space="preserve"> </w:t>
      </w:r>
    </w:p>
    <w:p w14:paraId="4588FA85" w14:textId="13738873" w:rsidR="00E86D0A" w:rsidRPr="00E86D0A" w:rsidRDefault="00E86D0A" w:rsidP="00E86D0A">
      <w:pPr>
        <w:spacing w:line="480" w:lineRule="auto"/>
        <w:jc w:val="both"/>
        <w:rPr>
          <w:rFonts w:ascii="Arial" w:hAnsi="Arial" w:cs="Arial"/>
          <w:bCs/>
          <w:u w:val="single"/>
        </w:rPr>
      </w:pPr>
      <w:r w:rsidRPr="00E86D0A">
        <w:rPr>
          <w:rFonts w:ascii="Arial" w:hAnsi="Arial" w:cs="Arial"/>
          <w:bCs/>
          <w:u w:val="single"/>
        </w:rPr>
        <w:t xml:space="preserve">Whole Genome Sequencing </w:t>
      </w:r>
    </w:p>
    <w:p w14:paraId="233BE78C" w14:textId="242E4EE3" w:rsidR="00E86D0A" w:rsidRPr="00AF1E72" w:rsidRDefault="00E86D0A" w:rsidP="00E86D0A">
      <w:pPr>
        <w:spacing w:line="480" w:lineRule="auto"/>
        <w:jc w:val="both"/>
        <w:rPr>
          <w:rFonts w:ascii="Arial" w:hAnsi="Arial" w:cs="Arial"/>
          <w:szCs w:val="24"/>
        </w:rPr>
      </w:pPr>
      <w:r>
        <w:rPr>
          <w:rFonts w:ascii="Arial" w:hAnsi="Arial" w:cs="Arial"/>
          <w:bCs/>
        </w:rPr>
        <w:t xml:space="preserve">             </w:t>
      </w:r>
      <w:r w:rsidRPr="00522068">
        <w:rPr>
          <w:rFonts w:ascii="Arial" w:hAnsi="Arial" w:cs="Arial"/>
          <w:bCs/>
        </w:rPr>
        <w:t xml:space="preserve">Genome sequencing was performed by extracting DNA using the </w:t>
      </w:r>
      <w:proofErr w:type="spellStart"/>
      <w:r w:rsidRPr="00522068">
        <w:rPr>
          <w:rFonts w:ascii="Arial" w:hAnsi="Arial" w:cs="Arial"/>
          <w:bCs/>
        </w:rPr>
        <w:t>MagaZorb</w:t>
      </w:r>
      <w:proofErr w:type="spellEnd"/>
      <w:r w:rsidRPr="00522068">
        <w:rPr>
          <w:rFonts w:ascii="Arial" w:hAnsi="Arial" w:cs="Arial"/>
          <w:bCs/>
        </w:rPr>
        <w:t xml:space="preserve"> DNA Mini-Prep Kit (Promega). Briefly, colonies grown in Todd-Hewitt Broth were centrifuged at 6000 x g for 2 min and supernatant removed. Cells were washed in 12 mM Tris and then lysed in </w:t>
      </w:r>
      <w:proofErr w:type="spellStart"/>
      <w:r w:rsidRPr="00522068">
        <w:rPr>
          <w:rFonts w:ascii="Arial" w:hAnsi="Arial" w:cs="Arial"/>
          <w:bCs/>
        </w:rPr>
        <w:t>mutanolysin</w:t>
      </w:r>
      <w:proofErr w:type="spellEnd"/>
      <w:r w:rsidRPr="00522068">
        <w:rPr>
          <w:rFonts w:ascii="Arial" w:hAnsi="Arial" w:cs="Arial"/>
          <w:bCs/>
        </w:rPr>
        <w:t xml:space="preserve">/hyaluronidase lysis solution (62 ml; 10ml 3000U/mL </w:t>
      </w:r>
      <w:proofErr w:type="spellStart"/>
      <w:r w:rsidRPr="00522068">
        <w:rPr>
          <w:rFonts w:ascii="Arial" w:hAnsi="Arial" w:cs="Arial"/>
          <w:bCs/>
        </w:rPr>
        <w:t>mutanolysin</w:t>
      </w:r>
      <w:proofErr w:type="spellEnd"/>
      <w:r w:rsidRPr="00522068">
        <w:rPr>
          <w:rFonts w:ascii="Arial" w:hAnsi="Arial" w:cs="Arial"/>
          <w:bCs/>
        </w:rPr>
        <w:t xml:space="preserve"> (Sigma), 2 ml 30 mg/mL hyaluronidase (Sigma), and 50 mL 10 mM Tris).  </w:t>
      </w:r>
      <w:r w:rsidRPr="00522068">
        <w:rPr>
          <w:rFonts w:ascii="Arial" w:hAnsi="Arial" w:cs="Arial"/>
          <w:szCs w:val="24"/>
        </w:rPr>
        <w:t xml:space="preserve">Lysozyme (15 µL, 100 mg/mL; Sigma) was added and incubated for 1 hr at 37 °C with shaking at 700 rpm (Eppendorf </w:t>
      </w:r>
      <w:proofErr w:type="spellStart"/>
      <w:r w:rsidRPr="00522068">
        <w:rPr>
          <w:rFonts w:ascii="Arial" w:hAnsi="Arial" w:cs="Arial"/>
          <w:szCs w:val="24"/>
        </w:rPr>
        <w:t>ThermoMixer</w:t>
      </w:r>
      <w:proofErr w:type="spellEnd"/>
      <w:r w:rsidRPr="00522068">
        <w:rPr>
          <w:rFonts w:ascii="Arial" w:hAnsi="Arial" w:cs="Arial"/>
          <w:szCs w:val="24"/>
        </w:rPr>
        <w:t xml:space="preserve"> </w:t>
      </w:r>
      <w:r w:rsidRPr="00522068">
        <w:rPr>
          <w:rFonts w:ascii="Arial" w:hAnsi="Arial" w:cs="Arial"/>
          <w:szCs w:val="24"/>
        </w:rPr>
        <w:lastRenderedPageBreak/>
        <w:t xml:space="preserve">F1.5). Proteinase K solution (20 µL) and RNase A (20 µL, 20 mg/mL; Qiagen or </w:t>
      </w:r>
      <w:r w:rsidRPr="00522068">
        <w:rPr>
          <w:rFonts w:ascii="Arial" w:hAnsi="Arial" w:cs="Arial"/>
        </w:rPr>
        <w:t>Invitrogen</w:t>
      </w:r>
      <w:r w:rsidRPr="00522068">
        <w:rPr>
          <w:rFonts w:ascii="Arial" w:hAnsi="Arial" w:cs="Arial"/>
          <w:szCs w:val="24"/>
        </w:rPr>
        <w:t xml:space="preserve">) were added and the tubes were incubated at room temperature for 5 mins. ATL lysis buffer (200 µL) was added and tubes incubated for 2 hrs at 56 °C with shaking at 900 rpm (Eppendorf </w:t>
      </w:r>
      <w:proofErr w:type="spellStart"/>
      <w:r w:rsidRPr="00522068">
        <w:rPr>
          <w:rFonts w:ascii="Arial" w:hAnsi="Arial" w:cs="Arial"/>
          <w:szCs w:val="24"/>
        </w:rPr>
        <w:t>ThermoMixer</w:t>
      </w:r>
      <w:proofErr w:type="spellEnd"/>
      <w:r w:rsidRPr="00522068">
        <w:rPr>
          <w:rFonts w:ascii="Arial" w:hAnsi="Arial" w:cs="Arial"/>
          <w:szCs w:val="24"/>
        </w:rPr>
        <w:t xml:space="preserve"> F1.5). Extracts were centrifuged at 9000 x g for 2 mins and wash, binding, and elution steps were completed with the </w:t>
      </w:r>
      <w:proofErr w:type="spellStart"/>
      <w:r w:rsidRPr="00522068">
        <w:rPr>
          <w:rFonts w:ascii="Arial" w:hAnsi="Arial" w:cs="Arial"/>
          <w:szCs w:val="24"/>
        </w:rPr>
        <w:t>KingFisher</w:t>
      </w:r>
      <w:proofErr w:type="spellEnd"/>
      <w:r w:rsidRPr="00522068">
        <w:rPr>
          <w:rFonts w:ascii="Arial" w:hAnsi="Arial" w:cs="Arial"/>
          <w:szCs w:val="24"/>
        </w:rPr>
        <w:t xml:space="preserve"> mL Purification System (</w:t>
      </w:r>
      <w:proofErr w:type="spellStart"/>
      <w:r w:rsidRPr="00522068">
        <w:rPr>
          <w:rFonts w:ascii="Arial" w:hAnsi="Arial" w:cs="Arial"/>
          <w:szCs w:val="24"/>
        </w:rPr>
        <w:t>Thermo</w:t>
      </w:r>
      <w:proofErr w:type="spellEnd"/>
      <w:r w:rsidRPr="00522068">
        <w:rPr>
          <w:rFonts w:ascii="Arial" w:hAnsi="Arial" w:cs="Arial"/>
          <w:szCs w:val="24"/>
        </w:rPr>
        <w:t xml:space="preserve"> Scientific) with Qiagen Buffer EB.  Extracted genomic DNA was prepared using a modified Illumina DNA Prep protocol (</w:t>
      </w:r>
      <w:hyperlink r:id="rId6" w:history="1">
        <w:r w:rsidRPr="00522068">
          <w:rPr>
            <w:rStyle w:val="Hyperlink"/>
            <w:rFonts w:ascii="Arial" w:hAnsi="Arial" w:cs="Arial"/>
            <w:szCs w:val="24"/>
          </w:rPr>
          <w:t>https://www.medrxiv.org/content/10.1101/2022.02.07.22269672v1</w:t>
        </w:r>
      </w:hyperlink>
      <w:r w:rsidRPr="00522068">
        <w:rPr>
          <w:rFonts w:ascii="Arial" w:hAnsi="Arial" w:cs="Arial"/>
          <w:szCs w:val="24"/>
        </w:rPr>
        <w:t xml:space="preserve">) on an Eppendorf </w:t>
      </w:r>
      <w:proofErr w:type="spellStart"/>
      <w:r w:rsidRPr="00522068">
        <w:rPr>
          <w:rFonts w:ascii="Arial" w:hAnsi="Arial" w:cs="Arial"/>
          <w:szCs w:val="24"/>
        </w:rPr>
        <w:t>epMotion</w:t>
      </w:r>
      <w:proofErr w:type="spellEnd"/>
      <w:r w:rsidRPr="00522068">
        <w:rPr>
          <w:rFonts w:ascii="Arial" w:hAnsi="Arial" w:cs="Arial"/>
          <w:szCs w:val="24"/>
        </w:rPr>
        <w:t xml:space="preserve"> (Provincial Public Health Laboratory) or Illumina </w:t>
      </w:r>
      <w:proofErr w:type="spellStart"/>
      <w:r w:rsidRPr="00522068">
        <w:rPr>
          <w:rFonts w:ascii="Arial" w:hAnsi="Arial" w:cs="Arial"/>
          <w:szCs w:val="24"/>
        </w:rPr>
        <w:t>Nextera</w:t>
      </w:r>
      <w:proofErr w:type="spellEnd"/>
      <w:r w:rsidRPr="00522068">
        <w:rPr>
          <w:rFonts w:ascii="Arial" w:hAnsi="Arial" w:cs="Arial"/>
          <w:szCs w:val="24"/>
        </w:rPr>
        <w:t xml:space="preserve"> XT (National Microbiology Laboratory). Genomes were sequenced either by </w:t>
      </w:r>
      <w:proofErr w:type="spellStart"/>
      <w:r w:rsidRPr="00522068">
        <w:rPr>
          <w:rFonts w:ascii="Arial" w:hAnsi="Arial" w:cs="Arial"/>
          <w:szCs w:val="24"/>
        </w:rPr>
        <w:t>NextSeq</w:t>
      </w:r>
      <w:proofErr w:type="spellEnd"/>
      <w:r w:rsidRPr="00522068">
        <w:rPr>
          <w:rFonts w:ascii="Arial" w:hAnsi="Arial" w:cs="Arial"/>
          <w:szCs w:val="24"/>
        </w:rPr>
        <w:t xml:space="preserve"> 500/550 or a High Output Illumina </w:t>
      </w:r>
      <w:proofErr w:type="spellStart"/>
      <w:r w:rsidRPr="00522068">
        <w:rPr>
          <w:rFonts w:ascii="Arial" w:hAnsi="Arial" w:cs="Arial"/>
          <w:szCs w:val="24"/>
        </w:rPr>
        <w:t>MiniSeq</w:t>
      </w:r>
      <w:proofErr w:type="spellEnd"/>
      <w:r w:rsidRPr="00522068">
        <w:rPr>
          <w:rFonts w:ascii="Arial" w:hAnsi="Arial" w:cs="Arial"/>
          <w:szCs w:val="24"/>
        </w:rPr>
        <w:t xml:space="preserve">. </w:t>
      </w:r>
      <w:r w:rsidR="00827A0D">
        <w:rPr>
          <w:rFonts w:ascii="Arial" w:hAnsi="Arial" w:cs="Arial"/>
          <w:szCs w:val="24"/>
          <w:u w:val="single"/>
        </w:rPr>
        <w:br/>
      </w:r>
      <w:r w:rsidRPr="00E86D0A">
        <w:rPr>
          <w:rFonts w:ascii="Arial" w:hAnsi="Arial" w:cs="Arial"/>
          <w:szCs w:val="24"/>
          <w:u w:val="single"/>
        </w:rPr>
        <w:t>Data Analysis for Similarity of Isolates</w:t>
      </w:r>
    </w:p>
    <w:p w14:paraId="100B235D" w14:textId="267E4673" w:rsidR="00E86D0A" w:rsidRPr="00522068" w:rsidRDefault="00E86D0A" w:rsidP="00E86D0A">
      <w:pPr>
        <w:spacing w:line="480" w:lineRule="auto"/>
        <w:rPr>
          <w:rFonts w:ascii="Arial" w:hAnsi="Arial" w:cs="Arial"/>
          <w:bCs/>
        </w:rPr>
      </w:pPr>
      <w:r>
        <w:rPr>
          <w:rFonts w:ascii="Arial" w:hAnsi="Arial" w:cs="Arial"/>
          <w:bCs/>
        </w:rPr>
        <w:t xml:space="preserve">              </w:t>
      </w:r>
      <w:r w:rsidRPr="00E86D0A">
        <w:rPr>
          <w:rFonts w:ascii="Arial" w:hAnsi="Arial" w:cs="Arial"/>
          <w:bCs/>
        </w:rPr>
        <w:t xml:space="preserve">Raw sequence data quality was quality trimmed and filtered by </w:t>
      </w:r>
      <w:proofErr w:type="spellStart"/>
      <w:r w:rsidRPr="00E86D0A">
        <w:rPr>
          <w:rFonts w:ascii="Arial" w:hAnsi="Arial" w:cs="Arial"/>
          <w:bCs/>
        </w:rPr>
        <w:t>fastp</w:t>
      </w:r>
      <w:proofErr w:type="spellEnd"/>
      <w:r w:rsidRPr="00E86D0A">
        <w:rPr>
          <w:rFonts w:ascii="Arial" w:hAnsi="Arial" w:cs="Arial"/>
          <w:bCs/>
        </w:rPr>
        <w:t xml:space="preserve"> 0.23.4 (https://pubmed.ncbi.nlm.nih.gov/30423086/) and assessed for quality using </w:t>
      </w:r>
      <w:proofErr w:type="spellStart"/>
      <w:r w:rsidRPr="00E86D0A">
        <w:rPr>
          <w:rFonts w:ascii="Arial" w:hAnsi="Arial" w:cs="Arial"/>
          <w:bCs/>
        </w:rPr>
        <w:t>seqkit</w:t>
      </w:r>
      <w:proofErr w:type="spellEnd"/>
      <w:r w:rsidRPr="00E86D0A">
        <w:rPr>
          <w:rFonts w:ascii="Arial" w:hAnsi="Arial" w:cs="Arial"/>
          <w:bCs/>
        </w:rPr>
        <w:t xml:space="preserve"> v2.4.0 (https://pubmed.ncbi.nlm.nih.gov/27706213/) and </w:t>
      </w:r>
      <w:proofErr w:type="spellStart"/>
      <w:r w:rsidRPr="00E86D0A">
        <w:rPr>
          <w:rFonts w:ascii="Arial" w:hAnsi="Arial" w:cs="Arial"/>
          <w:bCs/>
        </w:rPr>
        <w:t>multiqc</w:t>
      </w:r>
      <w:proofErr w:type="spellEnd"/>
      <w:r w:rsidRPr="00E86D0A">
        <w:rPr>
          <w:rFonts w:ascii="Arial" w:hAnsi="Arial" w:cs="Arial"/>
          <w:bCs/>
        </w:rPr>
        <w:t xml:space="preserve"> v1.14 (</w:t>
      </w:r>
      <w:hyperlink r:id="rId7" w:history="1">
        <w:r w:rsidRPr="003878A5">
          <w:rPr>
            <w:rStyle w:val="Hyperlink"/>
            <w:rFonts w:ascii="Arial" w:hAnsi="Arial" w:cs="Arial"/>
            <w:bCs/>
          </w:rPr>
          <w:t>https://pubmed.ncbi.nlm.nih.gov/27312411/</w:t>
        </w:r>
      </w:hyperlink>
      <w:r w:rsidRPr="00E86D0A">
        <w:rPr>
          <w:rFonts w:ascii="Arial" w:hAnsi="Arial" w:cs="Arial"/>
          <w:bCs/>
        </w:rPr>
        <w:t>)</w:t>
      </w:r>
      <w:r>
        <w:rPr>
          <w:rFonts w:ascii="Arial" w:hAnsi="Arial" w:cs="Arial"/>
          <w:bCs/>
        </w:rPr>
        <w:t xml:space="preserve"> </w:t>
      </w:r>
      <w:r w:rsidRPr="00E86D0A">
        <w:rPr>
          <w:rFonts w:ascii="Arial" w:hAnsi="Arial" w:cs="Arial"/>
          <w:bCs/>
        </w:rPr>
        <w:t xml:space="preserve">. Genomes were assembled with </w:t>
      </w:r>
      <w:proofErr w:type="spellStart"/>
      <w:r w:rsidRPr="00E86D0A">
        <w:rPr>
          <w:rFonts w:ascii="Arial" w:hAnsi="Arial" w:cs="Arial"/>
          <w:bCs/>
        </w:rPr>
        <w:t>SPAdes</w:t>
      </w:r>
      <w:proofErr w:type="spellEnd"/>
      <w:r w:rsidRPr="00E86D0A">
        <w:rPr>
          <w:rFonts w:ascii="Arial" w:hAnsi="Arial" w:cs="Arial"/>
          <w:bCs/>
        </w:rPr>
        <w:t xml:space="preserve"> v3.15.5 (https://pubmed.ncbi.nlm.nih.gov/22506599/) using the wrapper </w:t>
      </w:r>
      <w:proofErr w:type="spellStart"/>
      <w:r w:rsidRPr="00E86D0A">
        <w:rPr>
          <w:rFonts w:ascii="Arial" w:hAnsi="Arial" w:cs="Arial"/>
          <w:bCs/>
        </w:rPr>
        <w:t>Shovill</w:t>
      </w:r>
      <w:proofErr w:type="spellEnd"/>
      <w:r w:rsidRPr="00E86D0A">
        <w:rPr>
          <w:rFonts w:ascii="Arial" w:hAnsi="Arial" w:cs="Arial"/>
          <w:bCs/>
        </w:rPr>
        <w:t xml:space="preserve"> 1.1.0 (github.com/</w:t>
      </w:r>
      <w:proofErr w:type="spellStart"/>
      <w:r w:rsidRPr="00E86D0A">
        <w:rPr>
          <w:rFonts w:ascii="Arial" w:hAnsi="Arial" w:cs="Arial"/>
          <w:bCs/>
        </w:rPr>
        <w:t>tseemann</w:t>
      </w:r>
      <w:proofErr w:type="spellEnd"/>
      <w:r w:rsidRPr="00E86D0A">
        <w:rPr>
          <w:rFonts w:ascii="Arial" w:hAnsi="Arial" w:cs="Arial"/>
          <w:bCs/>
        </w:rPr>
        <w:t>/</w:t>
      </w:r>
      <w:proofErr w:type="spellStart"/>
      <w:r w:rsidRPr="00E86D0A">
        <w:rPr>
          <w:rFonts w:ascii="Arial" w:hAnsi="Arial" w:cs="Arial"/>
          <w:bCs/>
        </w:rPr>
        <w:t>shovill</w:t>
      </w:r>
      <w:proofErr w:type="spellEnd"/>
      <w:r w:rsidRPr="00E86D0A">
        <w:rPr>
          <w:rFonts w:ascii="Arial" w:hAnsi="Arial" w:cs="Arial"/>
          <w:bCs/>
        </w:rPr>
        <w:t xml:space="preserve">), with a minimum length cutoff of 300 bp. In silico </w:t>
      </w:r>
      <w:proofErr w:type="spellStart"/>
      <w:r w:rsidRPr="00E86D0A">
        <w:rPr>
          <w:rFonts w:ascii="Arial" w:hAnsi="Arial" w:cs="Arial"/>
          <w:bCs/>
        </w:rPr>
        <w:t>emm</w:t>
      </w:r>
      <w:proofErr w:type="spellEnd"/>
      <w:r w:rsidRPr="00E86D0A">
        <w:rPr>
          <w:rFonts w:ascii="Arial" w:hAnsi="Arial" w:cs="Arial"/>
          <w:bCs/>
        </w:rPr>
        <w:t xml:space="preserve">-typing was performed using </w:t>
      </w:r>
      <w:proofErr w:type="spellStart"/>
      <w:r w:rsidRPr="00E86D0A">
        <w:rPr>
          <w:rFonts w:ascii="Arial" w:hAnsi="Arial" w:cs="Arial"/>
          <w:bCs/>
        </w:rPr>
        <w:t>emm</w:t>
      </w:r>
      <w:proofErr w:type="spellEnd"/>
      <w:r w:rsidRPr="00E86D0A">
        <w:rPr>
          <w:rFonts w:ascii="Arial" w:hAnsi="Arial" w:cs="Arial"/>
          <w:bCs/>
        </w:rPr>
        <w:t>-typer (github.com/MDU-PHL/</w:t>
      </w:r>
      <w:proofErr w:type="spellStart"/>
      <w:r w:rsidRPr="00E86D0A">
        <w:rPr>
          <w:rFonts w:ascii="Arial" w:hAnsi="Arial" w:cs="Arial"/>
          <w:bCs/>
        </w:rPr>
        <w:t>emmtyper</w:t>
      </w:r>
      <w:proofErr w:type="spellEnd"/>
      <w:r w:rsidRPr="00E86D0A">
        <w:rPr>
          <w:rFonts w:ascii="Arial" w:hAnsi="Arial" w:cs="Arial"/>
          <w:bCs/>
        </w:rPr>
        <w:t xml:space="preserve">), MLST performed with </w:t>
      </w:r>
      <w:proofErr w:type="spellStart"/>
      <w:r w:rsidRPr="00E86D0A">
        <w:rPr>
          <w:rFonts w:ascii="Arial" w:hAnsi="Arial" w:cs="Arial"/>
          <w:bCs/>
        </w:rPr>
        <w:t>mlst</w:t>
      </w:r>
      <w:proofErr w:type="spellEnd"/>
      <w:r w:rsidRPr="00E86D0A">
        <w:rPr>
          <w:rFonts w:ascii="Arial" w:hAnsi="Arial" w:cs="Arial"/>
          <w:bCs/>
        </w:rPr>
        <w:t xml:space="preserve"> v2.23.0 (github.com/</w:t>
      </w:r>
      <w:proofErr w:type="spellStart"/>
      <w:r w:rsidRPr="00E86D0A">
        <w:rPr>
          <w:rFonts w:ascii="Arial" w:hAnsi="Arial" w:cs="Arial"/>
          <w:bCs/>
        </w:rPr>
        <w:t>tseemann</w:t>
      </w:r>
      <w:proofErr w:type="spellEnd"/>
      <w:r w:rsidRPr="00E86D0A">
        <w:rPr>
          <w:rFonts w:ascii="Arial" w:hAnsi="Arial" w:cs="Arial"/>
          <w:bCs/>
        </w:rPr>
        <w:t>/</w:t>
      </w:r>
      <w:proofErr w:type="spellStart"/>
      <w:r w:rsidRPr="00E86D0A">
        <w:rPr>
          <w:rFonts w:ascii="Arial" w:hAnsi="Arial" w:cs="Arial"/>
          <w:bCs/>
        </w:rPr>
        <w:t>mlst</w:t>
      </w:r>
      <w:proofErr w:type="spellEnd"/>
      <w:r w:rsidRPr="00E86D0A">
        <w:rPr>
          <w:rFonts w:ascii="Arial" w:hAnsi="Arial" w:cs="Arial"/>
          <w:bCs/>
        </w:rPr>
        <w:t xml:space="preserve">), and virulence factor profiling using </w:t>
      </w:r>
      <w:proofErr w:type="spellStart"/>
      <w:r w:rsidRPr="00E86D0A">
        <w:rPr>
          <w:rFonts w:ascii="Arial" w:hAnsi="Arial" w:cs="Arial"/>
          <w:bCs/>
        </w:rPr>
        <w:t>abricate</w:t>
      </w:r>
      <w:proofErr w:type="spellEnd"/>
      <w:r w:rsidRPr="00E86D0A">
        <w:rPr>
          <w:rFonts w:ascii="Arial" w:hAnsi="Arial" w:cs="Arial"/>
          <w:bCs/>
        </w:rPr>
        <w:t xml:space="preserve"> 1.0.1 (github.com/</w:t>
      </w:r>
      <w:proofErr w:type="spellStart"/>
      <w:r w:rsidRPr="00E86D0A">
        <w:rPr>
          <w:rFonts w:ascii="Arial" w:hAnsi="Arial" w:cs="Arial"/>
          <w:bCs/>
        </w:rPr>
        <w:t>tseemann</w:t>
      </w:r>
      <w:proofErr w:type="spellEnd"/>
      <w:r w:rsidRPr="00E86D0A">
        <w:rPr>
          <w:rFonts w:ascii="Arial" w:hAnsi="Arial" w:cs="Arial"/>
          <w:bCs/>
        </w:rPr>
        <w:t>/</w:t>
      </w:r>
      <w:proofErr w:type="spellStart"/>
      <w:r w:rsidRPr="00E86D0A">
        <w:rPr>
          <w:rFonts w:ascii="Arial" w:hAnsi="Arial" w:cs="Arial"/>
          <w:bCs/>
        </w:rPr>
        <w:t>abricate</w:t>
      </w:r>
      <w:proofErr w:type="spellEnd"/>
      <w:r w:rsidRPr="00E86D0A">
        <w:rPr>
          <w:rFonts w:ascii="Arial" w:hAnsi="Arial" w:cs="Arial"/>
          <w:bCs/>
        </w:rPr>
        <w:t>) using the virulence factor database (</w:t>
      </w:r>
      <w:hyperlink r:id="rId8" w:history="1">
        <w:r w:rsidRPr="003878A5">
          <w:rPr>
            <w:rStyle w:val="Hyperlink"/>
            <w:rFonts w:ascii="Arial" w:hAnsi="Arial" w:cs="Arial"/>
            <w:bCs/>
          </w:rPr>
          <w:t>https://pubmed.ncbi.nlm.nih.gov/34850947/</w:t>
        </w:r>
      </w:hyperlink>
      <w:r>
        <w:rPr>
          <w:rFonts w:ascii="Arial" w:hAnsi="Arial" w:cs="Arial"/>
          <w:bCs/>
        </w:rPr>
        <w:t xml:space="preserve"> </w:t>
      </w:r>
      <w:r w:rsidRPr="00E86D0A">
        <w:rPr>
          <w:rFonts w:ascii="Arial" w:hAnsi="Arial" w:cs="Arial"/>
          <w:bCs/>
        </w:rPr>
        <w:t>; database version: 2021-MAR-27). To check if any emm1.0 isolates were the M1UK variant (</w:t>
      </w:r>
      <w:hyperlink r:id="rId9" w:history="1">
        <w:r w:rsidRPr="003878A5">
          <w:rPr>
            <w:rStyle w:val="Hyperlink"/>
            <w:rFonts w:ascii="Arial" w:hAnsi="Arial" w:cs="Arial"/>
            <w:bCs/>
          </w:rPr>
          <w:t>https://pubmed.ncbi.nlm.nih.gov/31519541/</w:t>
        </w:r>
      </w:hyperlink>
      <w:r>
        <w:rPr>
          <w:rFonts w:ascii="Arial" w:hAnsi="Arial" w:cs="Arial"/>
          <w:bCs/>
        </w:rPr>
        <w:t xml:space="preserve"> </w:t>
      </w:r>
      <w:r w:rsidRPr="00E86D0A">
        <w:rPr>
          <w:rFonts w:ascii="Arial" w:hAnsi="Arial" w:cs="Arial"/>
          <w:bCs/>
        </w:rPr>
        <w:t xml:space="preserve">), </w:t>
      </w:r>
      <w:proofErr w:type="spellStart"/>
      <w:r w:rsidRPr="00E86D0A">
        <w:rPr>
          <w:rFonts w:ascii="Arial" w:hAnsi="Arial" w:cs="Arial"/>
          <w:bCs/>
        </w:rPr>
        <w:t>fastp</w:t>
      </w:r>
      <w:proofErr w:type="spellEnd"/>
      <w:r w:rsidRPr="00E86D0A">
        <w:rPr>
          <w:rFonts w:ascii="Arial" w:hAnsi="Arial" w:cs="Arial"/>
          <w:bCs/>
        </w:rPr>
        <w:t xml:space="preserve">-trimmed sequence data was mapped to the NCBI </w:t>
      </w:r>
      <w:proofErr w:type="spellStart"/>
      <w:r w:rsidRPr="00E86D0A">
        <w:rPr>
          <w:rFonts w:ascii="Arial" w:hAnsi="Arial" w:cs="Arial"/>
          <w:bCs/>
        </w:rPr>
        <w:t>RefSeq</w:t>
      </w:r>
      <w:proofErr w:type="spellEnd"/>
      <w:r w:rsidRPr="00E86D0A">
        <w:rPr>
          <w:rFonts w:ascii="Arial" w:hAnsi="Arial" w:cs="Arial"/>
          <w:bCs/>
        </w:rPr>
        <w:t xml:space="preserve"> emm1.0 genome MGAS5005 (NC_007297.2), and variants called using Snippy 4.6.0 (github.com/</w:t>
      </w:r>
      <w:proofErr w:type="spellStart"/>
      <w:r w:rsidRPr="00E86D0A">
        <w:rPr>
          <w:rFonts w:ascii="Arial" w:hAnsi="Arial" w:cs="Arial"/>
          <w:bCs/>
        </w:rPr>
        <w:t>tseemann</w:t>
      </w:r>
      <w:proofErr w:type="spellEnd"/>
      <w:r w:rsidRPr="00E86D0A">
        <w:rPr>
          <w:rFonts w:ascii="Arial" w:hAnsi="Arial" w:cs="Arial"/>
          <w:bCs/>
        </w:rPr>
        <w:t xml:space="preserve">/snippy), followed by identification of the 27 M1UK-specific mutations described in </w:t>
      </w:r>
      <w:proofErr w:type="spellStart"/>
      <w:r w:rsidRPr="00E86D0A">
        <w:rPr>
          <w:rFonts w:ascii="Arial" w:hAnsi="Arial" w:cs="Arial"/>
          <w:bCs/>
        </w:rPr>
        <w:t>Lanskey</w:t>
      </w:r>
      <w:proofErr w:type="spellEnd"/>
      <w:r w:rsidRPr="00E86D0A">
        <w:rPr>
          <w:rFonts w:ascii="Arial" w:hAnsi="Arial" w:cs="Arial"/>
          <w:bCs/>
        </w:rPr>
        <w:t xml:space="preserve"> et al (2019). Genetic </w:t>
      </w:r>
      <w:r w:rsidRPr="00E86D0A">
        <w:rPr>
          <w:rFonts w:ascii="Arial" w:hAnsi="Arial" w:cs="Arial"/>
          <w:bCs/>
        </w:rPr>
        <w:lastRenderedPageBreak/>
        <w:t xml:space="preserve">relatedness of the emm1.0 isolates was assessed by calling variants using the </w:t>
      </w:r>
      <w:proofErr w:type="spellStart"/>
      <w:r w:rsidRPr="00E86D0A">
        <w:rPr>
          <w:rFonts w:ascii="Arial" w:hAnsi="Arial" w:cs="Arial"/>
          <w:bCs/>
        </w:rPr>
        <w:t>fastp</w:t>
      </w:r>
      <w:proofErr w:type="spellEnd"/>
      <w:r w:rsidRPr="00E86D0A">
        <w:rPr>
          <w:rFonts w:ascii="Arial" w:hAnsi="Arial" w:cs="Arial"/>
          <w:bCs/>
        </w:rPr>
        <w:t xml:space="preserve">-trimmed data mapped against the SC19-3814-A assembly, using Snippy 4.6.0. All isolates covered at least 99.7% of the reference genome. Single nucleotide variant (SNV) differences between each isolate were calculated using </w:t>
      </w:r>
      <w:proofErr w:type="spellStart"/>
      <w:r w:rsidRPr="00E86D0A">
        <w:rPr>
          <w:rFonts w:ascii="Arial" w:hAnsi="Arial" w:cs="Arial"/>
          <w:bCs/>
        </w:rPr>
        <w:t>snp-dists</w:t>
      </w:r>
      <w:proofErr w:type="spellEnd"/>
      <w:r w:rsidRPr="00E86D0A">
        <w:rPr>
          <w:rFonts w:ascii="Arial" w:hAnsi="Arial" w:cs="Arial"/>
          <w:bCs/>
        </w:rPr>
        <w:t xml:space="preserve"> 0.8.2 (github.com/</w:t>
      </w:r>
      <w:proofErr w:type="spellStart"/>
      <w:r w:rsidRPr="00E86D0A">
        <w:rPr>
          <w:rFonts w:ascii="Arial" w:hAnsi="Arial" w:cs="Arial"/>
          <w:bCs/>
        </w:rPr>
        <w:t>tseemann</w:t>
      </w:r>
      <w:proofErr w:type="spellEnd"/>
      <w:r w:rsidRPr="00E86D0A">
        <w:rPr>
          <w:rFonts w:ascii="Arial" w:hAnsi="Arial" w:cs="Arial"/>
          <w:bCs/>
        </w:rPr>
        <w:t>/</w:t>
      </w:r>
      <w:proofErr w:type="spellStart"/>
      <w:r w:rsidRPr="00E86D0A">
        <w:rPr>
          <w:rFonts w:ascii="Arial" w:hAnsi="Arial" w:cs="Arial"/>
          <w:bCs/>
        </w:rPr>
        <w:t>snp-dists</w:t>
      </w:r>
      <w:proofErr w:type="spellEnd"/>
      <w:r w:rsidRPr="00E86D0A">
        <w:rPr>
          <w:rFonts w:ascii="Arial" w:hAnsi="Arial" w:cs="Arial"/>
          <w:bCs/>
        </w:rPr>
        <w:t>) of the snippy-core SNV alignment. The GAS genomes (20 isolates) were uploaded to the NCBI SRA (</w:t>
      </w:r>
      <w:hyperlink r:id="rId10" w:history="1">
        <w:r w:rsidRPr="003878A5">
          <w:rPr>
            <w:rStyle w:val="Hyperlink"/>
            <w:rFonts w:ascii="Arial" w:hAnsi="Arial" w:cs="Arial"/>
            <w:bCs/>
          </w:rPr>
          <w:t>https://www.ncbi.nlm.nih.gov/sra</w:t>
        </w:r>
      </w:hyperlink>
      <w:r w:rsidRPr="00E86D0A">
        <w:rPr>
          <w:rFonts w:ascii="Arial" w:hAnsi="Arial" w:cs="Arial"/>
          <w:bCs/>
        </w:rPr>
        <w:t>)</w:t>
      </w:r>
      <w:r>
        <w:rPr>
          <w:rFonts w:ascii="Arial" w:hAnsi="Arial" w:cs="Arial"/>
          <w:bCs/>
        </w:rPr>
        <w:t xml:space="preserve"> </w:t>
      </w:r>
      <w:r w:rsidRPr="00E86D0A">
        <w:rPr>
          <w:rFonts w:ascii="Arial" w:hAnsi="Arial" w:cs="Arial"/>
          <w:bCs/>
        </w:rPr>
        <w:t xml:space="preserve"> as </w:t>
      </w:r>
      <w:proofErr w:type="spellStart"/>
      <w:r w:rsidRPr="00E86D0A">
        <w:rPr>
          <w:rFonts w:ascii="Arial" w:hAnsi="Arial" w:cs="Arial"/>
          <w:bCs/>
        </w:rPr>
        <w:t>bioproject</w:t>
      </w:r>
      <w:proofErr w:type="spellEnd"/>
      <w:r w:rsidRPr="00E86D0A">
        <w:rPr>
          <w:rFonts w:ascii="Arial" w:hAnsi="Arial" w:cs="Arial"/>
          <w:bCs/>
        </w:rPr>
        <w:t xml:space="preserve"> PRJNA1051113.</w:t>
      </w:r>
    </w:p>
    <w:p w14:paraId="354D1C53" w14:textId="0D7C0487" w:rsidR="00AF1E72" w:rsidRDefault="00AF1E72" w:rsidP="00AF1E72">
      <w:pPr>
        <w:spacing w:line="480" w:lineRule="auto"/>
        <w:rPr>
          <w:rFonts w:ascii="Arial" w:hAnsi="Arial" w:cs="Arial"/>
          <w:bCs/>
          <w:u w:val="single"/>
        </w:rPr>
      </w:pPr>
      <w:r>
        <w:rPr>
          <w:rFonts w:ascii="Arial" w:hAnsi="Arial" w:cs="Arial"/>
          <w:bCs/>
          <w:u w:val="single"/>
        </w:rPr>
        <w:t>Research Ethics</w:t>
      </w:r>
    </w:p>
    <w:p w14:paraId="218DCC1E" w14:textId="57DC6DB1" w:rsidR="00AF1E72" w:rsidRDefault="00AF1E72" w:rsidP="00AF1E72">
      <w:pPr>
        <w:spacing w:line="480" w:lineRule="auto"/>
        <w:rPr>
          <w:rFonts w:ascii="Arial" w:hAnsi="Arial" w:cs="Arial"/>
          <w:bCs/>
        </w:rPr>
      </w:pPr>
      <w:r w:rsidRPr="00747538">
        <w:rPr>
          <w:rFonts w:ascii="Arial" w:hAnsi="Arial" w:cs="Arial"/>
          <w:bCs/>
        </w:rPr>
        <w:t xml:space="preserve">Investigations of </w:t>
      </w:r>
      <w:proofErr w:type="spellStart"/>
      <w:r w:rsidRPr="00747538">
        <w:rPr>
          <w:rFonts w:ascii="Arial" w:hAnsi="Arial" w:cs="Arial"/>
          <w:bCs/>
        </w:rPr>
        <w:t>iGAS</w:t>
      </w:r>
      <w:proofErr w:type="spellEnd"/>
      <w:r w:rsidRPr="00747538">
        <w:rPr>
          <w:rFonts w:ascii="Arial" w:hAnsi="Arial" w:cs="Arial"/>
          <w:bCs/>
        </w:rPr>
        <w:t xml:space="preserve"> cases are conducted as part of the mandatory requirements for notifiable diseases under the Public Health Act in</w:t>
      </w:r>
      <w:r>
        <w:rPr>
          <w:rFonts w:ascii="Arial" w:hAnsi="Arial" w:cs="Arial"/>
          <w:bCs/>
        </w:rPr>
        <w:t xml:space="preserve"> </w:t>
      </w:r>
      <w:r w:rsidRPr="00747538">
        <w:rPr>
          <w:rFonts w:ascii="Arial" w:hAnsi="Arial" w:cs="Arial"/>
          <w:bCs/>
        </w:rPr>
        <w:t>Alberta</w:t>
      </w:r>
      <w:r>
        <w:rPr>
          <w:rFonts w:ascii="Arial" w:hAnsi="Arial" w:cs="Arial"/>
          <w:bCs/>
        </w:rPr>
        <w:t>.</w:t>
      </w:r>
      <w:r>
        <w:rPr>
          <w:rFonts w:ascii="Arial" w:hAnsi="Arial" w:cs="Arial"/>
          <w:b/>
        </w:rPr>
        <w:t xml:space="preserve"> </w:t>
      </w:r>
      <w:r w:rsidRPr="00522068">
        <w:rPr>
          <w:rFonts w:ascii="Arial" w:hAnsi="Arial" w:cs="Arial"/>
          <w:bCs/>
        </w:rPr>
        <w:t xml:space="preserve">This study </w:t>
      </w:r>
      <w:r>
        <w:rPr>
          <w:rFonts w:ascii="Arial" w:hAnsi="Arial" w:cs="Arial"/>
          <w:bCs/>
        </w:rPr>
        <w:t xml:space="preserve">also </w:t>
      </w:r>
      <w:r w:rsidRPr="00522068">
        <w:rPr>
          <w:rFonts w:ascii="Arial" w:hAnsi="Arial" w:cs="Arial"/>
          <w:bCs/>
        </w:rPr>
        <w:t xml:space="preserve">underwent screening by the ARECCI tool (A </w:t>
      </w:r>
      <w:proofErr w:type="spellStart"/>
      <w:r w:rsidRPr="00522068">
        <w:rPr>
          <w:rFonts w:ascii="Arial" w:hAnsi="Arial" w:cs="Arial"/>
          <w:bCs/>
        </w:rPr>
        <w:t>pRoject</w:t>
      </w:r>
      <w:proofErr w:type="spellEnd"/>
      <w:r w:rsidRPr="00522068">
        <w:rPr>
          <w:rFonts w:ascii="Arial" w:hAnsi="Arial" w:cs="Arial"/>
          <w:bCs/>
        </w:rPr>
        <w:t xml:space="preserve"> Ethics Community Consensus Initiative</w:t>
      </w:r>
      <w:r>
        <w:rPr>
          <w:rFonts w:ascii="Arial" w:hAnsi="Arial" w:cs="Arial"/>
          <w:bCs/>
        </w:rPr>
        <w:t xml:space="preserve">,  </w:t>
      </w:r>
      <w:hyperlink r:id="rId11" w:history="1">
        <w:r w:rsidRPr="003878A5">
          <w:rPr>
            <w:rStyle w:val="Hyperlink"/>
            <w:rFonts w:ascii="Arial" w:hAnsi="Arial" w:cs="Arial"/>
            <w:bCs/>
          </w:rPr>
          <w:t>https://arecci.albertainnovates.ca/</w:t>
        </w:r>
      </w:hyperlink>
      <w:r w:rsidRPr="00522068">
        <w:rPr>
          <w:rFonts w:ascii="Arial" w:hAnsi="Arial" w:cs="Arial"/>
          <w:bCs/>
        </w:rPr>
        <w:t xml:space="preserve">) and was found to fit with quality improvement and </w:t>
      </w:r>
      <w:r>
        <w:rPr>
          <w:rFonts w:ascii="Arial" w:hAnsi="Arial" w:cs="Arial"/>
          <w:bCs/>
        </w:rPr>
        <w:t xml:space="preserve">thus </w:t>
      </w:r>
      <w:r w:rsidRPr="00522068">
        <w:rPr>
          <w:rFonts w:ascii="Arial" w:hAnsi="Arial" w:cs="Arial"/>
          <w:bCs/>
        </w:rPr>
        <w:t>not requiring ethics approval. This study was unfunded.</w:t>
      </w:r>
    </w:p>
    <w:p w14:paraId="0B7225B1" w14:textId="69C66404" w:rsidR="00AF1E72" w:rsidRPr="00AF1E72" w:rsidRDefault="00AF1E72" w:rsidP="00AF1E72">
      <w:pPr>
        <w:spacing w:line="480" w:lineRule="auto"/>
        <w:rPr>
          <w:rFonts w:ascii="Arial" w:hAnsi="Arial" w:cs="Arial"/>
          <w:bCs/>
          <w:u w:val="single"/>
        </w:rPr>
      </w:pPr>
      <w:r w:rsidRPr="00AF1E72">
        <w:rPr>
          <w:rFonts w:ascii="Arial" w:hAnsi="Arial" w:cs="Arial"/>
          <w:bCs/>
          <w:u w:val="single"/>
        </w:rPr>
        <w:t>Policy Development</w:t>
      </w:r>
    </w:p>
    <w:p w14:paraId="667D3403" w14:textId="20261513" w:rsidR="00AF1E72" w:rsidRDefault="00AF1E72" w:rsidP="00AF1E72">
      <w:pPr>
        <w:spacing w:line="480" w:lineRule="auto"/>
        <w:rPr>
          <w:rFonts w:ascii="Arial" w:hAnsi="Arial" w:cs="Arial"/>
          <w:bCs/>
          <w:u w:val="single"/>
        </w:rPr>
      </w:pPr>
      <w:r w:rsidRPr="00522068">
        <w:rPr>
          <w:rFonts w:ascii="Arial" w:hAnsi="Arial" w:cs="Arial"/>
          <w:bCs/>
        </w:rPr>
        <w:t xml:space="preserve">The data obtained from this study were used to </w:t>
      </w:r>
      <w:r w:rsidRPr="00BC021C">
        <w:rPr>
          <w:rFonts w:ascii="Arial" w:hAnsi="Arial" w:cs="Arial"/>
          <w:bCs/>
        </w:rPr>
        <w:t>facilitate the development of policy</w:t>
      </w:r>
      <w:r w:rsidRPr="00522068">
        <w:rPr>
          <w:rFonts w:ascii="Arial" w:hAnsi="Arial" w:cs="Arial"/>
          <w:bCs/>
        </w:rPr>
        <w:t xml:space="preserve"> interventions with the aim to reduce the incidence of PS. Key stakeholders in policy development included Infection Prevention and Control (IPC), Obstetrics and Gynecology, Women’s Health, and Public Health.</w:t>
      </w:r>
    </w:p>
    <w:p w14:paraId="68AD0996" w14:textId="77777777" w:rsidR="00AF1E72" w:rsidRDefault="00AF1E72" w:rsidP="00AF1E72">
      <w:pPr>
        <w:spacing w:line="480" w:lineRule="auto"/>
        <w:rPr>
          <w:rFonts w:ascii="Arial" w:hAnsi="Arial" w:cs="Arial"/>
          <w:b/>
        </w:rPr>
      </w:pPr>
    </w:p>
    <w:p w14:paraId="01C4B960" w14:textId="730855FD" w:rsidR="00B7677F" w:rsidRDefault="00AF1E72" w:rsidP="00AF1E72">
      <w:pPr>
        <w:spacing w:line="480" w:lineRule="auto"/>
        <w:rPr>
          <w:rFonts w:ascii="Arial" w:hAnsi="Arial" w:cs="Arial"/>
          <w:bCs/>
          <w:u w:val="single"/>
        </w:rPr>
      </w:pPr>
      <w:r w:rsidRPr="00AF1E72">
        <w:rPr>
          <w:rFonts w:ascii="Arial" w:hAnsi="Arial" w:cs="Arial"/>
          <w:b/>
        </w:rPr>
        <w:t xml:space="preserve">SUPPLEMENTAL RESULTS </w:t>
      </w:r>
      <w:r w:rsidR="00827A0D">
        <w:rPr>
          <w:rFonts w:ascii="Arial" w:hAnsi="Arial" w:cs="Arial"/>
          <w:bCs/>
          <w:u w:val="single"/>
        </w:rPr>
        <w:br/>
      </w:r>
      <w:r w:rsidR="00B7677F" w:rsidRPr="00522068">
        <w:rPr>
          <w:rFonts w:ascii="Arial" w:hAnsi="Arial" w:cs="Arial"/>
          <w:bCs/>
        </w:rPr>
        <w:t>The Calgary Health Zone</w:t>
      </w:r>
      <w:r w:rsidR="00B7677F">
        <w:rPr>
          <w:rFonts w:ascii="Arial" w:hAnsi="Arial" w:cs="Arial"/>
          <w:bCs/>
        </w:rPr>
        <w:t xml:space="preserve"> Region (Calgary and surrounding area) </w:t>
      </w:r>
      <w:r w:rsidR="00B7677F" w:rsidRPr="00522068">
        <w:rPr>
          <w:rFonts w:ascii="Arial" w:hAnsi="Arial" w:cs="Arial"/>
          <w:bCs/>
        </w:rPr>
        <w:t xml:space="preserve">has </w:t>
      </w:r>
      <w:r w:rsidR="00B7677F">
        <w:rPr>
          <w:rFonts w:ascii="Arial" w:hAnsi="Arial" w:cs="Arial"/>
          <w:bCs/>
        </w:rPr>
        <w:t xml:space="preserve">a current </w:t>
      </w:r>
      <w:r w:rsidR="00B7677F" w:rsidRPr="00522068">
        <w:rPr>
          <w:rFonts w:ascii="Arial" w:hAnsi="Arial" w:cs="Arial"/>
          <w:bCs/>
        </w:rPr>
        <w:t>population of 1.</w:t>
      </w:r>
      <w:r w:rsidR="00B7677F">
        <w:rPr>
          <w:rFonts w:ascii="Arial" w:hAnsi="Arial" w:cs="Arial"/>
          <w:bCs/>
        </w:rPr>
        <w:t>7</w:t>
      </w:r>
      <w:r w:rsidR="00B7677F" w:rsidRPr="00522068">
        <w:rPr>
          <w:rFonts w:ascii="Arial" w:hAnsi="Arial" w:cs="Arial"/>
          <w:bCs/>
        </w:rPr>
        <w:t>8 million people with a median age of 38 years (</w:t>
      </w:r>
      <w:hyperlink r:id="rId12" w:history="1">
        <w:r w:rsidR="00B7677F" w:rsidRPr="00522068">
          <w:rPr>
            <w:rStyle w:val="Hyperlink"/>
            <w:rFonts w:ascii="Arial" w:hAnsi="Arial" w:cs="Arial"/>
            <w:bCs/>
          </w:rPr>
          <w:t>http://www.ahw.gov.ab.ca/IHDA_Retrieval/</w:t>
        </w:r>
      </w:hyperlink>
      <w:r w:rsidR="00B7677F" w:rsidRPr="00522068">
        <w:rPr>
          <w:rFonts w:ascii="Arial" w:hAnsi="Arial" w:cs="Arial"/>
          <w:bCs/>
        </w:rPr>
        <w:t>).</w:t>
      </w:r>
    </w:p>
    <w:p w14:paraId="043FE25A" w14:textId="6F20395A" w:rsidR="001C689B" w:rsidRDefault="001C689B" w:rsidP="00AF1E72">
      <w:pPr>
        <w:spacing w:line="480" w:lineRule="auto"/>
        <w:rPr>
          <w:rFonts w:ascii="Arial" w:hAnsi="Arial" w:cs="Arial"/>
          <w:bCs/>
          <w:u w:val="single"/>
        </w:rPr>
      </w:pPr>
      <w:r w:rsidRPr="001C689B">
        <w:rPr>
          <w:rFonts w:ascii="Arial" w:hAnsi="Arial" w:cs="Arial"/>
          <w:bCs/>
          <w:i/>
          <w:iCs/>
          <w:u w:val="single"/>
        </w:rPr>
        <w:t>emm</w:t>
      </w:r>
      <w:r>
        <w:rPr>
          <w:rFonts w:ascii="Arial" w:hAnsi="Arial" w:cs="Arial"/>
          <w:bCs/>
          <w:u w:val="single"/>
        </w:rPr>
        <w:t>28</w:t>
      </w:r>
    </w:p>
    <w:p w14:paraId="366DEE49" w14:textId="424536B1" w:rsidR="001C689B" w:rsidRDefault="001C689B" w:rsidP="001C689B">
      <w:pPr>
        <w:spacing w:line="480" w:lineRule="auto"/>
        <w:ind w:firstLine="720"/>
        <w:rPr>
          <w:rFonts w:ascii="Arial" w:hAnsi="Arial" w:cs="Arial"/>
          <w:bCs/>
          <w:u w:val="single"/>
        </w:rPr>
      </w:pPr>
      <w:r w:rsidRPr="00522068">
        <w:rPr>
          <w:rFonts w:ascii="Arial" w:hAnsi="Arial" w:cs="Arial"/>
          <w:bCs/>
        </w:rPr>
        <w:lastRenderedPageBreak/>
        <w:t xml:space="preserve">As </w:t>
      </w:r>
      <w:r w:rsidRPr="00522068">
        <w:rPr>
          <w:rFonts w:ascii="Arial" w:hAnsi="Arial" w:cs="Arial"/>
          <w:bCs/>
          <w:i/>
          <w:iCs/>
        </w:rPr>
        <w:t>emm</w:t>
      </w:r>
      <w:r w:rsidRPr="00522068">
        <w:rPr>
          <w:rFonts w:ascii="Arial" w:hAnsi="Arial" w:cs="Arial"/>
          <w:bCs/>
        </w:rPr>
        <w:t>28 has previously been reported to have a strong association with PS, we further explored the genomes of these two isolates (cases 12 and 13). While the cases were not temporo-spatially related (2018 and 2020), they did have the same ST (458) and the same toxin profiles (</w:t>
      </w:r>
      <w:r w:rsidRPr="006D0529">
        <w:rPr>
          <w:rFonts w:ascii="Arial" w:hAnsi="Arial" w:cs="Arial"/>
          <w:b/>
        </w:rPr>
        <w:t>Table 1</w:t>
      </w:r>
      <w:r w:rsidRPr="00522068">
        <w:rPr>
          <w:rFonts w:ascii="Arial" w:hAnsi="Arial" w:cs="Arial"/>
          <w:bCs/>
        </w:rPr>
        <w:t xml:space="preserve">). In addition, both were </w:t>
      </w:r>
      <w:r w:rsidRPr="00522068">
        <w:rPr>
          <w:rFonts w:ascii="Arial" w:hAnsi="Arial" w:cs="Arial"/>
          <w:bCs/>
          <w:i/>
          <w:iCs/>
        </w:rPr>
        <w:t>emm</w:t>
      </w:r>
      <w:r w:rsidRPr="00522068">
        <w:rPr>
          <w:rFonts w:ascii="Arial" w:hAnsi="Arial" w:cs="Arial"/>
          <w:bCs/>
        </w:rPr>
        <w:t>28 subclade SC1B.</w:t>
      </w:r>
    </w:p>
    <w:p w14:paraId="30F900A8" w14:textId="44AB8CA8" w:rsidR="00827A0D" w:rsidRPr="00522068" w:rsidRDefault="00827A0D" w:rsidP="00AF1E72">
      <w:pPr>
        <w:spacing w:line="480" w:lineRule="auto"/>
        <w:rPr>
          <w:rFonts w:ascii="Arial" w:hAnsi="Arial" w:cs="Arial"/>
          <w:bCs/>
          <w:u w:val="single"/>
        </w:rPr>
      </w:pPr>
      <w:r w:rsidRPr="00522068">
        <w:rPr>
          <w:rFonts w:ascii="Arial" w:hAnsi="Arial" w:cs="Arial"/>
          <w:bCs/>
          <w:u w:val="single"/>
        </w:rPr>
        <w:t>Policy Interventions</w:t>
      </w:r>
    </w:p>
    <w:p w14:paraId="438F2632" w14:textId="59D3A4A6" w:rsidR="00723FC9" w:rsidRDefault="00827A0D" w:rsidP="00630657">
      <w:pPr>
        <w:spacing w:line="480" w:lineRule="auto"/>
        <w:rPr>
          <w:rFonts w:ascii="Arial" w:hAnsi="Arial" w:cs="Arial"/>
          <w:bCs/>
        </w:rPr>
      </w:pPr>
      <w:r w:rsidRPr="00522068">
        <w:rPr>
          <w:rFonts w:ascii="Arial" w:hAnsi="Arial" w:cs="Arial"/>
          <w:b/>
        </w:rPr>
        <w:tab/>
      </w:r>
      <w:r w:rsidRPr="00522068">
        <w:rPr>
          <w:rFonts w:ascii="Arial" w:hAnsi="Arial" w:cs="Arial"/>
          <w:bCs/>
        </w:rPr>
        <w:t xml:space="preserve">Our data demonstrated that the vast majority (85.7%) of cases were hospital/delivery-acquired as opposed to being community-acquired. We also demonstrated a clustering of cases through temporo-spatial relatedness and genome sequencing linking cases to healthcare providers. As </w:t>
      </w:r>
      <w:proofErr w:type="spellStart"/>
      <w:r w:rsidRPr="00522068">
        <w:rPr>
          <w:rFonts w:ascii="Arial" w:hAnsi="Arial" w:cs="Arial"/>
          <w:bCs/>
        </w:rPr>
        <w:t>iGAS</w:t>
      </w:r>
      <w:proofErr w:type="spellEnd"/>
      <w:r>
        <w:rPr>
          <w:rFonts w:ascii="Arial" w:hAnsi="Arial" w:cs="Arial"/>
          <w:bCs/>
        </w:rPr>
        <w:t>-</w:t>
      </w:r>
      <w:r w:rsidRPr="00522068">
        <w:rPr>
          <w:rFonts w:ascii="Arial" w:hAnsi="Arial" w:cs="Arial"/>
          <w:bCs/>
        </w:rPr>
        <w:t>PS has devastating consequences for maternity patients post-partum, a multidisciplinary task force was established which led to recommendations</w:t>
      </w:r>
      <w:r w:rsidRPr="00522068">
        <w:rPr>
          <w:rFonts w:ascii="Arial" w:hAnsi="Arial" w:cs="Arial"/>
        </w:rPr>
        <w:t xml:space="preserve"> </w:t>
      </w:r>
      <w:r w:rsidRPr="00522068">
        <w:rPr>
          <w:rFonts w:ascii="Arial" w:hAnsi="Arial" w:cs="Arial"/>
          <w:bCs/>
        </w:rPr>
        <w:t>to adhere to PPE use</w:t>
      </w:r>
      <w:r w:rsidR="00DA6955">
        <w:rPr>
          <w:rFonts w:ascii="Arial" w:hAnsi="Arial" w:cs="Arial"/>
          <w:bCs/>
        </w:rPr>
        <w:t>, including the use of delivery-based masking</w:t>
      </w:r>
      <w:r w:rsidRPr="00522068">
        <w:rPr>
          <w:rFonts w:ascii="Arial" w:hAnsi="Arial" w:cs="Arial"/>
          <w:bCs/>
        </w:rPr>
        <w:t xml:space="preserve"> following the first cluster in 2013/14 and procedural practice policy changes for the prevention of </w:t>
      </w:r>
      <w:proofErr w:type="spellStart"/>
      <w:r>
        <w:rPr>
          <w:rFonts w:ascii="Arial" w:hAnsi="Arial" w:cs="Arial"/>
          <w:bCs/>
        </w:rPr>
        <w:t>iGAS</w:t>
      </w:r>
      <w:proofErr w:type="spellEnd"/>
      <w:r>
        <w:rPr>
          <w:rFonts w:ascii="Arial" w:hAnsi="Arial" w:cs="Arial"/>
          <w:bCs/>
        </w:rPr>
        <w:t>-PS</w:t>
      </w:r>
      <w:r w:rsidRPr="00522068">
        <w:rPr>
          <w:rFonts w:ascii="Arial" w:hAnsi="Arial" w:cs="Arial"/>
          <w:bCs/>
        </w:rPr>
        <w:t xml:space="preserve"> in maternity patients</w:t>
      </w:r>
      <w:r w:rsidRPr="00522068">
        <w:rPr>
          <w:rFonts w:ascii="Arial" w:hAnsi="Arial" w:cs="Arial"/>
        </w:rPr>
        <w:t xml:space="preserve"> </w:t>
      </w:r>
      <w:r w:rsidRPr="00522068">
        <w:rPr>
          <w:rFonts w:ascii="Arial" w:hAnsi="Arial" w:cs="Arial"/>
          <w:bCs/>
        </w:rPr>
        <w:t>in the Calgary Zone</w:t>
      </w:r>
      <w:r w:rsidR="00DA6955">
        <w:rPr>
          <w:rFonts w:ascii="Arial" w:hAnsi="Arial" w:cs="Arial"/>
          <w:bCs/>
        </w:rPr>
        <w:t>.</w:t>
      </w:r>
      <w:r w:rsidRPr="00522068">
        <w:rPr>
          <w:rFonts w:ascii="Arial" w:hAnsi="Arial" w:cs="Arial"/>
          <w:bCs/>
        </w:rPr>
        <w:t xml:space="preserve"> </w:t>
      </w:r>
      <w:r w:rsidR="00DA6955">
        <w:rPr>
          <w:rFonts w:ascii="Arial" w:hAnsi="Arial" w:cs="Arial"/>
          <w:bCs/>
        </w:rPr>
        <w:t xml:space="preserve">However, these local recommendations had variable adherence. </w:t>
      </w:r>
      <w:r w:rsidRPr="00522068">
        <w:rPr>
          <w:rFonts w:ascii="Arial" w:hAnsi="Arial" w:cs="Arial"/>
          <w:bCs/>
        </w:rPr>
        <w:t>A policy change was formally implemented in November 2019 through Infection Prevention and Control and was adopted provincially by the Maternal Newborn Child and Youth Strategic Care Network (MNCY SCN) in March 2020</w:t>
      </w:r>
      <w:r w:rsidR="00723FC9">
        <w:rPr>
          <w:rFonts w:ascii="Arial" w:hAnsi="Arial" w:cs="Arial"/>
          <w:bCs/>
        </w:rPr>
        <w:t xml:space="preserve">. This </w:t>
      </w:r>
      <w:r w:rsidR="00DA6955">
        <w:rPr>
          <w:rFonts w:ascii="Arial" w:hAnsi="Arial" w:cs="Arial"/>
          <w:bCs/>
        </w:rPr>
        <w:t xml:space="preserve">policy </w:t>
      </w:r>
      <w:r w:rsidR="00723FC9">
        <w:rPr>
          <w:rFonts w:ascii="Arial" w:hAnsi="Arial" w:cs="Arial"/>
          <w:bCs/>
        </w:rPr>
        <w:t>was in line with the American Academy of Pediatrics / American College of Obstetricians and Gynecologists perinatal care guidelines</w:t>
      </w:r>
      <w:r w:rsidR="00723FC9" w:rsidRPr="00723FC9">
        <w:rPr>
          <w:rFonts w:ascii="Arial" w:hAnsi="Arial" w:cs="Arial"/>
          <w:bCs/>
          <w:vertAlign w:val="superscript"/>
        </w:rPr>
        <w:t>3</w:t>
      </w:r>
      <w:r w:rsidR="00630657">
        <w:rPr>
          <w:rFonts w:ascii="Arial" w:hAnsi="Arial" w:cs="Arial"/>
          <w:bCs/>
        </w:rPr>
        <w:t>.</w:t>
      </w:r>
    </w:p>
    <w:p w14:paraId="5B9AFEA0" w14:textId="292984B3" w:rsidR="00827A0D" w:rsidRPr="00522068" w:rsidRDefault="00827A0D" w:rsidP="00723FC9">
      <w:pPr>
        <w:spacing w:line="480" w:lineRule="auto"/>
        <w:ind w:firstLine="720"/>
        <w:rPr>
          <w:rFonts w:ascii="Arial" w:hAnsi="Arial" w:cs="Arial"/>
          <w:bCs/>
        </w:rPr>
      </w:pPr>
      <w:r w:rsidRPr="00522068">
        <w:rPr>
          <w:rFonts w:ascii="Arial" w:hAnsi="Arial" w:cs="Arial"/>
          <w:bCs/>
        </w:rPr>
        <w:t xml:space="preserve">The province-wide policy adoption occurred at a time when there was a crude rate of almost 1.4 </w:t>
      </w:r>
      <w:proofErr w:type="spellStart"/>
      <w:r>
        <w:rPr>
          <w:rFonts w:ascii="Arial" w:hAnsi="Arial" w:cs="Arial"/>
          <w:bCs/>
        </w:rPr>
        <w:t>iGAS</w:t>
      </w:r>
      <w:proofErr w:type="spellEnd"/>
      <w:r>
        <w:rPr>
          <w:rFonts w:ascii="Arial" w:hAnsi="Arial" w:cs="Arial"/>
          <w:bCs/>
        </w:rPr>
        <w:t xml:space="preserve">-PS </w:t>
      </w:r>
      <w:r w:rsidRPr="00522068">
        <w:rPr>
          <w:rFonts w:ascii="Arial" w:hAnsi="Arial" w:cs="Arial"/>
          <w:bCs/>
        </w:rPr>
        <w:t xml:space="preserve">cases /10,000 </w:t>
      </w:r>
      <w:r>
        <w:rPr>
          <w:rFonts w:ascii="Arial" w:hAnsi="Arial" w:cs="Arial"/>
          <w:bCs/>
        </w:rPr>
        <w:t>live-birth</w:t>
      </w:r>
      <w:r w:rsidRPr="00522068">
        <w:rPr>
          <w:rFonts w:ascii="Arial" w:hAnsi="Arial" w:cs="Arial"/>
          <w:bCs/>
        </w:rPr>
        <w:t xml:space="preserve">s since 2013, and was comprised of several interventions, including education on the recognition of the signs and symptoms of PS, updating routine PPE practices at the time of delivery to include wearing a procedural mask if within two metres of the perineum during a vaginal delivery, self-assessments for fitness for work if attending deliveries, follow-up after </w:t>
      </w:r>
      <w:proofErr w:type="spellStart"/>
      <w:r w:rsidRPr="00522068">
        <w:rPr>
          <w:rFonts w:ascii="Arial" w:hAnsi="Arial" w:cs="Arial"/>
          <w:bCs/>
        </w:rPr>
        <w:t>iGAS</w:t>
      </w:r>
      <w:proofErr w:type="spellEnd"/>
      <w:r w:rsidRPr="00522068">
        <w:rPr>
          <w:rFonts w:ascii="Arial" w:hAnsi="Arial" w:cs="Arial"/>
          <w:bCs/>
        </w:rPr>
        <w:t xml:space="preserve"> exposure, and recommendations for managing patients and support people with symptoms of a respiratory tract infection. As well, it included a </w:t>
      </w:r>
      <w:r w:rsidRPr="00522068">
        <w:rPr>
          <w:rFonts w:ascii="Arial" w:hAnsi="Arial" w:cs="Arial"/>
          <w:bCs/>
        </w:rPr>
        <w:lastRenderedPageBreak/>
        <w:t>rationale behind each intervention, and a frequently asked questions section to help healthcare workers understand the importance of these interventions</w:t>
      </w:r>
      <w:r w:rsidR="00E50B85">
        <w:rPr>
          <w:rFonts w:ascii="Arial" w:hAnsi="Arial" w:cs="Arial"/>
          <w:bCs/>
        </w:rPr>
        <w:t xml:space="preserve"> (included in </w:t>
      </w:r>
      <w:r w:rsidRPr="00522068">
        <w:rPr>
          <w:rFonts w:ascii="Arial" w:hAnsi="Arial" w:cs="Arial"/>
          <w:bCs/>
        </w:rPr>
        <w:t>Supplemental Files).</w:t>
      </w:r>
      <w:r w:rsidR="00723FC9">
        <w:rPr>
          <w:rFonts w:ascii="Arial" w:hAnsi="Arial" w:cs="Arial"/>
          <w:bCs/>
        </w:rPr>
        <w:t xml:space="preserve"> </w:t>
      </w:r>
    </w:p>
    <w:p w14:paraId="53773907" w14:textId="5FEB63C7" w:rsidR="00755AFF" w:rsidRDefault="00827A0D" w:rsidP="00827A0D">
      <w:pPr>
        <w:spacing w:line="480" w:lineRule="auto"/>
        <w:rPr>
          <w:rFonts w:ascii="Arial" w:hAnsi="Arial" w:cs="Arial"/>
          <w:bCs/>
        </w:rPr>
      </w:pPr>
      <w:r w:rsidRPr="00522068">
        <w:rPr>
          <w:rFonts w:ascii="Arial" w:hAnsi="Arial" w:cs="Arial"/>
          <w:bCs/>
        </w:rPr>
        <w:tab/>
        <w:t>The next steps planned included assessing adherence with the</w:t>
      </w:r>
      <w:r w:rsidR="00723FC9">
        <w:rPr>
          <w:rFonts w:ascii="Arial" w:hAnsi="Arial" w:cs="Arial"/>
          <w:bCs/>
        </w:rPr>
        <w:t xml:space="preserve"> introduced</w:t>
      </w:r>
      <w:r w:rsidRPr="00522068">
        <w:rPr>
          <w:rFonts w:ascii="Arial" w:hAnsi="Arial" w:cs="Arial"/>
          <w:bCs/>
        </w:rPr>
        <w:t xml:space="preserve"> polices, but these efforts never occurred due to the Coronavirus Disease 2019 (COVID-19) pandemic that resulted in requirements for using surgical masks and eye protection during all patient interactions. The incidence of puerperal sepsis following the policy introduction in late 2019 was 0.6/10,000 </w:t>
      </w:r>
      <w:r>
        <w:rPr>
          <w:rFonts w:ascii="Arial" w:hAnsi="Arial" w:cs="Arial"/>
          <w:bCs/>
        </w:rPr>
        <w:t>live-birth</w:t>
      </w:r>
      <w:r w:rsidRPr="00522068">
        <w:rPr>
          <w:rFonts w:ascii="Arial" w:hAnsi="Arial" w:cs="Arial"/>
          <w:bCs/>
        </w:rPr>
        <w:t>s up to the end of 2022</w:t>
      </w:r>
      <w:r w:rsidR="007413B3">
        <w:rPr>
          <w:rFonts w:ascii="Arial" w:hAnsi="Arial" w:cs="Arial"/>
          <w:bCs/>
        </w:rPr>
        <w:t>.</w:t>
      </w:r>
    </w:p>
    <w:p w14:paraId="696D4940" w14:textId="77777777" w:rsidR="00F6429F" w:rsidRDefault="00F6429F" w:rsidP="00827A0D">
      <w:pPr>
        <w:spacing w:line="480" w:lineRule="auto"/>
        <w:rPr>
          <w:rFonts w:ascii="Arial" w:hAnsi="Arial" w:cs="Arial"/>
          <w:bCs/>
          <w:u w:val="single"/>
        </w:rPr>
      </w:pPr>
    </w:p>
    <w:p w14:paraId="0E271807" w14:textId="7BEA5FE2" w:rsidR="00755AFF" w:rsidRPr="00755AFF" w:rsidRDefault="00755AFF" w:rsidP="00827A0D">
      <w:pPr>
        <w:spacing w:line="480" w:lineRule="auto"/>
        <w:rPr>
          <w:rFonts w:ascii="Arial" w:hAnsi="Arial" w:cs="Arial"/>
          <w:bCs/>
          <w:u w:val="single"/>
        </w:rPr>
      </w:pPr>
      <w:r w:rsidRPr="00755AFF">
        <w:rPr>
          <w:rFonts w:ascii="Arial" w:hAnsi="Arial" w:cs="Arial"/>
          <w:bCs/>
          <w:u w:val="single"/>
        </w:rPr>
        <w:t>Supplement References</w:t>
      </w:r>
    </w:p>
    <w:p w14:paraId="4F071253" w14:textId="6BABF409" w:rsidR="0081785C" w:rsidRPr="0081785C" w:rsidRDefault="00755AFF" w:rsidP="0081785C">
      <w:pPr>
        <w:pStyle w:val="EndNoteBibliography"/>
        <w:suppressLineNumbers/>
        <w:spacing w:after="0" w:line="360" w:lineRule="auto"/>
        <w:rPr>
          <w:rFonts w:ascii="Arial" w:hAnsi="Arial" w:cs="Arial"/>
        </w:rPr>
      </w:pPr>
      <w:r w:rsidRPr="00522068">
        <w:rPr>
          <w:rFonts w:ascii="Arial" w:hAnsi="Arial" w:cs="Arial"/>
        </w:rPr>
        <w:t xml:space="preserve">1. Centers for Disease Control and Prevention. Protocol for </w:t>
      </w:r>
      <w:r w:rsidRPr="00522068">
        <w:rPr>
          <w:rFonts w:ascii="Arial" w:hAnsi="Arial" w:cs="Arial"/>
          <w:i/>
        </w:rPr>
        <w:t>emm</w:t>
      </w:r>
      <w:r w:rsidRPr="00522068">
        <w:rPr>
          <w:rFonts w:ascii="Arial" w:hAnsi="Arial" w:cs="Arial"/>
        </w:rPr>
        <w:t xml:space="preserve"> typing.  Last reviewed: July 23, 2021. Available from: </w:t>
      </w:r>
      <w:hyperlink r:id="rId13" w:history="1">
        <w:r w:rsidRPr="00522068">
          <w:rPr>
            <w:rStyle w:val="Hyperlink"/>
            <w:rFonts w:ascii="Arial" w:hAnsi="Arial" w:cs="Arial"/>
          </w:rPr>
          <w:t>https://www.c</w:t>
        </w:r>
        <w:r w:rsidRPr="00522068">
          <w:rPr>
            <w:rStyle w:val="Hyperlink"/>
            <w:rFonts w:ascii="Arial" w:hAnsi="Arial" w:cs="Arial"/>
          </w:rPr>
          <w:t>d</w:t>
        </w:r>
        <w:r w:rsidRPr="00522068">
          <w:rPr>
            <w:rStyle w:val="Hyperlink"/>
            <w:rFonts w:ascii="Arial" w:hAnsi="Arial" w:cs="Arial"/>
          </w:rPr>
          <w:t>c.gov/streplab/groupa-strep/emm-typing-protocol.html?CDC_AA_refVal=https%3A%2F%2Fwww.cdc.gov%2Fstreplab%2Fprotocol-emm-type.html</w:t>
        </w:r>
      </w:hyperlink>
      <w:r w:rsidR="0081785C">
        <w:rPr>
          <w:rFonts w:ascii="Arial" w:hAnsi="Arial" w:cs="Arial"/>
        </w:rPr>
        <w:t xml:space="preserve"> </w:t>
      </w:r>
      <w:r w:rsidR="0081785C" w:rsidRPr="0081785C">
        <w:rPr>
          <w:rFonts w:ascii="Arial" w:hAnsi="Arial" w:cs="Arial"/>
        </w:rPr>
        <w:t xml:space="preserve">Accessed  July 21 2024 </w:t>
      </w:r>
    </w:p>
    <w:p w14:paraId="1197C5C0" w14:textId="77777777" w:rsidR="00F6429F" w:rsidRDefault="00F6429F" w:rsidP="00755AFF">
      <w:pPr>
        <w:pStyle w:val="EndNoteBibliography"/>
        <w:suppressLineNumbers/>
        <w:spacing w:after="0" w:line="360" w:lineRule="auto"/>
        <w:rPr>
          <w:rFonts w:ascii="Arial" w:hAnsi="Arial" w:cs="Arial"/>
        </w:rPr>
      </w:pPr>
    </w:p>
    <w:p w14:paraId="6790E20B" w14:textId="77777777" w:rsidR="00755AFF" w:rsidRDefault="00755AFF" w:rsidP="00755AFF">
      <w:pPr>
        <w:pStyle w:val="EndNoteBibliography"/>
        <w:suppressLineNumbers/>
        <w:spacing w:after="0" w:line="360" w:lineRule="auto"/>
        <w:rPr>
          <w:rStyle w:val="Hyperlink"/>
          <w:rFonts w:ascii="Arial" w:hAnsi="Arial" w:cs="Arial"/>
        </w:rPr>
      </w:pPr>
      <w:r w:rsidRPr="00522068">
        <w:rPr>
          <w:rFonts w:ascii="Arial" w:hAnsi="Arial" w:cs="Arial"/>
        </w:rPr>
        <w:t xml:space="preserve">2. Centers for Disease Control and Prevention. </w:t>
      </w:r>
      <w:r w:rsidRPr="00DA6955">
        <w:rPr>
          <w:rFonts w:ascii="Arial" w:hAnsi="Arial" w:cs="Arial"/>
          <w:lang w:val="de-DE"/>
        </w:rPr>
        <w:t>M Protein Gene (</w:t>
      </w:r>
      <w:r w:rsidRPr="00DA6955">
        <w:rPr>
          <w:rFonts w:ascii="Arial" w:hAnsi="Arial" w:cs="Arial"/>
          <w:i/>
          <w:lang w:val="de-DE"/>
        </w:rPr>
        <w:t>emm</w:t>
      </w:r>
      <w:r w:rsidRPr="00DA6955">
        <w:rPr>
          <w:rFonts w:ascii="Arial" w:hAnsi="Arial" w:cs="Arial"/>
          <w:lang w:val="de-DE"/>
        </w:rPr>
        <w:t xml:space="preserve">) Typing. </w:t>
      </w:r>
      <w:r w:rsidRPr="00522068">
        <w:rPr>
          <w:rFonts w:ascii="Arial" w:hAnsi="Arial" w:cs="Arial"/>
        </w:rPr>
        <w:t xml:space="preserve">Last reviewed: July 23, 2021. Available from: </w:t>
      </w:r>
      <w:hyperlink r:id="rId14" w:history="1">
        <w:r w:rsidRPr="00522068">
          <w:rPr>
            <w:rStyle w:val="Hyperlink"/>
            <w:rFonts w:ascii="Arial" w:hAnsi="Arial" w:cs="Arial"/>
          </w:rPr>
          <w:t>https://www.cd</w:t>
        </w:r>
        <w:r w:rsidRPr="00522068">
          <w:rPr>
            <w:rStyle w:val="Hyperlink"/>
            <w:rFonts w:ascii="Arial" w:hAnsi="Arial" w:cs="Arial"/>
          </w:rPr>
          <w:t>c</w:t>
        </w:r>
        <w:r w:rsidRPr="00522068">
          <w:rPr>
            <w:rStyle w:val="Hyperlink"/>
            <w:rFonts w:ascii="Arial" w:hAnsi="Arial" w:cs="Arial"/>
          </w:rPr>
          <w:t>.gov/streplab/groupa-strep/emm-background.html</w:t>
        </w:r>
      </w:hyperlink>
    </w:p>
    <w:p w14:paraId="015E5970" w14:textId="2E879FB6" w:rsidR="001D75AD" w:rsidRDefault="0081785C" w:rsidP="00755AFF">
      <w:pPr>
        <w:pStyle w:val="EndNoteBibliography"/>
        <w:suppressLineNumbers/>
        <w:spacing w:after="0" w:line="360" w:lineRule="auto"/>
        <w:rPr>
          <w:rStyle w:val="Hyperlink"/>
          <w:rFonts w:ascii="Arial" w:hAnsi="Arial" w:cs="Arial"/>
          <w:color w:val="auto"/>
          <w:u w:val="none"/>
        </w:rPr>
      </w:pPr>
      <w:r w:rsidRPr="0081785C">
        <w:rPr>
          <w:rStyle w:val="Hyperlink"/>
          <w:rFonts w:ascii="Arial" w:hAnsi="Arial" w:cs="Arial"/>
          <w:color w:val="auto"/>
          <w:u w:val="none"/>
        </w:rPr>
        <w:t xml:space="preserve">Accessed  July 21 2024 </w:t>
      </w:r>
    </w:p>
    <w:p w14:paraId="1614465A" w14:textId="77777777" w:rsidR="0081785C" w:rsidRPr="0081785C" w:rsidRDefault="0081785C" w:rsidP="00755AFF">
      <w:pPr>
        <w:pStyle w:val="EndNoteBibliography"/>
        <w:suppressLineNumbers/>
        <w:spacing w:after="0" w:line="360" w:lineRule="auto"/>
        <w:rPr>
          <w:rStyle w:val="Hyperlink"/>
          <w:rFonts w:ascii="Arial" w:hAnsi="Arial" w:cs="Arial"/>
          <w:color w:val="auto"/>
          <w:u w:val="none"/>
        </w:rPr>
      </w:pPr>
    </w:p>
    <w:p w14:paraId="7519FF86" w14:textId="20BEE693" w:rsidR="001D75AD" w:rsidRDefault="008B7266" w:rsidP="00755AFF">
      <w:pPr>
        <w:pStyle w:val="EndNoteBibliography"/>
        <w:suppressLineNumbers/>
        <w:spacing w:after="0" w:line="360" w:lineRule="auto"/>
        <w:rPr>
          <w:rStyle w:val="Hyperlink"/>
          <w:rFonts w:ascii="Arial" w:hAnsi="Arial" w:cs="Arial"/>
        </w:rPr>
      </w:pPr>
      <w:r>
        <w:rPr>
          <w:rFonts w:ascii="Arial" w:hAnsi="Arial" w:cs="Arial"/>
          <w:color w:val="37393C"/>
          <w:shd w:val="clear" w:color="auto" w:fill="FFFFFF"/>
        </w:rPr>
        <w:t>3. AAP Committee on Fetus and Newborn. (2017). </w:t>
      </w:r>
      <w:r>
        <w:rPr>
          <w:rFonts w:ascii="Arial" w:hAnsi="Arial" w:cs="Arial"/>
          <w:i/>
          <w:iCs/>
          <w:color w:val="37393C"/>
          <w:shd w:val="clear" w:color="auto" w:fill="FFFFFF"/>
        </w:rPr>
        <w:t>Guidelines for perinatal care</w:t>
      </w:r>
      <w:r>
        <w:rPr>
          <w:rFonts w:ascii="Arial" w:hAnsi="Arial" w:cs="Arial"/>
          <w:color w:val="37393C"/>
          <w:shd w:val="clear" w:color="auto" w:fill="FFFFFF"/>
        </w:rPr>
        <w:t>. American College of Obstetricians and Gynecologists Women’s Health Care Physicians. Chapter 13: Infection Control.</w:t>
      </w:r>
    </w:p>
    <w:p w14:paraId="419767CA" w14:textId="77777777" w:rsidR="001D75AD" w:rsidRDefault="001D75AD" w:rsidP="00755AFF">
      <w:pPr>
        <w:pStyle w:val="EndNoteBibliography"/>
        <w:suppressLineNumbers/>
        <w:spacing w:after="0" w:line="360" w:lineRule="auto"/>
        <w:rPr>
          <w:rStyle w:val="Hyperlink"/>
          <w:rFonts w:ascii="Arial" w:hAnsi="Arial" w:cs="Arial"/>
        </w:rPr>
      </w:pPr>
    </w:p>
    <w:p w14:paraId="025B2654" w14:textId="77777777" w:rsidR="001D75AD" w:rsidRDefault="001D75AD" w:rsidP="00755AFF">
      <w:pPr>
        <w:pStyle w:val="EndNoteBibliography"/>
        <w:suppressLineNumbers/>
        <w:spacing w:after="0" w:line="360" w:lineRule="auto"/>
        <w:rPr>
          <w:rStyle w:val="Hyperlink"/>
          <w:rFonts w:ascii="Arial" w:hAnsi="Arial" w:cs="Arial"/>
        </w:rPr>
      </w:pPr>
    </w:p>
    <w:p w14:paraId="32E2BC6E" w14:textId="77777777" w:rsidR="001D75AD" w:rsidRDefault="001D75AD" w:rsidP="00755AFF">
      <w:pPr>
        <w:pStyle w:val="EndNoteBibliography"/>
        <w:suppressLineNumbers/>
        <w:spacing w:after="0" w:line="360" w:lineRule="auto"/>
        <w:rPr>
          <w:rStyle w:val="Hyperlink"/>
          <w:rFonts w:ascii="Arial" w:hAnsi="Arial" w:cs="Arial"/>
        </w:rPr>
      </w:pPr>
    </w:p>
    <w:p w14:paraId="6D2EBC8A" w14:textId="77777777" w:rsidR="001D75AD" w:rsidRDefault="001D75AD" w:rsidP="00755AFF">
      <w:pPr>
        <w:pStyle w:val="EndNoteBibliography"/>
        <w:suppressLineNumbers/>
        <w:spacing w:after="0" w:line="360" w:lineRule="auto"/>
        <w:rPr>
          <w:rStyle w:val="Hyperlink"/>
          <w:rFonts w:ascii="Arial" w:hAnsi="Arial" w:cs="Arial"/>
        </w:rPr>
      </w:pPr>
    </w:p>
    <w:p w14:paraId="6FF03D4E" w14:textId="77777777" w:rsidR="001D75AD" w:rsidRDefault="001D75AD" w:rsidP="00755AFF">
      <w:pPr>
        <w:pStyle w:val="EndNoteBibliography"/>
        <w:suppressLineNumbers/>
        <w:spacing w:after="0" w:line="360" w:lineRule="auto"/>
        <w:rPr>
          <w:rStyle w:val="Hyperlink"/>
          <w:rFonts w:ascii="Arial" w:hAnsi="Arial" w:cs="Arial"/>
        </w:rPr>
      </w:pPr>
    </w:p>
    <w:p w14:paraId="5CC92428" w14:textId="77777777" w:rsidR="001D75AD" w:rsidRDefault="001D75AD" w:rsidP="00755AFF">
      <w:pPr>
        <w:pStyle w:val="EndNoteBibliography"/>
        <w:suppressLineNumbers/>
        <w:spacing w:after="0" w:line="360" w:lineRule="auto"/>
        <w:rPr>
          <w:rStyle w:val="Hyperlink"/>
          <w:rFonts w:ascii="Arial" w:hAnsi="Arial" w:cs="Arial"/>
        </w:rPr>
      </w:pPr>
    </w:p>
    <w:p w14:paraId="75C0A4EF" w14:textId="77777777" w:rsidR="001D75AD" w:rsidRDefault="001D75AD" w:rsidP="00755AFF">
      <w:pPr>
        <w:pStyle w:val="EndNoteBibliography"/>
        <w:suppressLineNumbers/>
        <w:spacing w:after="0" w:line="360" w:lineRule="auto"/>
        <w:rPr>
          <w:rStyle w:val="Hyperlink"/>
          <w:rFonts w:ascii="Arial" w:hAnsi="Arial" w:cs="Arial"/>
        </w:rPr>
      </w:pPr>
    </w:p>
    <w:p w14:paraId="446F4BED" w14:textId="77777777" w:rsidR="001D75AD" w:rsidRDefault="001D75AD" w:rsidP="00755AFF">
      <w:pPr>
        <w:pStyle w:val="EndNoteBibliography"/>
        <w:suppressLineNumbers/>
        <w:spacing w:after="0" w:line="360" w:lineRule="auto"/>
        <w:rPr>
          <w:rStyle w:val="Hyperlink"/>
          <w:rFonts w:ascii="Arial" w:hAnsi="Arial" w:cs="Arial"/>
        </w:rPr>
      </w:pPr>
    </w:p>
    <w:p w14:paraId="2B8731D7" w14:textId="77777777" w:rsidR="00723FC9" w:rsidRDefault="00723FC9" w:rsidP="00755AFF">
      <w:pPr>
        <w:pStyle w:val="EndNoteBibliography"/>
        <w:suppressLineNumbers/>
        <w:spacing w:after="0" w:line="360" w:lineRule="auto"/>
        <w:rPr>
          <w:rStyle w:val="Hyperlink"/>
          <w:rFonts w:ascii="Arial" w:hAnsi="Arial" w:cs="Arial"/>
        </w:rPr>
      </w:pPr>
    </w:p>
    <w:p w14:paraId="7D10EDA4" w14:textId="57712AE3" w:rsidR="001D75AD" w:rsidRDefault="001D75AD" w:rsidP="00755AFF">
      <w:pPr>
        <w:pStyle w:val="EndNoteBibliography"/>
        <w:suppressLineNumbers/>
        <w:spacing w:after="0" w:line="360" w:lineRule="auto"/>
        <w:rPr>
          <w:rFonts w:ascii="Arial" w:hAnsi="Arial" w:cs="Arial"/>
          <w:lang w:val="en-CA"/>
        </w:rPr>
      </w:pPr>
      <w:r w:rsidRPr="001D75AD">
        <w:rPr>
          <w:rFonts w:ascii="Arial" w:hAnsi="Arial" w:cs="Arial"/>
          <w:b/>
          <w:bCs/>
          <w:lang w:val="en-CA"/>
        </w:rPr>
        <w:t>Supplemental Table.</w:t>
      </w:r>
      <w:r>
        <w:rPr>
          <w:rFonts w:ascii="Arial" w:hAnsi="Arial" w:cs="Arial"/>
          <w:lang w:val="en-CA"/>
        </w:rPr>
        <w:t xml:space="preserve"> Additional information about the iGAS-PS cases.</w:t>
      </w:r>
    </w:p>
    <w:tbl>
      <w:tblPr>
        <w:tblStyle w:val="TableGrid"/>
        <w:tblW w:w="5000" w:type="pct"/>
        <w:tblLook w:val="04A0" w:firstRow="1" w:lastRow="0" w:firstColumn="1" w:lastColumn="0" w:noHBand="0" w:noVBand="1"/>
      </w:tblPr>
      <w:tblGrid>
        <w:gridCol w:w="1557"/>
        <w:gridCol w:w="961"/>
        <w:gridCol w:w="1171"/>
        <w:gridCol w:w="1816"/>
        <w:gridCol w:w="2093"/>
        <w:gridCol w:w="1752"/>
      </w:tblGrid>
      <w:tr w:rsidR="001D75AD" w14:paraId="4A1165D0" w14:textId="77777777" w:rsidTr="001D75AD">
        <w:tc>
          <w:tcPr>
            <w:tcW w:w="833" w:type="pct"/>
          </w:tcPr>
          <w:p w14:paraId="2AECE3AD" w14:textId="77777777" w:rsidR="001D75AD" w:rsidRPr="001D75AD" w:rsidRDefault="001D75AD" w:rsidP="00BD4D27">
            <w:pPr>
              <w:jc w:val="center"/>
              <w:rPr>
                <w:rFonts w:ascii="Arial" w:hAnsi="Arial" w:cs="Arial"/>
                <w:b/>
                <w:bCs/>
                <w:sz w:val="20"/>
                <w:szCs w:val="20"/>
              </w:rPr>
            </w:pPr>
            <w:r w:rsidRPr="001D75AD">
              <w:rPr>
                <w:rFonts w:ascii="Arial" w:hAnsi="Arial" w:cs="Arial"/>
                <w:b/>
                <w:bCs/>
                <w:sz w:val="20"/>
                <w:szCs w:val="20"/>
              </w:rPr>
              <w:t>Case No.</w:t>
            </w:r>
          </w:p>
        </w:tc>
        <w:tc>
          <w:tcPr>
            <w:tcW w:w="514" w:type="pct"/>
          </w:tcPr>
          <w:p w14:paraId="5CE72F60" w14:textId="77777777" w:rsidR="001D75AD" w:rsidRPr="001D75AD" w:rsidRDefault="001D75AD" w:rsidP="00BD4D27">
            <w:pPr>
              <w:jc w:val="center"/>
              <w:rPr>
                <w:rFonts w:ascii="Arial" w:hAnsi="Arial" w:cs="Arial"/>
                <w:b/>
                <w:bCs/>
                <w:sz w:val="20"/>
                <w:szCs w:val="20"/>
              </w:rPr>
            </w:pPr>
            <w:r w:rsidRPr="001D75AD">
              <w:rPr>
                <w:rFonts w:ascii="Arial" w:hAnsi="Arial" w:cs="Arial"/>
                <w:b/>
                <w:bCs/>
                <w:sz w:val="20"/>
                <w:szCs w:val="20"/>
              </w:rPr>
              <w:t>Year</w:t>
            </w:r>
          </w:p>
        </w:tc>
        <w:tc>
          <w:tcPr>
            <w:tcW w:w="626" w:type="pct"/>
          </w:tcPr>
          <w:p w14:paraId="2C115350" w14:textId="77777777" w:rsidR="001D75AD" w:rsidRPr="001D75AD" w:rsidRDefault="001D75AD" w:rsidP="00BD4D27">
            <w:pPr>
              <w:jc w:val="center"/>
              <w:rPr>
                <w:rFonts w:ascii="Arial" w:hAnsi="Arial" w:cs="Arial"/>
                <w:b/>
                <w:bCs/>
                <w:sz w:val="20"/>
                <w:szCs w:val="20"/>
              </w:rPr>
            </w:pPr>
            <w:r w:rsidRPr="001D75AD">
              <w:rPr>
                <w:rFonts w:ascii="Arial" w:hAnsi="Arial" w:cs="Arial"/>
                <w:b/>
                <w:bCs/>
                <w:sz w:val="20"/>
                <w:szCs w:val="20"/>
              </w:rPr>
              <w:t>C or P</w:t>
            </w:r>
          </w:p>
        </w:tc>
        <w:tc>
          <w:tcPr>
            <w:tcW w:w="971" w:type="pct"/>
          </w:tcPr>
          <w:p w14:paraId="2FB5EAF2" w14:textId="77777777" w:rsidR="001D75AD" w:rsidRPr="001D75AD" w:rsidRDefault="001D75AD" w:rsidP="00BD4D27">
            <w:pPr>
              <w:jc w:val="center"/>
              <w:rPr>
                <w:rFonts w:ascii="Arial" w:hAnsi="Arial" w:cs="Arial"/>
                <w:b/>
                <w:bCs/>
                <w:sz w:val="20"/>
                <w:szCs w:val="20"/>
              </w:rPr>
            </w:pPr>
            <w:r w:rsidRPr="001D75AD">
              <w:rPr>
                <w:rFonts w:ascii="Arial" w:hAnsi="Arial" w:cs="Arial"/>
                <w:b/>
                <w:bCs/>
                <w:sz w:val="20"/>
                <w:szCs w:val="20"/>
              </w:rPr>
              <w:t>HDA or CA</w:t>
            </w:r>
          </w:p>
        </w:tc>
        <w:tc>
          <w:tcPr>
            <w:tcW w:w="1119" w:type="pct"/>
          </w:tcPr>
          <w:p w14:paraId="7103194E" w14:textId="77777777" w:rsidR="001D75AD" w:rsidRPr="001D75AD" w:rsidRDefault="001D75AD" w:rsidP="00BD4D27">
            <w:pPr>
              <w:jc w:val="center"/>
              <w:rPr>
                <w:rFonts w:ascii="Arial" w:hAnsi="Arial" w:cs="Arial"/>
                <w:b/>
                <w:bCs/>
                <w:sz w:val="20"/>
                <w:szCs w:val="20"/>
              </w:rPr>
            </w:pPr>
            <w:r w:rsidRPr="001D75AD">
              <w:rPr>
                <w:rFonts w:ascii="Arial" w:hAnsi="Arial" w:cs="Arial"/>
                <w:b/>
                <w:bCs/>
                <w:sz w:val="20"/>
                <w:szCs w:val="20"/>
              </w:rPr>
              <w:t>Culture Site*</w:t>
            </w:r>
          </w:p>
        </w:tc>
        <w:tc>
          <w:tcPr>
            <w:tcW w:w="937" w:type="pct"/>
          </w:tcPr>
          <w:p w14:paraId="1EEECBE9" w14:textId="77777777" w:rsidR="001D75AD" w:rsidRPr="001D75AD" w:rsidRDefault="001D75AD" w:rsidP="00BD4D27">
            <w:pPr>
              <w:jc w:val="center"/>
              <w:rPr>
                <w:rFonts w:ascii="Arial" w:hAnsi="Arial" w:cs="Arial"/>
                <w:b/>
                <w:bCs/>
                <w:sz w:val="20"/>
                <w:szCs w:val="20"/>
              </w:rPr>
            </w:pPr>
            <w:proofErr w:type="spellStart"/>
            <w:r w:rsidRPr="001D75AD">
              <w:rPr>
                <w:rFonts w:ascii="Arial" w:hAnsi="Arial" w:cs="Arial"/>
                <w:b/>
                <w:bCs/>
                <w:i/>
                <w:iCs/>
                <w:sz w:val="20"/>
                <w:szCs w:val="20"/>
              </w:rPr>
              <w:t>emm</w:t>
            </w:r>
            <w:proofErr w:type="spellEnd"/>
            <w:r w:rsidRPr="001D75AD">
              <w:rPr>
                <w:rFonts w:ascii="Arial" w:hAnsi="Arial" w:cs="Arial"/>
                <w:b/>
                <w:bCs/>
                <w:sz w:val="20"/>
                <w:szCs w:val="20"/>
              </w:rPr>
              <w:t xml:space="preserve"> Type </w:t>
            </w:r>
          </w:p>
        </w:tc>
      </w:tr>
      <w:tr w:rsidR="001D75AD" w:rsidRPr="008A3BA7" w14:paraId="52B3BD07" w14:textId="77777777" w:rsidTr="001D75AD">
        <w:tc>
          <w:tcPr>
            <w:tcW w:w="833" w:type="pct"/>
          </w:tcPr>
          <w:p w14:paraId="187BB0EF" w14:textId="77777777" w:rsidR="001D75AD" w:rsidRPr="001D75AD" w:rsidRDefault="001D75AD" w:rsidP="00BD4D27">
            <w:pPr>
              <w:rPr>
                <w:rFonts w:ascii="Arial" w:hAnsi="Arial" w:cs="Arial"/>
                <w:sz w:val="20"/>
                <w:szCs w:val="20"/>
              </w:rPr>
            </w:pPr>
            <w:r w:rsidRPr="001D75AD">
              <w:rPr>
                <w:rFonts w:ascii="Arial" w:hAnsi="Arial" w:cs="Arial"/>
                <w:sz w:val="20"/>
                <w:szCs w:val="20"/>
              </w:rPr>
              <w:t>1</w:t>
            </w:r>
          </w:p>
        </w:tc>
        <w:tc>
          <w:tcPr>
            <w:tcW w:w="514" w:type="pct"/>
          </w:tcPr>
          <w:p w14:paraId="5C3F8887"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2013</w:t>
            </w:r>
          </w:p>
        </w:tc>
        <w:tc>
          <w:tcPr>
            <w:tcW w:w="626" w:type="pct"/>
          </w:tcPr>
          <w:p w14:paraId="0C659CBB"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313A64D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283A3FDA"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5DB06230"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1.0</w:t>
            </w:r>
          </w:p>
        </w:tc>
      </w:tr>
      <w:tr w:rsidR="001D75AD" w:rsidRPr="008A3BA7" w14:paraId="0796C5DC" w14:textId="77777777" w:rsidTr="001D75AD">
        <w:tc>
          <w:tcPr>
            <w:tcW w:w="833" w:type="pct"/>
          </w:tcPr>
          <w:p w14:paraId="54679D78" w14:textId="77777777" w:rsidR="001D75AD" w:rsidRPr="001D75AD" w:rsidRDefault="001D75AD" w:rsidP="00BD4D27">
            <w:pPr>
              <w:rPr>
                <w:rFonts w:ascii="Arial" w:hAnsi="Arial" w:cs="Arial"/>
                <w:sz w:val="20"/>
                <w:szCs w:val="20"/>
              </w:rPr>
            </w:pPr>
            <w:r w:rsidRPr="001D75AD">
              <w:rPr>
                <w:rFonts w:ascii="Arial" w:hAnsi="Arial" w:cs="Arial"/>
                <w:sz w:val="20"/>
                <w:szCs w:val="20"/>
              </w:rPr>
              <w:t>2</w:t>
            </w:r>
          </w:p>
        </w:tc>
        <w:tc>
          <w:tcPr>
            <w:tcW w:w="514" w:type="pct"/>
          </w:tcPr>
          <w:p w14:paraId="2610DBF6"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2013</w:t>
            </w:r>
          </w:p>
        </w:tc>
        <w:tc>
          <w:tcPr>
            <w:tcW w:w="626" w:type="pct"/>
          </w:tcPr>
          <w:p w14:paraId="6FD33E43"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16087EA3"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5EEEF513"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103CCD25"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1.0</w:t>
            </w:r>
          </w:p>
        </w:tc>
      </w:tr>
      <w:tr w:rsidR="001D75AD" w:rsidRPr="008A3BA7" w14:paraId="248B0CCA" w14:textId="77777777" w:rsidTr="001D75AD">
        <w:tc>
          <w:tcPr>
            <w:tcW w:w="833" w:type="pct"/>
          </w:tcPr>
          <w:p w14:paraId="3E312BFD" w14:textId="77777777" w:rsidR="001D75AD" w:rsidRPr="001D75AD" w:rsidRDefault="001D75AD" w:rsidP="00BD4D27">
            <w:pPr>
              <w:rPr>
                <w:rFonts w:ascii="Arial" w:hAnsi="Arial" w:cs="Arial"/>
                <w:sz w:val="20"/>
                <w:szCs w:val="20"/>
              </w:rPr>
            </w:pPr>
            <w:r w:rsidRPr="001D75AD">
              <w:rPr>
                <w:rFonts w:ascii="Arial" w:hAnsi="Arial" w:cs="Arial"/>
                <w:sz w:val="20"/>
                <w:szCs w:val="20"/>
              </w:rPr>
              <w:t>3</w:t>
            </w:r>
          </w:p>
        </w:tc>
        <w:tc>
          <w:tcPr>
            <w:tcW w:w="514" w:type="pct"/>
          </w:tcPr>
          <w:p w14:paraId="7F71630C"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2015</w:t>
            </w:r>
          </w:p>
        </w:tc>
        <w:tc>
          <w:tcPr>
            <w:tcW w:w="626" w:type="pct"/>
          </w:tcPr>
          <w:p w14:paraId="3BF1B0E8"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421C7D5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5A0129E7"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79B15EB4"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1.0</w:t>
            </w:r>
          </w:p>
        </w:tc>
      </w:tr>
      <w:tr w:rsidR="001D75AD" w:rsidRPr="008A3BA7" w14:paraId="53BE011F" w14:textId="77777777" w:rsidTr="001D75AD">
        <w:tc>
          <w:tcPr>
            <w:tcW w:w="833" w:type="pct"/>
          </w:tcPr>
          <w:p w14:paraId="05765C5B" w14:textId="77777777" w:rsidR="001D75AD" w:rsidRPr="001D75AD" w:rsidRDefault="001D75AD" w:rsidP="00BD4D27">
            <w:pPr>
              <w:rPr>
                <w:rFonts w:ascii="Arial" w:hAnsi="Arial" w:cs="Arial"/>
                <w:sz w:val="20"/>
                <w:szCs w:val="20"/>
              </w:rPr>
            </w:pPr>
            <w:r w:rsidRPr="001D75AD">
              <w:rPr>
                <w:rFonts w:ascii="Arial" w:hAnsi="Arial" w:cs="Arial"/>
                <w:sz w:val="20"/>
                <w:szCs w:val="20"/>
              </w:rPr>
              <w:t>4</w:t>
            </w:r>
          </w:p>
        </w:tc>
        <w:tc>
          <w:tcPr>
            <w:tcW w:w="514" w:type="pct"/>
          </w:tcPr>
          <w:p w14:paraId="28C1C0AA"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2022</w:t>
            </w:r>
          </w:p>
        </w:tc>
        <w:tc>
          <w:tcPr>
            <w:tcW w:w="626" w:type="pct"/>
          </w:tcPr>
          <w:p w14:paraId="2C08F6AD"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6EEC182C"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CA</w:t>
            </w:r>
          </w:p>
        </w:tc>
        <w:tc>
          <w:tcPr>
            <w:tcW w:w="1119" w:type="pct"/>
          </w:tcPr>
          <w:p w14:paraId="72683B34"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23B43766"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1.0</w:t>
            </w:r>
          </w:p>
        </w:tc>
      </w:tr>
      <w:tr w:rsidR="001D75AD" w:rsidRPr="008A3BA7" w14:paraId="5A05539C" w14:textId="77777777" w:rsidTr="001D75AD">
        <w:tc>
          <w:tcPr>
            <w:tcW w:w="833" w:type="pct"/>
          </w:tcPr>
          <w:p w14:paraId="3B3DDD86" w14:textId="77777777" w:rsidR="001D75AD" w:rsidRPr="001D75AD" w:rsidRDefault="001D75AD" w:rsidP="00BD4D27">
            <w:pPr>
              <w:rPr>
                <w:rFonts w:ascii="Arial" w:hAnsi="Arial" w:cs="Arial"/>
                <w:sz w:val="20"/>
                <w:szCs w:val="20"/>
              </w:rPr>
            </w:pPr>
            <w:r w:rsidRPr="001D75AD">
              <w:rPr>
                <w:rFonts w:ascii="Arial" w:hAnsi="Arial" w:cs="Arial"/>
                <w:sz w:val="20"/>
                <w:szCs w:val="20"/>
              </w:rPr>
              <w:t>5</w:t>
            </w:r>
          </w:p>
        </w:tc>
        <w:tc>
          <w:tcPr>
            <w:tcW w:w="514" w:type="pct"/>
          </w:tcPr>
          <w:p w14:paraId="4F6840A9"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2017</w:t>
            </w:r>
          </w:p>
        </w:tc>
        <w:tc>
          <w:tcPr>
            <w:tcW w:w="626" w:type="pct"/>
          </w:tcPr>
          <w:p w14:paraId="6D856B35"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326ECBF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5F937202"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3689A82B"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4.0</w:t>
            </w:r>
          </w:p>
        </w:tc>
      </w:tr>
      <w:tr w:rsidR="001D75AD" w:rsidRPr="008A3BA7" w14:paraId="1840C9EF" w14:textId="77777777" w:rsidTr="001D75AD">
        <w:tc>
          <w:tcPr>
            <w:tcW w:w="833" w:type="pct"/>
          </w:tcPr>
          <w:p w14:paraId="19656748" w14:textId="77777777" w:rsidR="001D75AD" w:rsidRPr="001D75AD" w:rsidRDefault="001D75AD" w:rsidP="00BD4D27">
            <w:pPr>
              <w:rPr>
                <w:rFonts w:ascii="Arial" w:hAnsi="Arial" w:cs="Arial"/>
                <w:sz w:val="20"/>
                <w:szCs w:val="20"/>
              </w:rPr>
            </w:pPr>
            <w:r w:rsidRPr="001D75AD">
              <w:rPr>
                <w:rFonts w:ascii="Arial" w:hAnsi="Arial" w:cs="Arial"/>
                <w:sz w:val="20"/>
                <w:szCs w:val="20"/>
              </w:rPr>
              <w:t>6</w:t>
            </w:r>
          </w:p>
        </w:tc>
        <w:tc>
          <w:tcPr>
            <w:tcW w:w="514" w:type="pct"/>
          </w:tcPr>
          <w:p w14:paraId="6238064D"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2018</w:t>
            </w:r>
          </w:p>
        </w:tc>
        <w:tc>
          <w:tcPr>
            <w:tcW w:w="626" w:type="pct"/>
          </w:tcPr>
          <w:p w14:paraId="1A56AD5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0A439AC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5E95670F"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249F8F14"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8.0</w:t>
            </w:r>
          </w:p>
        </w:tc>
      </w:tr>
      <w:tr w:rsidR="001D75AD" w:rsidRPr="008A3BA7" w14:paraId="35F6A9DA" w14:textId="77777777" w:rsidTr="001D75AD">
        <w:tc>
          <w:tcPr>
            <w:tcW w:w="833" w:type="pct"/>
          </w:tcPr>
          <w:p w14:paraId="088F9D3C" w14:textId="77777777" w:rsidR="001D75AD" w:rsidRPr="001D75AD" w:rsidRDefault="001D75AD" w:rsidP="00BD4D27">
            <w:pPr>
              <w:rPr>
                <w:rFonts w:ascii="Arial" w:hAnsi="Arial" w:cs="Arial"/>
                <w:sz w:val="20"/>
                <w:szCs w:val="20"/>
              </w:rPr>
            </w:pPr>
            <w:r w:rsidRPr="001D75AD">
              <w:rPr>
                <w:rFonts w:ascii="Arial" w:hAnsi="Arial" w:cs="Arial"/>
                <w:sz w:val="20"/>
                <w:szCs w:val="20"/>
              </w:rPr>
              <w:t>7</w:t>
            </w:r>
          </w:p>
        </w:tc>
        <w:tc>
          <w:tcPr>
            <w:tcW w:w="514" w:type="pct"/>
          </w:tcPr>
          <w:p w14:paraId="088FBE3F"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2014</w:t>
            </w:r>
          </w:p>
        </w:tc>
        <w:tc>
          <w:tcPr>
            <w:tcW w:w="626" w:type="pct"/>
          </w:tcPr>
          <w:p w14:paraId="0D823A4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5801680A"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490129B7"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4CAA2267"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11.0</w:t>
            </w:r>
          </w:p>
        </w:tc>
      </w:tr>
      <w:tr w:rsidR="001D75AD" w:rsidRPr="008A3BA7" w14:paraId="63F620CB" w14:textId="77777777" w:rsidTr="001D75AD">
        <w:tc>
          <w:tcPr>
            <w:tcW w:w="833" w:type="pct"/>
          </w:tcPr>
          <w:p w14:paraId="52DEE144" w14:textId="77777777" w:rsidR="001D75AD" w:rsidRPr="001D75AD" w:rsidRDefault="001D75AD" w:rsidP="00BD4D27">
            <w:pPr>
              <w:rPr>
                <w:rFonts w:ascii="Arial" w:hAnsi="Arial" w:cs="Arial"/>
                <w:sz w:val="20"/>
                <w:szCs w:val="20"/>
              </w:rPr>
            </w:pPr>
            <w:r w:rsidRPr="001D75AD">
              <w:rPr>
                <w:rFonts w:ascii="Arial" w:hAnsi="Arial" w:cs="Arial"/>
                <w:sz w:val="20"/>
                <w:szCs w:val="20"/>
              </w:rPr>
              <w:t>8</w:t>
            </w:r>
          </w:p>
        </w:tc>
        <w:tc>
          <w:tcPr>
            <w:tcW w:w="514" w:type="pct"/>
          </w:tcPr>
          <w:p w14:paraId="4B74DC12"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2014</w:t>
            </w:r>
          </w:p>
        </w:tc>
        <w:tc>
          <w:tcPr>
            <w:tcW w:w="626" w:type="pct"/>
          </w:tcPr>
          <w:p w14:paraId="5D2B8DBB"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6AE92E0D"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0E9890E0"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0DFAA770"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11.0</w:t>
            </w:r>
          </w:p>
        </w:tc>
      </w:tr>
      <w:tr w:rsidR="001D75AD" w:rsidRPr="008A3BA7" w14:paraId="6954FF67" w14:textId="77777777" w:rsidTr="001D75AD">
        <w:tc>
          <w:tcPr>
            <w:tcW w:w="833" w:type="pct"/>
          </w:tcPr>
          <w:p w14:paraId="7454F2EB" w14:textId="77777777" w:rsidR="001D75AD" w:rsidRPr="001D75AD" w:rsidRDefault="001D75AD" w:rsidP="00BD4D27">
            <w:pPr>
              <w:rPr>
                <w:rFonts w:ascii="Arial" w:hAnsi="Arial" w:cs="Arial"/>
                <w:sz w:val="20"/>
                <w:szCs w:val="20"/>
              </w:rPr>
            </w:pPr>
            <w:r w:rsidRPr="001D75AD">
              <w:rPr>
                <w:rFonts w:ascii="Arial" w:hAnsi="Arial" w:cs="Arial"/>
                <w:sz w:val="20"/>
                <w:szCs w:val="20"/>
              </w:rPr>
              <w:t>9</w:t>
            </w:r>
          </w:p>
        </w:tc>
        <w:tc>
          <w:tcPr>
            <w:tcW w:w="514" w:type="pct"/>
          </w:tcPr>
          <w:p w14:paraId="79F82624"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2016</w:t>
            </w:r>
          </w:p>
        </w:tc>
        <w:tc>
          <w:tcPr>
            <w:tcW w:w="626" w:type="pct"/>
          </w:tcPr>
          <w:p w14:paraId="3FDC2E3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7CE4ABB2"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6B9BB7B5"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4FE39842"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12.0</w:t>
            </w:r>
          </w:p>
        </w:tc>
      </w:tr>
      <w:tr w:rsidR="001D75AD" w:rsidRPr="008A3BA7" w14:paraId="25BB2414" w14:textId="77777777" w:rsidTr="001D75AD">
        <w:tc>
          <w:tcPr>
            <w:tcW w:w="833" w:type="pct"/>
          </w:tcPr>
          <w:p w14:paraId="7CD7140A" w14:textId="77777777" w:rsidR="001D75AD" w:rsidRPr="001D75AD" w:rsidRDefault="001D75AD" w:rsidP="00BD4D27">
            <w:pPr>
              <w:rPr>
                <w:rFonts w:ascii="Arial" w:hAnsi="Arial" w:cs="Arial"/>
                <w:sz w:val="20"/>
                <w:szCs w:val="20"/>
              </w:rPr>
            </w:pPr>
            <w:r w:rsidRPr="001D75AD">
              <w:rPr>
                <w:rFonts w:ascii="Arial" w:hAnsi="Arial" w:cs="Arial"/>
                <w:sz w:val="20"/>
                <w:szCs w:val="20"/>
              </w:rPr>
              <w:t>10</w:t>
            </w:r>
          </w:p>
        </w:tc>
        <w:tc>
          <w:tcPr>
            <w:tcW w:w="514" w:type="pct"/>
          </w:tcPr>
          <w:p w14:paraId="6228CCFA"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2017</w:t>
            </w:r>
          </w:p>
        </w:tc>
        <w:tc>
          <w:tcPr>
            <w:tcW w:w="626" w:type="pct"/>
          </w:tcPr>
          <w:p w14:paraId="524C6AB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P</w:t>
            </w:r>
          </w:p>
        </w:tc>
        <w:tc>
          <w:tcPr>
            <w:tcW w:w="971" w:type="pct"/>
          </w:tcPr>
          <w:p w14:paraId="58A6A46D"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0BFEE169" w14:textId="77777777" w:rsidR="001D75AD" w:rsidRPr="001D75AD" w:rsidRDefault="001D75AD" w:rsidP="00BD4D27">
            <w:pPr>
              <w:rPr>
                <w:rFonts w:ascii="Arial" w:hAnsi="Arial" w:cs="Arial"/>
                <w:sz w:val="20"/>
                <w:szCs w:val="20"/>
              </w:rPr>
            </w:pPr>
            <w:r w:rsidRPr="001D75AD">
              <w:rPr>
                <w:rFonts w:ascii="Arial" w:hAnsi="Arial" w:cs="Arial"/>
                <w:sz w:val="20"/>
                <w:szCs w:val="20"/>
              </w:rPr>
              <w:t>Vaginal, urine</w:t>
            </w:r>
          </w:p>
        </w:tc>
        <w:tc>
          <w:tcPr>
            <w:tcW w:w="937" w:type="pct"/>
          </w:tcPr>
          <w:p w14:paraId="4C1A3DA1"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12.8</w:t>
            </w:r>
          </w:p>
        </w:tc>
      </w:tr>
      <w:tr w:rsidR="001D75AD" w:rsidRPr="008A3BA7" w14:paraId="33AFAAB2" w14:textId="77777777" w:rsidTr="001D75AD">
        <w:tc>
          <w:tcPr>
            <w:tcW w:w="833" w:type="pct"/>
          </w:tcPr>
          <w:p w14:paraId="1763DDE6" w14:textId="77777777" w:rsidR="001D75AD" w:rsidRPr="001D75AD" w:rsidRDefault="001D75AD" w:rsidP="00BD4D27">
            <w:pPr>
              <w:rPr>
                <w:rFonts w:ascii="Arial" w:hAnsi="Arial" w:cs="Arial"/>
                <w:sz w:val="20"/>
                <w:szCs w:val="20"/>
              </w:rPr>
            </w:pPr>
            <w:r w:rsidRPr="001D75AD">
              <w:rPr>
                <w:rFonts w:ascii="Arial" w:hAnsi="Arial" w:cs="Arial"/>
                <w:sz w:val="20"/>
                <w:szCs w:val="20"/>
              </w:rPr>
              <w:t>11</w:t>
            </w:r>
          </w:p>
        </w:tc>
        <w:tc>
          <w:tcPr>
            <w:tcW w:w="514" w:type="pct"/>
          </w:tcPr>
          <w:p w14:paraId="6D4470BB"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2016</w:t>
            </w:r>
          </w:p>
        </w:tc>
        <w:tc>
          <w:tcPr>
            <w:tcW w:w="626" w:type="pct"/>
          </w:tcPr>
          <w:p w14:paraId="75A5AE44"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701B5C1D"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64A9B6A6"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5DD0F0B8"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3.1</w:t>
            </w:r>
          </w:p>
        </w:tc>
      </w:tr>
      <w:tr w:rsidR="001D75AD" w:rsidRPr="008A3BA7" w14:paraId="7EF1A9A8" w14:textId="77777777" w:rsidTr="001D75AD">
        <w:tc>
          <w:tcPr>
            <w:tcW w:w="833" w:type="pct"/>
          </w:tcPr>
          <w:p w14:paraId="75343F0F" w14:textId="77777777" w:rsidR="001D75AD" w:rsidRPr="001D75AD" w:rsidRDefault="001D75AD" w:rsidP="00BD4D27">
            <w:pPr>
              <w:rPr>
                <w:rFonts w:ascii="Arial" w:hAnsi="Arial" w:cs="Arial"/>
                <w:sz w:val="20"/>
                <w:szCs w:val="20"/>
              </w:rPr>
            </w:pPr>
            <w:r w:rsidRPr="001D75AD">
              <w:rPr>
                <w:rFonts w:ascii="Arial" w:hAnsi="Arial" w:cs="Arial"/>
                <w:sz w:val="20"/>
                <w:szCs w:val="20"/>
              </w:rPr>
              <w:t>12</w:t>
            </w:r>
          </w:p>
        </w:tc>
        <w:tc>
          <w:tcPr>
            <w:tcW w:w="514" w:type="pct"/>
          </w:tcPr>
          <w:p w14:paraId="70641ED4"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2018</w:t>
            </w:r>
          </w:p>
        </w:tc>
        <w:tc>
          <w:tcPr>
            <w:tcW w:w="626" w:type="pct"/>
          </w:tcPr>
          <w:p w14:paraId="4BFF98EF"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279AF4A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7EA84663"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18A14C1D"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28.0</w:t>
            </w:r>
          </w:p>
        </w:tc>
      </w:tr>
      <w:tr w:rsidR="001D75AD" w:rsidRPr="008A3BA7" w14:paraId="49E73742" w14:textId="77777777" w:rsidTr="001D75AD">
        <w:tc>
          <w:tcPr>
            <w:tcW w:w="833" w:type="pct"/>
          </w:tcPr>
          <w:p w14:paraId="180689EB" w14:textId="77777777" w:rsidR="001D75AD" w:rsidRPr="001D75AD" w:rsidRDefault="001D75AD" w:rsidP="00BD4D27">
            <w:pPr>
              <w:rPr>
                <w:rFonts w:ascii="Arial" w:hAnsi="Arial" w:cs="Arial"/>
                <w:sz w:val="20"/>
                <w:szCs w:val="20"/>
              </w:rPr>
            </w:pPr>
            <w:r w:rsidRPr="001D75AD">
              <w:rPr>
                <w:rFonts w:ascii="Arial" w:hAnsi="Arial" w:cs="Arial"/>
                <w:sz w:val="20"/>
                <w:szCs w:val="20"/>
              </w:rPr>
              <w:t>13</w:t>
            </w:r>
          </w:p>
        </w:tc>
        <w:tc>
          <w:tcPr>
            <w:tcW w:w="514" w:type="pct"/>
          </w:tcPr>
          <w:p w14:paraId="4DE5C7D3"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2020</w:t>
            </w:r>
          </w:p>
        </w:tc>
        <w:tc>
          <w:tcPr>
            <w:tcW w:w="626" w:type="pct"/>
          </w:tcPr>
          <w:p w14:paraId="032FC02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59EA3044"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CA</w:t>
            </w:r>
          </w:p>
        </w:tc>
        <w:tc>
          <w:tcPr>
            <w:tcW w:w="1119" w:type="pct"/>
          </w:tcPr>
          <w:p w14:paraId="084A73BB"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2B467AF1"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28.0</w:t>
            </w:r>
          </w:p>
        </w:tc>
      </w:tr>
      <w:tr w:rsidR="001D75AD" w:rsidRPr="008A3BA7" w14:paraId="0ABD974C" w14:textId="77777777" w:rsidTr="001D75AD">
        <w:tc>
          <w:tcPr>
            <w:tcW w:w="833" w:type="pct"/>
          </w:tcPr>
          <w:p w14:paraId="463FB24C" w14:textId="77777777" w:rsidR="001D75AD" w:rsidRPr="001D75AD" w:rsidRDefault="001D75AD" w:rsidP="00BD4D27">
            <w:pPr>
              <w:rPr>
                <w:rFonts w:ascii="Arial" w:hAnsi="Arial" w:cs="Arial"/>
                <w:sz w:val="20"/>
                <w:szCs w:val="20"/>
              </w:rPr>
            </w:pPr>
            <w:r w:rsidRPr="001D75AD">
              <w:rPr>
                <w:rFonts w:ascii="Arial" w:hAnsi="Arial" w:cs="Arial"/>
                <w:sz w:val="20"/>
                <w:szCs w:val="20"/>
              </w:rPr>
              <w:t>14</w:t>
            </w:r>
          </w:p>
        </w:tc>
        <w:tc>
          <w:tcPr>
            <w:tcW w:w="514" w:type="pct"/>
          </w:tcPr>
          <w:p w14:paraId="14A7E6DA"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2019</w:t>
            </w:r>
          </w:p>
        </w:tc>
        <w:tc>
          <w:tcPr>
            <w:tcW w:w="626" w:type="pct"/>
          </w:tcPr>
          <w:p w14:paraId="084FF97D"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7F22DE0A"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77AD1739"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4660CDA2"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41.1</w:t>
            </w:r>
          </w:p>
        </w:tc>
      </w:tr>
      <w:tr w:rsidR="001D75AD" w:rsidRPr="008A3BA7" w14:paraId="0D75D5DA" w14:textId="77777777" w:rsidTr="001D75AD">
        <w:tc>
          <w:tcPr>
            <w:tcW w:w="833" w:type="pct"/>
          </w:tcPr>
          <w:p w14:paraId="2661F11D" w14:textId="77777777" w:rsidR="001D75AD" w:rsidRPr="001D75AD" w:rsidRDefault="001D75AD" w:rsidP="00BD4D27">
            <w:pPr>
              <w:rPr>
                <w:rFonts w:ascii="Arial" w:hAnsi="Arial" w:cs="Arial"/>
                <w:sz w:val="20"/>
                <w:szCs w:val="20"/>
              </w:rPr>
            </w:pPr>
            <w:r w:rsidRPr="001D75AD">
              <w:rPr>
                <w:rFonts w:ascii="Arial" w:hAnsi="Arial" w:cs="Arial"/>
                <w:sz w:val="20"/>
                <w:szCs w:val="20"/>
              </w:rPr>
              <w:t>15</w:t>
            </w:r>
          </w:p>
        </w:tc>
        <w:tc>
          <w:tcPr>
            <w:tcW w:w="514" w:type="pct"/>
          </w:tcPr>
          <w:p w14:paraId="166BA959"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2014</w:t>
            </w:r>
          </w:p>
        </w:tc>
        <w:tc>
          <w:tcPr>
            <w:tcW w:w="626" w:type="pct"/>
          </w:tcPr>
          <w:p w14:paraId="3B4C7D92"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007A136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6646DCDC"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4793D597"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75.0</w:t>
            </w:r>
          </w:p>
        </w:tc>
      </w:tr>
      <w:tr w:rsidR="001D75AD" w:rsidRPr="008A3BA7" w14:paraId="56415F60" w14:textId="77777777" w:rsidTr="001D75AD">
        <w:tc>
          <w:tcPr>
            <w:tcW w:w="833" w:type="pct"/>
          </w:tcPr>
          <w:p w14:paraId="7C99D76C" w14:textId="77777777" w:rsidR="001D75AD" w:rsidRPr="001D75AD" w:rsidRDefault="001D75AD" w:rsidP="00BD4D27">
            <w:pPr>
              <w:rPr>
                <w:rFonts w:ascii="Arial" w:hAnsi="Arial" w:cs="Arial"/>
                <w:sz w:val="20"/>
                <w:szCs w:val="20"/>
              </w:rPr>
            </w:pPr>
            <w:r w:rsidRPr="001D75AD">
              <w:rPr>
                <w:rFonts w:ascii="Arial" w:hAnsi="Arial" w:cs="Arial"/>
                <w:sz w:val="20"/>
                <w:szCs w:val="20"/>
              </w:rPr>
              <w:t>16</w:t>
            </w:r>
          </w:p>
        </w:tc>
        <w:tc>
          <w:tcPr>
            <w:tcW w:w="514" w:type="pct"/>
          </w:tcPr>
          <w:p w14:paraId="34EA3229"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2018</w:t>
            </w:r>
          </w:p>
        </w:tc>
        <w:tc>
          <w:tcPr>
            <w:tcW w:w="626" w:type="pct"/>
          </w:tcPr>
          <w:p w14:paraId="17932657"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03328A1C"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44E917FB"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3D49E0C9"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76.0</w:t>
            </w:r>
          </w:p>
        </w:tc>
      </w:tr>
      <w:tr w:rsidR="001D75AD" w:rsidRPr="008A3BA7" w14:paraId="440C1FC3" w14:textId="77777777" w:rsidTr="001D75AD">
        <w:tc>
          <w:tcPr>
            <w:tcW w:w="833" w:type="pct"/>
          </w:tcPr>
          <w:p w14:paraId="24F4D658" w14:textId="77777777" w:rsidR="001D75AD" w:rsidRPr="001D75AD" w:rsidRDefault="001D75AD" w:rsidP="00BD4D27">
            <w:pPr>
              <w:rPr>
                <w:rFonts w:ascii="Arial" w:hAnsi="Arial" w:cs="Arial"/>
                <w:sz w:val="20"/>
                <w:szCs w:val="20"/>
              </w:rPr>
            </w:pPr>
            <w:r w:rsidRPr="001D75AD">
              <w:rPr>
                <w:rFonts w:ascii="Arial" w:hAnsi="Arial" w:cs="Arial"/>
                <w:sz w:val="20"/>
                <w:szCs w:val="20"/>
              </w:rPr>
              <w:t>17</w:t>
            </w:r>
          </w:p>
        </w:tc>
        <w:tc>
          <w:tcPr>
            <w:tcW w:w="514" w:type="pct"/>
          </w:tcPr>
          <w:p w14:paraId="5FCFBA18"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2016</w:t>
            </w:r>
          </w:p>
        </w:tc>
        <w:tc>
          <w:tcPr>
            <w:tcW w:w="626" w:type="pct"/>
          </w:tcPr>
          <w:p w14:paraId="3F23198A"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40978F69"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1165858A"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7EC0C32A"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82.0</w:t>
            </w:r>
          </w:p>
        </w:tc>
      </w:tr>
      <w:tr w:rsidR="001D75AD" w:rsidRPr="008A3BA7" w14:paraId="3B71DA03" w14:textId="77777777" w:rsidTr="001D75AD">
        <w:tc>
          <w:tcPr>
            <w:tcW w:w="833" w:type="pct"/>
          </w:tcPr>
          <w:p w14:paraId="202B5F46" w14:textId="77777777" w:rsidR="001D75AD" w:rsidRPr="001D75AD" w:rsidRDefault="001D75AD" w:rsidP="00BD4D27">
            <w:pPr>
              <w:rPr>
                <w:rFonts w:ascii="Arial" w:hAnsi="Arial" w:cs="Arial"/>
                <w:sz w:val="20"/>
                <w:szCs w:val="20"/>
              </w:rPr>
            </w:pPr>
            <w:r w:rsidRPr="001D75AD">
              <w:rPr>
                <w:rFonts w:ascii="Arial" w:hAnsi="Arial" w:cs="Arial"/>
                <w:sz w:val="20"/>
                <w:szCs w:val="20"/>
              </w:rPr>
              <w:t>18</w:t>
            </w:r>
          </w:p>
        </w:tc>
        <w:tc>
          <w:tcPr>
            <w:tcW w:w="514" w:type="pct"/>
          </w:tcPr>
          <w:p w14:paraId="3AF2B554"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2014</w:t>
            </w:r>
          </w:p>
        </w:tc>
        <w:tc>
          <w:tcPr>
            <w:tcW w:w="626" w:type="pct"/>
          </w:tcPr>
          <w:p w14:paraId="0C233A80"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3E87F1F4"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0059F2FD"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15CB831E"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89.0</w:t>
            </w:r>
          </w:p>
        </w:tc>
      </w:tr>
      <w:tr w:rsidR="001D75AD" w:rsidRPr="008A3BA7" w14:paraId="01E9A56E" w14:textId="77777777" w:rsidTr="001D75AD">
        <w:tc>
          <w:tcPr>
            <w:tcW w:w="833" w:type="pct"/>
          </w:tcPr>
          <w:p w14:paraId="19C56B35" w14:textId="77777777" w:rsidR="001D75AD" w:rsidRPr="001D75AD" w:rsidRDefault="001D75AD" w:rsidP="00BD4D27">
            <w:pPr>
              <w:rPr>
                <w:rFonts w:ascii="Arial" w:hAnsi="Arial" w:cs="Arial"/>
                <w:sz w:val="20"/>
                <w:szCs w:val="20"/>
              </w:rPr>
            </w:pPr>
            <w:r w:rsidRPr="001D75AD">
              <w:rPr>
                <w:rFonts w:ascii="Arial" w:hAnsi="Arial" w:cs="Arial"/>
                <w:sz w:val="20"/>
                <w:szCs w:val="20"/>
              </w:rPr>
              <w:t>19</w:t>
            </w:r>
          </w:p>
        </w:tc>
        <w:tc>
          <w:tcPr>
            <w:tcW w:w="514" w:type="pct"/>
          </w:tcPr>
          <w:p w14:paraId="45AE8C32"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2017</w:t>
            </w:r>
          </w:p>
        </w:tc>
        <w:tc>
          <w:tcPr>
            <w:tcW w:w="626" w:type="pct"/>
          </w:tcPr>
          <w:p w14:paraId="54453FFE"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P</w:t>
            </w:r>
          </w:p>
        </w:tc>
        <w:tc>
          <w:tcPr>
            <w:tcW w:w="971" w:type="pct"/>
          </w:tcPr>
          <w:p w14:paraId="7FB4C757"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CA</w:t>
            </w:r>
          </w:p>
        </w:tc>
        <w:tc>
          <w:tcPr>
            <w:tcW w:w="1119" w:type="pct"/>
          </w:tcPr>
          <w:p w14:paraId="55504D2A" w14:textId="77777777" w:rsidR="001D75AD" w:rsidRPr="001D75AD" w:rsidRDefault="001D75AD" w:rsidP="00BD4D27">
            <w:pPr>
              <w:rPr>
                <w:rFonts w:ascii="Arial" w:hAnsi="Arial" w:cs="Arial"/>
                <w:sz w:val="20"/>
                <w:szCs w:val="20"/>
              </w:rPr>
            </w:pPr>
            <w:r w:rsidRPr="001D75AD">
              <w:rPr>
                <w:rFonts w:ascii="Arial" w:hAnsi="Arial" w:cs="Arial"/>
                <w:sz w:val="20"/>
                <w:szCs w:val="20"/>
              </w:rPr>
              <w:t>Urine</w:t>
            </w:r>
          </w:p>
        </w:tc>
        <w:tc>
          <w:tcPr>
            <w:tcW w:w="937" w:type="pct"/>
          </w:tcPr>
          <w:p w14:paraId="04AD2824"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89.0</w:t>
            </w:r>
          </w:p>
        </w:tc>
      </w:tr>
      <w:tr w:rsidR="001D75AD" w:rsidRPr="008A3BA7" w14:paraId="282430DC" w14:textId="77777777" w:rsidTr="001D75AD">
        <w:tc>
          <w:tcPr>
            <w:tcW w:w="833" w:type="pct"/>
          </w:tcPr>
          <w:p w14:paraId="7B7C10D9" w14:textId="77777777" w:rsidR="001D75AD" w:rsidRPr="001D75AD" w:rsidRDefault="001D75AD" w:rsidP="00BD4D27">
            <w:pPr>
              <w:rPr>
                <w:rFonts w:ascii="Arial" w:hAnsi="Arial" w:cs="Arial"/>
                <w:sz w:val="20"/>
                <w:szCs w:val="20"/>
              </w:rPr>
            </w:pPr>
            <w:r w:rsidRPr="001D75AD">
              <w:rPr>
                <w:rFonts w:ascii="Arial" w:hAnsi="Arial" w:cs="Arial"/>
                <w:sz w:val="20"/>
                <w:szCs w:val="20"/>
              </w:rPr>
              <w:t>20</w:t>
            </w:r>
          </w:p>
        </w:tc>
        <w:tc>
          <w:tcPr>
            <w:tcW w:w="514" w:type="pct"/>
          </w:tcPr>
          <w:p w14:paraId="619F5542"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2014</w:t>
            </w:r>
          </w:p>
        </w:tc>
        <w:tc>
          <w:tcPr>
            <w:tcW w:w="626" w:type="pct"/>
          </w:tcPr>
          <w:p w14:paraId="3896C2A2"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0AB58BC9"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71C043B5" w14:textId="77777777" w:rsidR="001D75AD" w:rsidRPr="001D75AD" w:rsidRDefault="001D75AD" w:rsidP="00BD4D27">
            <w:pPr>
              <w:rPr>
                <w:rFonts w:ascii="Arial" w:hAnsi="Arial" w:cs="Arial"/>
                <w:sz w:val="20"/>
                <w:szCs w:val="20"/>
              </w:rPr>
            </w:pPr>
            <w:r w:rsidRPr="001D75AD">
              <w:rPr>
                <w:rFonts w:ascii="Arial" w:hAnsi="Arial" w:cs="Arial"/>
                <w:sz w:val="20"/>
                <w:szCs w:val="20"/>
              </w:rPr>
              <w:t>Muscle tissue</w:t>
            </w:r>
          </w:p>
        </w:tc>
        <w:tc>
          <w:tcPr>
            <w:tcW w:w="937" w:type="pct"/>
          </w:tcPr>
          <w:p w14:paraId="77F25E9A" w14:textId="77777777" w:rsidR="001D75AD" w:rsidRPr="001D75AD" w:rsidRDefault="001D75AD" w:rsidP="00BD4D27">
            <w:pPr>
              <w:rPr>
                <w:rFonts w:ascii="Arial" w:hAnsi="Arial" w:cs="Arial"/>
                <w:sz w:val="20"/>
                <w:szCs w:val="20"/>
              </w:rPr>
            </w:pPr>
            <w:r w:rsidRPr="001D75AD">
              <w:rPr>
                <w:rFonts w:ascii="Arial" w:hAnsi="Arial" w:cs="Arial"/>
                <w:sz w:val="20"/>
                <w:szCs w:val="20"/>
              </w:rPr>
              <w:t>NI</w:t>
            </w:r>
          </w:p>
        </w:tc>
      </w:tr>
      <w:tr w:rsidR="001D75AD" w:rsidRPr="008A3BA7" w14:paraId="1B57AA37" w14:textId="77777777" w:rsidTr="001D75AD">
        <w:tc>
          <w:tcPr>
            <w:tcW w:w="833" w:type="pct"/>
          </w:tcPr>
          <w:p w14:paraId="0F732597" w14:textId="77777777" w:rsidR="001D75AD" w:rsidRPr="001D75AD" w:rsidRDefault="001D75AD" w:rsidP="00BD4D27">
            <w:pPr>
              <w:rPr>
                <w:rFonts w:ascii="Arial" w:hAnsi="Arial" w:cs="Arial"/>
                <w:sz w:val="20"/>
                <w:szCs w:val="20"/>
              </w:rPr>
            </w:pPr>
            <w:r w:rsidRPr="001D75AD">
              <w:rPr>
                <w:rFonts w:ascii="Arial" w:hAnsi="Arial" w:cs="Arial"/>
                <w:sz w:val="20"/>
                <w:szCs w:val="20"/>
              </w:rPr>
              <w:t>21</w:t>
            </w:r>
          </w:p>
        </w:tc>
        <w:tc>
          <w:tcPr>
            <w:tcW w:w="514" w:type="pct"/>
          </w:tcPr>
          <w:p w14:paraId="4F75D823"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2017</w:t>
            </w:r>
          </w:p>
        </w:tc>
        <w:tc>
          <w:tcPr>
            <w:tcW w:w="626" w:type="pct"/>
          </w:tcPr>
          <w:p w14:paraId="76F19F16"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C</w:t>
            </w:r>
          </w:p>
        </w:tc>
        <w:tc>
          <w:tcPr>
            <w:tcW w:w="971" w:type="pct"/>
          </w:tcPr>
          <w:p w14:paraId="2E71102C"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HDA</w:t>
            </w:r>
          </w:p>
        </w:tc>
        <w:tc>
          <w:tcPr>
            <w:tcW w:w="1119" w:type="pct"/>
          </w:tcPr>
          <w:p w14:paraId="42862128" w14:textId="77777777" w:rsidR="001D75AD" w:rsidRPr="001D75AD" w:rsidRDefault="001D75AD" w:rsidP="00BD4D27">
            <w:pPr>
              <w:rPr>
                <w:rFonts w:ascii="Arial" w:hAnsi="Arial" w:cs="Arial"/>
                <w:sz w:val="20"/>
                <w:szCs w:val="20"/>
              </w:rPr>
            </w:pPr>
            <w:r w:rsidRPr="001D75AD">
              <w:rPr>
                <w:rFonts w:ascii="Arial" w:hAnsi="Arial" w:cs="Arial"/>
                <w:sz w:val="20"/>
                <w:szCs w:val="20"/>
              </w:rPr>
              <w:t>Blood</w:t>
            </w:r>
          </w:p>
        </w:tc>
        <w:tc>
          <w:tcPr>
            <w:tcW w:w="937" w:type="pct"/>
          </w:tcPr>
          <w:p w14:paraId="2EB2C5B6" w14:textId="77777777" w:rsidR="001D75AD" w:rsidRPr="001D75AD" w:rsidRDefault="001D75AD" w:rsidP="00BD4D27">
            <w:pPr>
              <w:rPr>
                <w:rFonts w:ascii="Arial" w:hAnsi="Arial" w:cs="Arial"/>
                <w:sz w:val="20"/>
                <w:szCs w:val="20"/>
              </w:rPr>
            </w:pPr>
            <w:r w:rsidRPr="001D75AD">
              <w:rPr>
                <w:rFonts w:ascii="Arial" w:hAnsi="Arial" w:cs="Arial"/>
                <w:sz w:val="20"/>
                <w:szCs w:val="20"/>
              </w:rPr>
              <w:t>NI</w:t>
            </w:r>
          </w:p>
        </w:tc>
      </w:tr>
      <w:tr w:rsidR="001D75AD" w:rsidRPr="008A3BA7" w14:paraId="7BBA816C" w14:textId="77777777" w:rsidTr="001D75AD">
        <w:tc>
          <w:tcPr>
            <w:tcW w:w="833" w:type="pct"/>
          </w:tcPr>
          <w:p w14:paraId="0D29C452" w14:textId="77777777" w:rsidR="001D75AD" w:rsidRPr="001D75AD" w:rsidRDefault="001D75AD" w:rsidP="00BD4D27">
            <w:pPr>
              <w:rPr>
                <w:rFonts w:ascii="Arial" w:hAnsi="Arial" w:cs="Arial"/>
                <w:sz w:val="20"/>
                <w:szCs w:val="20"/>
              </w:rPr>
            </w:pPr>
            <w:r w:rsidRPr="001D75AD">
              <w:rPr>
                <w:rFonts w:ascii="Arial" w:hAnsi="Arial" w:cs="Arial"/>
                <w:sz w:val="20"/>
                <w:szCs w:val="20"/>
              </w:rPr>
              <w:t>HCW</w:t>
            </w:r>
          </w:p>
        </w:tc>
        <w:tc>
          <w:tcPr>
            <w:tcW w:w="514" w:type="pct"/>
          </w:tcPr>
          <w:p w14:paraId="165D2415" w14:textId="77777777" w:rsidR="001D75AD" w:rsidRPr="001D75AD" w:rsidRDefault="001D75AD" w:rsidP="001D75AD">
            <w:pPr>
              <w:jc w:val="center"/>
              <w:rPr>
                <w:rFonts w:ascii="Arial" w:hAnsi="Arial" w:cs="Arial"/>
                <w:sz w:val="20"/>
                <w:szCs w:val="20"/>
              </w:rPr>
            </w:pPr>
            <w:r w:rsidRPr="001D75AD">
              <w:rPr>
                <w:rFonts w:ascii="Arial" w:hAnsi="Arial" w:cs="Arial"/>
                <w:sz w:val="20"/>
                <w:szCs w:val="20"/>
              </w:rPr>
              <w:t>2013</w:t>
            </w:r>
          </w:p>
        </w:tc>
        <w:tc>
          <w:tcPr>
            <w:tcW w:w="626" w:type="pct"/>
          </w:tcPr>
          <w:p w14:paraId="0E3DE624"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w:t>
            </w:r>
          </w:p>
        </w:tc>
        <w:tc>
          <w:tcPr>
            <w:tcW w:w="971" w:type="pct"/>
          </w:tcPr>
          <w:p w14:paraId="77B2A281" w14:textId="77777777" w:rsidR="001D75AD" w:rsidRPr="001D75AD" w:rsidRDefault="001D75AD" w:rsidP="00BD4D27">
            <w:pPr>
              <w:jc w:val="center"/>
              <w:rPr>
                <w:rFonts w:ascii="Arial" w:hAnsi="Arial" w:cs="Arial"/>
                <w:sz w:val="20"/>
                <w:szCs w:val="20"/>
              </w:rPr>
            </w:pPr>
            <w:r w:rsidRPr="001D75AD">
              <w:rPr>
                <w:rFonts w:ascii="Arial" w:hAnsi="Arial" w:cs="Arial"/>
                <w:sz w:val="20"/>
                <w:szCs w:val="20"/>
              </w:rPr>
              <w:t>-</w:t>
            </w:r>
          </w:p>
        </w:tc>
        <w:tc>
          <w:tcPr>
            <w:tcW w:w="1119" w:type="pct"/>
          </w:tcPr>
          <w:p w14:paraId="1B112E3E" w14:textId="77777777" w:rsidR="001D75AD" w:rsidRPr="001D75AD" w:rsidRDefault="001D75AD" w:rsidP="00BD4D27">
            <w:pPr>
              <w:rPr>
                <w:rFonts w:ascii="Arial" w:hAnsi="Arial" w:cs="Arial"/>
                <w:sz w:val="20"/>
                <w:szCs w:val="20"/>
              </w:rPr>
            </w:pPr>
            <w:r w:rsidRPr="001D75AD">
              <w:rPr>
                <w:rFonts w:ascii="Arial" w:hAnsi="Arial" w:cs="Arial"/>
                <w:sz w:val="20"/>
                <w:szCs w:val="20"/>
              </w:rPr>
              <w:t>Pharynx</w:t>
            </w:r>
          </w:p>
        </w:tc>
        <w:tc>
          <w:tcPr>
            <w:tcW w:w="937" w:type="pct"/>
          </w:tcPr>
          <w:p w14:paraId="7D27D244" w14:textId="77777777" w:rsidR="001D75AD" w:rsidRPr="001D75AD" w:rsidRDefault="001D75AD" w:rsidP="00BD4D27">
            <w:pPr>
              <w:rPr>
                <w:rFonts w:ascii="Arial" w:hAnsi="Arial" w:cs="Arial"/>
                <w:sz w:val="20"/>
                <w:szCs w:val="20"/>
              </w:rPr>
            </w:pPr>
            <w:r w:rsidRPr="001D75AD">
              <w:rPr>
                <w:rFonts w:ascii="Arial" w:hAnsi="Arial" w:cs="Arial"/>
                <w:i/>
                <w:iCs/>
                <w:sz w:val="20"/>
                <w:szCs w:val="20"/>
              </w:rPr>
              <w:t>emm</w:t>
            </w:r>
            <w:r w:rsidRPr="001D75AD">
              <w:rPr>
                <w:rFonts w:ascii="Arial" w:hAnsi="Arial" w:cs="Arial"/>
                <w:sz w:val="20"/>
                <w:szCs w:val="20"/>
              </w:rPr>
              <w:t>1.0</w:t>
            </w:r>
          </w:p>
        </w:tc>
      </w:tr>
    </w:tbl>
    <w:p w14:paraId="50828BF9" w14:textId="77777777" w:rsidR="001D75AD" w:rsidRPr="001D75AD" w:rsidRDefault="001D75AD" w:rsidP="001D75AD">
      <w:pPr>
        <w:pStyle w:val="EndNoteBibliography"/>
        <w:suppressLineNumbers/>
        <w:spacing w:after="0" w:line="360" w:lineRule="auto"/>
        <w:rPr>
          <w:rFonts w:ascii="Arial" w:hAnsi="Arial" w:cs="Arial"/>
          <w:lang w:val="en-CA"/>
        </w:rPr>
      </w:pPr>
      <w:r w:rsidRPr="001D75AD">
        <w:rPr>
          <w:rFonts w:ascii="Arial" w:hAnsi="Arial" w:cs="Arial"/>
          <w:lang w:val="en-CA"/>
        </w:rPr>
        <w:t>*in cases where it was isolated from both a sterile and non-sterile site, the sterile site is listed.</w:t>
      </w:r>
    </w:p>
    <w:p w14:paraId="5B339BB8" w14:textId="77777777" w:rsidR="001D75AD" w:rsidRDefault="001D75AD" w:rsidP="001D75AD">
      <w:pPr>
        <w:pStyle w:val="EndNoteBibliography"/>
        <w:suppressLineNumbers/>
        <w:spacing w:after="0"/>
        <w:rPr>
          <w:rFonts w:ascii="Arial" w:hAnsi="Arial" w:cs="Arial"/>
          <w:lang w:val="en-CA"/>
        </w:rPr>
      </w:pPr>
      <w:r w:rsidRPr="001D75AD">
        <w:rPr>
          <w:rFonts w:ascii="Arial" w:hAnsi="Arial" w:cs="Arial"/>
          <w:lang w:val="en-CA"/>
        </w:rPr>
        <w:t>The age range was 18 to 41 years. There was one maternal death, nine adult intensive care unit (ICU) admissions with septic shock, 12 cases with sepsis with endometritis and/or necrotizing fasciitis/severe perineal cellulitis, and six emergency hysterectomie</w:t>
      </w:r>
      <w:r>
        <w:rPr>
          <w:rFonts w:ascii="Arial" w:hAnsi="Arial" w:cs="Arial"/>
          <w:lang w:val="en-CA"/>
        </w:rPr>
        <w:t>s.</w:t>
      </w:r>
    </w:p>
    <w:p w14:paraId="2FE522E3" w14:textId="77777777" w:rsidR="001D75AD" w:rsidRDefault="001D75AD" w:rsidP="001D75AD">
      <w:pPr>
        <w:pStyle w:val="EndNoteBibliography"/>
        <w:suppressLineNumbers/>
        <w:spacing w:after="0"/>
        <w:rPr>
          <w:rFonts w:ascii="Arial" w:hAnsi="Arial" w:cs="Arial"/>
          <w:lang w:val="en-CA"/>
        </w:rPr>
      </w:pPr>
    </w:p>
    <w:p w14:paraId="6E2A32EB" w14:textId="0478328A" w:rsidR="001D75AD" w:rsidRPr="001D75AD" w:rsidRDefault="001D75AD" w:rsidP="001D75AD">
      <w:pPr>
        <w:pStyle w:val="EndNoteBibliography"/>
        <w:suppressLineNumbers/>
        <w:spacing w:after="0"/>
        <w:rPr>
          <w:rFonts w:ascii="Arial" w:hAnsi="Arial" w:cs="Arial"/>
          <w:lang w:val="en-CA"/>
        </w:rPr>
        <w:sectPr w:rsidR="001D75AD" w:rsidRPr="001D75AD" w:rsidSect="001D75AD">
          <w:footerReference w:type="default" r:id="rId15"/>
          <w:pgSz w:w="12240" w:h="15840"/>
          <w:pgMar w:top="1440" w:right="1440" w:bottom="1440" w:left="1440" w:header="708" w:footer="708" w:gutter="0"/>
          <w:cols w:space="708"/>
          <w:docGrid w:linePitch="360"/>
        </w:sectPr>
      </w:pPr>
      <w:r w:rsidRPr="001D75AD">
        <w:rPr>
          <w:rFonts w:ascii="Arial" w:hAnsi="Arial" w:cs="Arial"/>
          <w:lang w:val="en-CA"/>
        </w:rPr>
        <w:t>C or P = confirmed or probable case of iGAS-PS; HCW = healthcare worker; HDA or CA = hospital/delivery-acquired or community-acquired;</w:t>
      </w:r>
      <w:r>
        <w:rPr>
          <w:rFonts w:ascii="Arial" w:hAnsi="Arial" w:cs="Arial"/>
          <w:lang w:val="en-CA"/>
        </w:rPr>
        <w:t xml:space="preserve"> </w:t>
      </w:r>
      <w:r w:rsidRPr="001D75AD">
        <w:rPr>
          <w:rFonts w:ascii="Arial" w:hAnsi="Arial" w:cs="Arial"/>
          <w:lang w:val="en-CA"/>
        </w:rPr>
        <w:t>iGAS-PS = invasive Group A streptococcus puerperal sepsis; NI = no isolate</w:t>
      </w:r>
    </w:p>
    <w:p w14:paraId="1EA0E4D6" w14:textId="0288B504" w:rsidR="007413B3" w:rsidRDefault="007413B3" w:rsidP="001D75AD"/>
    <w:sectPr w:rsidR="007413B3">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2B21" w14:textId="77777777" w:rsidR="007C4F9A" w:rsidRDefault="007C4F9A" w:rsidP="00E86D0A">
      <w:pPr>
        <w:spacing w:after="0" w:line="240" w:lineRule="auto"/>
      </w:pPr>
      <w:r>
        <w:separator/>
      </w:r>
    </w:p>
  </w:endnote>
  <w:endnote w:type="continuationSeparator" w:id="0">
    <w:p w14:paraId="414E6877" w14:textId="77777777" w:rsidR="007C4F9A" w:rsidRDefault="007C4F9A" w:rsidP="00E8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75902"/>
      <w:docPartObj>
        <w:docPartGallery w:val="Page Numbers (Bottom of Page)"/>
        <w:docPartUnique/>
      </w:docPartObj>
    </w:sdtPr>
    <w:sdtEndPr>
      <w:rPr>
        <w:noProof/>
      </w:rPr>
    </w:sdtEndPr>
    <w:sdtContent>
      <w:p w14:paraId="017A9988" w14:textId="77777777" w:rsidR="001D75AD" w:rsidRDefault="001D75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0B652" w14:textId="77777777" w:rsidR="001D75AD" w:rsidRDefault="001D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250114"/>
      <w:docPartObj>
        <w:docPartGallery w:val="Page Numbers (Bottom of Page)"/>
        <w:docPartUnique/>
      </w:docPartObj>
    </w:sdtPr>
    <w:sdtEndPr>
      <w:rPr>
        <w:noProof/>
      </w:rPr>
    </w:sdtEndPr>
    <w:sdtContent>
      <w:p w14:paraId="4AA52A84" w14:textId="2DAD4AAA" w:rsidR="00E86D0A" w:rsidRDefault="00E86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6D405" w14:textId="77777777" w:rsidR="00E86D0A" w:rsidRDefault="00E8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E78C" w14:textId="77777777" w:rsidR="007C4F9A" w:rsidRDefault="007C4F9A" w:rsidP="00E86D0A">
      <w:pPr>
        <w:spacing w:after="0" w:line="240" w:lineRule="auto"/>
      </w:pPr>
      <w:r>
        <w:separator/>
      </w:r>
    </w:p>
  </w:footnote>
  <w:footnote w:type="continuationSeparator" w:id="0">
    <w:p w14:paraId="4447F4F7" w14:textId="77777777" w:rsidR="007C4F9A" w:rsidRDefault="007C4F9A" w:rsidP="00E86D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0A"/>
    <w:rsid w:val="00007C4C"/>
    <w:rsid w:val="000830E6"/>
    <w:rsid w:val="000D3B1F"/>
    <w:rsid w:val="001212E5"/>
    <w:rsid w:val="001550CD"/>
    <w:rsid w:val="001C689B"/>
    <w:rsid w:val="001D75AD"/>
    <w:rsid w:val="001D7B2A"/>
    <w:rsid w:val="002C430A"/>
    <w:rsid w:val="002E618B"/>
    <w:rsid w:val="0030001A"/>
    <w:rsid w:val="0031461E"/>
    <w:rsid w:val="00381AD8"/>
    <w:rsid w:val="004047A9"/>
    <w:rsid w:val="00474BBF"/>
    <w:rsid w:val="0048579D"/>
    <w:rsid w:val="00574074"/>
    <w:rsid w:val="00630657"/>
    <w:rsid w:val="006672C1"/>
    <w:rsid w:val="0069437D"/>
    <w:rsid w:val="006C17E8"/>
    <w:rsid w:val="00723FC9"/>
    <w:rsid w:val="007413B3"/>
    <w:rsid w:val="00750E66"/>
    <w:rsid w:val="00755AFF"/>
    <w:rsid w:val="0075683D"/>
    <w:rsid w:val="007C4F9A"/>
    <w:rsid w:val="008165A0"/>
    <w:rsid w:val="0081785C"/>
    <w:rsid w:val="00827A0D"/>
    <w:rsid w:val="008A3BA7"/>
    <w:rsid w:val="008B0CA0"/>
    <w:rsid w:val="008B7266"/>
    <w:rsid w:val="00942DAC"/>
    <w:rsid w:val="009E69DB"/>
    <w:rsid w:val="00A021F0"/>
    <w:rsid w:val="00A4543C"/>
    <w:rsid w:val="00A5086B"/>
    <w:rsid w:val="00A5129E"/>
    <w:rsid w:val="00AF1E72"/>
    <w:rsid w:val="00B070F8"/>
    <w:rsid w:val="00B7677F"/>
    <w:rsid w:val="00B97048"/>
    <w:rsid w:val="00BC09D9"/>
    <w:rsid w:val="00BC37A1"/>
    <w:rsid w:val="00C34164"/>
    <w:rsid w:val="00C5674B"/>
    <w:rsid w:val="00C846A1"/>
    <w:rsid w:val="00D845FC"/>
    <w:rsid w:val="00DA6955"/>
    <w:rsid w:val="00E11E31"/>
    <w:rsid w:val="00E463BC"/>
    <w:rsid w:val="00E50B85"/>
    <w:rsid w:val="00E86D0A"/>
    <w:rsid w:val="00F05385"/>
    <w:rsid w:val="00F06250"/>
    <w:rsid w:val="00F335AD"/>
    <w:rsid w:val="00F6429F"/>
    <w:rsid w:val="00FC04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471C"/>
  <w15:chartTrackingRefBased/>
  <w15:docId w15:val="{092A2803-F602-4A4E-9099-5D308F62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5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D0A"/>
    <w:rPr>
      <w:color w:val="0563C1" w:themeColor="hyperlink"/>
      <w:u w:val="single"/>
    </w:rPr>
  </w:style>
  <w:style w:type="paragraph" w:styleId="Header">
    <w:name w:val="header"/>
    <w:basedOn w:val="Normal"/>
    <w:link w:val="HeaderChar"/>
    <w:uiPriority w:val="99"/>
    <w:unhideWhenUsed/>
    <w:rsid w:val="00E8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D0A"/>
    <w:rPr>
      <w:kern w:val="0"/>
      <w14:ligatures w14:val="none"/>
    </w:rPr>
  </w:style>
  <w:style w:type="paragraph" w:styleId="Footer">
    <w:name w:val="footer"/>
    <w:basedOn w:val="Normal"/>
    <w:link w:val="FooterChar"/>
    <w:uiPriority w:val="99"/>
    <w:unhideWhenUsed/>
    <w:rsid w:val="00E8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0A"/>
    <w:rPr>
      <w:kern w:val="0"/>
      <w14:ligatures w14:val="none"/>
    </w:rPr>
  </w:style>
  <w:style w:type="character" w:styleId="UnresolvedMention">
    <w:name w:val="Unresolved Mention"/>
    <w:basedOn w:val="DefaultParagraphFont"/>
    <w:uiPriority w:val="99"/>
    <w:semiHidden/>
    <w:unhideWhenUsed/>
    <w:rsid w:val="00E86D0A"/>
    <w:rPr>
      <w:color w:val="605E5C"/>
      <w:shd w:val="clear" w:color="auto" w:fill="E1DFDD"/>
    </w:rPr>
  </w:style>
  <w:style w:type="table" w:styleId="TableGrid">
    <w:name w:val="Table Grid"/>
    <w:basedOn w:val="TableNormal"/>
    <w:uiPriority w:val="39"/>
    <w:rsid w:val="0074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A3BA7"/>
  </w:style>
  <w:style w:type="paragraph" w:customStyle="1" w:styleId="EndNoteBibliography">
    <w:name w:val="EndNote Bibliography"/>
    <w:basedOn w:val="Normal"/>
    <w:link w:val="EndNoteBibliographyChar"/>
    <w:rsid w:val="00755AF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55AFF"/>
    <w:rPr>
      <w:rFonts w:ascii="Calibri" w:hAnsi="Calibri" w:cs="Calibri"/>
      <w:noProof/>
      <w:kern w:val="0"/>
      <w:lang w:val="en-US"/>
      <w14:ligatures w14:val="none"/>
    </w:rPr>
  </w:style>
  <w:style w:type="character" w:styleId="FollowedHyperlink">
    <w:name w:val="FollowedHyperlink"/>
    <w:basedOn w:val="DefaultParagraphFont"/>
    <w:uiPriority w:val="99"/>
    <w:semiHidden/>
    <w:unhideWhenUsed/>
    <w:rsid w:val="00817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850947/" TargetMode="External"/><Relationship Id="rId13" Type="http://schemas.openxmlformats.org/officeDocument/2006/relationships/hyperlink" Target="https://www.cdc.gov/streplab/groupa-strep/emm-typing-protocol.html?CDC_AA_refVal=https%3A%2F%2Fwww.cdc.gov%2Fstreplab%2Fprotocol-emm-type.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27312411/" TargetMode="External"/><Relationship Id="rId12" Type="http://schemas.openxmlformats.org/officeDocument/2006/relationships/hyperlink" Target="http://www.ahw.gov.ab.ca/IHDA_Retriev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medrxiv.org/content/10.1101/2022.02.07.22269672v1" TargetMode="External"/><Relationship Id="rId11" Type="http://schemas.openxmlformats.org/officeDocument/2006/relationships/hyperlink" Target="https://arecci.albertainnovates.c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ncbi.nlm.nih.gov/sra" TargetMode="External"/><Relationship Id="rId4" Type="http://schemas.openxmlformats.org/officeDocument/2006/relationships/footnotes" Target="footnotes.xml"/><Relationship Id="rId9" Type="http://schemas.openxmlformats.org/officeDocument/2006/relationships/hyperlink" Target="https://pubmed.ncbi.nlm.nih.gov/31519541/" TargetMode="External"/><Relationship Id="rId14" Type="http://schemas.openxmlformats.org/officeDocument/2006/relationships/hyperlink" Target="https://www.cdc.gov/streplab/groupa-strep/emm-back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Conly</dc:creator>
  <cp:keywords/>
  <dc:description/>
  <cp:lastModifiedBy>John Conly</cp:lastModifiedBy>
  <cp:revision>2</cp:revision>
  <dcterms:created xsi:type="dcterms:W3CDTF">2024-07-23T05:25:00Z</dcterms:created>
  <dcterms:modified xsi:type="dcterms:W3CDTF">2024-07-23T05:25:00Z</dcterms:modified>
</cp:coreProperties>
</file>