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75965" w14:textId="77777777" w:rsidR="00A85670" w:rsidRPr="00D74A1D" w:rsidRDefault="00A85670" w:rsidP="001F118B">
      <w:pPr>
        <w:pStyle w:val="af1"/>
      </w:pPr>
      <w:r w:rsidRPr="00D74A1D">
        <w:t xml:space="preserve">Online ELECTRONIC </w:t>
      </w:r>
      <w:r w:rsidR="00BB554C" w:rsidRPr="00D74A1D">
        <w:t>supplementary</w:t>
      </w:r>
      <w:r w:rsidRPr="00D74A1D">
        <w:t xml:space="preserve"> material</w:t>
      </w:r>
    </w:p>
    <w:p w14:paraId="06B75966" w14:textId="77777777" w:rsidR="00A85670" w:rsidRPr="00D74A1D" w:rsidRDefault="00A85670" w:rsidP="00A85670">
      <w:pPr>
        <w:spacing w:before="120" w:after="120"/>
        <w:contextualSpacing/>
        <w:rPr>
          <w:rFonts w:ascii="Times New Roman" w:hAnsi="Times New Roman" w:cs="Times New Roman"/>
          <w:b/>
        </w:rPr>
      </w:pPr>
    </w:p>
    <w:p w14:paraId="06B75968" w14:textId="5F76D53D" w:rsidR="00A85670" w:rsidRPr="00D74A1D" w:rsidRDefault="007060E7" w:rsidP="00A85670">
      <w:pPr>
        <w:spacing w:before="120" w:after="120"/>
        <w:contextualSpacing/>
        <w:rPr>
          <w:rFonts w:ascii="Times New Roman" w:hAnsi="Times New Roman" w:cs="Times New Roman"/>
          <w:b/>
          <w:i/>
          <w:sz w:val="28"/>
          <w:szCs w:val="28"/>
        </w:rPr>
      </w:pPr>
      <w:r w:rsidRPr="00D74A1D">
        <w:rPr>
          <w:rFonts w:ascii="Times New Roman" w:hAnsi="Times New Roman" w:cs="Times New Roman"/>
          <w:b/>
          <w:i/>
          <w:sz w:val="28"/>
          <w:szCs w:val="28"/>
        </w:rPr>
        <w:t>Infection Control &amp; Hospital Epidemiology</w:t>
      </w:r>
    </w:p>
    <w:p w14:paraId="13D6130A" w14:textId="77777777" w:rsidR="00913360" w:rsidRPr="00D74A1D" w:rsidRDefault="00913360" w:rsidP="00A85670">
      <w:pPr>
        <w:spacing w:before="120" w:after="120"/>
        <w:contextualSpacing/>
        <w:rPr>
          <w:rFonts w:ascii="Times New Roman" w:hAnsi="Times New Roman" w:cs="Times New Roman"/>
          <w:b/>
          <w:i/>
          <w:sz w:val="28"/>
          <w:szCs w:val="28"/>
        </w:rPr>
      </w:pPr>
    </w:p>
    <w:p w14:paraId="06B7596A" w14:textId="6F7221FB" w:rsidR="00A85670" w:rsidRPr="00D74A1D" w:rsidRDefault="009A6641" w:rsidP="00A85670">
      <w:pPr>
        <w:rPr>
          <w:rFonts w:ascii="Times New Roman" w:hAnsi="Times New Roman" w:cs="Times New Roman"/>
          <w:b/>
          <w:color w:val="000000" w:themeColor="text1"/>
          <w:sz w:val="28"/>
          <w:szCs w:val="20"/>
        </w:rPr>
      </w:pPr>
      <w:r w:rsidRPr="00D74A1D">
        <w:rPr>
          <w:rFonts w:ascii="Times New Roman" w:hAnsi="Times New Roman" w:cs="Times New Roman"/>
          <w:b/>
          <w:color w:val="000000" w:themeColor="text1"/>
          <w:sz w:val="28"/>
          <w:szCs w:val="20"/>
        </w:rPr>
        <w:t xml:space="preserve">Antibiotic spectrum coverage scoring as a </w:t>
      </w:r>
      <w:r w:rsidR="00B449E7" w:rsidRPr="00D74A1D">
        <w:rPr>
          <w:rFonts w:ascii="Times New Roman" w:hAnsi="Times New Roman" w:cs="Times New Roman"/>
          <w:b/>
          <w:color w:val="000000" w:themeColor="text1"/>
          <w:sz w:val="28"/>
          <w:szCs w:val="20"/>
        </w:rPr>
        <w:t>potential</w:t>
      </w:r>
      <w:r w:rsidRPr="00D74A1D">
        <w:rPr>
          <w:rFonts w:ascii="Times New Roman" w:hAnsi="Times New Roman" w:cs="Times New Roman"/>
          <w:b/>
          <w:color w:val="000000" w:themeColor="text1"/>
          <w:sz w:val="28"/>
          <w:szCs w:val="20"/>
        </w:rPr>
        <w:t xml:space="preserve"> </w:t>
      </w:r>
      <w:r w:rsidR="00B449E7" w:rsidRPr="00D74A1D">
        <w:rPr>
          <w:rFonts w:ascii="Times New Roman" w:hAnsi="Times New Roman" w:cs="Times New Roman"/>
          <w:b/>
          <w:color w:val="000000" w:themeColor="text1"/>
          <w:sz w:val="28"/>
          <w:szCs w:val="20"/>
        </w:rPr>
        <w:t>metric</w:t>
      </w:r>
      <w:r w:rsidRPr="00D74A1D">
        <w:rPr>
          <w:rFonts w:ascii="Times New Roman" w:hAnsi="Times New Roman" w:cs="Times New Roman"/>
          <w:b/>
          <w:color w:val="000000" w:themeColor="text1"/>
          <w:sz w:val="28"/>
          <w:szCs w:val="20"/>
        </w:rPr>
        <w:t xml:space="preserve"> for evaluating </w:t>
      </w:r>
      <w:r w:rsidR="00AE180F" w:rsidRPr="00D74A1D">
        <w:rPr>
          <w:rFonts w:ascii="Times New Roman" w:hAnsi="Times New Roman" w:cs="Times New Roman" w:hint="eastAsia"/>
          <w:b/>
          <w:color w:val="000000" w:themeColor="text1"/>
          <w:sz w:val="28"/>
          <w:szCs w:val="20"/>
        </w:rPr>
        <w:t>t</w:t>
      </w:r>
      <w:r w:rsidR="00AE180F" w:rsidRPr="00D74A1D">
        <w:rPr>
          <w:rFonts w:ascii="Times New Roman" w:hAnsi="Times New Roman" w:cs="Times New Roman"/>
          <w:b/>
          <w:color w:val="000000" w:themeColor="text1"/>
          <w:sz w:val="28"/>
          <w:szCs w:val="20"/>
        </w:rPr>
        <w:t xml:space="preserve">he </w:t>
      </w:r>
      <w:r w:rsidRPr="00D74A1D">
        <w:rPr>
          <w:rFonts w:ascii="Times New Roman" w:hAnsi="Times New Roman" w:cs="Times New Roman"/>
          <w:b/>
          <w:color w:val="000000" w:themeColor="text1"/>
          <w:sz w:val="28"/>
          <w:szCs w:val="20"/>
        </w:rPr>
        <w:t>antimicrobial stewardship team</w:t>
      </w:r>
      <w:r w:rsidR="003B2E1B" w:rsidRPr="00D74A1D">
        <w:rPr>
          <w:rFonts w:ascii="Times New Roman" w:hAnsi="Times New Roman" w:cs="Times New Roman"/>
          <w:b/>
          <w:color w:val="000000" w:themeColor="text1"/>
          <w:sz w:val="28"/>
          <w:szCs w:val="20"/>
        </w:rPr>
        <w:t xml:space="preserve"> activity</w:t>
      </w:r>
      <w:r w:rsidRPr="00D74A1D">
        <w:rPr>
          <w:rFonts w:ascii="Times New Roman" w:hAnsi="Times New Roman" w:cs="Times New Roman"/>
          <w:b/>
          <w:color w:val="000000" w:themeColor="text1"/>
          <w:sz w:val="28"/>
          <w:szCs w:val="20"/>
        </w:rPr>
        <w:t>: a single center study</w:t>
      </w:r>
      <w:r w:rsidR="007E3AEF" w:rsidRPr="00D74A1D">
        <w:rPr>
          <w:rFonts w:ascii="Times New Roman" w:hAnsi="Times New Roman" w:cs="Times New Roman"/>
          <w:b/>
          <w:color w:val="000000" w:themeColor="text1"/>
          <w:sz w:val="28"/>
          <w:szCs w:val="20"/>
        </w:rPr>
        <w:t>.</w:t>
      </w:r>
    </w:p>
    <w:p w14:paraId="117BA61A" w14:textId="77777777" w:rsidR="00187076" w:rsidRPr="00D74A1D" w:rsidRDefault="00187076" w:rsidP="00A85670">
      <w:pPr>
        <w:rPr>
          <w:rFonts w:ascii="Times New Roman" w:hAnsi="Times New Roman" w:cs="Times New Roman"/>
          <w:b/>
          <w:color w:val="000000" w:themeColor="text1"/>
          <w:sz w:val="28"/>
          <w:szCs w:val="20"/>
        </w:rPr>
      </w:pPr>
    </w:p>
    <w:p w14:paraId="45ED45C9" w14:textId="161ABDA5" w:rsidR="00B449E7" w:rsidRPr="00D74A1D" w:rsidRDefault="00B449E7" w:rsidP="00B449E7">
      <w:pPr>
        <w:jc w:val="left"/>
        <w:rPr>
          <w:rFonts w:ascii="Times New Roman" w:hAnsi="Times New Roman" w:cs="Times New Roman"/>
          <w:sz w:val="24"/>
          <w:szCs w:val="28"/>
        </w:rPr>
      </w:pPr>
      <w:r w:rsidRPr="00D74A1D">
        <w:rPr>
          <w:rFonts w:ascii="Times New Roman" w:hAnsi="Times New Roman" w:cs="Times New Roman"/>
          <w:sz w:val="24"/>
          <w:szCs w:val="28"/>
        </w:rPr>
        <w:t>Kazutaka Oda</w:t>
      </w:r>
      <w:r w:rsidRPr="00D74A1D">
        <w:rPr>
          <w:rFonts w:ascii="Times New Roman" w:hAnsi="Times New Roman" w:cs="Times New Roman"/>
          <w:sz w:val="24"/>
          <w:szCs w:val="28"/>
          <w:vertAlign w:val="superscript"/>
        </w:rPr>
        <w:t xml:space="preserve"> *</w:t>
      </w:r>
      <w:r w:rsidRPr="00D74A1D">
        <w:rPr>
          <w:rFonts w:ascii="Times New Roman" w:hAnsi="Times New Roman" w:cs="Times New Roman"/>
          <w:sz w:val="24"/>
          <w:szCs w:val="28"/>
        </w:rPr>
        <w:t xml:space="preserve">, Hideyuki Hayashi, Keiichi Yamamoto, Shoji Kondo, </w:t>
      </w:r>
      <w:r w:rsidRPr="00D74A1D">
        <w:rPr>
          <w:rFonts w:ascii="Times New Roman" w:hAnsi="Times New Roman" w:cs="Times New Roman" w:hint="eastAsia"/>
          <w:sz w:val="24"/>
          <w:szCs w:val="28"/>
        </w:rPr>
        <w:t>Tomomi</w:t>
      </w:r>
      <w:r w:rsidRPr="00D74A1D">
        <w:rPr>
          <w:rFonts w:ascii="Times New Roman" w:hAnsi="Times New Roman" w:cs="Times New Roman"/>
          <w:sz w:val="24"/>
          <w:szCs w:val="28"/>
        </w:rPr>
        <w:t xml:space="preserve"> Katanoda, Shinichiro Okamoto, </w:t>
      </w:r>
      <w:r w:rsidR="00AE180F" w:rsidRPr="00D74A1D">
        <w:rPr>
          <w:rFonts w:ascii="Times New Roman" w:hAnsi="Times New Roman" w:cs="Times New Roman"/>
          <w:sz w:val="24"/>
          <w:szCs w:val="28"/>
        </w:rPr>
        <w:t xml:space="preserve">Toshikazu Miyakawa, </w:t>
      </w:r>
      <w:r w:rsidR="0021519B" w:rsidRPr="00D74A1D">
        <w:rPr>
          <w:rFonts w:ascii="Times New Roman" w:hAnsi="Times New Roman" w:cs="Times New Roman"/>
          <w:sz w:val="24"/>
          <w:szCs w:val="28"/>
        </w:rPr>
        <w:t xml:space="preserve">Eisaku Iwanaga, </w:t>
      </w:r>
      <w:r w:rsidRPr="00D74A1D">
        <w:rPr>
          <w:rFonts w:ascii="Times New Roman" w:hAnsi="Times New Roman" w:cs="Times New Roman"/>
          <w:sz w:val="24"/>
          <w:szCs w:val="28"/>
        </w:rPr>
        <w:t xml:space="preserve">Kisato Nosaka, </w:t>
      </w:r>
      <w:r w:rsidRPr="00D74A1D">
        <w:rPr>
          <w:rFonts w:ascii="Times New Roman" w:hAnsi="Times New Roman" w:cs="Times New Roman" w:hint="eastAsia"/>
          <w:sz w:val="24"/>
          <w:szCs w:val="28"/>
        </w:rPr>
        <w:t>T</w:t>
      </w:r>
      <w:r w:rsidRPr="00D74A1D">
        <w:rPr>
          <w:rFonts w:ascii="Times New Roman" w:hAnsi="Times New Roman" w:cs="Times New Roman"/>
          <w:sz w:val="24"/>
          <w:szCs w:val="28"/>
        </w:rPr>
        <w:t>atsuya Kawaguchi, and Hirotomo Nakata.</w:t>
      </w:r>
    </w:p>
    <w:p w14:paraId="06B7596C" w14:textId="77777777" w:rsidR="00A85670" w:rsidRPr="00D74A1D" w:rsidRDefault="00A85670">
      <w:pPr>
        <w:rPr>
          <w:rFonts w:ascii="Times New Roman" w:hAnsi="Times New Roman" w:cs="Times New Roman"/>
          <w:color w:val="000000" w:themeColor="text1"/>
          <w:sz w:val="20"/>
          <w:szCs w:val="20"/>
          <w:vertAlign w:val="superscript"/>
        </w:rPr>
      </w:pPr>
    </w:p>
    <w:p w14:paraId="06B7596D" w14:textId="77777777" w:rsidR="00A85670" w:rsidRPr="00D74A1D" w:rsidRDefault="00A85670" w:rsidP="00A85670">
      <w:pPr>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vertAlign w:val="superscript"/>
        </w:rPr>
        <w:t>*</w:t>
      </w:r>
      <w:r w:rsidRPr="00D74A1D">
        <w:rPr>
          <w:rFonts w:ascii="Times New Roman" w:hAnsi="Times New Roman" w:cs="Times New Roman"/>
          <w:color w:val="000000" w:themeColor="text1"/>
          <w:sz w:val="24"/>
          <w:szCs w:val="20"/>
        </w:rPr>
        <w:t xml:space="preserve">Corresponding author: </w:t>
      </w:r>
    </w:p>
    <w:p w14:paraId="06B7596E" w14:textId="77777777" w:rsidR="00A85670" w:rsidRPr="00D74A1D" w:rsidRDefault="00A85670" w:rsidP="00A85670">
      <w:pPr>
        <w:spacing w:line="120" w:lineRule="exact"/>
        <w:ind w:firstLine="839"/>
        <w:rPr>
          <w:rFonts w:ascii="Times New Roman" w:hAnsi="Times New Roman" w:cs="Times New Roman"/>
          <w:color w:val="000000" w:themeColor="text1"/>
          <w:sz w:val="24"/>
          <w:szCs w:val="20"/>
        </w:rPr>
      </w:pPr>
    </w:p>
    <w:p w14:paraId="06B7596F" w14:textId="77777777" w:rsidR="00A85670" w:rsidRPr="00D74A1D" w:rsidRDefault="00A85670" w:rsidP="00A85670">
      <w:pPr>
        <w:ind w:firstLine="840"/>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t xml:space="preserve">Kazutaka </w:t>
      </w:r>
      <w:proofErr w:type="gramStart"/>
      <w:r w:rsidRPr="00D74A1D">
        <w:rPr>
          <w:rFonts w:ascii="Times New Roman" w:hAnsi="Times New Roman" w:cs="Times New Roman"/>
          <w:color w:val="000000" w:themeColor="text1"/>
          <w:sz w:val="24"/>
          <w:szCs w:val="20"/>
        </w:rPr>
        <w:t>Oda;</w:t>
      </w:r>
      <w:proofErr w:type="gramEnd"/>
    </w:p>
    <w:p w14:paraId="06B75970" w14:textId="290C9FA4" w:rsidR="00A85670" w:rsidRPr="00D74A1D" w:rsidRDefault="00A85670" w:rsidP="00A85670">
      <w:pPr>
        <w:ind w:firstLine="840"/>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t xml:space="preserve">E-mail address: </w:t>
      </w:r>
      <w:proofErr w:type="gramStart"/>
      <w:r w:rsidRPr="00D74A1D">
        <w:rPr>
          <w:rFonts w:ascii="Times New Roman" w:hAnsi="Times New Roman" w:cs="Times New Roman"/>
          <w:color w:val="000000" w:themeColor="text1"/>
          <w:sz w:val="24"/>
          <w:szCs w:val="20"/>
        </w:rPr>
        <w:t>kazutakaoda</w:t>
      </w:r>
      <w:r w:rsidR="00187076" w:rsidRPr="00D74A1D">
        <w:rPr>
          <w:rFonts w:ascii="Times New Roman" w:hAnsi="Times New Roman" w:cs="Times New Roman"/>
          <w:color w:val="000000" w:themeColor="text1"/>
          <w:sz w:val="24"/>
          <w:szCs w:val="20"/>
        </w:rPr>
        <w:t>@kuh.kumamoto-u.ac.jp</w:t>
      </w:r>
      <w:r w:rsidRPr="00D74A1D">
        <w:rPr>
          <w:rFonts w:ascii="Times New Roman" w:hAnsi="Times New Roman" w:cs="Times New Roman"/>
          <w:color w:val="000000" w:themeColor="text1"/>
          <w:sz w:val="24"/>
          <w:szCs w:val="20"/>
        </w:rPr>
        <w:t>;</w:t>
      </w:r>
      <w:proofErr w:type="gramEnd"/>
    </w:p>
    <w:p w14:paraId="06B75971" w14:textId="77777777" w:rsidR="00A85670" w:rsidRPr="00D74A1D" w:rsidRDefault="00A85670" w:rsidP="00A85670">
      <w:pPr>
        <w:ind w:firstLine="840"/>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t>Tel: +81-96-373-7457.</w:t>
      </w:r>
    </w:p>
    <w:p w14:paraId="2596086B" w14:textId="77777777" w:rsidR="00E30636" w:rsidRPr="00D74A1D" w:rsidRDefault="00A85670">
      <w:pPr>
        <w:widowControl/>
        <w:jc w:val="left"/>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br w:type="page"/>
      </w:r>
    </w:p>
    <w:p w14:paraId="33A6B373" w14:textId="583966D7" w:rsidR="009019E4" w:rsidRDefault="009019E4">
      <w:pPr>
        <w:widowControl/>
        <w:jc w:val="left"/>
        <w:rPr>
          <w:rFonts w:ascii="Times New Roman" w:hAnsi="Times New Roman" w:cs="Times New Roman"/>
          <w:b/>
          <w:color w:val="000000" w:themeColor="text1"/>
          <w:sz w:val="24"/>
          <w:szCs w:val="24"/>
        </w:rPr>
      </w:pPr>
      <w:bookmarkStart w:id="0" w:name="_Hlk166245725"/>
      <w:r w:rsidRPr="00D74A1D">
        <w:rPr>
          <w:rFonts w:ascii="Times New Roman" w:hAnsi="Times New Roman" w:cs="Times New Roman"/>
          <w:b/>
          <w:color w:val="000000" w:themeColor="text1"/>
          <w:sz w:val="24"/>
          <w:szCs w:val="24"/>
        </w:rPr>
        <w:lastRenderedPageBreak/>
        <w:t>Supplementary T</w:t>
      </w:r>
      <w:r w:rsidRPr="00D74A1D">
        <w:rPr>
          <w:rFonts w:ascii="Times New Roman" w:hAnsi="Times New Roman" w:cs="Times New Roman" w:hint="eastAsia"/>
          <w:b/>
          <w:color w:val="000000" w:themeColor="text1"/>
          <w:sz w:val="24"/>
          <w:szCs w:val="24"/>
        </w:rPr>
        <w:t>ext</w:t>
      </w:r>
      <w:r w:rsidRPr="00D74A1D">
        <w:rPr>
          <w:rFonts w:ascii="Times New Roman" w:hAnsi="Times New Roman" w:cs="Times New Roman"/>
          <w:b/>
          <w:color w:val="000000" w:themeColor="text1"/>
          <w:sz w:val="24"/>
          <w:szCs w:val="24"/>
        </w:rPr>
        <w:t xml:space="preserve"> S</w:t>
      </w:r>
      <w:r>
        <w:rPr>
          <w:rFonts w:ascii="Times New Roman" w:hAnsi="Times New Roman" w:cs="Times New Roman" w:hint="eastAsia"/>
          <w:b/>
          <w:color w:val="000000" w:themeColor="text1"/>
          <w:sz w:val="24"/>
          <w:szCs w:val="24"/>
        </w:rPr>
        <w:t>1</w:t>
      </w:r>
      <w:r w:rsidRPr="00D74A1D">
        <w:rPr>
          <w:rFonts w:ascii="Times New Roman" w:hAnsi="Times New Roman" w:cs="Times New Roman"/>
          <w:b/>
          <w:color w:val="000000" w:themeColor="text1"/>
          <w:sz w:val="24"/>
          <w:szCs w:val="24"/>
        </w:rPr>
        <w:t>.</w:t>
      </w:r>
      <w:r>
        <w:rPr>
          <w:rFonts w:ascii="Times New Roman" w:hAnsi="Times New Roman" w:cs="Times New Roman" w:hint="eastAsia"/>
          <w:b/>
          <w:color w:val="000000" w:themeColor="text1"/>
          <w:sz w:val="24"/>
          <w:szCs w:val="24"/>
        </w:rPr>
        <w:t xml:space="preserve"> Summary of antibiotic spectrum scoring</w:t>
      </w:r>
    </w:p>
    <w:p w14:paraId="136F4D81" w14:textId="1A64AACC" w:rsidR="00BF58DC" w:rsidRDefault="009019E4" w:rsidP="00BF58DC">
      <w:pPr>
        <w:rPr>
          <w:rFonts w:ascii="Times New Roman" w:hAnsi="Times New Roman" w:cs="Times New Roman"/>
          <w:sz w:val="24"/>
          <w:szCs w:val="28"/>
        </w:rPr>
      </w:pPr>
      <w:r w:rsidRPr="001975FA">
        <w:rPr>
          <w:rFonts w:ascii="Times New Roman" w:eastAsia="Yu Gothic UI" w:hAnsi="Times New Roman" w:cs="Times New Roman"/>
          <w:color w:val="242424"/>
          <w:sz w:val="24"/>
          <w:szCs w:val="24"/>
        </w:rPr>
        <w:t xml:space="preserve">In the original study by </w:t>
      </w:r>
      <w:proofErr w:type="spellStart"/>
      <w:r w:rsidRPr="001975FA">
        <w:rPr>
          <w:rFonts w:ascii="Times New Roman" w:eastAsia="Yu Gothic UI" w:hAnsi="Times New Roman" w:cs="Times New Roman"/>
          <w:color w:val="242424"/>
          <w:sz w:val="24"/>
          <w:szCs w:val="24"/>
        </w:rPr>
        <w:t>Kakiuchi</w:t>
      </w:r>
      <w:proofErr w:type="spellEnd"/>
      <w:r w:rsidRPr="001975FA">
        <w:rPr>
          <w:rFonts w:ascii="Times New Roman" w:eastAsia="Yu Gothic UI" w:hAnsi="Times New Roman" w:cs="Times New Roman"/>
          <w:color w:val="242424"/>
          <w:sz w:val="24"/>
          <w:szCs w:val="24"/>
        </w:rPr>
        <w:t xml:space="preserve"> et al.</w:t>
      </w:r>
      <w:r w:rsidRPr="001975FA">
        <w:rPr>
          <w:rFonts w:ascii="Times New Roman" w:eastAsia="Yu Gothic UI" w:hAnsi="Times New Roman" w:cs="Times New Roman" w:hint="eastAsia"/>
          <w:color w:val="242424"/>
          <w:sz w:val="24"/>
          <w:szCs w:val="24"/>
        </w:rPr>
        <w:t xml:space="preserve"> [1]</w:t>
      </w:r>
      <w:r w:rsidRPr="001975FA">
        <w:rPr>
          <w:rFonts w:ascii="Times New Roman" w:eastAsia="Yu Gothic UI" w:hAnsi="Times New Roman" w:cs="Times New Roman"/>
          <w:color w:val="242424"/>
          <w:sz w:val="24"/>
          <w:szCs w:val="24"/>
        </w:rPr>
        <w:t>, organisms were classified into two domains: wild-type organisms without acquired resistance and commonly detected resistant organisms.</w:t>
      </w:r>
      <w:r w:rsidRPr="001975FA">
        <w:rPr>
          <w:rFonts w:ascii="Times New Roman" w:eastAsia="Yu Gothic UI" w:hAnsi="Times New Roman" w:cs="Times New Roman" w:hint="eastAsia"/>
          <w:color w:val="242424"/>
          <w:sz w:val="24"/>
          <w:szCs w:val="24"/>
        </w:rPr>
        <w:t xml:space="preserve"> </w:t>
      </w:r>
      <w:r w:rsidRPr="001975FA">
        <w:rPr>
          <w:rFonts w:ascii="Times New Roman" w:eastAsia="Yu Gothic UI" w:hAnsi="Times New Roman" w:cs="Times New Roman"/>
          <w:color w:val="242424"/>
          <w:sz w:val="24"/>
          <w:szCs w:val="24"/>
        </w:rPr>
        <w:t xml:space="preserve">The wild-type domain includes 11 organisms, such as methicillin-susceptible </w:t>
      </w:r>
      <w:r w:rsidRPr="001975FA">
        <w:rPr>
          <w:rFonts w:ascii="Times New Roman" w:eastAsia="Yu Gothic UI" w:hAnsi="Times New Roman" w:cs="Times New Roman"/>
          <w:i/>
          <w:iCs/>
          <w:color w:val="242424"/>
          <w:sz w:val="24"/>
          <w:szCs w:val="24"/>
        </w:rPr>
        <w:t>Staphylococcus aureus</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Streptococcus</w:t>
      </w:r>
      <w:r w:rsidRPr="001975FA">
        <w:rPr>
          <w:rFonts w:ascii="Times New Roman" w:eastAsia="Yu Gothic UI" w:hAnsi="Times New Roman" w:cs="Times New Roman"/>
          <w:color w:val="242424"/>
          <w:sz w:val="24"/>
          <w:szCs w:val="24"/>
        </w:rPr>
        <w:t xml:space="preserve"> species (groups A and B), </w:t>
      </w:r>
      <w:r w:rsidRPr="001975FA">
        <w:rPr>
          <w:rFonts w:ascii="Times New Roman" w:eastAsia="Yu Gothic UI" w:hAnsi="Times New Roman" w:cs="Times New Roman"/>
          <w:i/>
          <w:iCs/>
          <w:color w:val="242424"/>
          <w:sz w:val="24"/>
          <w:szCs w:val="24"/>
        </w:rPr>
        <w:t>Enterococcus faecalis</w:t>
      </w:r>
      <w:r w:rsidRPr="001975FA">
        <w:rPr>
          <w:rFonts w:ascii="Times New Roman" w:eastAsia="Yu Gothic UI" w:hAnsi="Times New Roman" w:cs="Times New Roman"/>
          <w:color w:val="242424"/>
          <w:sz w:val="24"/>
          <w:szCs w:val="24"/>
        </w:rPr>
        <w:t>, oral anaerobes (</w:t>
      </w:r>
      <w:proofErr w:type="spellStart"/>
      <w:r w:rsidRPr="001975FA">
        <w:rPr>
          <w:rFonts w:ascii="Times New Roman" w:eastAsia="Yu Gothic UI" w:hAnsi="Times New Roman" w:cs="Times New Roman"/>
          <w:i/>
          <w:iCs/>
          <w:color w:val="242424"/>
          <w:sz w:val="24"/>
          <w:szCs w:val="24"/>
        </w:rPr>
        <w:t>Peptostreptococcus</w:t>
      </w:r>
      <w:proofErr w:type="spellEnd"/>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Fusobacterium</w:t>
      </w:r>
      <w:r w:rsidRPr="001975FA">
        <w:rPr>
          <w:rFonts w:ascii="Times New Roman" w:eastAsia="Yu Gothic UI" w:hAnsi="Times New Roman" w:cs="Times New Roman"/>
          <w:color w:val="242424"/>
          <w:sz w:val="24"/>
          <w:szCs w:val="24"/>
        </w:rPr>
        <w:t xml:space="preserve">, </w:t>
      </w:r>
      <w:proofErr w:type="spellStart"/>
      <w:r w:rsidRPr="001975FA">
        <w:rPr>
          <w:rFonts w:ascii="Times New Roman" w:eastAsia="Yu Gothic UI" w:hAnsi="Times New Roman" w:cs="Times New Roman"/>
          <w:i/>
          <w:iCs/>
          <w:color w:val="242424"/>
          <w:sz w:val="24"/>
          <w:szCs w:val="24"/>
        </w:rPr>
        <w:t>Veillonella</w:t>
      </w:r>
      <w:proofErr w:type="spellEnd"/>
      <w:r w:rsidRPr="001975FA">
        <w:rPr>
          <w:rFonts w:ascii="Times New Roman" w:eastAsia="Yu Gothic UI" w:hAnsi="Times New Roman" w:cs="Times New Roman"/>
          <w:color w:val="242424"/>
          <w:sz w:val="24"/>
          <w:szCs w:val="24"/>
        </w:rPr>
        <w:t xml:space="preserve"> spp.), </w:t>
      </w:r>
      <w:r w:rsidRPr="001975FA">
        <w:rPr>
          <w:rFonts w:ascii="Times New Roman" w:eastAsia="Yu Gothic UI" w:hAnsi="Times New Roman" w:cs="Times New Roman"/>
          <w:i/>
          <w:iCs/>
          <w:color w:val="242424"/>
          <w:sz w:val="24"/>
          <w:szCs w:val="24"/>
        </w:rPr>
        <w:t>Bacteroides fragilis</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Moraxella catarrhalis</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Haemophilus influenzae</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Escherichia coli</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Klebsiella pneumoniae</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Enterobacter</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Serratia</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Citrobacter</w:t>
      </w:r>
      <w:r w:rsidRPr="001975FA">
        <w:rPr>
          <w:rFonts w:ascii="Times New Roman" w:eastAsia="Yu Gothic UI" w:hAnsi="Times New Roman" w:cs="Times New Roman"/>
          <w:color w:val="242424"/>
          <w:sz w:val="24"/>
          <w:szCs w:val="24"/>
        </w:rPr>
        <w:t xml:space="preserve"> spp. (representing </w:t>
      </w:r>
      <w:proofErr w:type="spellStart"/>
      <w:r w:rsidRPr="001975FA">
        <w:rPr>
          <w:rFonts w:ascii="Times New Roman" w:eastAsia="Yu Gothic UI" w:hAnsi="Times New Roman" w:cs="Times New Roman"/>
          <w:color w:val="242424"/>
          <w:sz w:val="24"/>
          <w:szCs w:val="24"/>
        </w:rPr>
        <w:t>AmpC</w:t>
      </w:r>
      <w:proofErr w:type="spellEnd"/>
      <w:r w:rsidRPr="001975FA">
        <w:rPr>
          <w:rFonts w:ascii="Times New Roman" w:eastAsia="Yu Gothic UI" w:hAnsi="Times New Roman" w:cs="Times New Roman"/>
          <w:color w:val="242424"/>
          <w:sz w:val="24"/>
          <w:szCs w:val="24"/>
        </w:rPr>
        <w:t xml:space="preserve">-producing organisms), </w:t>
      </w:r>
      <w:r w:rsidRPr="001975FA">
        <w:rPr>
          <w:rFonts w:ascii="Times New Roman" w:eastAsia="Yu Gothic UI" w:hAnsi="Times New Roman" w:cs="Times New Roman"/>
          <w:i/>
          <w:iCs/>
          <w:color w:val="242424"/>
          <w:sz w:val="24"/>
          <w:szCs w:val="24"/>
        </w:rPr>
        <w:t>Pseudomonas aeruginosa</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Acinetobacter baumannii</w:t>
      </w:r>
      <w:r w:rsidRPr="001975FA">
        <w:rPr>
          <w:rFonts w:ascii="Times New Roman" w:eastAsia="Yu Gothic UI" w:hAnsi="Times New Roman" w:cs="Times New Roman"/>
          <w:color w:val="242424"/>
          <w:sz w:val="24"/>
          <w:szCs w:val="24"/>
        </w:rPr>
        <w:t>, and atypical organisms (</w:t>
      </w:r>
      <w:r w:rsidRPr="001975FA">
        <w:rPr>
          <w:rFonts w:ascii="Times New Roman" w:eastAsia="Yu Gothic UI" w:hAnsi="Times New Roman" w:cs="Times New Roman"/>
          <w:i/>
          <w:iCs/>
          <w:color w:val="242424"/>
          <w:sz w:val="24"/>
          <w:szCs w:val="24"/>
        </w:rPr>
        <w:t>Rickettsia</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Chlamydophila</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Mycoplasma</w:t>
      </w:r>
      <w:r w:rsidRPr="001975FA">
        <w:rPr>
          <w:rFonts w:ascii="Times New Roman" w:eastAsia="Yu Gothic UI" w:hAnsi="Times New Roman" w:cs="Times New Roman"/>
          <w:color w:val="242424"/>
          <w:sz w:val="24"/>
          <w:szCs w:val="24"/>
        </w:rPr>
        <w:t xml:space="preserve">, </w:t>
      </w:r>
      <w:r w:rsidRPr="001975FA">
        <w:rPr>
          <w:rFonts w:ascii="Times New Roman" w:eastAsia="Yu Gothic UI" w:hAnsi="Times New Roman" w:cs="Times New Roman"/>
          <w:i/>
          <w:iCs/>
          <w:color w:val="242424"/>
          <w:sz w:val="24"/>
          <w:szCs w:val="24"/>
        </w:rPr>
        <w:t>Legionella</w:t>
      </w:r>
      <w:r w:rsidRPr="001975FA">
        <w:rPr>
          <w:rFonts w:ascii="Times New Roman" w:eastAsia="Yu Gothic UI" w:hAnsi="Times New Roman" w:cs="Times New Roman"/>
          <w:color w:val="242424"/>
          <w:sz w:val="24"/>
          <w:szCs w:val="24"/>
        </w:rPr>
        <w:t xml:space="preserve"> spp.).</w:t>
      </w:r>
      <w:r w:rsidRPr="001975FA">
        <w:rPr>
          <w:rFonts w:ascii="Times New Roman" w:eastAsia="Yu Gothic UI" w:hAnsi="Times New Roman" w:cs="Times New Roman" w:hint="eastAsia"/>
          <w:color w:val="242424"/>
          <w:sz w:val="24"/>
          <w:szCs w:val="24"/>
        </w:rPr>
        <w:t xml:space="preserve"> </w:t>
      </w:r>
      <w:r w:rsidRPr="001975FA">
        <w:rPr>
          <w:rFonts w:ascii="Times New Roman" w:eastAsia="Yu Gothic UI" w:hAnsi="Times New Roman" w:cs="Times New Roman"/>
          <w:color w:val="242424"/>
          <w:sz w:val="24"/>
          <w:szCs w:val="24"/>
        </w:rPr>
        <w:t xml:space="preserve">The commonly detected resistant organisms include 5 groups: extended-spectrum β-lactamase–producing </w:t>
      </w:r>
      <w:r w:rsidRPr="001975FA">
        <w:rPr>
          <w:rFonts w:ascii="Times New Roman" w:eastAsia="Yu Gothic UI" w:hAnsi="Times New Roman" w:cs="Times New Roman"/>
          <w:i/>
          <w:iCs/>
          <w:color w:val="242424"/>
          <w:sz w:val="24"/>
          <w:szCs w:val="24"/>
        </w:rPr>
        <w:t>Enterobacteriaceae</w:t>
      </w:r>
      <w:r w:rsidRPr="001975FA">
        <w:rPr>
          <w:rFonts w:ascii="Times New Roman" w:eastAsia="Yu Gothic UI" w:hAnsi="Times New Roman" w:cs="Times New Roman"/>
          <w:color w:val="242424"/>
          <w:sz w:val="24"/>
          <w:szCs w:val="24"/>
        </w:rPr>
        <w:t xml:space="preserve">, methicillin-resistant </w:t>
      </w:r>
      <w:r w:rsidRPr="001975FA">
        <w:rPr>
          <w:rFonts w:ascii="Times New Roman" w:eastAsia="Yu Gothic UI" w:hAnsi="Times New Roman" w:cs="Times New Roman"/>
          <w:i/>
          <w:iCs/>
          <w:color w:val="242424"/>
          <w:sz w:val="24"/>
          <w:szCs w:val="24"/>
        </w:rPr>
        <w:t>S. aureus</w:t>
      </w:r>
      <w:r w:rsidRPr="001975FA">
        <w:rPr>
          <w:rFonts w:ascii="Times New Roman" w:eastAsia="Yu Gothic UI" w:hAnsi="Times New Roman" w:cs="Times New Roman"/>
          <w:color w:val="242424"/>
          <w:sz w:val="24"/>
          <w:szCs w:val="24"/>
        </w:rPr>
        <w:t xml:space="preserve"> (due to </w:t>
      </w:r>
      <w:proofErr w:type="spellStart"/>
      <w:r w:rsidRPr="001975FA">
        <w:rPr>
          <w:rFonts w:ascii="Times New Roman" w:eastAsia="Yu Gothic UI" w:hAnsi="Times New Roman" w:cs="Times New Roman"/>
          <w:color w:val="242424"/>
          <w:sz w:val="24"/>
          <w:szCs w:val="24"/>
        </w:rPr>
        <w:t>mecA</w:t>
      </w:r>
      <w:proofErr w:type="spellEnd"/>
      <w:r w:rsidRPr="001975FA">
        <w:rPr>
          <w:rFonts w:ascii="Times New Roman" w:eastAsia="Yu Gothic UI" w:hAnsi="Times New Roman" w:cs="Times New Roman"/>
          <w:color w:val="242424"/>
          <w:sz w:val="24"/>
          <w:szCs w:val="24"/>
        </w:rPr>
        <w:t xml:space="preserve">), penicillin-resistant </w:t>
      </w:r>
      <w:r w:rsidRPr="001975FA">
        <w:rPr>
          <w:rFonts w:ascii="Times New Roman" w:eastAsia="Yu Gothic UI" w:hAnsi="Times New Roman" w:cs="Times New Roman"/>
          <w:i/>
          <w:iCs/>
          <w:color w:val="242424"/>
          <w:sz w:val="24"/>
          <w:szCs w:val="24"/>
        </w:rPr>
        <w:t>Streptococcus pneumoniae</w:t>
      </w:r>
      <w:r w:rsidRPr="001975FA">
        <w:rPr>
          <w:rFonts w:ascii="Times New Roman" w:eastAsia="Yu Gothic UI" w:hAnsi="Times New Roman" w:cs="Times New Roman"/>
          <w:color w:val="242424"/>
          <w:sz w:val="24"/>
          <w:szCs w:val="24"/>
        </w:rPr>
        <w:t xml:space="preserve"> (due to mutations in penicillin-binding proteins), vancomycin-resistant </w:t>
      </w:r>
      <w:r w:rsidRPr="001975FA">
        <w:rPr>
          <w:rFonts w:ascii="Times New Roman" w:eastAsia="Yu Gothic UI" w:hAnsi="Times New Roman" w:cs="Times New Roman"/>
          <w:i/>
          <w:iCs/>
          <w:color w:val="242424"/>
          <w:sz w:val="24"/>
          <w:szCs w:val="24"/>
        </w:rPr>
        <w:t>Enterococcus</w:t>
      </w:r>
      <w:r w:rsidRPr="001975FA">
        <w:rPr>
          <w:rFonts w:ascii="Times New Roman" w:eastAsia="Yu Gothic UI" w:hAnsi="Times New Roman" w:cs="Times New Roman"/>
          <w:color w:val="242424"/>
          <w:sz w:val="24"/>
          <w:szCs w:val="24"/>
        </w:rPr>
        <w:t xml:space="preserve"> spp. (due to </w:t>
      </w:r>
      <w:proofErr w:type="spellStart"/>
      <w:r w:rsidRPr="001975FA">
        <w:rPr>
          <w:rFonts w:ascii="Times New Roman" w:eastAsia="Yu Gothic UI" w:hAnsi="Times New Roman" w:cs="Times New Roman"/>
          <w:color w:val="242424"/>
          <w:sz w:val="24"/>
          <w:szCs w:val="24"/>
        </w:rPr>
        <w:t>vanA</w:t>
      </w:r>
      <w:proofErr w:type="spellEnd"/>
      <w:r w:rsidRPr="001975FA">
        <w:rPr>
          <w:rFonts w:ascii="Times New Roman" w:eastAsia="Yu Gothic UI" w:hAnsi="Times New Roman" w:cs="Times New Roman"/>
          <w:color w:val="242424"/>
          <w:sz w:val="24"/>
          <w:szCs w:val="24"/>
        </w:rPr>
        <w:t xml:space="preserve"> or </w:t>
      </w:r>
      <w:proofErr w:type="spellStart"/>
      <w:r w:rsidRPr="001975FA">
        <w:rPr>
          <w:rFonts w:ascii="Times New Roman" w:eastAsia="Yu Gothic UI" w:hAnsi="Times New Roman" w:cs="Times New Roman"/>
          <w:color w:val="242424"/>
          <w:sz w:val="24"/>
          <w:szCs w:val="24"/>
        </w:rPr>
        <w:t>vanB</w:t>
      </w:r>
      <w:proofErr w:type="spellEnd"/>
      <w:r w:rsidRPr="001975FA">
        <w:rPr>
          <w:rFonts w:ascii="Times New Roman" w:eastAsia="Yu Gothic UI" w:hAnsi="Times New Roman" w:cs="Times New Roman"/>
          <w:color w:val="242424"/>
          <w:sz w:val="24"/>
          <w:szCs w:val="24"/>
        </w:rPr>
        <w:t xml:space="preserve">), and carbapenem-resistant </w:t>
      </w:r>
      <w:r w:rsidRPr="001975FA">
        <w:rPr>
          <w:rFonts w:ascii="Times New Roman" w:eastAsia="Yu Gothic UI" w:hAnsi="Times New Roman" w:cs="Times New Roman"/>
          <w:i/>
          <w:iCs/>
          <w:color w:val="242424"/>
          <w:sz w:val="24"/>
          <w:szCs w:val="24"/>
        </w:rPr>
        <w:t>Enterobacteriaceae</w:t>
      </w:r>
      <w:r w:rsidRPr="001975FA">
        <w:rPr>
          <w:rFonts w:ascii="Times New Roman" w:eastAsia="Yu Gothic UI" w:hAnsi="Times New Roman" w:cs="Times New Roman"/>
          <w:color w:val="242424"/>
          <w:sz w:val="24"/>
          <w:szCs w:val="24"/>
        </w:rPr>
        <w:t xml:space="preserve"> (due to class A </w:t>
      </w:r>
      <w:proofErr w:type="spellStart"/>
      <w:r w:rsidRPr="001975FA">
        <w:rPr>
          <w:rFonts w:ascii="Times New Roman" w:eastAsia="Yu Gothic UI" w:hAnsi="Times New Roman" w:cs="Times New Roman"/>
          <w:color w:val="242424"/>
          <w:sz w:val="24"/>
          <w:szCs w:val="24"/>
        </w:rPr>
        <w:t>carbapenemases</w:t>
      </w:r>
      <w:proofErr w:type="spellEnd"/>
      <w:r w:rsidRPr="001975FA">
        <w:rPr>
          <w:rFonts w:ascii="Times New Roman" w:eastAsia="Yu Gothic UI" w:hAnsi="Times New Roman" w:cs="Times New Roman"/>
          <w:color w:val="242424"/>
          <w:sz w:val="24"/>
          <w:szCs w:val="24"/>
        </w:rPr>
        <w:t xml:space="preserve"> like </w:t>
      </w:r>
      <w:r w:rsidRPr="001975FA">
        <w:rPr>
          <w:rFonts w:ascii="Times New Roman" w:eastAsia="Yu Gothic UI" w:hAnsi="Times New Roman" w:cs="Times New Roman"/>
          <w:i/>
          <w:iCs/>
          <w:color w:val="242424"/>
          <w:sz w:val="24"/>
          <w:szCs w:val="24"/>
        </w:rPr>
        <w:t>K. pneumoniae</w:t>
      </w:r>
      <w:r w:rsidRPr="001975FA">
        <w:rPr>
          <w:rFonts w:ascii="Times New Roman" w:eastAsia="Yu Gothic UI" w:hAnsi="Times New Roman" w:cs="Times New Roman"/>
          <w:color w:val="242424"/>
          <w:sz w:val="24"/>
          <w:szCs w:val="24"/>
        </w:rPr>
        <w:t xml:space="preserve"> </w:t>
      </w:r>
      <w:proofErr w:type="spellStart"/>
      <w:r w:rsidRPr="001975FA">
        <w:rPr>
          <w:rFonts w:ascii="Times New Roman" w:eastAsia="Yu Gothic UI" w:hAnsi="Times New Roman" w:cs="Times New Roman"/>
          <w:color w:val="242424"/>
          <w:sz w:val="24"/>
          <w:szCs w:val="24"/>
        </w:rPr>
        <w:t>carbapenemase</w:t>
      </w:r>
      <w:proofErr w:type="spellEnd"/>
      <w:r w:rsidRPr="001975FA">
        <w:rPr>
          <w:rFonts w:ascii="Times New Roman" w:eastAsia="Yu Gothic UI" w:hAnsi="Times New Roman" w:cs="Times New Roman"/>
          <w:color w:val="242424"/>
          <w:sz w:val="24"/>
          <w:szCs w:val="24"/>
        </w:rPr>
        <w:t>).</w:t>
      </w:r>
      <w:r w:rsidRPr="001975FA">
        <w:rPr>
          <w:rFonts w:ascii="Times New Roman" w:eastAsia="Yu Gothic UI" w:hAnsi="Times New Roman" w:cs="Times New Roman" w:hint="eastAsia"/>
          <w:color w:val="242424"/>
          <w:sz w:val="24"/>
          <w:szCs w:val="24"/>
        </w:rPr>
        <w:t xml:space="preserve"> </w:t>
      </w:r>
      <w:r w:rsidRPr="001975FA">
        <w:rPr>
          <w:rFonts w:ascii="Times New Roman" w:eastAsia="Yu Gothic UI" w:hAnsi="Times New Roman" w:cs="Times New Roman"/>
          <w:color w:val="242424"/>
          <w:sz w:val="24"/>
          <w:szCs w:val="24"/>
        </w:rPr>
        <w:t xml:space="preserve">They evaluated 77 antibiotics commercialized in the United States and other agents available internationally. The activities of these antibiotics against the 16 organisms were assessed through literature searches and </w:t>
      </w:r>
      <w:r w:rsidR="00E27DC7">
        <w:rPr>
          <w:rFonts w:ascii="Times New Roman" w:eastAsia="Yu Gothic UI" w:hAnsi="Times New Roman" w:cs="Times New Roman" w:hint="eastAsia"/>
          <w:color w:val="242424"/>
          <w:sz w:val="24"/>
          <w:szCs w:val="24"/>
        </w:rPr>
        <w:t>major</w:t>
      </w:r>
      <w:r w:rsidRPr="001975FA">
        <w:rPr>
          <w:rFonts w:ascii="Times New Roman" w:eastAsia="Yu Gothic UI" w:hAnsi="Times New Roman" w:cs="Times New Roman"/>
          <w:color w:val="242424"/>
          <w:sz w:val="24"/>
          <w:szCs w:val="24"/>
        </w:rPr>
        <w:t xml:space="preserve"> textbooks, and dichotomous classifications were determined for each antibiotic-organism relation. </w:t>
      </w:r>
      <w:r w:rsidR="00BF58DC" w:rsidRPr="00BF58DC">
        <w:rPr>
          <w:rFonts w:ascii="Times New Roman" w:eastAsia="Yu Gothic UI" w:hAnsi="Times New Roman" w:cs="Times New Roman"/>
          <w:color w:val="242424"/>
          <w:sz w:val="24"/>
          <w:szCs w:val="24"/>
        </w:rPr>
        <w:t xml:space="preserve">Where the method of determination did not provide a clear answer, a consensus was reached at an expert meeting. A wild-type organism that is generally susceptible in vitro but likely to acquire resistance in vivo was still given a score of 1 (e.g. third-generation cephalosporins and </w:t>
      </w:r>
      <w:proofErr w:type="spellStart"/>
      <w:r w:rsidR="00BF58DC" w:rsidRPr="00BF58DC">
        <w:rPr>
          <w:rFonts w:ascii="Times New Roman" w:eastAsia="Yu Gothic UI" w:hAnsi="Times New Roman" w:cs="Times New Roman"/>
          <w:color w:val="242424"/>
          <w:sz w:val="24"/>
          <w:szCs w:val="24"/>
        </w:rPr>
        <w:t>AmpC</w:t>
      </w:r>
      <w:proofErr w:type="spellEnd"/>
      <w:r w:rsidR="00BF58DC" w:rsidRPr="00BF58DC">
        <w:rPr>
          <w:rFonts w:ascii="Times New Roman" w:eastAsia="Yu Gothic UI" w:hAnsi="Times New Roman" w:cs="Times New Roman"/>
          <w:color w:val="242424"/>
          <w:sz w:val="24"/>
          <w:szCs w:val="24"/>
        </w:rPr>
        <w:t xml:space="preserve">-producing </w:t>
      </w:r>
      <w:r w:rsidR="00BF58DC" w:rsidRPr="00BF58DC">
        <w:rPr>
          <w:rFonts w:ascii="Times New Roman" w:eastAsia="Yu Gothic UI" w:hAnsi="Times New Roman" w:cs="Times New Roman"/>
          <w:i/>
          <w:iCs/>
          <w:color w:val="242424"/>
          <w:sz w:val="24"/>
          <w:szCs w:val="24"/>
        </w:rPr>
        <w:t>Enterobacteriaceae</w:t>
      </w:r>
      <w:r w:rsidR="00BF58DC" w:rsidRPr="00BF58DC">
        <w:rPr>
          <w:rFonts w:ascii="Times New Roman" w:eastAsia="Yu Gothic UI" w:hAnsi="Times New Roman" w:cs="Times New Roman"/>
          <w:color w:val="242424"/>
          <w:sz w:val="24"/>
          <w:szCs w:val="24"/>
        </w:rPr>
        <w:t>). For simplicity, the ASC score does not consider pharmacokinetics, pharmacodynamics or toxicity. The theoretical maximum ASC score is 16, but no such antibiotics exist. Therefore, the scores range from 2 (the narrowest) to 15 (the broadest).</w:t>
      </w:r>
    </w:p>
    <w:p w14:paraId="22F91719" w14:textId="77777777" w:rsidR="00BF58DC" w:rsidRDefault="00BF58DC">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627DEBFB" w14:textId="44127716" w:rsidR="00555851" w:rsidRPr="00D74A1D" w:rsidRDefault="00555851">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lastRenderedPageBreak/>
        <w:t>Supplementary T</w:t>
      </w:r>
      <w:r w:rsidRPr="00D74A1D">
        <w:rPr>
          <w:rFonts w:ascii="Times New Roman" w:hAnsi="Times New Roman" w:cs="Times New Roman" w:hint="eastAsia"/>
          <w:b/>
          <w:color w:val="000000" w:themeColor="text1"/>
          <w:sz w:val="24"/>
          <w:szCs w:val="24"/>
        </w:rPr>
        <w:t>ext</w:t>
      </w:r>
      <w:r w:rsidRPr="00D74A1D">
        <w:rPr>
          <w:rFonts w:ascii="Times New Roman" w:hAnsi="Times New Roman" w:cs="Times New Roman"/>
          <w:b/>
          <w:color w:val="000000" w:themeColor="text1"/>
          <w:sz w:val="24"/>
          <w:szCs w:val="24"/>
        </w:rPr>
        <w:t xml:space="preserve"> S</w:t>
      </w:r>
      <w:r w:rsidR="009019E4">
        <w:rPr>
          <w:rFonts w:ascii="Times New Roman" w:hAnsi="Times New Roman" w:cs="Times New Roman" w:hint="eastAsia"/>
          <w:b/>
          <w:color w:val="000000" w:themeColor="text1"/>
          <w:sz w:val="24"/>
          <w:szCs w:val="24"/>
        </w:rPr>
        <w:t>2</w:t>
      </w:r>
      <w:r w:rsidRPr="00D74A1D">
        <w:rPr>
          <w:rFonts w:ascii="Times New Roman" w:hAnsi="Times New Roman" w:cs="Times New Roman"/>
          <w:b/>
          <w:color w:val="000000" w:themeColor="text1"/>
          <w:sz w:val="24"/>
          <w:szCs w:val="24"/>
        </w:rPr>
        <w:t xml:space="preserve">. </w:t>
      </w:r>
      <w:r w:rsidRPr="00D74A1D">
        <w:rPr>
          <w:rFonts w:ascii="Times New Roman" w:hAnsi="Times New Roman" w:cs="Times New Roman"/>
          <w:b/>
          <w:sz w:val="24"/>
          <w:szCs w:val="28"/>
        </w:rPr>
        <w:t xml:space="preserve">Weekly working hours of </w:t>
      </w:r>
      <w:r w:rsidRPr="00D74A1D">
        <w:rPr>
          <w:rFonts w:ascii="Times New Roman" w:hAnsi="Times New Roman" w:cs="Times New Roman" w:hint="eastAsia"/>
          <w:b/>
          <w:sz w:val="24"/>
          <w:szCs w:val="28"/>
        </w:rPr>
        <w:t xml:space="preserve">antimicrobial stewardship team (AST) </w:t>
      </w:r>
      <w:r w:rsidRPr="00D74A1D">
        <w:rPr>
          <w:rFonts w:ascii="Times New Roman" w:hAnsi="Times New Roman" w:cs="Times New Roman"/>
          <w:b/>
          <w:sz w:val="24"/>
          <w:szCs w:val="28"/>
        </w:rPr>
        <w:t xml:space="preserve">and </w:t>
      </w:r>
      <w:r w:rsidRPr="00D74A1D">
        <w:rPr>
          <w:rFonts w:ascii="Times New Roman" w:hAnsi="Times New Roman" w:cs="Times New Roman" w:hint="eastAsia"/>
          <w:b/>
          <w:sz w:val="24"/>
          <w:szCs w:val="28"/>
        </w:rPr>
        <w:t>full-time equivalent (</w:t>
      </w:r>
      <w:r w:rsidRPr="00D74A1D">
        <w:rPr>
          <w:rFonts w:ascii="Times New Roman" w:hAnsi="Times New Roman" w:cs="Times New Roman"/>
          <w:b/>
          <w:sz w:val="24"/>
          <w:szCs w:val="28"/>
        </w:rPr>
        <w:t>FTE</w:t>
      </w:r>
      <w:r w:rsidRPr="00D74A1D">
        <w:rPr>
          <w:rFonts w:ascii="Times New Roman" w:hAnsi="Times New Roman" w:cs="Times New Roman" w:hint="eastAsia"/>
          <w:b/>
          <w:sz w:val="24"/>
          <w:szCs w:val="28"/>
        </w:rPr>
        <w:t>)</w:t>
      </w:r>
      <w:r w:rsidR="000055AC" w:rsidRPr="00D74A1D">
        <w:rPr>
          <w:rFonts w:ascii="Times New Roman" w:hAnsi="Times New Roman" w:cs="Times New Roman" w:hint="eastAsia"/>
          <w:b/>
          <w:sz w:val="24"/>
          <w:szCs w:val="28"/>
        </w:rPr>
        <w:t>, and activities</w:t>
      </w:r>
    </w:p>
    <w:bookmarkEnd w:id="0"/>
    <w:p w14:paraId="377FAFFD" w14:textId="1D403DCC" w:rsidR="000055AC" w:rsidRPr="00D74A1D" w:rsidRDefault="000055AC" w:rsidP="000055AC">
      <w:pPr>
        <w:widowControl/>
        <w:ind w:firstLine="840"/>
        <w:jc w:val="left"/>
        <w:rPr>
          <w:rFonts w:ascii="Times New Roman" w:hAnsi="Times New Roman" w:cs="Times New Roman"/>
          <w:sz w:val="24"/>
          <w:szCs w:val="28"/>
        </w:rPr>
      </w:pPr>
      <w:r w:rsidRPr="00D74A1D">
        <w:rPr>
          <w:rFonts w:ascii="Times New Roman" w:hAnsi="Times New Roman" w:cs="Times New Roman"/>
          <w:sz w:val="24"/>
          <w:szCs w:val="28"/>
        </w:rPr>
        <w:t xml:space="preserve">We initiated a preliminary launch of the AST at our 845-bed hospital in April 2016. Until March 2018, the AST functioned without any dedicated full-time staff. Two pharmacists collectively contributed </w:t>
      </w:r>
      <w:proofErr w:type="gramStart"/>
      <w:r w:rsidRPr="00D74A1D">
        <w:rPr>
          <w:rFonts w:ascii="Times New Roman" w:hAnsi="Times New Roman" w:cs="Times New Roman"/>
          <w:sz w:val="24"/>
          <w:szCs w:val="28"/>
        </w:rPr>
        <w:t>a</w:t>
      </w:r>
      <w:proofErr w:type="gramEnd"/>
      <w:r w:rsidRPr="00D74A1D">
        <w:rPr>
          <w:rFonts w:ascii="Times New Roman" w:hAnsi="Times New Roman" w:cs="Times New Roman"/>
          <w:sz w:val="24"/>
          <w:szCs w:val="28"/>
        </w:rPr>
        <w:t xml:space="preserve"> FTE of 0.5 to AST activities, and a physician added an FTE of 0.2, summing up to a total team FTE of 0.7. The full AST </w:t>
      </w:r>
      <w:r w:rsidR="002129B2">
        <w:rPr>
          <w:rFonts w:ascii="Times New Roman" w:hAnsi="Times New Roman" w:cs="Times New Roman" w:hint="eastAsia"/>
          <w:sz w:val="24"/>
          <w:szCs w:val="28"/>
        </w:rPr>
        <w:t xml:space="preserve">programs </w:t>
      </w:r>
      <w:r w:rsidRPr="00D74A1D">
        <w:rPr>
          <w:rFonts w:ascii="Times New Roman" w:hAnsi="Times New Roman" w:cs="Times New Roman"/>
          <w:sz w:val="24"/>
          <w:szCs w:val="28"/>
        </w:rPr>
        <w:t>commenced in April 2018, marked by the assignment of one pharmacist to work full-time on AST initiatives with an FTE of 1.0. This adjustment raised the pharmacists’ total FTE contribution to 1.2, considering the involvement of two additional pharmacists. The FTE contribution from physicians remained steady at 0.2, with other staff members, including nurses and microbiologists, contributing an FTE of 0.1, culminating in a total AST FTE of 1.5.</w:t>
      </w:r>
      <w:bookmarkStart w:id="1" w:name="_Hlk166078099"/>
      <w:bookmarkStart w:id="2" w:name="_Hlk166078167"/>
      <w:bookmarkStart w:id="3" w:name="_Hlk166077802"/>
      <w:r w:rsidRPr="00D74A1D">
        <w:rPr>
          <w:rFonts w:ascii="Times New Roman" w:hAnsi="Times New Roman" w:cs="Times New Roman" w:hint="eastAsia"/>
          <w:sz w:val="24"/>
          <w:szCs w:val="28"/>
        </w:rPr>
        <w:t xml:space="preserve"> </w:t>
      </w:r>
    </w:p>
    <w:bookmarkEnd w:id="1"/>
    <w:bookmarkEnd w:id="2"/>
    <w:bookmarkEnd w:id="3"/>
    <w:p w14:paraId="09DDB848" w14:textId="77777777" w:rsidR="000055AC" w:rsidRPr="00D74A1D" w:rsidRDefault="000055AC" w:rsidP="000055AC">
      <w:pPr>
        <w:widowControl/>
        <w:ind w:firstLine="840"/>
        <w:jc w:val="left"/>
        <w:rPr>
          <w:rFonts w:ascii="Times New Roman" w:hAnsi="Times New Roman" w:cs="Times New Roman"/>
          <w:sz w:val="24"/>
          <w:szCs w:val="28"/>
        </w:rPr>
      </w:pPr>
      <w:r w:rsidRPr="00D74A1D">
        <w:rPr>
          <w:rFonts w:ascii="Times New Roman" w:hAnsi="Times New Roman" w:cs="Times New Roman"/>
          <w:sz w:val="24"/>
          <w:szCs w:val="28"/>
        </w:rPr>
        <w:t>Operational hours for the AST were established from 8:30 AM to 5:15 PM on weekdays. Each morning, the pharmacist dedicated approximately two hours to attending conferences in the intensive care units, advising on appropriate antibiotic usage for individual cases. The pharmacist’s programming proficiency facilitated efficient data management, including record-keeping, data retrieval, and the generation of demographic graphs. A focused one-hour meeting convened every Tuesday afternoon, predominantly reviewing cases with positive blood culture results</w:t>
      </w:r>
      <w:r w:rsidRPr="00D74A1D">
        <w:rPr>
          <w:rFonts w:ascii="Times New Roman" w:hAnsi="Times New Roman" w:cs="Times New Roman" w:hint="eastAsia"/>
          <w:sz w:val="24"/>
          <w:szCs w:val="28"/>
        </w:rPr>
        <w:t>.</w:t>
      </w:r>
    </w:p>
    <w:p w14:paraId="00036024" w14:textId="54C08357" w:rsidR="00473D76" w:rsidRPr="00D74A1D" w:rsidRDefault="000055AC" w:rsidP="000055AC">
      <w:pPr>
        <w:widowControl/>
        <w:ind w:firstLine="840"/>
        <w:jc w:val="left"/>
        <w:rPr>
          <w:rFonts w:ascii="Times New Roman" w:hAnsi="Times New Roman" w:cs="Times New Roman"/>
          <w:sz w:val="24"/>
          <w:szCs w:val="28"/>
        </w:rPr>
      </w:pPr>
      <w:r w:rsidRPr="00D74A1D">
        <w:rPr>
          <w:rFonts w:ascii="Times New Roman" w:hAnsi="Times New Roman" w:cs="Times New Roman"/>
          <w:sz w:val="24"/>
          <w:szCs w:val="28"/>
        </w:rPr>
        <w:t xml:space="preserve">Our </w:t>
      </w:r>
      <w:r w:rsidRPr="00D74A1D">
        <w:rPr>
          <w:rFonts w:ascii="Times New Roman" w:hAnsi="Times New Roman" w:cs="Times New Roman" w:hint="eastAsia"/>
          <w:sz w:val="24"/>
          <w:szCs w:val="28"/>
        </w:rPr>
        <w:t>ASP</w:t>
      </w:r>
      <w:r w:rsidRPr="00D74A1D">
        <w:rPr>
          <w:rFonts w:ascii="Times New Roman" w:hAnsi="Times New Roman" w:cs="Times New Roman"/>
          <w:sz w:val="24"/>
          <w:szCs w:val="28"/>
        </w:rPr>
        <w:t xml:space="preserve"> included prospective audit and feedback (PAF) for broad-spectrum antibiotics, encompassing all registered carbapenems (meropenem, doripenem, panipenem/betamipron, imipenem/cilastatin, imipenem/cilastatin/relebactam), tazobactam/piperacillin, tazobactam/ceftolozane, glycopeptides (vancomycin, teicoplanin), colistin, daptomycin, linezolid, and tedizolid. Throughout this period, panipenem/betamipron and imipenem/cilastatin were phased out from the hospital formulary, whereas imipenem/cilastatin/relebactam, tazobactam/ceftolozane, and tedizolid were introduced. Prescriptions for colistin, imipenem/cilastatin/relebactam, daptomycin, linezolid, and tedizolid required prior approval from AST physicians. PAF procedures mandated immediate review of patients prescribed these antibiotics, with follow-ups conducted either on the same day or by the next day at the latest. Any concerns identified were promptly addressed through telephone consultations or ward rounds, with all interventions documented in the medical records system. </w:t>
      </w:r>
      <w:bookmarkStart w:id="4" w:name="_Hlk166245542"/>
      <w:r w:rsidR="00D055C9" w:rsidRPr="00D74A1D">
        <w:rPr>
          <w:rFonts w:ascii="Times New Roman" w:hAnsi="Times New Roman" w:cs="Times New Roman"/>
          <w:sz w:val="24"/>
          <w:szCs w:val="28"/>
        </w:rPr>
        <w:t>T</w:t>
      </w:r>
      <w:r w:rsidR="00D055C9" w:rsidRPr="00D74A1D">
        <w:rPr>
          <w:rFonts w:ascii="Times New Roman" w:hAnsi="Times New Roman" w:cs="Times New Roman" w:hint="eastAsia"/>
          <w:sz w:val="24"/>
          <w:szCs w:val="28"/>
        </w:rPr>
        <w:t xml:space="preserve">he primary focus </w:t>
      </w:r>
      <w:r w:rsidR="00B9588E" w:rsidRPr="00D74A1D">
        <w:rPr>
          <w:rFonts w:ascii="Times New Roman" w:hAnsi="Times New Roman" w:cs="Times New Roman" w:hint="eastAsia"/>
          <w:sz w:val="24"/>
          <w:szCs w:val="28"/>
        </w:rPr>
        <w:t>of</w:t>
      </w:r>
      <w:r w:rsidR="00D055C9" w:rsidRPr="00D74A1D">
        <w:rPr>
          <w:rFonts w:ascii="Times New Roman" w:hAnsi="Times New Roman" w:cs="Times New Roman" w:hint="eastAsia"/>
          <w:sz w:val="24"/>
          <w:szCs w:val="28"/>
        </w:rPr>
        <w:t xml:space="preserve"> the </w:t>
      </w:r>
      <w:r w:rsidR="00B9588E" w:rsidRPr="00D74A1D">
        <w:rPr>
          <w:rFonts w:ascii="Times New Roman" w:hAnsi="Times New Roman" w:cs="Times New Roman" w:hint="eastAsia"/>
          <w:sz w:val="24"/>
          <w:szCs w:val="28"/>
        </w:rPr>
        <w:t>PA</w:t>
      </w:r>
      <w:r w:rsidRPr="00D74A1D">
        <w:rPr>
          <w:rFonts w:ascii="Times New Roman" w:hAnsi="Times New Roman" w:cs="Times New Roman"/>
          <w:sz w:val="24"/>
          <w:szCs w:val="28"/>
        </w:rPr>
        <w:t xml:space="preserve">F </w:t>
      </w:r>
      <w:r w:rsidR="00B9588E" w:rsidRPr="00D74A1D">
        <w:rPr>
          <w:rFonts w:ascii="Times New Roman" w:hAnsi="Times New Roman" w:cs="Times New Roman" w:hint="eastAsia"/>
          <w:sz w:val="24"/>
          <w:szCs w:val="28"/>
        </w:rPr>
        <w:t xml:space="preserve">has been on </w:t>
      </w:r>
      <w:r w:rsidR="00B9588E" w:rsidRPr="00D74A1D">
        <w:rPr>
          <w:rFonts w:ascii="Times New Roman" w:hAnsi="Times New Roman" w:cs="Times New Roman"/>
          <w:sz w:val="24"/>
          <w:szCs w:val="28"/>
        </w:rPr>
        <w:t>eliminating</w:t>
      </w:r>
      <w:r w:rsidR="00B9588E" w:rsidRPr="00D74A1D">
        <w:rPr>
          <w:rFonts w:ascii="Times New Roman" w:hAnsi="Times New Roman" w:cs="Times New Roman" w:hint="eastAsia"/>
          <w:sz w:val="24"/>
          <w:szCs w:val="28"/>
        </w:rPr>
        <w:t xml:space="preserve"> </w:t>
      </w:r>
      <w:r w:rsidRPr="00D74A1D">
        <w:rPr>
          <w:rFonts w:ascii="Times New Roman" w:hAnsi="Times New Roman" w:cs="Times New Roman"/>
          <w:sz w:val="24"/>
          <w:szCs w:val="28"/>
        </w:rPr>
        <w:t>redundant antibiotic</w:t>
      </w:r>
      <w:r w:rsidR="00B9588E" w:rsidRPr="00D74A1D">
        <w:rPr>
          <w:rFonts w:ascii="Times New Roman" w:hAnsi="Times New Roman" w:cs="Times New Roman" w:hint="eastAsia"/>
          <w:sz w:val="24"/>
          <w:szCs w:val="28"/>
        </w:rPr>
        <w:t xml:space="preserve"> use</w:t>
      </w:r>
      <w:r w:rsidRPr="00D74A1D">
        <w:rPr>
          <w:rFonts w:ascii="Times New Roman" w:hAnsi="Times New Roman" w:cs="Times New Roman"/>
          <w:sz w:val="24"/>
          <w:szCs w:val="28"/>
        </w:rPr>
        <w:t xml:space="preserve"> and de-escalating from broader to narrower antibiotics, which </w:t>
      </w:r>
      <w:r w:rsidR="00B9588E" w:rsidRPr="00D74A1D">
        <w:rPr>
          <w:rFonts w:ascii="Times New Roman" w:hAnsi="Times New Roman" w:cs="Times New Roman" w:hint="eastAsia"/>
          <w:sz w:val="24"/>
          <w:szCs w:val="28"/>
        </w:rPr>
        <w:t>are intended to</w:t>
      </w:r>
      <w:r w:rsidRPr="00D74A1D">
        <w:rPr>
          <w:rFonts w:ascii="Times New Roman" w:hAnsi="Times New Roman" w:cs="Times New Roman"/>
          <w:sz w:val="24"/>
          <w:szCs w:val="28"/>
        </w:rPr>
        <w:t xml:space="preserve"> reduce DOT and DASC metrics, respectively</w:t>
      </w:r>
      <w:bookmarkEnd w:id="4"/>
      <w:r w:rsidRPr="00D74A1D">
        <w:rPr>
          <w:rFonts w:ascii="Times New Roman" w:hAnsi="Times New Roman" w:cs="Times New Roman" w:hint="eastAsia"/>
          <w:sz w:val="24"/>
          <w:szCs w:val="28"/>
        </w:rPr>
        <w:t xml:space="preserve">. </w:t>
      </w:r>
      <w:r w:rsidRPr="00D74A1D">
        <w:rPr>
          <w:rFonts w:ascii="Times New Roman" w:hAnsi="Times New Roman" w:cs="Times New Roman"/>
          <w:sz w:val="24"/>
          <w:szCs w:val="28"/>
        </w:rPr>
        <w:t>Additionally, PAF was systematically applied to all patients with positive blood cultures, with recommendations for antibiotic de-escalation, therapeutic drug monitoring, and transitioning from parenteral to oral therapy (step-down therapy) as integral components of the process.</w:t>
      </w:r>
      <w:bookmarkStart w:id="5" w:name="_Hlk166077658"/>
      <w:r w:rsidRPr="00D74A1D">
        <w:rPr>
          <w:rFonts w:ascii="Times New Roman" w:hAnsi="Times New Roman" w:cs="Times New Roman" w:hint="eastAsia"/>
          <w:sz w:val="24"/>
          <w:szCs w:val="28"/>
        </w:rPr>
        <w:t xml:space="preserve"> </w:t>
      </w:r>
      <w:r w:rsidRPr="00D74A1D">
        <w:rPr>
          <w:rFonts w:ascii="Times New Roman" w:hAnsi="Times New Roman" w:cs="Times New Roman"/>
          <w:sz w:val="24"/>
          <w:szCs w:val="28"/>
        </w:rPr>
        <w:t xml:space="preserve">These and other activities, along with the relevant cost analysis, were summarized in Supplementary Table S3, where time-driven activity-based costing, including non-personnel costs, was visualized based on a previous report by </w:t>
      </w:r>
      <w:proofErr w:type="spellStart"/>
      <w:r w:rsidRPr="00D74A1D">
        <w:rPr>
          <w:rFonts w:ascii="Times New Roman" w:hAnsi="Times New Roman" w:cs="Times New Roman"/>
          <w:sz w:val="24"/>
          <w:szCs w:val="28"/>
        </w:rPr>
        <w:t>Cidav</w:t>
      </w:r>
      <w:proofErr w:type="spellEnd"/>
      <w:r w:rsidRPr="00D74A1D">
        <w:rPr>
          <w:rFonts w:ascii="Times New Roman" w:hAnsi="Times New Roman" w:cs="Times New Roman"/>
          <w:sz w:val="24"/>
          <w:szCs w:val="28"/>
        </w:rPr>
        <w:t xml:space="preserve"> et al.</w:t>
      </w:r>
      <w:r w:rsidRPr="00D74A1D">
        <w:rPr>
          <w:rFonts w:ascii="Times New Roman" w:hAnsi="Times New Roman" w:cs="Times New Roman" w:hint="eastAsia"/>
          <w:sz w:val="24"/>
          <w:szCs w:val="28"/>
        </w:rPr>
        <w:t xml:space="preserve"> [</w:t>
      </w:r>
      <w:r w:rsidR="009019E4">
        <w:rPr>
          <w:rFonts w:ascii="Times New Roman" w:hAnsi="Times New Roman" w:cs="Times New Roman" w:hint="eastAsia"/>
          <w:sz w:val="24"/>
          <w:szCs w:val="28"/>
        </w:rPr>
        <w:t>2</w:t>
      </w:r>
      <w:r w:rsidRPr="00D74A1D">
        <w:rPr>
          <w:rFonts w:ascii="Times New Roman" w:hAnsi="Times New Roman" w:cs="Times New Roman" w:hint="eastAsia"/>
          <w:sz w:val="24"/>
          <w:szCs w:val="28"/>
        </w:rPr>
        <w:t xml:space="preserve">]. </w:t>
      </w:r>
      <w:r w:rsidR="00BD3189" w:rsidRPr="00D74A1D">
        <w:rPr>
          <w:rFonts w:ascii="Times New Roman" w:hAnsi="Times New Roman" w:cs="Times New Roman" w:hint="eastAsia"/>
          <w:sz w:val="24"/>
          <w:szCs w:val="28"/>
        </w:rPr>
        <w:t>Regarding outpatient antibiotic use, w</w:t>
      </w:r>
      <w:r w:rsidR="00BD3189" w:rsidRPr="00D74A1D">
        <w:rPr>
          <w:rFonts w:ascii="Times New Roman" w:hAnsi="Times New Roman" w:cs="Times New Roman"/>
          <w:sz w:val="24"/>
          <w:szCs w:val="28"/>
        </w:rPr>
        <w:t>e allocated a modest amount of FTE staffing</w:t>
      </w:r>
      <w:r w:rsidR="00BD3189" w:rsidRPr="00D74A1D">
        <w:rPr>
          <w:rFonts w:ascii="Times New Roman" w:hAnsi="Times New Roman" w:cs="Times New Roman" w:hint="eastAsia"/>
          <w:sz w:val="24"/>
          <w:szCs w:val="28"/>
        </w:rPr>
        <w:t>, less than 0.1 FTE</w:t>
      </w:r>
      <w:r w:rsidR="00BD3189" w:rsidRPr="00D74A1D">
        <w:rPr>
          <w:rFonts w:ascii="Times New Roman" w:hAnsi="Times New Roman" w:cs="Times New Roman"/>
          <w:sz w:val="24"/>
          <w:szCs w:val="28"/>
        </w:rPr>
        <w:t xml:space="preserve">. </w:t>
      </w:r>
      <w:r w:rsidRPr="00D74A1D">
        <w:rPr>
          <w:rFonts w:ascii="Times New Roman" w:hAnsi="Times New Roman" w:cs="Times New Roman"/>
          <w:sz w:val="24"/>
          <w:szCs w:val="28"/>
        </w:rPr>
        <w:t>These programs indirectly influenced outpatient by facility-specific clinical practice guidelines, as well as feedback and interventions for individual cases in hospitalized patients.</w:t>
      </w:r>
      <w:bookmarkEnd w:id="5"/>
    </w:p>
    <w:p w14:paraId="0394F9C9" w14:textId="77777777" w:rsidR="00473D76" w:rsidRPr="00D74A1D" w:rsidRDefault="00473D76">
      <w:pPr>
        <w:widowControl/>
        <w:jc w:val="left"/>
        <w:rPr>
          <w:rFonts w:ascii="Times New Roman" w:hAnsi="Times New Roman" w:cs="Times New Roman"/>
          <w:sz w:val="24"/>
          <w:szCs w:val="28"/>
        </w:rPr>
      </w:pPr>
      <w:r w:rsidRPr="00D74A1D">
        <w:rPr>
          <w:rFonts w:ascii="Times New Roman" w:hAnsi="Times New Roman" w:cs="Times New Roman"/>
          <w:sz w:val="24"/>
          <w:szCs w:val="28"/>
        </w:rPr>
        <w:br w:type="page"/>
      </w:r>
    </w:p>
    <w:p w14:paraId="054C8751" w14:textId="229B90F4" w:rsidR="000055AC" w:rsidRPr="00D74A1D" w:rsidRDefault="00473D76" w:rsidP="00473D76">
      <w:pPr>
        <w:widowControl/>
        <w:jc w:val="left"/>
        <w:rPr>
          <w:rFonts w:ascii="Times New Roman" w:hAnsi="Times New Roman" w:cs="Times New Roman"/>
          <w:color w:val="000000" w:themeColor="text1"/>
          <w:sz w:val="24"/>
          <w:szCs w:val="20"/>
        </w:rPr>
      </w:pPr>
      <w:r w:rsidRPr="00D74A1D">
        <w:rPr>
          <w:rFonts w:ascii="Times New Roman" w:hAnsi="Times New Roman" w:cs="Times New Roman"/>
          <w:b/>
          <w:color w:val="000000" w:themeColor="text1"/>
          <w:sz w:val="24"/>
          <w:szCs w:val="24"/>
        </w:rPr>
        <w:lastRenderedPageBreak/>
        <w:t>Supplementary T</w:t>
      </w:r>
      <w:r w:rsidRPr="00D74A1D">
        <w:rPr>
          <w:rFonts w:ascii="Times New Roman" w:hAnsi="Times New Roman" w:cs="Times New Roman" w:hint="eastAsia"/>
          <w:b/>
          <w:color w:val="000000" w:themeColor="text1"/>
          <w:sz w:val="24"/>
          <w:szCs w:val="24"/>
        </w:rPr>
        <w:t>ext</w:t>
      </w:r>
      <w:r w:rsidRPr="00D74A1D">
        <w:rPr>
          <w:rFonts w:ascii="Times New Roman" w:hAnsi="Times New Roman" w:cs="Times New Roman"/>
          <w:b/>
          <w:color w:val="000000" w:themeColor="text1"/>
          <w:sz w:val="24"/>
          <w:szCs w:val="24"/>
        </w:rPr>
        <w:t xml:space="preserve"> S</w:t>
      </w:r>
      <w:r w:rsidR="009019E4">
        <w:rPr>
          <w:rFonts w:ascii="Times New Roman" w:hAnsi="Times New Roman" w:cs="Times New Roman" w:hint="eastAsia"/>
          <w:b/>
          <w:color w:val="000000" w:themeColor="text1"/>
          <w:sz w:val="24"/>
          <w:szCs w:val="24"/>
        </w:rPr>
        <w:t>3</w:t>
      </w:r>
      <w:r w:rsidRPr="00D74A1D">
        <w:rPr>
          <w:rFonts w:ascii="Times New Roman" w:hAnsi="Times New Roman" w:cs="Times New Roman"/>
          <w:b/>
          <w:color w:val="000000" w:themeColor="text1"/>
          <w:sz w:val="24"/>
          <w:szCs w:val="24"/>
        </w:rPr>
        <w:t>.</w:t>
      </w:r>
      <w:r w:rsidRPr="00D74A1D">
        <w:rPr>
          <w:rFonts w:ascii="Times New Roman" w:hAnsi="Times New Roman" w:cs="Times New Roman" w:hint="eastAsia"/>
          <w:b/>
          <w:color w:val="000000" w:themeColor="text1"/>
          <w:sz w:val="24"/>
          <w:szCs w:val="24"/>
        </w:rPr>
        <w:t xml:space="preserve"> Discussion for </w:t>
      </w:r>
      <w:r w:rsidRPr="00D74A1D">
        <w:rPr>
          <w:rFonts w:ascii="Times New Roman" w:hAnsi="Times New Roman" w:cs="Times New Roman" w:hint="eastAsia"/>
          <w:b/>
          <w:sz w:val="24"/>
          <w:szCs w:val="28"/>
        </w:rPr>
        <w:t>full-time equivalent (</w:t>
      </w:r>
      <w:r w:rsidRPr="00D74A1D">
        <w:rPr>
          <w:rFonts w:ascii="Times New Roman" w:hAnsi="Times New Roman" w:cs="Times New Roman"/>
          <w:b/>
          <w:sz w:val="24"/>
          <w:szCs w:val="28"/>
        </w:rPr>
        <w:t>FTE</w:t>
      </w:r>
      <w:r w:rsidRPr="00D74A1D">
        <w:rPr>
          <w:rFonts w:ascii="Times New Roman" w:hAnsi="Times New Roman" w:cs="Times New Roman" w:hint="eastAsia"/>
          <w:b/>
          <w:sz w:val="24"/>
          <w:szCs w:val="28"/>
        </w:rPr>
        <w:t>).</w:t>
      </w:r>
    </w:p>
    <w:p w14:paraId="72D96E2D" w14:textId="78FB4F65" w:rsidR="00F66B43" w:rsidRPr="00D74A1D" w:rsidRDefault="00473D76" w:rsidP="000055AC">
      <w:pPr>
        <w:widowControl/>
        <w:ind w:firstLine="840"/>
        <w:jc w:val="left"/>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t>The ITS analyses in Figures 1-3 suggest that a</w:t>
      </w:r>
      <w:r w:rsidR="001975FA">
        <w:rPr>
          <w:rFonts w:ascii="Times New Roman" w:hAnsi="Times New Roman" w:cs="Times New Roman" w:hint="eastAsia"/>
          <w:color w:val="000000" w:themeColor="text1"/>
          <w:sz w:val="24"/>
          <w:szCs w:val="20"/>
        </w:rPr>
        <w:t>n</w:t>
      </w:r>
      <w:r w:rsidRPr="00D74A1D">
        <w:rPr>
          <w:rFonts w:ascii="Times New Roman" w:hAnsi="Times New Roman" w:cs="Times New Roman"/>
          <w:color w:val="000000" w:themeColor="text1"/>
          <w:sz w:val="24"/>
          <w:szCs w:val="20"/>
        </w:rPr>
        <w:t xml:space="preserve"> FTE of less than 1.0 may be insufficient to alter the antibiotics usage trend. An FTE of more than approximately 3.0, in a hospital with more than 1,000 beds, has been suggested by various associations [</w:t>
      </w:r>
      <w:r w:rsidR="009019E4">
        <w:rPr>
          <w:rFonts w:ascii="Times New Roman" w:hAnsi="Times New Roman" w:cs="Times New Roman" w:hint="eastAsia"/>
          <w:color w:val="000000" w:themeColor="text1"/>
          <w:sz w:val="24"/>
          <w:szCs w:val="20"/>
        </w:rPr>
        <w:t>3-6</w:t>
      </w:r>
      <w:r w:rsidRPr="00D74A1D">
        <w:rPr>
          <w:rFonts w:ascii="Times New Roman" w:hAnsi="Times New Roman" w:cs="Times New Roman"/>
          <w:color w:val="000000" w:themeColor="text1"/>
          <w:sz w:val="24"/>
          <w:szCs w:val="20"/>
        </w:rPr>
        <w:t>]. As mentioned in the Methods section, our aggregate FTE was 1.5, which may be smaller than recommended. The efficient working style facilitated by programming skills may reduce the required FTE value. Sawada et al. reported a significant impact of AST</w:t>
      </w:r>
      <w:r w:rsidR="002129B2">
        <w:rPr>
          <w:rFonts w:ascii="Times New Roman" w:hAnsi="Times New Roman" w:cs="Times New Roman" w:hint="eastAsia"/>
          <w:color w:val="000000" w:themeColor="text1"/>
          <w:sz w:val="24"/>
          <w:szCs w:val="20"/>
        </w:rPr>
        <w:t xml:space="preserve"> programs</w:t>
      </w:r>
      <w:r w:rsidRPr="00D74A1D">
        <w:rPr>
          <w:rFonts w:ascii="Times New Roman" w:hAnsi="Times New Roman" w:cs="Times New Roman"/>
          <w:color w:val="000000" w:themeColor="text1"/>
          <w:sz w:val="24"/>
          <w:szCs w:val="20"/>
        </w:rPr>
        <w:t xml:space="preserve"> with an FTE of 1.4 on the length of stay in their 313-bed hospital [</w:t>
      </w:r>
      <w:r w:rsidR="009019E4">
        <w:rPr>
          <w:rFonts w:ascii="Times New Roman" w:hAnsi="Times New Roman" w:cs="Times New Roman" w:hint="eastAsia"/>
          <w:color w:val="000000" w:themeColor="text1"/>
          <w:sz w:val="24"/>
          <w:szCs w:val="20"/>
        </w:rPr>
        <w:t>7</w:t>
      </w:r>
      <w:r w:rsidRPr="00D74A1D">
        <w:rPr>
          <w:rFonts w:ascii="Times New Roman" w:hAnsi="Times New Roman" w:cs="Times New Roman"/>
          <w:color w:val="000000" w:themeColor="text1"/>
          <w:sz w:val="24"/>
          <w:szCs w:val="20"/>
        </w:rPr>
        <w:t xml:space="preserve">]. </w:t>
      </w:r>
      <w:r w:rsidR="00F66B43" w:rsidRPr="00D74A1D">
        <w:rPr>
          <w:rFonts w:ascii="Times New Roman" w:hAnsi="Times New Roman" w:cs="Times New Roman" w:hint="eastAsia"/>
          <w:color w:val="000000" w:themeColor="text1"/>
          <w:sz w:val="24"/>
          <w:szCs w:val="20"/>
        </w:rPr>
        <w:t>T</w:t>
      </w:r>
      <w:r w:rsidR="00F66B43" w:rsidRPr="00D74A1D">
        <w:rPr>
          <w:rFonts w:ascii="Times New Roman" w:hAnsi="Times New Roman" w:cs="Times New Roman"/>
          <w:color w:val="000000" w:themeColor="text1"/>
          <w:sz w:val="24"/>
          <w:szCs w:val="20"/>
        </w:rPr>
        <w:t>he FTE information has been included as part of the implementation bundle description necessary to launch the program, emphasizing that substantial on-the-ground support is required.</w:t>
      </w:r>
    </w:p>
    <w:p w14:paraId="6756286D" w14:textId="27CD38F7" w:rsidR="00473D76" w:rsidRPr="00D74A1D" w:rsidRDefault="00473D76" w:rsidP="000055AC">
      <w:pPr>
        <w:widowControl/>
        <w:ind w:firstLine="840"/>
        <w:jc w:val="left"/>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t>Moreover, the use of artificial intelligence is expected to further decrease the required FTE. Bystritsky et al. reported the development of a prediction model for patients administered broad-spectrum antibiotics needing interventions by machine learning technology, although they concluded that further refinement is needed [</w:t>
      </w:r>
      <w:r w:rsidR="009019E4">
        <w:rPr>
          <w:rFonts w:ascii="Times New Roman" w:hAnsi="Times New Roman" w:cs="Times New Roman" w:hint="eastAsia"/>
          <w:color w:val="000000" w:themeColor="text1"/>
          <w:sz w:val="24"/>
          <w:szCs w:val="20"/>
        </w:rPr>
        <w:t>8</w:t>
      </w:r>
      <w:r w:rsidRPr="00D74A1D">
        <w:rPr>
          <w:rFonts w:ascii="Times New Roman" w:hAnsi="Times New Roman" w:cs="Times New Roman"/>
          <w:color w:val="000000" w:themeColor="text1"/>
          <w:sz w:val="24"/>
          <w:szCs w:val="20"/>
        </w:rPr>
        <w:t>]. Maillard et al. studied the potential of ChatGPT-4 using training data to suggest management plans for patients with positive blood culture results, though they concluded its use remains hazardous [</w:t>
      </w:r>
      <w:r w:rsidR="009019E4">
        <w:rPr>
          <w:rFonts w:ascii="Times New Roman" w:hAnsi="Times New Roman" w:cs="Times New Roman" w:hint="eastAsia"/>
          <w:color w:val="000000" w:themeColor="text1"/>
          <w:sz w:val="24"/>
          <w:szCs w:val="20"/>
        </w:rPr>
        <w:t>9</w:t>
      </w:r>
      <w:r w:rsidRPr="00D74A1D">
        <w:rPr>
          <w:rFonts w:ascii="Times New Roman" w:hAnsi="Times New Roman" w:cs="Times New Roman"/>
          <w:color w:val="000000" w:themeColor="text1"/>
          <w:sz w:val="24"/>
          <w:szCs w:val="20"/>
        </w:rPr>
        <w:t>]. Taken together, recent advancements in technology may continue to decrease the required value of FTE.</w:t>
      </w:r>
    </w:p>
    <w:p w14:paraId="6F96D4C1" w14:textId="77777777" w:rsidR="00555851" w:rsidRPr="00D74A1D" w:rsidRDefault="00555851">
      <w:pPr>
        <w:widowControl/>
        <w:jc w:val="left"/>
        <w:rPr>
          <w:rFonts w:ascii="Times New Roman" w:hAnsi="Times New Roman" w:cs="Times New Roman"/>
          <w:color w:val="000000" w:themeColor="text1"/>
          <w:sz w:val="24"/>
          <w:szCs w:val="20"/>
        </w:rPr>
      </w:pPr>
    </w:p>
    <w:p w14:paraId="56016889" w14:textId="0F142830" w:rsidR="00555851" w:rsidRPr="00D74A1D" w:rsidRDefault="00555851">
      <w:pPr>
        <w:widowControl/>
        <w:jc w:val="left"/>
        <w:rPr>
          <w:rFonts w:ascii="Times New Roman" w:hAnsi="Times New Roman" w:cs="Times New Roman"/>
          <w:color w:val="000000" w:themeColor="text1"/>
          <w:sz w:val="24"/>
          <w:szCs w:val="20"/>
        </w:rPr>
      </w:pPr>
      <w:r w:rsidRPr="00D74A1D">
        <w:rPr>
          <w:rFonts w:ascii="Times New Roman" w:hAnsi="Times New Roman" w:cs="Times New Roman"/>
          <w:color w:val="000000" w:themeColor="text1"/>
          <w:sz w:val="24"/>
          <w:szCs w:val="20"/>
        </w:rPr>
        <w:br w:type="page"/>
      </w:r>
    </w:p>
    <w:p w14:paraId="43F13CA3" w14:textId="033D7214" w:rsidR="00E30636" w:rsidRPr="00D74A1D" w:rsidRDefault="00E30636">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lastRenderedPageBreak/>
        <w:t xml:space="preserve">Supplementary </w:t>
      </w:r>
      <w:r w:rsidR="009A6641" w:rsidRPr="00D74A1D">
        <w:rPr>
          <w:rFonts w:ascii="Times New Roman" w:hAnsi="Times New Roman" w:cs="Times New Roman"/>
          <w:b/>
          <w:color w:val="000000" w:themeColor="text1"/>
          <w:sz w:val="24"/>
          <w:szCs w:val="24"/>
        </w:rPr>
        <w:t>Table S1. Antibiotic spectrum coverage scores derived for this study.</w:t>
      </w:r>
    </w:p>
    <w:tbl>
      <w:tblPr>
        <w:tblW w:w="15588" w:type="dxa"/>
        <w:tblLayout w:type="fixed"/>
        <w:tblCellMar>
          <w:left w:w="99" w:type="dxa"/>
          <w:right w:w="99" w:type="dxa"/>
        </w:tblCellMar>
        <w:tblLook w:val="04A0" w:firstRow="1" w:lastRow="0" w:firstColumn="1" w:lastColumn="0" w:noHBand="0" w:noVBand="1"/>
      </w:tblPr>
      <w:tblGrid>
        <w:gridCol w:w="1271"/>
        <w:gridCol w:w="597"/>
        <w:gridCol w:w="679"/>
        <w:gridCol w:w="992"/>
        <w:gridCol w:w="737"/>
        <w:gridCol w:w="1020"/>
        <w:gridCol w:w="624"/>
        <w:gridCol w:w="1077"/>
        <w:gridCol w:w="964"/>
        <w:gridCol w:w="1417"/>
        <w:gridCol w:w="912"/>
        <w:gridCol w:w="912"/>
        <w:gridCol w:w="842"/>
        <w:gridCol w:w="768"/>
        <w:gridCol w:w="697"/>
        <w:gridCol w:w="697"/>
        <w:gridCol w:w="697"/>
        <w:gridCol w:w="685"/>
      </w:tblGrid>
      <w:tr w:rsidR="009A6641" w:rsidRPr="00D74A1D" w14:paraId="44FFB7B6" w14:textId="77777777" w:rsidTr="009A6641">
        <w:trPr>
          <w:trHeight w:val="36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A1BB6"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 xml:space="preserve">　</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40E5F267"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 xml:space="preserve">　</w:t>
            </w:r>
          </w:p>
        </w:tc>
        <w:tc>
          <w:tcPr>
            <w:tcW w:w="10176" w:type="dxa"/>
            <w:gridSpan w:val="11"/>
            <w:tcBorders>
              <w:top w:val="single" w:sz="4" w:space="0" w:color="auto"/>
              <w:left w:val="nil"/>
              <w:bottom w:val="single" w:sz="4" w:space="0" w:color="auto"/>
              <w:right w:val="single" w:sz="4" w:space="0" w:color="auto"/>
            </w:tcBorders>
            <w:shd w:val="clear" w:color="auto" w:fill="auto"/>
            <w:noWrap/>
            <w:vAlign w:val="bottom"/>
            <w:hideMark/>
          </w:tcPr>
          <w:p w14:paraId="509138BA"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Wild type</w:t>
            </w:r>
          </w:p>
        </w:tc>
        <w:tc>
          <w:tcPr>
            <w:tcW w:w="3544"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E3A1335"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Acquired resistance</w:t>
            </w:r>
          </w:p>
        </w:tc>
      </w:tr>
      <w:tr w:rsidR="009A6641" w:rsidRPr="00D74A1D" w14:paraId="6C2B4B11" w14:textId="77777777" w:rsidTr="009A6641">
        <w:trPr>
          <w:trHeight w:val="36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137AAD8"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14:paraId="6FA1DF42"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ASC score</w:t>
            </w:r>
          </w:p>
        </w:tc>
        <w:tc>
          <w:tcPr>
            <w:tcW w:w="679" w:type="dxa"/>
            <w:tcBorders>
              <w:top w:val="nil"/>
              <w:left w:val="nil"/>
              <w:bottom w:val="single" w:sz="4" w:space="0" w:color="auto"/>
              <w:right w:val="single" w:sz="4" w:space="0" w:color="auto"/>
            </w:tcBorders>
            <w:shd w:val="clear" w:color="auto" w:fill="auto"/>
            <w:noWrap/>
            <w:vAlign w:val="center"/>
            <w:hideMark/>
          </w:tcPr>
          <w:p w14:paraId="2FFEC90F"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proofErr w:type="gramStart"/>
            <w:r w:rsidRPr="00D74A1D">
              <w:rPr>
                <w:rFonts w:ascii="Times New Roman" w:eastAsia="游ゴシック" w:hAnsi="Times New Roman" w:cs="Times New Roman"/>
                <w:i/>
                <w:iCs/>
                <w:color w:val="000000"/>
                <w:kern w:val="0"/>
                <w:sz w:val="16"/>
                <w:szCs w:val="16"/>
              </w:rPr>
              <w:t>S.aureus</w:t>
            </w:r>
            <w:proofErr w:type="spellEnd"/>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5C741572"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r w:rsidRPr="00D74A1D">
              <w:rPr>
                <w:rFonts w:ascii="Times New Roman" w:eastAsia="游ゴシック" w:hAnsi="Times New Roman" w:cs="Times New Roman"/>
                <w:i/>
                <w:iCs/>
                <w:color w:val="000000"/>
                <w:kern w:val="0"/>
                <w:sz w:val="16"/>
                <w:szCs w:val="16"/>
              </w:rPr>
              <w:t>Streptoroccus</w:t>
            </w:r>
            <w:proofErr w:type="spellEnd"/>
            <w:r w:rsidRPr="00D74A1D">
              <w:rPr>
                <w:rFonts w:ascii="Times New Roman" w:eastAsia="游ゴシック" w:hAnsi="Times New Roman" w:cs="Times New Roman"/>
                <w:i/>
                <w:iCs/>
                <w:color w:val="000000"/>
                <w:kern w:val="0"/>
                <w:sz w:val="16"/>
                <w:szCs w:val="16"/>
              </w:rPr>
              <w:t xml:space="preserve"> spp.</w:t>
            </w:r>
          </w:p>
        </w:tc>
        <w:tc>
          <w:tcPr>
            <w:tcW w:w="737" w:type="dxa"/>
            <w:tcBorders>
              <w:top w:val="nil"/>
              <w:left w:val="nil"/>
              <w:bottom w:val="single" w:sz="4" w:space="0" w:color="auto"/>
              <w:right w:val="single" w:sz="4" w:space="0" w:color="auto"/>
            </w:tcBorders>
            <w:shd w:val="clear" w:color="auto" w:fill="auto"/>
            <w:noWrap/>
            <w:vAlign w:val="center"/>
            <w:hideMark/>
          </w:tcPr>
          <w:p w14:paraId="6C679DD0"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proofErr w:type="gramStart"/>
            <w:r w:rsidRPr="00D74A1D">
              <w:rPr>
                <w:rFonts w:ascii="Times New Roman" w:eastAsia="游ゴシック" w:hAnsi="Times New Roman" w:cs="Times New Roman"/>
                <w:i/>
                <w:iCs/>
                <w:color w:val="000000"/>
                <w:kern w:val="0"/>
                <w:sz w:val="16"/>
                <w:szCs w:val="16"/>
              </w:rPr>
              <w:t>E.faecalis</w:t>
            </w:r>
            <w:proofErr w:type="spellEnd"/>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5E1E27E0"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Anaerobes (Oral)</w:t>
            </w:r>
          </w:p>
        </w:tc>
        <w:tc>
          <w:tcPr>
            <w:tcW w:w="624" w:type="dxa"/>
            <w:tcBorders>
              <w:top w:val="nil"/>
              <w:left w:val="nil"/>
              <w:bottom w:val="single" w:sz="4" w:space="0" w:color="auto"/>
              <w:right w:val="single" w:sz="4" w:space="0" w:color="auto"/>
            </w:tcBorders>
            <w:shd w:val="clear" w:color="auto" w:fill="auto"/>
            <w:noWrap/>
            <w:vAlign w:val="center"/>
            <w:hideMark/>
          </w:tcPr>
          <w:p w14:paraId="45ECAB32"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proofErr w:type="gramStart"/>
            <w:r w:rsidRPr="00D74A1D">
              <w:rPr>
                <w:rFonts w:ascii="Times New Roman" w:eastAsia="游ゴシック" w:hAnsi="Times New Roman" w:cs="Times New Roman"/>
                <w:i/>
                <w:iCs/>
                <w:color w:val="000000"/>
                <w:kern w:val="0"/>
                <w:sz w:val="16"/>
                <w:szCs w:val="16"/>
              </w:rPr>
              <w:t>B.fragilis</w:t>
            </w:r>
            <w:proofErr w:type="spellEnd"/>
            <w:proofErr w:type="gramEnd"/>
          </w:p>
        </w:tc>
        <w:tc>
          <w:tcPr>
            <w:tcW w:w="1077" w:type="dxa"/>
            <w:tcBorders>
              <w:top w:val="nil"/>
              <w:left w:val="nil"/>
              <w:bottom w:val="single" w:sz="4" w:space="0" w:color="auto"/>
              <w:right w:val="single" w:sz="4" w:space="0" w:color="auto"/>
            </w:tcBorders>
            <w:shd w:val="clear" w:color="auto" w:fill="auto"/>
            <w:noWrap/>
            <w:vAlign w:val="center"/>
            <w:hideMark/>
          </w:tcPr>
          <w:p w14:paraId="23706971"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r w:rsidRPr="00D74A1D">
              <w:rPr>
                <w:rFonts w:ascii="Times New Roman" w:eastAsia="游ゴシック" w:hAnsi="Times New Roman" w:cs="Times New Roman"/>
                <w:i/>
                <w:iCs/>
                <w:color w:val="000000"/>
                <w:kern w:val="0"/>
                <w:sz w:val="16"/>
                <w:szCs w:val="16"/>
              </w:rPr>
              <w:t>Moraxella/</w:t>
            </w:r>
            <w:proofErr w:type="spellStart"/>
            <w:r w:rsidRPr="00D74A1D">
              <w:rPr>
                <w:rFonts w:ascii="Times New Roman" w:eastAsia="游ゴシック" w:hAnsi="Times New Roman" w:cs="Times New Roman"/>
                <w:i/>
                <w:iCs/>
                <w:color w:val="000000"/>
                <w:kern w:val="0"/>
                <w:sz w:val="16"/>
                <w:szCs w:val="16"/>
              </w:rPr>
              <w:t>H.influenzae</w:t>
            </w:r>
            <w:proofErr w:type="spellEnd"/>
          </w:p>
        </w:tc>
        <w:tc>
          <w:tcPr>
            <w:tcW w:w="964" w:type="dxa"/>
            <w:tcBorders>
              <w:top w:val="nil"/>
              <w:left w:val="nil"/>
              <w:bottom w:val="single" w:sz="4" w:space="0" w:color="auto"/>
              <w:right w:val="single" w:sz="4" w:space="0" w:color="auto"/>
            </w:tcBorders>
            <w:shd w:val="clear" w:color="auto" w:fill="auto"/>
            <w:noWrap/>
            <w:vAlign w:val="center"/>
            <w:hideMark/>
          </w:tcPr>
          <w:p w14:paraId="2A89EA72"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r w:rsidRPr="00D74A1D">
              <w:rPr>
                <w:rFonts w:ascii="Times New Roman" w:eastAsia="游ゴシック" w:hAnsi="Times New Roman" w:cs="Times New Roman"/>
                <w:i/>
                <w:iCs/>
                <w:color w:val="000000"/>
                <w:kern w:val="0"/>
                <w:sz w:val="16"/>
                <w:szCs w:val="16"/>
              </w:rPr>
              <w:t>E.coli/</w:t>
            </w:r>
            <w:proofErr w:type="spellStart"/>
            <w:r w:rsidRPr="00D74A1D">
              <w:rPr>
                <w:rFonts w:ascii="Times New Roman" w:eastAsia="游ゴシック" w:hAnsi="Times New Roman" w:cs="Times New Roman"/>
                <w:i/>
                <w:iCs/>
                <w:color w:val="000000"/>
                <w:kern w:val="0"/>
                <w:sz w:val="16"/>
                <w:szCs w:val="16"/>
              </w:rPr>
              <w:t>K.pneumoniae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7F3DB74"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r w:rsidRPr="00D74A1D">
              <w:rPr>
                <w:rFonts w:ascii="Times New Roman" w:eastAsia="游ゴシック" w:hAnsi="Times New Roman" w:cs="Times New Roman"/>
                <w:i/>
                <w:iCs/>
                <w:color w:val="000000"/>
                <w:kern w:val="0"/>
                <w:sz w:val="16"/>
                <w:szCs w:val="16"/>
              </w:rPr>
              <w:t>Enterobacter/Serratia/Citrobacter</w:t>
            </w:r>
          </w:p>
        </w:tc>
        <w:tc>
          <w:tcPr>
            <w:tcW w:w="912" w:type="dxa"/>
            <w:tcBorders>
              <w:top w:val="nil"/>
              <w:left w:val="nil"/>
              <w:bottom w:val="single" w:sz="4" w:space="0" w:color="auto"/>
              <w:right w:val="single" w:sz="4" w:space="0" w:color="auto"/>
            </w:tcBorders>
            <w:shd w:val="clear" w:color="auto" w:fill="auto"/>
            <w:noWrap/>
            <w:vAlign w:val="center"/>
            <w:hideMark/>
          </w:tcPr>
          <w:p w14:paraId="3136A1EC"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proofErr w:type="gramStart"/>
            <w:r w:rsidRPr="00D74A1D">
              <w:rPr>
                <w:rFonts w:ascii="Times New Roman" w:eastAsia="游ゴシック" w:hAnsi="Times New Roman" w:cs="Times New Roman"/>
                <w:i/>
                <w:iCs/>
                <w:color w:val="000000"/>
                <w:kern w:val="0"/>
                <w:sz w:val="16"/>
                <w:szCs w:val="16"/>
              </w:rPr>
              <w:t>P.aeruginosa</w:t>
            </w:r>
            <w:proofErr w:type="spellEnd"/>
            <w:proofErr w:type="gramEnd"/>
          </w:p>
        </w:tc>
        <w:tc>
          <w:tcPr>
            <w:tcW w:w="912" w:type="dxa"/>
            <w:tcBorders>
              <w:top w:val="nil"/>
              <w:left w:val="nil"/>
              <w:bottom w:val="single" w:sz="4" w:space="0" w:color="auto"/>
              <w:right w:val="single" w:sz="4" w:space="0" w:color="auto"/>
            </w:tcBorders>
            <w:shd w:val="clear" w:color="auto" w:fill="auto"/>
            <w:noWrap/>
            <w:vAlign w:val="center"/>
            <w:hideMark/>
          </w:tcPr>
          <w:p w14:paraId="17EE97BB" w14:textId="77777777" w:rsidR="009A6641" w:rsidRPr="00D74A1D" w:rsidRDefault="009A6641" w:rsidP="009A6641">
            <w:pPr>
              <w:widowControl/>
              <w:jc w:val="left"/>
              <w:rPr>
                <w:rFonts w:ascii="Times New Roman" w:eastAsia="游ゴシック" w:hAnsi="Times New Roman" w:cs="Times New Roman"/>
                <w:i/>
                <w:iCs/>
                <w:color w:val="000000"/>
                <w:kern w:val="0"/>
                <w:sz w:val="16"/>
                <w:szCs w:val="16"/>
              </w:rPr>
            </w:pPr>
            <w:proofErr w:type="spellStart"/>
            <w:proofErr w:type="gramStart"/>
            <w:r w:rsidRPr="00D74A1D">
              <w:rPr>
                <w:rFonts w:ascii="Times New Roman" w:eastAsia="游ゴシック" w:hAnsi="Times New Roman" w:cs="Times New Roman"/>
                <w:i/>
                <w:iCs/>
                <w:color w:val="000000"/>
                <w:kern w:val="0"/>
                <w:sz w:val="16"/>
                <w:szCs w:val="16"/>
              </w:rPr>
              <w:t>A.baumannii</w:t>
            </w:r>
            <w:proofErr w:type="spellEnd"/>
            <w:proofErr w:type="gramEnd"/>
          </w:p>
        </w:tc>
        <w:tc>
          <w:tcPr>
            <w:tcW w:w="842" w:type="dxa"/>
            <w:tcBorders>
              <w:top w:val="nil"/>
              <w:left w:val="nil"/>
              <w:bottom w:val="single" w:sz="4" w:space="0" w:color="auto"/>
              <w:right w:val="single" w:sz="4" w:space="0" w:color="auto"/>
            </w:tcBorders>
            <w:shd w:val="clear" w:color="auto" w:fill="auto"/>
            <w:noWrap/>
            <w:vAlign w:val="center"/>
            <w:hideMark/>
          </w:tcPr>
          <w:p w14:paraId="373F8EDE" w14:textId="77777777" w:rsidR="009A6641" w:rsidRPr="00D74A1D" w:rsidRDefault="009A6641" w:rsidP="009A6641">
            <w:pPr>
              <w:widowControl/>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Atypical</w:t>
            </w:r>
          </w:p>
        </w:tc>
        <w:tc>
          <w:tcPr>
            <w:tcW w:w="768" w:type="dxa"/>
            <w:tcBorders>
              <w:top w:val="nil"/>
              <w:left w:val="nil"/>
              <w:bottom w:val="single" w:sz="4" w:space="0" w:color="auto"/>
              <w:right w:val="single" w:sz="4" w:space="0" w:color="auto"/>
            </w:tcBorders>
            <w:shd w:val="clear" w:color="auto" w:fill="auto"/>
            <w:noWrap/>
            <w:vAlign w:val="center"/>
            <w:hideMark/>
          </w:tcPr>
          <w:p w14:paraId="1C589B64"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ESBL</w:t>
            </w:r>
          </w:p>
        </w:tc>
        <w:tc>
          <w:tcPr>
            <w:tcW w:w="697" w:type="dxa"/>
            <w:tcBorders>
              <w:top w:val="nil"/>
              <w:left w:val="nil"/>
              <w:bottom w:val="single" w:sz="4" w:space="0" w:color="auto"/>
              <w:right w:val="single" w:sz="4" w:space="0" w:color="auto"/>
            </w:tcBorders>
            <w:shd w:val="clear" w:color="auto" w:fill="auto"/>
            <w:noWrap/>
            <w:vAlign w:val="center"/>
            <w:hideMark/>
          </w:tcPr>
          <w:p w14:paraId="0E4DFC69"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MRSA</w:t>
            </w:r>
          </w:p>
        </w:tc>
        <w:tc>
          <w:tcPr>
            <w:tcW w:w="697" w:type="dxa"/>
            <w:tcBorders>
              <w:top w:val="nil"/>
              <w:left w:val="nil"/>
              <w:bottom w:val="single" w:sz="4" w:space="0" w:color="auto"/>
              <w:right w:val="single" w:sz="4" w:space="0" w:color="auto"/>
            </w:tcBorders>
            <w:shd w:val="clear" w:color="auto" w:fill="auto"/>
            <w:noWrap/>
            <w:vAlign w:val="center"/>
            <w:hideMark/>
          </w:tcPr>
          <w:p w14:paraId="60D8FAA5"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PRSP</w:t>
            </w:r>
          </w:p>
        </w:tc>
        <w:tc>
          <w:tcPr>
            <w:tcW w:w="697" w:type="dxa"/>
            <w:tcBorders>
              <w:top w:val="nil"/>
              <w:left w:val="nil"/>
              <w:bottom w:val="single" w:sz="4" w:space="0" w:color="auto"/>
              <w:right w:val="single" w:sz="4" w:space="0" w:color="auto"/>
            </w:tcBorders>
            <w:shd w:val="clear" w:color="auto" w:fill="auto"/>
            <w:noWrap/>
            <w:vAlign w:val="center"/>
            <w:hideMark/>
          </w:tcPr>
          <w:p w14:paraId="7F14761C"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VRE</w:t>
            </w:r>
          </w:p>
        </w:tc>
        <w:tc>
          <w:tcPr>
            <w:tcW w:w="685" w:type="dxa"/>
            <w:tcBorders>
              <w:top w:val="nil"/>
              <w:left w:val="nil"/>
              <w:bottom w:val="single" w:sz="4" w:space="0" w:color="auto"/>
              <w:right w:val="single" w:sz="4" w:space="0" w:color="auto"/>
            </w:tcBorders>
            <w:shd w:val="clear" w:color="auto" w:fill="auto"/>
            <w:noWrap/>
            <w:vAlign w:val="center"/>
            <w:hideMark/>
          </w:tcPr>
          <w:p w14:paraId="4F041F22" w14:textId="77777777" w:rsidR="009A6641" w:rsidRPr="00D74A1D" w:rsidRDefault="009A6641" w:rsidP="009A6641">
            <w:pPr>
              <w:widowControl/>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CRE</w:t>
            </w:r>
          </w:p>
        </w:tc>
      </w:tr>
      <w:tr w:rsidR="009A6641" w:rsidRPr="00D74A1D" w14:paraId="789F9401"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3EBC4B5"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Benzathine benzylpenicillin</w:t>
            </w:r>
          </w:p>
        </w:tc>
        <w:tc>
          <w:tcPr>
            <w:tcW w:w="597" w:type="dxa"/>
            <w:tcBorders>
              <w:top w:val="nil"/>
              <w:left w:val="nil"/>
              <w:bottom w:val="single" w:sz="4" w:space="0" w:color="auto"/>
              <w:right w:val="single" w:sz="4" w:space="0" w:color="auto"/>
            </w:tcBorders>
            <w:shd w:val="clear" w:color="auto" w:fill="auto"/>
            <w:noWrap/>
            <w:vAlign w:val="center"/>
            <w:hideMark/>
          </w:tcPr>
          <w:p w14:paraId="16E6459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3</w:t>
            </w:r>
          </w:p>
        </w:tc>
        <w:tc>
          <w:tcPr>
            <w:tcW w:w="679" w:type="dxa"/>
            <w:tcBorders>
              <w:top w:val="nil"/>
              <w:left w:val="nil"/>
              <w:bottom w:val="single" w:sz="4" w:space="0" w:color="auto"/>
              <w:right w:val="single" w:sz="4" w:space="0" w:color="auto"/>
            </w:tcBorders>
            <w:shd w:val="clear" w:color="auto" w:fill="auto"/>
            <w:noWrap/>
            <w:vAlign w:val="center"/>
            <w:hideMark/>
          </w:tcPr>
          <w:p w14:paraId="1B07C88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14A3EE3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6FF7207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76A4E5D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2F136CD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17440D7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14:paraId="28C5440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32CFAA6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63C9979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47C9A26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1D68DAE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5AA2CFA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3305C7B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7FCB5CD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37B6A2F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7497A4F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55DAF368"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CFDDE48"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Spiramycin</w:t>
            </w:r>
          </w:p>
        </w:tc>
        <w:tc>
          <w:tcPr>
            <w:tcW w:w="597" w:type="dxa"/>
            <w:tcBorders>
              <w:top w:val="nil"/>
              <w:left w:val="nil"/>
              <w:bottom w:val="single" w:sz="4" w:space="0" w:color="auto"/>
              <w:right w:val="single" w:sz="4" w:space="0" w:color="auto"/>
            </w:tcBorders>
            <w:shd w:val="clear" w:color="auto" w:fill="auto"/>
            <w:noWrap/>
            <w:vAlign w:val="center"/>
            <w:hideMark/>
          </w:tcPr>
          <w:p w14:paraId="524523A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4</w:t>
            </w:r>
          </w:p>
        </w:tc>
        <w:tc>
          <w:tcPr>
            <w:tcW w:w="679" w:type="dxa"/>
            <w:tcBorders>
              <w:top w:val="nil"/>
              <w:left w:val="nil"/>
              <w:bottom w:val="single" w:sz="4" w:space="0" w:color="auto"/>
              <w:right w:val="single" w:sz="4" w:space="0" w:color="auto"/>
            </w:tcBorders>
            <w:shd w:val="clear" w:color="auto" w:fill="auto"/>
            <w:noWrap/>
            <w:vAlign w:val="center"/>
            <w:hideMark/>
          </w:tcPr>
          <w:p w14:paraId="4174CF8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394A211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6BE37DC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115C93F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27A4EA0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7CB402E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14:paraId="20E1819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06352D9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4122A20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68AE5B1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03E8F02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1A50B7A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25A1FB6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523561D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64F6AE3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6686A0F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77D7B0D7"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BB8D364"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Roxithromycin</w:t>
            </w:r>
          </w:p>
        </w:tc>
        <w:tc>
          <w:tcPr>
            <w:tcW w:w="597" w:type="dxa"/>
            <w:tcBorders>
              <w:top w:val="nil"/>
              <w:left w:val="nil"/>
              <w:bottom w:val="single" w:sz="4" w:space="0" w:color="auto"/>
              <w:right w:val="single" w:sz="4" w:space="0" w:color="auto"/>
            </w:tcBorders>
            <w:shd w:val="clear" w:color="auto" w:fill="auto"/>
            <w:noWrap/>
            <w:vAlign w:val="center"/>
            <w:hideMark/>
          </w:tcPr>
          <w:p w14:paraId="0C9291C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5</w:t>
            </w:r>
          </w:p>
        </w:tc>
        <w:tc>
          <w:tcPr>
            <w:tcW w:w="679" w:type="dxa"/>
            <w:tcBorders>
              <w:top w:val="nil"/>
              <w:left w:val="nil"/>
              <w:bottom w:val="single" w:sz="4" w:space="0" w:color="auto"/>
              <w:right w:val="single" w:sz="4" w:space="0" w:color="auto"/>
            </w:tcBorders>
            <w:shd w:val="clear" w:color="auto" w:fill="auto"/>
            <w:noWrap/>
            <w:vAlign w:val="center"/>
            <w:hideMark/>
          </w:tcPr>
          <w:p w14:paraId="6DEF28B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0AFA529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403E6D3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35F0264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58F9491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6E759BE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30EB78C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859EF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252F814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2A7F790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7753D60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66463FA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3005C32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681CEAA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38625AE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304590F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1724768A"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8A82922"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Ampicillin-cloxacillin</w:t>
            </w:r>
          </w:p>
        </w:tc>
        <w:tc>
          <w:tcPr>
            <w:tcW w:w="597" w:type="dxa"/>
            <w:tcBorders>
              <w:top w:val="nil"/>
              <w:left w:val="nil"/>
              <w:bottom w:val="single" w:sz="4" w:space="0" w:color="auto"/>
              <w:right w:val="single" w:sz="4" w:space="0" w:color="auto"/>
            </w:tcBorders>
            <w:shd w:val="clear" w:color="auto" w:fill="auto"/>
            <w:noWrap/>
            <w:vAlign w:val="center"/>
            <w:hideMark/>
          </w:tcPr>
          <w:p w14:paraId="563ECF1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6</w:t>
            </w:r>
          </w:p>
        </w:tc>
        <w:tc>
          <w:tcPr>
            <w:tcW w:w="679" w:type="dxa"/>
            <w:tcBorders>
              <w:top w:val="nil"/>
              <w:left w:val="nil"/>
              <w:bottom w:val="single" w:sz="4" w:space="0" w:color="auto"/>
              <w:right w:val="single" w:sz="4" w:space="0" w:color="auto"/>
            </w:tcBorders>
            <w:shd w:val="clear" w:color="auto" w:fill="auto"/>
            <w:noWrap/>
            <w:vAlign w:val="center"/>
            <w:hideMark/>
          </w:tcPr>
          <w:p w14:paraId="429BD27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EE5032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62B6E1A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1CFBD8D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04BAEF7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1281CB5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1862FFB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F9801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06B33C4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251B844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2BAE322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54C7731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029605A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5064A80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408EB06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3D12D93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52F7CF20"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CE45842"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proofErr w:type="spellStart"/>
            <w:r w:rsidRPr="00D74A1D">
              <w:rPr>
                <w:rFonts w:ascii="Times New Roman" w:eastAsia="游ゴシック" w:hAnsi="Times New Roman" w:cs="Times New Roman"/>
                <w:color w:val="000000"/>
                <w:kern w:val="0"/>
                <w:sz w:val="16"/>
                <w:szCs w:val="16"/>
              </w:rPr>
              <w:t>Sultamicillin</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14:paraId="0F1ACAC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7</w:t>
            </w:r>
          </w:p>
        </w:tc>
        <w:tc>
          <w:tcPr>
            <w:tcW w:w="679" w:type="dxa"/>
            <w:tcBorders>
              <w:top w:val="nil"/>
              <w:left w:val="nil"/>
              <w:bottom w:val="single" w:sz="4" w:space="0" w:color="auto"/>
              <w:right w:val="single" w:sz="4" w:space="0" w:color="auto"/>
            </w:tcBorders>
            <w:shd w:val="clear" w:color="auto" w:fill="auto"/>
            <w:noWrap/>
            <w:vAlign w:val="center"/>
            <w:hideMark/>
          </w:tcPr>
          <w:p w14:paraId="11E2C07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42FE4C3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30BF335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3221B4D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5223C8A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41D607C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4AF6792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6C93792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709CBEA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484A66D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6957B75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65218D1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532FDC8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6E2B904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184A522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763E66B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636C805E"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7D1EBA6" w14:textId="070F2A1C"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Arbekacin</w:t>
            </w:r>
            <w:r w:rsidR="000C56EB" w:rsidRPr="00D74A1D">
              <w:rPr>
                <w:rFonts w:ascii="Times New Roman" w:eastAsia="游ゴシック" w:hAnsi="Times New Roman" w:cs="Times New Roman"/>
                <w:kern w:val="0"/>
                <w:sz w:val="16"/>
                <w:szCs w:val="16"/>
              </w:rPr>
              <w:t xml:space="preserve"> [</w:t>
            </w:r>
            <w:r w:rsidR="009019E4">
              <w:rPr>
                <w:rFonts w:ascii="Times New Roman" w:eastAsia="游ゴシック" w:hAnsi="Times New Roman" w:cs="Times New Roman" w:hint="eastAsia"/>
                <w:kern w:val="0"/>
                <w:sz w:val="16"/>
                <w:szCs w:val="16"/>
              </w:rPr>
              <w:t>10</w:t>
            </w:r>
            <w:r w:rsidR="000C56EB" w:rsidRPr="00D74A1D">
              <w:rPr>
                <w:rFonts w:ascii="Times New Roman" w:eastAsia="游ゴシック" w:hAnsi="Times New Roman" w:cs="Times New Roman"/>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1B49FDC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7</w:t>
            </w:r>
          </w:p>
        </w:tc>
        <w:tc>
          <w:tcPr>
            <w:tcW w:w="679" w:type="dxa"/>
            <w:tcBorders>
              <w:top w:val="nil"/>
              <w:left w:val="nil"/>
              <w:bottom w:val="single" w:sz="4" w:space="0" w:color="auto"/>
              <w:right w:val="single" w:sz="4" w:space="0" w:color="auto"/>
            </w:tcBorders>
            <w:shd w:val="clear" w:color="auto" w:fill="auto"/>
            <w:noWrap/>
            <w:vAlign w:val="center"/>
            <w:hideMark/>
          </w:tcPr>
          <w:p w14:paraId="009A415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38C8A1D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37" w:type="dxa"/>
            <w:tcBorders>
              <w:top w:val="nil"/>
              <w:left w:val="nil"/>
              <w:bottom w:val="single" w:sz="4" w:space="0" w:color="auto"/>
              <w:right w:val="single" w:sz="4" w:space="0" w:color="auto"/>
            </w:tcBorders>
            <w:shd w:val="clear" w:color="auto" w:fill="auto"/>
            <w:noWrap/>
            <w:vAlign w:val="center"/>
            <w:hideMark/>
          </w:tcPr>
          <w:p w14:paraId="03F5475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73BDB2A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4F7CCF9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0235DDE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678ECA4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6BF2B3B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58E5BE4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00C2D18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4CEC6F3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2574A9D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07A570C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70E3846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635BAA5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4EA3226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7A35514B"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4858F02"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proofErr w:type="spellStart"/>
            <w:r w:rsidRPr="00D74A1D">
              <w:rPr>
                <w:rFonts w:ascii="Times New Roman" w:eastAsia="游ゴシック" w:hAnsi="Times New Roman" w:cs="Times New Roman"/>
                <w:color w:val="000000"/>
                <w:kern w:val="0"/>
                <w:sz w:val="16"/>
                <w:szCs w:val="16"/>
              </w:rPr>
              <w:t>Dibekacin</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14:paraId="22CC190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8</w:t>
            </w:r>
          </w:p>
        </w:tc>
        <w:tc>
          <w:tcPr>
            <w:tcW w:w="679" w:type="dxa"/>
            <w:tcBorders>
              <w:top w:val="nil"/>
              <w:left w:val="nil"/>
              <w:bottom w:val="single" w:sz="4" w:space="0" w:color="auto"/>
              <w:right w:val="single" w:sz="4" w:space="0" w:color="auto"/>
            </w:tcBorders>
            <w:shd w:val="clear" w:color="auto" w:fill="auto"/>
            <w:noWrap/>
            <w:vAlign w:val="center"/>
            <w:hideMark/>
          </w:tcPr>
          <w:p w14:paraId="0AE9824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3B36C77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37" w:type="dxa"/>
            <w:tcBorders>
              <w:top w:val="nil"/>
              <w:left w:val="nil"/>
              <w:bottom w:val="single" w:sz="4" w:space="0" w:color="auto"/>
              <w:right w:val="single" w:sz="4" w:space="0" w:color="auto"/>
            </w:tcBorders>
            <w:shd w:val="clear" w:color="auto" w:fill="auto"/>
            <w:noWrap/>
            <w:vAlign w:val="center"/>
            <w:hideMark/>
          </w:tcPr>
          <w:p w14:paraId="3F8FD20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0B78A17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2DD847E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5D4B165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24A44AD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D7E80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6EED512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214EFB4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842" w:type="dxa"/>
            <w:tcBorders>
              <w:top w:val="nil"/>
              <w:left w:val="nil"/>
              <w:bottom w:val="single" w:sz="4" w:space="0" w:color="auto"/>
              <w:right w:val="single" w:sz="4" w:space="0" w:color="auto"/>
            </w:tcBorders>
            <w:shd w:val="clear" w:color="auto" w:fill="auto"/>
            <w:noWrap/>
            <w:vAlign w:val="center"/>
            <w:hideMark/>
          </w:tcPr>
          <w:p w14:paraId="6E0A3F3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1A28D15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2AF3C9D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6593827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6700FA0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2B83CBF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44333982"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A7CA6C6"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Streptomycin</w:t>
            </w:r>
          </w:p>
        </w:tc>
        <w:tc>
          <w:tcPr>
            <w:tcW w:w="597" w:type="dxa"/>
            <w:tcBorders>
              <w:top w:val="nil"/>
              <w:left w:val="nil"/>
              <w:bottom w:val="single" w:sz="4" w:space="0" w:color="auto"/>
              <w:right w:val="single" w:sz="4" w:space="0" w:color="auto"/>
            </w:tcBorders>
            <w:shd w:val="clear" w:color="auto" w:fill="auto"/>
            <w:noWrap/>
            <w:vAlign w:val="center"/>
            <w:hideMark/>
          </w:tcPr>
          <w:p w14:paraId="4B16F5F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8</w:t>
            </w:r>
          </w:p>
        </w:tc>
        <w:tc>
          <w:tcPr>
            <w:tcW w:w="679" w:type="dxa"/>
            <w:tcBorders>
              <w:top w:val="nil"/>
              <w:left w:val="nil"/>
              <w:bottom w:val="single" w:sz="4" w:space="0" w:color="auto"/>
              <w:right w:val="single" w:sz="4" w:space="0" w:color="auto"/>
            </w:tcBorders>
            <w:shd w:val="clear" w:color="auto" w:fill="auto"/>
            <w:noWrap/>
            <w:vAlign w:val="center"/>
            <w:hideMark/>
          </w:tcPr>
          <w:p w14:paraId="4AE5C34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B80E1B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37" w:type="dxa"/>
            <w:tcBorders>
              <w:top w:val="nil"/>
              <w:left w:val="nil"/>
              <w:bottom w:val="single" w:sz="4" w:space="0" w:color="auto"/>
              <w:right w:val="single" w:sz="4" w:space="0" w:color="auto"/>
            </w:tcBorders>
            <w:shd w:val="clear" w:color="auto" w:fill="auto"/>
            <w:noWrap/>
            <w:vAlign w:val="center"/>
            <w:hideMark/>
          </w:tcPr>
          <w:p w14:paraId="4A5F22E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3ECB15C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100FDBB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4B6D0CE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31955C8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0A7F2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0FBBECA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3772B07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842" w:type="dxa"/>
            <w:tcBorders>
              <w:top w:val="nil"/>
              <w:left w:val="nil"/>
              <w:bottom w:val="single" w:sz="4" w:space="0" w:color="auto"/>
              <w:right w:val="single" w:sz="4" w:space="0" w:color="auto"/>
            </w:tcBorders>
            <w:shd w:val="clear" w:color="auto" w:fill="auto"/>
            <w:noWrap/>
            <w:vAlign w:val="center"/>
            <w:hideMark/>
          </w:tcPr>
          <w:p w14:paraId="45E7967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60856FD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7A21301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663E2AF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7A03D68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004A79E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079E7963"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31F89B"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proofErr w:type="spellStart"/>
            <w:r w:rsidRPr="00D74A1D">
              <w:rPr>
                <w:rFonts w:ascii="Times New Roman" w:eastAsia="游ゴシック" w:hAnsi="Times New Roman" w:cs="Times New Roman"/>
                <w:color w:val="000000"/>
                <w:kern w:val="0"/>
                <w:sz w:val="16"/>
                <w:szCs w:val="16"/>
              </w:rPr>
              <w:t>Isepamicin</w:t>
            </w:r>
            <w:proofErr w:type="spellEnd"/>
          </w:p>
        </w:tc>
        <w:tc>
          <w:tcPr>
            <w:tcW w:w="597" w:type="dxa"/>
            <w:tcBorders>
              <w:top w:val="nil"/>
              <w:left w:val="nil"/>
              <w:bottom w:val="single" w:sz="4" w:space="0" w:color="auto"/>
              <w:right w:val="single" w:sz="4" w:space="0" w:color="auto"/>
            </w:tcBorders>
            <w:shd w:val="clear" w:color="auto" w:fill="auto"/>
            <w:noWrap/>
            <w:vAlign w:val="center"/>
            <w:hideMark/>
          </w:tcPr>
          <w:p w14:paraId="241B4C5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8</w:t>
            </w:r>
          </w:p>
        </w:tc>
        <w:tc>
          <w:tcPr>
            <w:tcW w:w="679" w:type="dxa"/>
            <w:tcBorders>
              <w:top w:val="nil"/>
              <w:left w:val="nil"/>
              <w:bottom w:val="single" w:sz="4" w:space="0" w:color="auto"/>
              <w:right w:val="single" w:sz="4" w:space="0" w:color="auto"/>
            </w:tcBorders>
            <w:shd w:val="clear" w:color="auto" w:fill="auto"/>
            <w:noWrap/>
            <w:vAlign w:val="center"/>
            <w:hideMark/>
          </w:tcPr>
          <w:p w14:paraId="464D87F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2765019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37" w:type="dxa"/>
            <w:tcBorders>
              <w:top w:val="nil"/>
              <w:left w:val="nil"/>
              <w:bottom w:val="single" w:sz="4" w:space="0" w:color="auto"/>
              <w:right w:val="single" w:sz="4" w:space="0" w:color="auto"/>
            </w:tcBorders>
            <w:shd w:val="clear" w:color="auto" w:fill="auto"/>
            <w:noWrap/>
            <w:vAlign w:val="center"/>
            <w:hideMark/>
          </w:tcPr>
          <w:p w14:paraId="68F9E96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20" w:type="dxa"/>
            <w:tcBorders>
              <w:top w:val="nil"/>
              <w:left w:val="nil"/>
              <w:bottom w:val="single" w:sz="4" w:space="0" w:color="auto"/>
              <w:right w:val="single" w:sz="4" w:space="0" w:color="auto"/>
            </w:tcBorders>
            <w:shd w:val="clear" w:color="auto" w:fill="auto"/>
            <w:noWrap/>
            <w:vAlign w:val="center"/>
            <w:hideMark/>
          </w:tcPr>
          <w:p w14:paraId="567CB49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0928F55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03583D4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6B33BB9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3AB1425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3D49CD9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5361854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842" w:type="dxa"/>
            <w:tcBorders>
              <w:top w:val="nil"/>
              <w:left w:val="nil"/>
              <w:bottom w:val="single" w:sz="4" w:space="0" w:color="auto"/>
              <w:right w:val="single" w:sz="4" w:space="0" w:color="auto"/>
            </w:tcBorders>
            <w:shd w:val="clear" w:color="auto" w:fill="auto"/>
            <w:noWrap/>
            <w:vAlign w:val="center"/>
            <w:hideMark/>
          </w:tcPr>
          <w:p w14:paraId="5F42EA0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2519FF3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715FC80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028A7EF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1636182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3449A07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467D382F"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A37140"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Ampicillin + clarithromycin</w:t>
            </w:r>
          </w:p>
        </w:tc>
        <w:tc>
          <w:tcPr>
            <w:tcW w:w="597" w:type="dxa"/>
            <w:tcBorders>
              <w:top w:val="nil"/>
              <w:left w:val="nil"/>
              <w:bottom w:val="single" w:sz="4" w:space="0" w:color="auto"/>
              <w:right w:val="single" w:sz="4" w:space="0" w:color="auto"/>
            </w:tcBorders>
            <w:shd w:val="clear" w:color="auto" w:fill="auto"/>
            <w:noWrap/>
            <w:vAlign w:val="center"/>
            <w:hideMark/>
          </w:tcPr>
          <w:p w14:paraId="4A3C9D7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8</w:t>
            </w:r>
          </w:p>
        </w:tc>
        <w:tc>
          <w:tcPr>
            <w:tcW w:w="679" w:type="dxa"/>
            <w:tcBorders>
              <w:top w:val="nil"/>
              <w:left w:val="nil"/>
              <w:bottom w:val="single" w:sz="4" w:space="0" w:color="auto"/>
              <w:right w:val="single" w:sz="4" w:space="0" w:color="auto"/>
            </w:tcBorders>
            <w:shd w:val="clear" w:color="auto" w:fill="auto"/>
            <w:noWrap/>
            <w:vAlign w:val="center"/>
            <w:hideMark/>
          </w:tcPr>
          <w:p w14:paraId="127273D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4BD2D81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72B9EF0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6213001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0DF7164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5B1D48F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0D8478D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1D369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31C3E7D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43A20AA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3A7FA9E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4EA682D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64F7916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089322C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0FAAACE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21B8B82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5C42C1DA"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CE14D9F" w14:textId="77777777"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Ampicillin + metronidazole</w:t>
            </w:r>
          </w:p>
        </w:tc>
        <w:tc>
          <w:tcPr>
            <w:tcW w:w="597" w:type="dxa"/>
            <w:tcBorders>
              <w:top w:val="nil"/>
              <w:left w:val="nil"/>
              <w:bottom w:val="single" w:sz="4" w:space="0" w:color="auto"/>
              <w:right w:val="single" w:sz="4" w:space="0" w:color="auto"/>
            </w:tcBorders>
            <w:shd w:val="clear" w:color="auto" w:fill="auto"/>
            <w:noWrap/>
            <w:vAlign w:val="center"/>
            <w:hideMark/>
          </w:tcPr>
          <w:p w14:paraId="7A6BB1D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8</w:t>
            </w:r>
          </w:p>
        </w:tc>
        <w:tc>
          <w:tcPr>
            <w:tcW w:w="679" w:type="dxa"/>
            <w:tcBorders>
              <w:top w:val="nil"/>
              <w:left w:val="nil"/>
              <w:bottom w:val="single" w:sz="4" w:space="0" w:color="auto"/>
              <w:right w:val="single" w:sz="4" w:space="0" w:color="auto"/>
            </w:tcBorders>
            <w:shd w:val="clear" w:color="auto" w:fill="auto"/>
            <w:noWrap/>
            <w:vAlign w:val="center"/>
            <w:hideMark/>
          </w:tcPr>
          <w:p w14:paraId="1092603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5A82196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4C14CB0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54BD79C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03F57D8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7BDE047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0F5DB08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1849211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4887ACE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1801C8B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177D7B9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43FBB77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2AB9EEA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3A054CC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785EDBB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6A1FAD2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0C4944CD"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813BEBC" w14:textId="6BCF277F"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proofErr w:type="spellStart"/>
            <w:r w:rsidRPr="00D74A1D">
              <w:rPr>
                <w:rFonts w:ascii="Times New Roman" w:eastAsia="游ゴシック" w:hAnsi="Times New Roman" w:cs="Times New Roman"/>
                <w:color w:val="000000"/>
                <w:kern w:val="0"/>
                <w:sz w:val="16"/>
                <w:szCs w:val="16"/>
              </w:rPr>
              <w:t>Faropenem</w:t>
            </w:r>
            <w:proofErr w:type="spellEnd"/>
            <w:r w:rsidRPr="00D74A1D">
              <w:rPr>
                <w:rFonts w:ascii="Times New Roman" w:eastAsia="游ゴシック" w:hAnsi="Times New Roman" w:cs="Times New Roman"/>
                <w:color w:val="000000"/>
                <w:kern w:val="0"/>
                <w:sz w:val="16"/>
                <w:szCs w:val="16"/>
              </w:rPr>
              <w:t xml:space="preserve"> [</w:t>
            </w:r>
            <w:r w:rsidR="009019E4">
              <w:rPr>
                <w:rFonts w:ascii="Times New Roman" w:eastAsia="游ゴシック" w:hAnsi="Times New Roman" w:cs="Times New Roman" w:hint="eastAsia"/>
                <w:color w:val="000000"/>
                <w:kern w:val="0"/>
                <w:sz w:val="16"/>
                <w:szCs w:val="16"/>
              </w:rPr>
              <w:t>11</w:t>
            </w:r>
            <w:r w:rsidRPr="00D74A1D">
              <w:rPr>
                <w:rFonts w:ascii="Times New Roman" w:eastAsia="游ゴシック" w:hAnsi="Times New Roman" w:cs="Times New Roman"/>
                <w:color w:val="000000"/>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7888F36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10</w:t>
            </w:r>
          </w:p>
        </w:tc>
        <w:tc>
          <w:tcPr>
            <w:tcW w:w="679" w:type="dxa"/>
            <w:tcBorders>
              <w:top w:val="nil"/>
              <w:left w:val="nil"/>
              <w:bottom w:val="single" w:sz="4" w:space="0" w:color="auto"/>
              <w:right w:val="single" w:sz="4" w:space="0" w:color="auto"/>
            </w:tcBorders>
            <w:shd w:val="clear" w:color="auto" w:fill="auto"/>
            <w:noWrap/>
            <w:vAlign w:val="center"/>
            <w:hideMark/>
          </w:tcPr>
          <w:p w14:paraId="38EED71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3DBD6B7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26CF6D5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7EA3AC8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681DA64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5480F4B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723810A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6BE3B52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19A974F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14F8A21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216FF47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5F0299CD" w14:textId="641A08A6"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01D3312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1E1088C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7B5CAA5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2D00A1B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27368E00"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1E112FC" w14:textId="052B1D3D"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Tebipenem [</w:t>
            </w:r>
            <w:r w:rsidR="009019E4">
              <w:rPr>
                <w:rFonts w:ascii="Times New Roman" w:eastAsia="游ゴシック" w:hAnsi="Times New Roman" w:cs="Times New Roman" w:hint="eastAsia"/>
                <w:color w:val="000000"/>
                <w:kern w:val="0"/>
                <w:sz w:val="16"/>
                <w:szCs w:val="16"/>
              </w:rPr>
              <w:t>12</w:t>
            </w:r>
            <w:r w:rsidRPr="00D74A1D">
              <w:rPr>
                <w:rFonts w:ascii="Times New Roman" w:eastAsia="游ゴシック" w:hAnsi="Times New Roman" w:cs="Times New Roman"/>
                <w:color w:val="000000"/>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62A2355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10</w:t>
            </w:r>
          </w:p>
        </w:tc>
        <w:tc>
          <w:tcPr>
            <w:tcW w:w="679" w:type="dxa"/>
            <w:tcBorders>
              <w:top w:val="nil"/>
              <w:left w:val="nil"/>
              <w:bottom w:val="single" w:sz="4" w:space="0" w:color="auto"/>
              <w:right w:val="single" w:sz="4" w:space="0" w:color="auto"/>
            </w:tcBorders>
            <w:shd w:val="clear" w:color="auto" w:fill="auto"/>
            <w:noWrap/>
            <w:vAlign w:val="center"/>
            <w:hideMark/>
          </w:tcPr>
          <w:p w14:paraId="03E47AA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F42602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606F082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1E98166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4BA1737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0BD89A7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0FA9A99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DB8C5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53A5112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7E8FA35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677B085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768" w:type="dxa"/>
            <w:tcBorders>
              <w:top w:val="nil"/>
              <w:left w:val="nil"/>
              <w:bottom w:val="single" w:sz="4" w:space="0" w:color="auto"/>
              <w:right w:val="single" w:sz="4" w:space="0" w:color="auto"/>
            </w:tcBorders>
            <w:shd w:val="clear" w:color="auto" w:fill="auto"/>
            <w:noWrap/>
            <w:vAlign w:val="center"/>
            <w:hideMark/>
          </w:tcPr>
          <w:p w14:paraId="75FBDEA0" w14:textId="23D87C9F"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5A9884F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97" w:type="dxa"/>
            <w:tcBorders>
              <w:top w:val="nil"/>
              <w:left w:val="nil"/>
              <w:bottom w:val="single" w:sz="4" w:space="0" w:color="auto"/>
              <w:right w:val="single" w:sz="4" w:space="0" w:color="auto"/>
            </w:tcBorders>
            <w:shd w:val="clear" w:color="auto" w:fill="auto"/>
            <w:noWrap/>
            <w:vAlign w:val="center"/>
            <w:hideMark/>
          </w:tcPr>
          <w:p w14:paraId="2832578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2E55387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1664770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1E5D8218"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2F25CA8" w14:textId="620D686D"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Pazufloxacin [</w:t>
            </w:r>
            <w:r w:rsidR="009019E4">
              <w:rPr>
                <w:rFonts w:ascii="Times New Roman" w:eastAsia="游ゴシック" w:hAnsi="Times New Roman" w:cs="Times New Roman" w:hint="eastAsia"/>
                <w:color w:val="000000"/>
                <w:kern w:val="0"/>
                <w:sz w:val="16"/>
                <w:szCs w:val="16"/>
              </w:rPr>
              <w:t>13, 14</w:t>
            </w:r>
            <w:r w:rsidRPr="00D74A1D">
              <w:rPr>
                <w:rFonts w:ascii="Times New Roman" w:eastAsia="游ゴシック" w:hAnsi="Times New Roman" w:cs="Times New Roman"/>
                <w:color w:val="000000"/>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56D97DE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12</w:t>
            </w:r>
          </w:p>
        </w:tc>
        <w:tc>
          <w:tcPr>
            <w:tcW w:w="679" w:type="dxa"/>
            <w:tcBorders>
              <w:top w:val="nil"/>
              <w:left w:val="nil"/>
              <w:bottom w:val="single" w:sz="4" w:space="0" w:color="auto"/>
              <w:right w:val="single" w:sz="4" w:space="0" w:color="auto"/>
            </w:tcBorders>
            <w:shd w:val="clear" w:color="auto" w:fill="auto"/>
            <w:noWrap/>
            <w:vAlign w:val="center"/>
            <w:hideMark/>
          </w:tcPr>
          <w:p w14:paraId="70BF33D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233EEA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4D5693B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0D6CDB3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24" w:type="dxa"/>
            <w:tcBorders>
              <w:top w:val="nil"/>
              <w:left w:val="nil"/>
              <w:bottom w:val="single" w:sz="4" w:space="0" w:color="auto"/>
              <w:right w:val="single" w:sz="4" w:space="0" w:color="auto"/>
            </w:tcBorders>
            <w:shd w:val="clear" w:color="auto" w:fill="auto"/>
            <w:noWrap/>
            <w:vAlign w:val="center"/>
            <w:hideMark/>
          </w:tcPr>
          <w:p w14:paraId="2422DF1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1077" w:type="dxa"/>
            <w:tcBorders>
              <w:top w:val="nil"/>
              <w:left w:val="nil"/>
              <w:bottom w:val="single" w:sz="4" w:space="0" w:color="auto"/>
              <w:right w:val="single" w:sz="4" w:space="0" w:color="auto"/>
            </w:tcBorders>
            <w:shd w:val="clear" w:color="auto" w:fill="auto"/>
            <w:noWrap/>
            <w:vAlign w:val="center"/>
            <w:hideMark/>
          </w:tcPr>
          <w:p w14:paraId="68D556D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5B7135A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2123D5F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76D4CC4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1*3</w:t>
            </w:r>
          </w:p>
        </w:tc>
        <w:tc>
          <w:tcPr>
            <w:tcW w:w="912" w:type="dxa"/>
            <w:tcBorders>
              <w:top w:val="nil"/>
              <w:left w:val="nil"/>
              <w:bottom w:val="single" w:sz="4" w:space="0" w:color="auto"/>
              <w:right w:val="single" w:sz="4" w:space="0" w:color="auto"/>
            </w:tcBorders>
            <w:shd w:val="clear" w:color="auto" w:fill="auto"/>
            <w:noWrap/>
            <w:vAlign w:val="center"/>
            <w:hideMark/>
          </w:tcPr>
          <w:p w14:paraId="5CACE42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1*5</w:t>
            </w:r>
          </w:p>
        </w:tc>
        <w:tc>
          <w:tcPr>
            <w:tcW w:w="842" w:type="dxa"/>
            <w:tcBorders>
              <w:top w:val="nil"/>
              <w:left w:val="nil"/>
              <w:bottom w:val="single" w:sz="4" w:space="0" w:color="auto"/>
              <w:right w:val="single" w:sz="4" w:space="0" w:color="auto"/>
            </w:tcBorders>
            <w:shd w:val="clear" w:color="auto" w:fill="auto"/>
            <w:noWrap/>
            <w:vAlign w:val="center"/>
            <w:hideMark/>
          </w:tcPr>
          <w:p w14:paraId="6FB9A6D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4041D3C1"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38656A8E"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1*3</w:t>
            </w:r>
          </w:p>
        </w:tc>
        <w:tc>
          <w:tcPr>
            <w:tcW w:w="697" w:type="dxa"/>
            <w:tcBorders>
              <w:top w:val="nil"/>
              <w:left w:val="nil"/>
              <w:bottom w:val="single" w:sz="4" w:space="0" w:color="auto"/>
              <w:right w:val="single" w:sz="4" w:space="0" w:color="auto"/>
            </w:tcBorders>
            <w:shd w:val="clear" w:color="auto" w:fill="auto"/>
            <w:noWrap/>
            <w:vAlign w:val="center"/>
            <w:hideMark/>
          </w:tcPr>
          <w:p w14:paraId="25B5A27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4425FFF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00D8F5E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7CF597D5"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454A5E5" w14:textId="376C1170"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proofErr w:type="spellStart"/>
            <w:r w:rsidRPr="00D74A1D">
              <w:rPr>
                <w:rFonts w:ascii="Times New Roman" w:eastAsia="游ゴシック" w:hAnsi="Times New Roman" w:cs="Times New Roman"/>
                <w:color w:val="000000"/>
                <w:kern w:val="0"/>
                <w:sz w:val="16"/>
                <w:szCs w:val="16"/>
              </w:rPr>
              <w:t>Lascufloxacin</w:t>
            </w:r>
            <w:proofErr w:type="spellEnd"/>
            <w:r w:rsidR="000C56EB" w:rsidRPr="00D74A1D">
              <w:rPr>
                <w:rFonts w:ascii="Times New Roman" w:eastAsia="游ゴシック" w:hAnsi="Times New Roman" w:cs="Times New Roman"/>
                <w:color w:val="000000"/>
                <w:kern w:val="0"/>
                <w:sz w:val="16"/>
                <w:szCs w:val="16"/>
              </w:rPr>
              <w:t xml:space="preserve"> [</w:t>
            </w:r>
            <w:r w:rsidR="00DB344C" w:rsidRPr="00D74A1D">
              <w:rPr>
                <w:rFonts w:ascii="Times New Roman" w:eastAsia="游ゴシック" w:hAnsi="Times New Roman" w:cs="Times New Roman" w:hint="eastAsia"/>
                <w:color w:val="000000"/>
                <w:kern w:val="0"/>
                <w:sz w:val="16"/>
                <w:szCs w:val="16"/>
              </w:rPr>
              <w:t>1</w:t>
            </w:r>
            <w:r w:rsidR="009019E4">
              <w:rPr>
                <w:rFonts w:ascii="Times New Roman" w:eastAsia="游ゴシック" w:hAnsi="Times New Roman" w:cs="Times New Roman" w:hint="eastAsia"/>
                <w:color w:val="000000"/>
                <w:kern w:val="0"/>
                <w:sz w:val="16"/>
                <w:szCs w:val="16"/>
              </w:rPr>
              <w:t>5</w:t>
            </w:r>
            <w:r w:rsidR="000C56EB" w:rsidRPr="00D74A1D">
              <w:rPr>
                <w:rFonts w:ascii="Times New Roman" w:eastAsia="游ゴシック" w:hAnsi="Times New Roman" w:cs="Times New Roman"/>
                <w:color w:val="000000"/>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3E6CF2A2"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12</w:t>
            </w:r>
          </w:p>
        </w:tc>
        <w:tc>
          <w:tcPr>
            <w:tcW w:w="679" w:type="dxa"/>
            <w:tcBorders>
              <w:top w:val="nil"/>
              <w:left w:val="nil"/>
              <w:bottom w:val="single" w:sz="4" w:space="0" w:color="auto"/>
              <w:right w:val="single" w:sz="4" w:space="0" w:color="auto"/>
            </w:tcBorders>
            <w:shd w:val="clear" w:color="auto" w:fill="auto"/>
            <w:noWrap/>
            <w:vAlign w:val="center"/>
            <w:hideMark/>
          </w:tcPr>
          <w:p w14:paraId="74A5080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A31EE8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68987FC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3D6B64F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5C0E1A5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24168DE6"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104E6CC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B0A97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3361645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912" w:type="dxa"/>
            <w:tcBorders>
              <w:top w:val="nil"/>
              <w:left w:val="nil"/>
              <w:bottom w:val="single" w:sz="4" w:space="0" w:color="auto"/>
              <w:right w:val="single" w:sz="4" w:space="0" w:color="auto"/>
            </w:tcBorders>
            <w:shd w:val="clear" w:color="auto" w:fill="auto"/>
            <w:noWrap/>
            <w:vAlign w:val="center"/>
            <w:hideMark/>
          </w:tcPr>
          <w:p w14:paraId="3A54177B"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47159F6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23910477"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0D651F1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1*1</w:t>
            </w:r>
          </w:p>
        </w:tc>
        <w:tc>
          <w:tcPr>
            <w:tcW w:w="697" w:type="dxa"/>
            <w:tcBorders>
              <w:top w:val="nil"/>
              <w:left w:val="nil"/>
              <w:bottom w:val="single" w:sz="4" w:space="0" w:color="auto"/>
              <w:right w:val="single" w:sz="4" w:space="0" w:color="auto"/>
            </w:tcBorders>
            <w:shd w:val="clear" w:color="auto" w:fill="auto"/>
            <w:noWrap/>
            <w:vAlign w:val="center"/>
            <w:hideMark/>
          </w:tcPr>
          <w:p w14:paraId="7B66E210"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34FB73C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2D96603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r w:rsidR="009A6641" w:rsidRPr="00D74A1D" w14:paraId="443AA40E" w14:textId="77777777" w:rsidTr="000C56EB">
        <w:trPr>
          <w:trHeight w:val="34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4CECAA0" w14:textId="47E5C87C" w:rsidR="009A6641" w:rsidRPr="00D74A1D" w:rsidRDefault="009A6641" w:rsidP="000C56EB">
            <w:pPr>
              <w:widowControl/>
              <w:spacing w:line="240" w:lineRule="exact"/>
              <w:jc w:val="left"/>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Prulifloxacin</w:t>
            </w:r>
            <w:r w:rsidR="000C56EB" w:rsidRPr="00D74A1D">
              <w:rPr>
                <w:rFonts w:ascii="Times New Roman" w:eastAsia="游ゴシック" w:hAnsi="Times New Roman" w:cs="Times New Roman"/>
                <w:color w:val="000000"/>
                <w:kern w:val="0"/>
                <w:sz w:val="16"/>
                <w:szCs w:val="16"/>
              </w:rPr>
              <w:t xml:space="preserve"> [</w:t>
            </w:r>
            <w:r w:rsidR="009019E4">
              <w:rPr>
                <w:rFonts w:ascii="Times New Roman" w:eastAsia="游ゴシック" w:hAnsi="Times New Roman" w:cs="Times New Roman" w:hint="eastAsia"/>
                <w:color w:val="000000"/>
                <w:kern w:val="0"/>
                <w:sz w:val="16"/>
                <w:szCs w:val="16"/>
              </w:rPr>
              <w:t>16</w:t>
            </w:r>
            <w:r w:rsidR="000C56EB" w:rsidRPr="00D74A1D">
              <w:rPr>
                <w:rFonts w:ascii="Times New Roman" w:eastAsia="游ゴシック" w:hAnsi="Times New Roman" w:cs="Times New Roman"/>
                <w:color w:val="000000"/>
                <w:kern w:val="0"/>
                <w:sz w:val="16"/>
                <w:szCs w:val="16"/>
              </w:rPr>
              <w:t>]</w:t>
            </w:r>
          </w:p>
        </w:tc>
        <w:tc>
          <w:tcPr>
            <w:tcW w:w="597" w:type="dxa"/>
            <w:tcBorders>
              <w:top w:val="nil"/>
              <w:left w:val="nil"/>
              <w:bottom w:val="single" w:sz="4" w:space="0" w:color="auto"/>
              <w:right w:val="single" w:sz="4" w:space="0" w:color="auto"/>
            </w:tcBorders>
            <w:shd w:val="clear" w:color="auto" w:fill="auto"/>
            <w:noWrap/>
            <w:vAlign w:val="center"/>
            <w:hideMark/>
          </w:tcPr>
          <w:p w14:paraId="3C404CE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13</w:t>
            </w:r>
          </w:p>
        </w:tc>
        <w:tc>
          <w:tcPr>
            <w:tcW w:w="679" w:type="dxa"/>
            <w:tcBorders>
              <w:top w:val="nil"/>
              <w:left w:val="nil"/>
              <w:bottom w:val="single" w:sz="4" w:space="0" w:color="auto"/>
              <w:right w:val="single" w:sz="4" w:space="0" w:color="auto"/>
            </w:tcBorders>
            <w:shd w:val="clear" w:color="auto" w:fill="auto"/>
            <w:noWrap/>
            <w:vAlign w:val="center"/>
            <w:hideMark/>
          </w:tcPr>
          <w:p w14:paraId="09D2AEE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28CB938"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37" w:type="dxa"/>
            <w:tcBorders>
              <w:top w:val="nil"/>
              <w:left w:val="nil"/>
              <w:bottom w:val="single" w:sz="4" w:space="0" w:color="auto"/>
              <w:right w:val="single" w:sz="4" w:space="0" w:color="auto"/>
            </w:tcBorders>
            <w:shd w:val="clear" w:color="auto" w:fill="auto"/>
            <w:noWrap/>
            <w:vAlign w:val="center"/>
            <w:hideMark/>
          </w:tcPr>
          <w:p w14:paraId="1BAA895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20" w:type="dxa"/>
            <w:tcBorders>
              <w:top w:val="nil"/>
              <w:left w:val="nil"/>
              <w:bottom w:val="single" w:sz="4" w:space="0" w:color="auto"/>
              <w:right w:val="single" w:sz="4" w:space="0" w:color="auto"/>
            </w:tcBorders>
            <w:shd w:val="clear" w:color="auto" w:fill="auto"/>
            <w:noWrap/>
            <w:vAlign w:val="center"/>
            <w:hideMark/>
          </w:tcPr>
          <w:p w14:paraId="78647D8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4230FF49"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077" w:type="dxa"/>
            <w:tcBorders>
              <w:top w:val="nil"/>
              <w:left w:val="nil"/>
              <w:bottom w:val="single" w:sz="4" w:space="0" w:color="auto"/>
              <w:right w:val="single" w:sz="4" w:space="0" w:color="auto"/>
            </w:tcBorders>
            <w:shd w:val="clear" w:color="auto" w:fill="auto"/>
            <w:noWrap/>
            <w:vAlign w:val="center"/>
            <w:hideMark/>
          </w:tcPr>
          <w:p w14:paraId="6CBE5993"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64" w:type="dxa"/>
            <w:tcBorders>
              <w:top w:val="nil"/>
              <w:left w:val="nil"/>
              <w:bottom w:val="single" w:sz="4" w:space="0" w:color="auto"/>
              <w:right w:val="single" w:sz="4" w:space="0" w:color="auto"/>
            </w:tcBorders>
            <w:shd w:val="clear" w:color="auto" w:fill="auto"/>
            <w:noWrap/>
            <w:vAlign w:val="center"/>
            <w:hideMark/>
          </w:tcPr>
          <w:p w14:paraId="5D7F563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1C231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912" w:type="dxa"/>
            <w:tcBorders>
              <w:top w:val="nil"/>
              <w:left w:val="nil"/>
              <w:bottom w:val="single" w:sz="4" w:space="0" w:color="auto"/>
              <w:right w:val="single" w:sz="4" w:space="0" w:color="auto"/>
            </w:tcBorders>
            <w:shd w:val="clear" w:color="auto" w:fill="auto"/>
            <w:noWrap/>
            <w:vAlign w:val="center"/>
            <w:hideMark/>
          </w:tcPr>
          <w:p w14:paraId="477C489C"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1*4</w:t>
            </w:r>
          </w:p>
        </w:tc>
        <w:tc>
          <w:tcPr>
            <w:tcW w:w="912" w:type="dxa"/>
            <w:tcBorders>
              <w:top w:val="nil"/>
              <w:left w:val="nil"/>
              <w:bottom w:val="single" w:sz="4" w:space="0" w:color="auto"/>
              <w:right w:val="single" w:sz="4" w:space="0" w:color="auto"/>
            </w:tcBorders>
            <w:shd w:val="clear" w:color="auto" w:fill="auto"/>
            <w:noWrap/>
            <w:vAlign w:val="center"/>
            <w:hideMark/>
          </w:tcPr>
          <w:p w14:paraId="05FA555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842" w:type="dxa"/>
            <w:tcBorders>
              <w:top w:val="nil"/>
              <w:left w:val="nil"/>
              <w:bottom w:val="single" w:sz="4" w:space="0" w:color="auto"/>
              <w:right w:val="single" w:sz="4" w:space="0" w:color="auto"/>
            </w:tcBorders>
            <w:shd w:val="clear" w:color="auto" w:fill="auto"/>
            <w:noWrap/>
            <w:vAlign w:val="center"/>
            <w:hideMark/>
          </w:tcPr>
          <w:p w14:paraId="6FA82405"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768" w:type="dxa"/>
            <w:tcBorders>
              <w:top w:val="nil"/>
              <w:left w:val="nil"/>
              <w:bottom w:val="single" w:sz="4" w:space="0" w:color="auto"/>
              <w:right w:val="single" w:sz="4" w:space="0" w:color="auto"/>
            </w:tcBorders>
            <w:shd w:val="clear" w:color="auto" w:fill="auto"/>
            <w:noWrap/>
            <w:vAlign w:val="center"/>
            <w:hideMark/>
          </w:tcPr>
          <w:p w14:paraId="207ACFFA"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22895C8D"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1*4</w:t>
            </w:r>
          </w:p>
        </w:tc>
        <w:tc>
          <w:tcPr>
            <w:tcW w:w="697" w:type="dxa"/>
            <w:tcBorders>
              <w:top w:val="nil"/>
              <w:left w:val="nil"/>
              <w:bottom w:val="single" w:sz="4" w:space="0" w:color="auto"/>
              <w:right w:val="single" w:sz="4" w:space="0" w:color="auto"/>
            </w:tcBorders>
            <w:shd w:val="clear" w:color="auto" w:fill="auto"/>
            <w:noWrap/>
            <w:vAlign w:val="center"/>
            <w:hideMark/>
          </w:tcPr>
          <w:p w14:paraId="0AB03F9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1</w:t>
            </w:r>
          </w:p>
        </w:tc>
        <w:tc>
          <w:tcPr>
            <w:tcW w:w="697" w:type="dxa"/>
            <w:tcBorders>
              <w:top w:val="nil"/>
              <w:left w:val="nil"/>
              <w:bottom w:val="single" w:sz="4" w:space="0" w:color="auto"/>
              <w:right w:val="single" w:sz="4" w:space="0" w:color="auto"/>
            </w:tcBorders>
            <w:shd w:val="clear" w:color="auto" w:fill="auto"/>
            <w:noWrap/>
            <w:vAlign w:val="center"/>
            <w:hideMark/>
          </w:tcPr>
          <w:p w14:paraId="2683C6A4"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c>
          <w:tcPr>
            <w:tcW w:w="685" w:type="dxa"/>
            <w:tcBorders>
              <w:top w:val="nil"/>
              <w:left w:val="nil"/>
              <w:bottom w:val="single" w:sz="4" w:space="0" w:color="auto"/>
              <w:right w:val="single" w:sz="4" w:space="0" w:color="auto"/>
            </w:tcBorders>
            <w:shd w:val="clear" w:color="auto" w:fill="auto"/>
            <w:noWrap/>
            <w:vAlign w:val="center"/>
            <w:hideMark/>
          </w:tcPr>
          <w:p w14:paraId="28684C0F" w14:textId="77777777" w:rsidR="009A6641" w:rsidRPr="00D74A1D" w:rsidRDefault="009A6641" w:rsidP="000C56EB">
            <w:pPr>
              <w:widowControl/>
              <w:spacing w:line="240" w:lineRule="exact"/>
              <w:jc w:val="center"/>
              <w:rPr>
                <w:rFonts w:ascii="Times New Roman" w:eastAsia="游ゴシック" w:hAnsi="Times New Roman" w:cs="Times New Roman"/>
                <w:color w:val="000000"/>
                <w:kern w:val="0"/>
                <w:sz w:val="16"/>
                <w:szCs w:val="16"/>
              </w:rPr>
            </w:pPr>
            <w:r w:rsidRPr="00D74A1D">
              <w:rPr>
                <w:rFonts w:ascii="Times New Roman" w:eastAsia="游ゴシック" w:hAnsi="Times New Roman" w:cs="Times New Roman"/>
                <w:color w:val="000000"/>
                <w:kern w:val="0"/>
                <w:sz w:val="16"/>
                <w:szCs w:val="16"/>
              </w:rPr>
              <w:t>0</w:t>
            </w:r>
          </w:p>
        </w:tc>
      </w:tr>
    </w:tbl>
    <w:p w14:paraId="0738407C" w14:textId="1931C191" w:rsidR="000C56EB" w:rsidRPr="00D74A1D" w:rsidRDefault="000C56EB" w:rsidP="009A6641">
      <w:pPr>
        <w:widowControl/>
        <w:jc w:val="left"/>
        <w:rPr>
          <w:rFonts w:ascii="Times New Roman" w:hAnsi="Times New Roman" w:cs="Times New Roman"/>
          <w:b/>
          <w:color w:val="000000" w:themeColor="text1"/>
          <w:sz w:val="24"/>
          <w:szCs w:val="24"/>
        </w:rPr>
      </w:pPr>
    </w:p>
    <w:p w14:paraId="24DB9F3D" w14:textId="77777777" w:rsidR="000C56EB" w:rsidRPr="00D74A1D" w:rsidRDefault="000C56EB">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br w:type="page"/>
      </w:r>
    </w:p>
    <w:p w14:paraId="6632EC7D" w14:textId="1DF161BF" w:rsidR="000C56EB" w:rsidRPr="00D74A1D" w:rsidRDefault="000C56EB" w:rsidP="000C56EB">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lastRenderedPageBreak/>
        <w:t>Supplementary Table S2. Antibiotic spectrum coverage scores for all antibiotics in this study.</w:t>
      </w:r>
    </w:p>
    <w:tbl>
      <w:tblPr>
        <w:tblW w:w="12540" w:type="dxa"/>
        <w:tblCellMar>
          <w:left w:w="99" w:type="dxa"/>
          <w:right w:w="99" w:type="dxa"/>
        </w:tblCellMar>
        <w:tblLook w:val="04A0" w:firstRow="1" w:lastRow="0" w:firstColumn="1" w:lastColumn="0" w:noHBand="0" w:noVBand="1"/>
      </w:tblPr>
      <w:tblGrid>
        <w:gridCol w:w="1480"/>
        <w:gridCol w:w="4760"/>
        <w:gridCol w:w="2680"/>
        <w:gridCol w:w="3620"/>
      </w:tblGrid>
      <w:tr w:rsidR="000C56EB" w:rsidRPr="00D74A1D" w14:paraId="7DE352A0" w14:textId="77777777" w:rsidTr="000C56EB">
        <w:trPr>
          <w:trHeight w:val="397"/>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892C"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ASC score</w:t>
            </w:r>
          </w:p>
        </w:tc>
        <w:tc>
          <w:tcPr>
            <w:tcW w:w="4760" w:type="dxa"/>
            <w:tcBorders>
              <w:top w:val="single" w:sz="4" w:space="0" w:color="auto"/>
              <w:left w:val="nil"/>
              <w:bottom w:val="single" w:sz="4" w:space="0" w:color="auto"/>
              <w:right w:val="single" w:sz="4" w:space="0" w:color="auto"/>
            </w:tcBorders>
            <w:shd w:val="clear" w:color="auto" w:fill="auto"/>
            <w:vAlign w:val="center"/>
            <w:hideMark/>
          </w:tcPr>
          <w:p w14:paraId="5BFE56D2" w14:textId="55490BDF"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Advocated by the original article.</w:t>
            </w:r>
            <w:r w:rsidR="00862452" w:rsidRPr="00D74A1D">
              <w:rPr>
                <w:rFonts w:ascii="Times New Roman" w:eastAsia="游ゴシック" w:hAnsi="Times New Roman" w:cs="Times New Roman"/>
                <w:color w:val="000000"/>
                <w:kern w:val="0"/>
                <w:sz w:val="20"/>
                <w:szCs w:val="20"/>
              </w:rPr>
              <w:t xml:space="preserve"> [</w:t>
            </w:r>
            <w:r w:rsidR="009019E4">
              <w:rPr>
                <w:rFonts w:ascii="Times New Roman" w:eastAsia="游ゴシック" w:hAnsi="Times New Roman" w:cs="Times New Roman" w:hint="eastAsia"/>
                <w:color w:val="000000"/>
                <w:kern w:val="0"/>
                <w:sz w:val="20"/>
                <w:szCs w:val="20"/>
              </w:rPr>
              <w:t>1</w:t>
            </w:r>
            <w:r w:rsidR="00862452" w:rsidRPr="00D74A1D">
              <w:rPr>
                <w:rFonts w:ascii="Times New Roman" w:eastAsia="游ゴシック" w:hAnsi="Times New Roman" w:cs="Times New Roman"/>
                <w:color w:val="000000"/>
                <w:kern w:val="0"/>
                <w:sz w:val="20"/>
                <w:szCs w:val="20"/>
              </w:rPr>
              <w:t>]</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47558E2E" w14:textId="73BAA41F"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Mentioned by Kanda et al.</w:t>
            </w:r>
            <w:r w:rsidR="00862452" w:rsidRPr="00D74A1D">
              <w:rPr>
                <w:rFonts w:ascii="Times New Roman" w:eastAsia="游ゴシック" w:hAnsi="Times New Roman" w:cs="Times New Roman"/>
                <w:color w:val="000000"/>
                <w:kern w:val="0"/>
                <w:sz w:val="20"/>
                <w:szCs w:val="20"/>
              </w:rPr>
              <w:t xml:space="preserve"> [</w:t>
            </w:r>
            <w:r w:rsidR="00DB344C" w:rsidRPr="00D74A1D">
              <w:rPr>
                <w:rFonts w:ascii="Times New Roman" w:eastAsia="游ゴシック" w:hAnsi="Times New Roman" w:cs="Times New Roman" w:hint="eastAsia"/>
                <w:color w:val="000000"/>
                <w:kern w:val="0"/>
                <w:sz w:val="20"/>
                <w:szCs w:val="20"/>
              </w:rPr>
              <w:t>17</w:t>
            </w:r>
            <w:r w:rsidR="00862452" w:rsidRPr="00D74A1D">
              <w:rPr>
                <w:rFonts w:ascii="Times New Roman" w:eastAsia="游ゴシック" w:hAnsi="Times New Roman" w:cs="Times New Roman"/>
                <w:color w:val="000000"/>
                <w:kern w:val="0"/>
                <w:sz w:val="20"/>
                <w:szCs w:val="20"/>
              </w:rPr>
              <w:t>]</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383C5706"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Mentioned by this study.</w:t>
            </w:r>
          </w:p>
        </w:tc>
      </w:tr>
      <w:tr w:rsidR="000C56EB" w:rsidRPr="00D74A1D" w14:paraId="5BF03F84"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4E5AEFA"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w:t>
            </w:r>
          </w:p>
        </w:tc>
        <w:tc>
          <w:tcPr>
            <w:tcW w:w="4760" w:type="dxa"/>
            <w:tcBorders>
              <w:top w:val="nil"/>
              <w:left w:val="nil"/>
              <w:bottom w:val="single" w:sz="4" w:space="0" w:color="auto"/>
              <w:right w:val="single" w:sz="4" w:space="0" w:color="auto"/>
            </w:tcBorders>
            <w:shd w:val="clear" w:color="auto" w:fill="auto"/>
            <w:vAlign w:val="center"/>
            <w:hideMark/>
          </w:tcPr>
          <w:p w14:paraId="4A766132"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None</w:t>
            </w:r>
          </w:p>
        </w:tc>
        <w:tc>
          <w:tcPr>
            <w:tcW w:w="2680" w:type="dxa"/>
            <w:tcBorders>
              <w:top w:val="nil"/>
              <w:left w:val="nil"/>
              <w:bottom w:val="single" w:sz="4" w:space="0" w:color="auto"/>
              <w:right w:val="single" w:sz="4" w:space="0" w:color="auto"/>
            </w:tcBorders>
            <w:shd w:val="clear" w:color="auto" w:fill="auto"/>
            <w:vAlign w:val="center"/>
            <w:hideMark/>
          </w:tcPr>
          <w:p w14:paraId="3A7B93BB" w14:textId="0605FCB9"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bottom"/>
            <w:hideMark/>
          </w:tcPr>
          <w:p w14:paraId="31DF3B3C" w14:textId="2EBCF6E3"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768439CB"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AC1992D"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2</w:t>
            </w:r>
          </w:p>
        </w:tc>
        <w:tc>
          <w:tcPr>
            <w:tcW w:w="4760" w:type="dxa"/>
            <w:tcBorders>
              <w:top w:val="nil"/>
              <w:left w:val="nil"/>
              <w:bottom w:val="single" w:sz="4" w:space="0" w:color="auto"/>
              <w:right w:val="single" w:sz="4" w:space="0" w:color="auto"/>
            </w:tcBorders>
            <w:shd w:val="clear" w:color="auto" w:fill="auto"/>
            <w:vAlign w:val="center"/>
            <w:hideMark/>
          </w:tcPr>
          <w:p w14:paraId="601E0E3D"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Dicloxacillin, nafcillin, oxacillin, metronidazole, tinidazole</w:t>
            </w:r>
          </w:p>
        </w:tc>
        <w:tc>
          <w:tcPr>
            <w:tcW w:w="2680" w:type="dxa"/>
            <w:tcBorders>
              <w:top w:val="nil"/>
              <w:left w:val="nil"/>
              <w:bottom w:val="single" w:sz="4" w:space="0" w:color="auto"/>
              <w:right w:val="single" w:sz="4" w:space="0" w:color="auto"/>
            </w:tcBorders>
            <w:shd w:val="clear" w:color="auto" w:fill="auto"/>
            <w:vAlign w:val="center"/>
            <w:hideMark/>
          </w:tcPr>
          <w:p w14:paraId="7C153185" w14:textId="2AC413E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bottom"/>
            <w:hideMark/>
          </w:tcPr>
          <w:p w14:paraId="5419A2B7" w14:textId="2258265A"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158F9584"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9AA0F7D"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3</w:t>
            </w:r>
          </w:p>
        </w:tc>
        <w:tc>
          <w:tcPr>
            <w:tcW w:w="4760" w:type="dxa"/>
            <w:tcBorders>
              <w:top w:val="nil"/>
              <w:left w:val="nil"/>
              <w:bottom w:val="single" w:sz="4" w:space="0" w:color="auto"/>
              <w:right w:val="single" w:sz="4" w:space="0" w:color="auto"/>
            </w:tcBorders>
            <w:shd w:val="clear" w:color="auto" w:fill="auto"/>
            <w:vAlign w:val="center"/>
            <w:hideMark/>
          </w:tcPr>
          <w:p w14:paraId="1C211A3C"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Penicillin G, penicillin V, cefadroxil, cefazolin, cefixime, cephalexin, erythromycin</w:t>
            </w:r>
          </w:p>
        </w:tc>
        <w:tc>
          <w:tcPr>
            <w:tcW w:w="2680" w:type="dxa"/>
            <w:tcBorders>
              <w:top w:val="nil"/>
              <w:left w:val="nil"/>
              <w:bottom w:val="single" w:sz="4" w:space="0" w:color="auto"/>
              <w:right w:val="single" w:sz="4" w:space="0" w:color="auto"/>
            </w:tcBorders>
            <w:shd w:val="clear" w:color="auto" w:fill="auto"/>
            <w:vAlign w:val="center"/>
            <w:hideMark/>
          </w:tcPr>
          <w:p w14:paraId="3CF831E2" w14:textId="3F3C4A2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center"/>
            <w:hideMark/>
          </w:tcPr>
          <w:p w14:paraId="189E8CE3"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Benzathine benzylpenicillin</w:t>
            </w:r>
          </w:p>
        </w:tc>
      </w:tr>
      <w:tr w:rsidR="000C56EB" w:rsidRPr="00D74A1D" w14:paraId="731E6426" w14:textId="77777777" w:rsidTr="007B3445">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067B382"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4</w:t>
            </w:r>
          </w:p>
        </w:tc>
        <w:tc>
          <w:tcPr>
            <w:tcW w:w="4760" w:type="dxa"/>
            <w:tcBorders>
              <w:top w:val="nil"/>
              <w:left w:val="nil"/>
              <w:bottom w:val="single" w:sz="4" w:space="0" w:color="auto"/>
              <w:right w:val="single" w:sz="4" w:space="0" w:color="auto"/>
            </w:tcBorders>
            <w:shd w:val="clear" w:color="auto" w:fill="auto"/>
            <w:vAlign w:val="center"/>
            <w:hideMark/>
          </w:tcPr>
          <w:p w14:paraId="655E51CC"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Aztreonam, cefdinir, cefpodoxime, </w:t>
            </w:r>
            <w:proofErr w:type="spellStart"/>
            <w:r w:rsidRPr="00D74A1D">
              <w:rPr>
                <w:rFonts w:ascii="Times New Roman" w:eastAsia="游ゴシック" w:hAnsi="Times New Roman" w:cs="Times New Roman"/>
                <w:color w:val="000000"/>
                <w:kern w:val="0"/>
                <w:sz w:val="20"/>
                <w:szCs w:val="20"/>
              </w:rPr>
              <w:t>cefprozil</w:t>
            </w:r>
            <w:proofErr w:type="spellEnd"/>
            <w:r w:rsidRPr="00D74A1D">
              <w:rPr>
                <w:rFonts w:ascii="Times New Roman" w:eastAsia="游ゴシック" w:hAnsi="Times New Roman" w:cs="Times New Roman"/>
                <w:color w:val="000000"/>
                <w:kern w:val="0"/>
                <w:sz w:val="20"/>
                <w:szCs w:val="20"/>
              </w:rPr>
              <w:t>, cefuroxime</w:t>
            </w:r>
          </w:p>
        </w:tc>
        <w:tc>
          <w:tcPr>
            <w:tcW w:w="2680" w:type="dxa"/>
            <w:tcBorders>
              <w:top w:val="nil"/>
              <w:left w:val="nil"/>
              <w:bottom w:val="single" w:sz="4" w:space="0" w:color="auto"/>
              <w:right w:val="single" w:sz="4" w:space="0" w:color="auto"/>
            </w:tcBorders>
            <w:shd w:val="clear" w:color="auto" w:fill="auto"/>
            <w:vAlign w:val="center"/>
            <w:hideMark/>
          </w:tcPr>
          <w:p w14:paraId="6E74FB90"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Cefotiam, cefditoren, cefcapene, </w:t>
            </w:r>
            <w:proofErr w:type="spellStart"/>
            <w:r w:rsidRPr="00D74A1D">
              <w:rPr>
                <w:rFonts w:ascii="Times New Roman" w:eastAsia="游ゴシック" w:hAnsi="Times New Roman" w:cs="Times New Roman"/>
                <w:color w:val="000000"/>
                <w:kern w:val="0"/>
                <w:sz w:val="20"/>
                <w:szCs w:val="20"/>
              </w:rPr>
              <w:t>cefteram</w:t>
            </w:r>
            <w:proofErr w:type="spellEnd"/>
          </w:p>
        </w:tc>
        <w:tc>
          <w:tcPr>
            <w:tcW w:w="3620" w:type="dxa"/>
            <w:tcBorders>
              <w:top w:val="nil"/>
              <w:left w:val="nil"/>
              <w:bottom w:val="single" w:sz="4" w:space="0" w:color="auto"/>
              <w:right w:val="single" w:sz="4" w:space="0" w:color="auto"/>
            </w:tcBorders>
            <w:shd w:val="clear" w:color="auto" w:fill="auto"/>
            <w:vAlign w:val="center"/>
            <w:hideMark/>
          </w:tcPr>
          <w:p w14:paraId="18E3B834" w14:textId="77777777" w:rsidR="000C56EB" w:rsidRPr="00D74A1D" w:rsidRDefault="000C56EB" w:rsidP="007B3445">
            <w:pPr>
              <w:widowControl/>
              <w:spacing w:line="240" w:lineRule="exac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Spiramycin</w:t>
            </w:r>
          </w:p>
        </w:tc>
      </w:tr>
      <w:tr w:rsidR="000C56EB" w:rsidRPr="00D74A1D" w14:paraId="4822131C"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FF50E06"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5</w:t>
            </w:r>
          </w:p>
        </w:tc>
        <w:tc>
          <w:tcPr>
            <w:tcW w:w="4760" w:type="dxa"/>
            <w:tcBorders>
              <w:top w:val="nil"/>
              <w:left w:val="nil"/>
              <w:bottom w:val="single" w:sz="4" w:space="0" w:color="auto"/>
              <w:right w:val="single" w:sz="4" w:space="0" w:color="auto"/>
            </w:tcBorders>
            <w:shd w:val="clear" w:color="auto" w:fill="auto"/>
            <w:vAlign w:val="center"/>
            <w:hideMark/>
          </w:tcPr>
          <w:p w14:paraId="2727DEB6"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roofErr w:type="spellStart"/>
            <w:r w:rsidRPr="00D74A1D">
              <w:rPr>
                <w:rFonts w:ascii="Times New Roman" w:eastAsia="游ゴシック" w:hAnsi="Times New Roman" w:cs="Times New Roman"/>
                <w:color w:val="000000"/>
                <w:kern w:val="0"/>
                <w:sz w:val="20"/>
                <w:szCs w:val="20"/>
              </w:rPr>
              <w:t>Quinupristin-dalfopristin</w:t>
            </w:r>
            <w:proofErr w:type="spellEnd"/>
            <w:r w:rsidRPr="00D74A1D">
              <w:rPr>
                <w:rFonts w:ascii="Times New Roman" w:eastAsia="游ゴシック" w:hAnsi="Times New Roman" w:cs="Times New Roman"/>
                <w:color w:val="000000"/>
                <w:kern w:val="0"/>
                <w:sz w:val="20"/>
                <w:szCs w:val="20"/>
              </w:rPr>
              <w:t xml:space="preserve">, rifampin, amoxicillin, ampicillin, </w:t>
            </w:r>
            <w:proofErr w:type="spellStart"/>
            <w:r w:rsidRPr="00D74A1D">
              <w:rPr>
                <w:rFonts w:ascii="Times New Roman" w:eastAsia="游ゴシック" w:hAnsi="Times New Roman" w:cs="Times New Roman"/>
                <w:color w:val="000000"/>
                <w:kern w:val="0"/>
                <w:sz w:val="20"/>
                <w:szCs w:val="20"/>
              </w:rPr>
              <w:t>cefiderocol</w:t>
            </w:r>
            <w:proofErr w:type="spellEnd"/>
            <w:r w:rsidRPr="00D74A1D">
              <w:rPr>
                <w:rFonts w:ascii="Times New Roman" w:eastAsia="游ゴシック" w:hAnsi="Times New Roman" w:cs="Times New Roman"/>
                <w:color w:val="000000"/>
                <w:kern w:val="0"/>
                <w:sz w:val="20"/>
                <w:szCs w:val="20"/>
              </w:rPr>
              <w:t>, clarithromycin, dalbavancin, telavancin, vancomycin</w:t>
            </w:r>
          </w:p>
        </w:tc>
        <w:tc>
          <w:tcPr>
            <w:tcW w:w="2680" w:type="dxa"/>
            <w:tcBorders>
              <w:top w:val="nil"/>
              <w:left w:val="nil"/>
              <w:bottom w:val="single" w:sz="4" w:space="0" w:color="auto"/>
              <w:right w:val="single" w:sz="4" w:space="0" w:color="auto"/>
            </w:tcBorders>
            <w:shd w:val="clear" w:color="auto" w:fill="auto"/>
            <w:vAlign w:val="center"/>
            <w:hideMark/>
          </w:tcPr>
          <w:p w14:paraId="3F97C090"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Teicoplanin</w:t>
            </w:r>
          </w:p>
        </w:tc>
        <w:tc>
          <w:tcPr>
            <w:tcW w:w="3620" w:type="dxa"/>
            <w:tcBorders>
              <w:top w:val="nil"/>
              <w:left w:val="nil"/>
              <w:bottom w:val="single" w:sz="4" w:space="0" w:color="auto"/>
              <w:right w:val="single" w:sz="4" w:space="0" w:color="auto"/>
            </w:tcBorders>
            <w:shd w:val="clear" w:color="auto" w:fill="auto"/>
            <w:vAlign w:val="center"/>
            <w:hideMark/>
          </w:tcPr>
          <w:p w14:paraId="3BC322FD"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Roxithromycin</w:t>
            </w:r>
          </w:p>
        </w:tc>
      </w:tr>
      <w:tr w:rsidR="000C56EB" w:rsidRPr="00D74A1D" w14:paraId="029722C9"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E43F2C9"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6</w:t>
            </w:r>
          </w:p>
        </w:tc>
        <w:tc>
          <w:tcPr>
            <w:tcW w:w="4760" w:type="dxa"/>
            <w:tcBorders>
              <w:top w:val="nil"/>
              <w:left w:val="nil"/>
              <w:bottom w:val="single" w:sz="4" w:space="0" w:color="auto"/>
              <w:right w:val="single" w:sz="4" w:space="0" w:color="auto"/>
            </w:tcBorders>
            <w:shd w:val="clear" w:color="auto" w:fill="auto"/>
            <w:vAlign w:val="center"/>
            <w:hideMark/>
          </w:tcPr>
          <w:p w14:paraId="6FC5EC26"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Polymyxin B, colistin, linezolid, tedizolid, azithromycin, daptomycin, clindamycin, </w:t>
            </w:r>
            <w:proofErr w:type="spellStart"/>
            <w:r w:rsidRPr="00D74A1D">
              <w:rPr>
                <w:rFonts w:ascii="Times New Roman" w:eastAsia="游ゴシック" w:hAnsi="Times New Roman" w:cs="Times New Roman"/>
                <w:color w:val="000000"/>
                <w:kern w:val="0"/>
                <w:sz w:val="20"/>
                <w:szCs w:val="20"/>
              </w:rPr>
              <w:t>oritavancin</w:t>
            </w:r>
            <w:proofErr w:type="spellEnd"/>
            <w:r w:rsidRPr="00D74A1D">
              <w:rPr>
                <w:rFonts w:ascii="Times New Roman" w:eastAsia="游ゴシック" w:hAnsi="Times New Roman" w:cs="Times New Roman"/>
                <w:color w:val="000000"/>
                <w:kern w:val="0"/>
                <w:sz w:val="20"/>
                <w:szCs w:val="20"/>
              </w:rPr>
              <w:t>, cefotetan, cefoxitin, ceftazidime, ceftriaxone, cefotaxime</w:t>
            </w:r>
          </w:p>
        </w:tc>
        <w:tc>
          <w:tcPr>
            <w:tcW w:w="2680" w:type="dxa"/>
            <w:tcBorders>
              <w:top w:val="nil"/>
              <w:left w:val="nil"/>
              <w:bottom w:val="single" w:sz="4" w:space="0" w:color="auto"/>
              <w:right w:val="single" w:sz="4" w:space="0" w:color="auto"/>
            </w:tcBorders>
            <w:shd w:val="clear" w:color="auto" w:fill="auto"/>
            <w:vAlign w:val="center"/>
            <w:hideMark/>
          </w:tcPr>
          <w:p w14:paraId="1701538F"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Cefmetazole, flomoxef</w:t>
            </w:r>
          </w:p>
        </w:tc>
        <w:tc>
          <w:tcPr>
            <w:tcW w:w="3620" w:type="dxa"/>
            <w:tcBorders>
              <w:top w:val="nil"/>
              <w:left w:val="nil"/>
              <w:bottom w:val="single" w:sz="4" w:space="0" w:color="auto"/>
              <w:right w:val="single" w:sz="4" w:space="0" w:color="auto"/>
            </w:tcBorders>
            <w:shd w:val="clear" w:color="auto" w:fill="auto"/>
            <w:vAlign w:val="center"/>
            <w:hideMark/>
          </w:tcPr>
          <w:p w14:paraId="28EF6234"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Ampicillin-cloxacillin</w:t>
            </w:r>
          </w:p>
        </w:tc>
      </w:tr>
      <w:tr w:rsidR="000C56EB" w:rsidRPr="00D74A1D" w14:paraId="2344465A"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7B1E2DD7"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7</w:t>
            </w:r>
          </w:p>
        </w:tc>
        <w:tc>
          <w:tcPr>
            <w:tcW w:w="4760" w:type="dxa"/>
            <w:tcBorders>
              <w:top w:val="nil"/>
              <w:left w:val="nil"/>
              <w:bottom w:val="single" w:sz="4" w:space="0" w:color="auto"/>
              <w:right w:val="single" w:sz="4" w:space="0" w:color="auto"/>
            </w:tcBorders>
            <w:shd w:val="clear" w:color="auto" w:fill="auto"/>
            <w:vAlign w:val="center"/>
            <w:hideMark/>
          </w:tcPr>
          <w:p w14:paraId="4FD1937B"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Tetracycline, doxycycline, </w:t>
            </w:r>
            <w:proofErr w:type="spellStart"/>
            <w:r w:rsidRPr="00D74A1D">
              <w:rPr>
                <w:rFonts w:ascii="Times New Roman" w:eastAsia="游ゴシック" w:hAnsi="Times New Roman" w:cs="Times New Roman"/>
                <w:color w:val="000000"/>
                <w:kern w:val="0"/>
                <w:sz w:val="20"/>
                <w:szCs w:val="20"/>
              </w:rPr>
              <w:t>lefamulin</w:t>
            </w:r>
            <w:proofErr w:type="spellEnd"/>
            <w:r w:rsidRPr="00D74A1D">
              <w:rPr>
                <w:rFonts w:ascii="Times New Roman" w:eastAsia="游ゴシック" w:hAnsi="Times New Roman" w:cs="Times New Roman"/>
                <w:color w:val="000000"/>
                <w:kern w:val="0"/>
                <w:sz w:val="20"/>
                <w:szCs w:val="20"/>
              </w:rPr>
              <w:t xml:space="preserve">, piperacillin, nitrofurantoin, sulfamethoxazole-trimethoprim, </w:t>
            </w:r>
            <w:proofErr w:type="spellStart"/>
            <w:r w:rsidRPr="00D74A1D">
              <w:rPr>
                <w:rFonts w:ascii="Times New Roman" w:eastAsia="游ゴシック" w:hAnsi="Times New Roman" w:cs="Times New Roman"/>
                <w:color w:val="000000"/>
                <w:kern w:val="0"/>
                <w:sz w:val="20"/>
                <w:szCs w:val="20"/>
              </w:rPr>
              <w:t>ceftaroline</w:t>
            </w:r>
            <w:proofErr w:type="spellEnd"/>
            <w:r w:rsidRPr="00D74A1D">
              <w:rPr>
                <w:rFonts w:ascii="Times New Roman" w:eastAsia="游ゴシック" w:hAnsi="Times New Roman" w:cs="Times New Roman"/>
                <w:color w:val="000000"/>
                <w:kern w:val="0"/>
                <w:sz w:val="20"/>
                <w:szCs w:val="20"/>
              </w:rPr>
              <w:t>, clavulanate/amoxicillin</w:t>
            </w:r>
          </w:p>
        </w:tc>
        <w:tc>
          <w:tcPr>
            <w:tcW w:w="2680" w:type="dxa"/>
            <w:tcBorders>
              <w:top w:val="nil"/>
              <w:left w:val="nil"/>
              <w:bottom w:val="single" w:sz="4" w:space="0" w:color="auto"/>
              <w:right w:val="single" w:sz="4" w:space="0" w:color="auto"/>
            </w:tcBorders>
            <w:shd w:val="clear" w:color="auto" w:fill="auto"/>
            <w:vAlign w:val="center"/>
            <w:hideMark/>
          </w:tcPr>
          <w:p w14:paraId="3613C8B3" w14:textId="06F58DB8"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center"/>
            <w:hideMark/>
          </w:tcPr>
          <w:p w14:paraId="30074DE6"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roofErr w:type="spellStart"/>
            <w:r w:rsidRPr="00D74A1D">
              <w:rPr>
                <w:rFonts w:ascii="Times New Roman" w:eastAsia="游ゴシック" w:hAnsi="Times New Roman" w:cs="Times New Roman"/>
                <w:color w:val="000000"/>
                <w:kern w:val="0"/>
                <w:sz w:val="20"/>
                <w:szCs w:val="20"/>
              </w:rPr>
              <w:t>Sultamicillin</w:t>
            </w:r>
            <w:proofErr w:type="spellEnd"/>
            <w:r w:rsidRPr="00D74A1D">
              <w:rPr>
                <w:rFonts w:ascii="Times New Roman" w:eastAsia="游ゴシック" w:hAnsi="Times New Roman" w:cs="Times New Roman"/>
                <w:color w:val="000000"/>
                <w:kern w:val="0"/>
                <w:sz w:val="20"/>
                <w:szCs w:val="20"/>
              </w:rPr>
              <w:t>, arbekacin</w:t>
            </w:r>
          </w:p>
        </w:tc>
      </w:tr>
      <w:tr w:rsidR="000C56EB" w:rsidRPr="00D74A1D" w14:paraId="1A4AE390"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D4B9D5A"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8</w:t>
            </w:r>
          </w:p>
        </w:tc>
        <w:tc>
          <w:tcPr>
            <w:tcW w:w="4760" w:type="dxa"/>
            <w:tcBorders>
              <w:top w:val="nil"/>
              <w:left w:val="nil"/>
              <w:bottom w:val="single" w:sz="4" w:space="0" w:color="auto"/>
              <w:right w:val="single" w:sz="4" w:space="0" w:color="auto"/>
            </w:tcBorders>
            <w:shd w:val="clear" w:color="auto" w:fill="auto"/>
            <w:vAlign w:val="center"/>
            <w:hideMark/>
          </w:tcPr>
          <w:p w14:paraId="28E03115"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Minocycline, </w:t>
            </w:r>
            <w:proofErr w:type="spellStart"/>
            <w:r w:rsidRPr="00D74A1D">
              <w:rPr>
                <w:rFonts w:ascii="Times New Roman" w:eastAsia="游ゴシック" w:hAnsi="Times New Roman" w:cs="Times New Roman"/>
                <w:color w:val="000000"/>
                <w:kern w:val="0"/>
                <w:sz w:val="20"/>
                <w:szCs w:val="20"/>
              </w:rPr>
              <w:t>fosfomycin</w:t>
            </w:r>
            <w:proofErr w:type="spellEnd"/>
            <w:r w:rsidRPr="00D74A1D">
              <w:rPr>
                <w:rFonts w:ascii="Times New Roman" w:eastAsia="游ゴシック" w:hAnsi="Times New Roman" w:cs="Times New Roman"/>
                <w:color w:val="000000"/>
                <w:kern w:val="0"/>
                <w:sz w:val="20"/>
                <w:szCs w:val="20"/>
              </w:rPr>
              <w:t xml:space="preserve">, cefepime, tazobactam/ceftolozane, avibactam/ceftazidime, </w:t>
            </w:r>
            <w:proofErr w:type="spellStart"/>
            <w:r w:rsidRPr="00D74A1D">
              <w:rPr>
                <w:rFonts w:ascii="Times New Roman" w:eastAsia="游ゴシック" w:hAnsi="Times New Roman" w:cs="Times New Roman"/>
                <w:color w:val="000000"/>
                <w:kern w:val="0"/>
                <w:sz w:val="20"/>
                <w:szCs w:val="20"/>
              </w:rPr>
              <w:t>sulbactamampicillin</w:t>
            </w:r>
            <w:proofErr w:type="spellEnd"/>
            <w:r w:rsidRPr="00D74A1D">
              <w:rPr>
                <w:rFonts w:ascii="Times New Roman" w:eastAsia="游ゴシック" w:hAnsi="Times New Roman" w:cs="Times New Roman"/>
                <w:color w:val="000000"/>
                <w:kern w:val="0"/>
                <w:sz w:val="20"/>
                <w:szCs w:val="20"/>
              </w:rPr>
              <w:t>, amikacin, amikacin</w:t>
            </w:r>
            <w:r w:rsidRPr="00D74A1D">
              <w:rPr>
                <w:rFonts w:ascii="Times New Roman" w:eastAsia="游ゴシック" w:hAnsi="Times New Roman" w:cs="Times New Roman"/>
                <w:color w:val="000000"/>
                <w:kern w:val="0"/>
                <w:sz w:val="20"/>
                <w:szCs w:val="20"/>
              </w:rPr>
              <w:br/>
              <w:t>liposomal</w:t>
            </w:r>
          </w:p>
        </w:tc>
        <w:tc>
          <w:tcPr>
            <w:tcW w:w="2680" w:type="dxa"/>
            <w:tcBorders>
              <w:top w:val="nil"/>
              <w:left w:val="nil"/>
              <w:bottom w:val="single" w:sz="4" w:space="0" w:color="auto"/>
              <w:right w:val="single" w:sz="4" w:space="0" w:color="auto"/>
            </w:tcBorders>
            <w:shd w:val="clear" w:color="auto" w:fill="auto"/>
            <w:vAlign w:val="center"/>
            <w:hideMark/>
          </w:tcPr>
          <w:p w14:paraId="3BC7ACA0"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Cefozopran</w:t>
            </w:r>
          </w:p>
        </w:tc>
        <w:tc>
          <w:tcPr>
            <w:tcW w:w="3620" w:type="dxa"/>
            <w:tcBorders>
              <w:top w:val="nil"/>
              <w:left w:val="nil"/>
              <w:bottom w:val="single" w:sz="4" w:space="0" w:color="auto"/>
              <w:right w:val="single" w:sz="4" w:space="0" w:color="auto"/>
            </w:tcBorders>
            <w:shd w:val="clear" w:color="auto" w:fill="auto"/>
            <w:vAlign w:val="center"/>
            <w:hideMark/>
          </w:tcPr>
          <w:p w14:paraId="7636403A"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roofErr w:type="spellStart"/>
            <w:r w:rsidRPr="00D74A1D">
              <w:rPr>
                <w:rFonts w:ascii="Times New Roman" w:eastAsia="游ゴシック" w:hAnsi="Times New Roman" w:cs="Times New Roman"/>
                <w:color w:val="000000"/>
                <w:kern w:val="0"/>
                <w:sz w:val="20"/>
                <w:szCs w:val="20"/>
              </w:rPr>
              <w:t>Dibekacin</w:t>
            </w:r>
            <w:proofErr w:type="spellEnd"/>
            <w:r w:rsidRPr="00D74A1D">
              <w:rPr>
                <w:rFonts w:ascii="Times New Roman" w:eastAsia="游ゴシック" w:hAnsi="Times New Roman" w:cs="Times New Roman"/>
                <w:color w:val="000000"/>
                <w:kern w:val="0"/>
                <w:sz w:val="20"/>
                <w:szCs w:val="20"/>
              </w:rPr>
              <w:t xml:space="preserve">, streptomycin, </w:t>
            </w:r>
            <w:proofErr w:type="spellStart"/>
            <w:r w:rsidRPr="00D74A1D">
              <w:rPr>
                <w:rFonts w:ascii="Times New Roman" w:eastAsia="游ゴシック" w:hAnsi="Times New Roman" w:cs="Times New Roman"/>
                <w:color w:val="000000"/>
                <w:kern w:val="0"/>
                <w:sz w:val="20"/>
                <w:szCs w:val="20"/>
              </w:rPr>
              <w:t>isepamicin</w:t>
            </w:r>
            <w:proofErr w:type="spellEnd"/>
            <w:r w:rsidRPr="00D74A1D">
              <w:rPr>
                <w:rFonts w:ascii="Times New Roman" w:eastAsia="游ゴシック" w:hAnsi="Times New Roman" w:cs="Times New Roman"/>
                <w:color w:val="000000"/>
                <w:kern w:val="0"/>
                <w:sz w:val="20"/>
                <w:szCs w:val="20"/>
              </w:rPr>
              <w:t>, ampicillin/clarithromycin, ampicillin/metronidazole</w:t>
            </w:r>
          </w:p>
        </w:tc>
      </w:tr>
      <w:tr w:rsidR="000C56EB" w:rsidRPr="00D74A1D" w14:paraId="4066E6EE"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608D3C5"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9</w:t>
            </w:r>
          </w:p>
        </w:tc>
        <w:tc>
          <w:tcPr>
            <w:tcW w:w="4760" w:type="dxa"/>
            <w:tcBorders>
              <w:top w:val="nil"/>
              <w:left w:val="nil"/>
              <w:bottom w:val="single" w:sz="4" w:space="0" w:color="auto"/>
              <w:right w:val="single" w:sz="4" w:space="0" w:color="auto"/>
            </w:tcBorders>
            <w:shd w:val="clear" w:color="auto" w:fill="auto"/>
            <w:vAlign w:val="center"/>
            <w:hideMark/>
          </w:tcPr>
          <w:p w14:paraId="5BB0F8D8"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Chloramphenicol, ofloxacin, norfloxacin, ciprofloxacin, ertapenem, tobramycin, </w:t>
            </w:r>
            <w:proofErr w:type="spellStart"/>
            <w:r w:rsidRPr="00D74A1D">
              <w:rPr>
                <w:rFonts w:ascii="Times New Roman" w:eastAsia="游ゴシック" w:hAnsi="Times New Roman" w:cs="Times New Roman"/>
                <w:color w:val="000000"/>
                <w:kern w:val="0"/>
                <w:sz w:val="20"/>
                <w:szCs w:val="20"/>
              </w:rPr>
              <w:t>plazomicin</w:t>
            </w:r>
            <w:proofErr w:type="spellEnd"/>
            <w:r w:rsidRPr="00D74A1D">
              <w:rPr>
                <w:rFonts w:ascii="Times New Roman" w:eastAsia="游ゴシック" w:hAnsi="Times New Roman" w:cs="Times New Roman"/>
                <w:color w:val="000000"/>
                <w:kern w:val="0"/>
                <w:sz w:val="20"/>
                <w:szCs w:val="20"/>
              </w:rPr>
              <w:t>, gentamicin</w:t>
            </w:r>
          </w:p>
        </w:tc>
        <w:tc>
          <w:tcPr>
            <w:tcW w:w="2680" w:type="dxa"/>
            <w:tcBorders>
              <w:top w:val="nil"/>
              <w:left w:val="nil"/>
              <w:bottom w:val="single" w:sz="4" w:space="0" w:color="auto"/>
              <w:right w:val="single" w:sz="4" w:space="0" w:color="auto"/>
            </w:tcBorders>
            <w:shd w:val="clear" w:color="auto" w:fill="auto"/>
            <w:vAlign w:val="center"/>
            <w:hideMark/>
          </w:tcPr>
          <w:p w14:paraId="2F474CDD" w14:textId="154A6D44"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center"/>
            <w:hideMark/>
          </w:tcPr>
          <w:p w14:paraId="5D5C7E52" w14:textId="10D5A8DA"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0E41126D"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6B61BD1"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10</w:t>
            </w:r>
          </w:p>
        </w:tc>
        <w:tc>
          <w:tcPr>
            <w:tcW w:w="4760" w:type="dxa"/>
            <w:tcBorders>
              <w:top w:val="nil"/>
              <w:left w:val="nil"/>
              <w:bottom w:val="single" w:sz="4" w:space="0" w:color="auto"/>
              <w:right w:val="single" w:sz="4" w:space="0" w:color="auto"/>
            </w:tcBorders>
            <w:shd w:val="clear" w:color="auto" w:fill="auto"/>
            <w:vAlign w:val="center"/>
            <w:hideMark/>
          </w:tcPr>
          <w:p w14:paraId="5355F538"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Clavulanate/ticarcillin</w:t>
            </w:r>
          </w:p>
        </w:tc>
        <w:tc>
          <w:tcPr>
            <w:tcW w:w="2680" w:type="dxa"/>
            <w:tcBorders>
              <w:top w:val="nil"/>
              <w:left w:val="nil"/>
              <w:bottom w:val="single" w:sz="4" w:space="0" w:color="auto"/>
              <w:right w:val="single" w:sz="4" w:space="0" w:color="auto"/>
            </w:tcBorders>
            <w:shd w:val="clear" w:color="auto" w:fill="auto"/>
            <w:vAlign w:val="center"/>
            <w:hideMark/>
          </w:tcPr>
          <w:p w14:paraId="23AD4C72" w14:textId="634E7DA0"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center"/>
            <w:hideMark/>
          </w:tcPr>
          <w:p w14:paraId="4A5A88DB"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Tebipenem, </w:t>
            </w:r>
            <w:proofErr w:type="spellStart"/>
            <w:r w:rsidRPr="00D74A1D">
              <w:rPr>
                <w:rFonts w:ascii="Times New Roman" w:eastAsia="游ゴシック" w:hAnsi="Times New Roman" w:cs="Times New Roman"/>
                <w:color w:val="000000"/>
                <w:kern w:val="0"/>
                <w:sz w:val="20"/>
                <w:szCs w:val="20"/>
              </w:rPr>
              <w:t>faropenem</w:t>
            </w:r>
            <w:proofErr w:type="spellEnd"/>
          </w:p>
        </w:tc>
      </w:tr>
      <w:tr w:rsidR="000C56EB" w:rsidRPr="00D74A1D" w14:paraId="41FF4C85"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716CA368"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11</w:t>
            </w:r>
          </w:p>
        </w:tc>
        <w:tc>
          <w:tcPr>
            <w:tcW w:w="4760" w:type="dxa"/>
            <w:tcBorders>
              <w:top w:val="nil"/>
              <w:left w:val="nil"/>
              <w:bottom w:val="single" w:sz="4" w:space="0" w:color="auto"/>
              <w:right w:val="single" w:sz="4" w:space="0" w:color="auto"/>
            </w:tcBorders>
            <w:shd w:val="clear" w:color="auto" w:fill="auto"/>
            <w:vAlign w:val="center"/>
            <w:hideMark/>
          </w:tcPr>
          <w:p w14:paraId="6FC5B561"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Gemifloxacin, tazobactam/piperacillin</w:t>
            </w:r>
          </w:p>
        </w:tc>
        <w:tc>
          <w:tcPr>
            <w:tcW w:w="2680" w:type="dxa"/>
            <w:tcBorders>
              <w:top w:val="nil"/>
              <w:left w:val="nil"/>
              <w:bottom w:val="single" w:sz="4" w:space="0" w:color="auto"/>
              <w:right w:val="single" w:sz="4" w:space="0" w:color="auto"/>
            </w:tcBorders>
            <w:shd w:val="clear" w:color="auto" w:fill="auto"/>
            <w:vAlign w:val="center"/>
            <w:hideMark/>
          </w:tcPr>
          <w:p w14:paraId="0ECC39F6"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Biapenem, sulbactam/</w:t>
            </w:r>
            <w:proofErr w:type="spellStart"/>
            <w:r w:rsidRPr="00D74A1D">
              <w:rPr>
                <w:rFonts w:ascii="Times New Roman" w:eastAsia="游ゴシック" w:hAnsi="Times New Roman" w:cs="Times New Roman"/>
                <w:color w:val="000000"/>
                <w:kern w:val="0"/>
                <w:sz w:val="20"/>
                <w:szCs w:val="20"/>
              </w:rPr>
              <w:t>cefoperazone</w:t>
            </w:r>
            <w:proofErr w:type="spellEnd"/>
            <w:r w:rsidRPr="00D74A1D">
              <w:rPr>
                <w:rFonts w:ascii="Times New Roman" w:eastAsia="游ゴシック" w:hAnsi="Times New Roman" w:cs="Times New Roman"/>
                <w:color w:val="000000"/>
                <w:kern w:val="0"/>
                <w:sz w:val="20"/>
                <w:szCs w:val="20"/>
              </w:rPr>
              <w:t>, panipenem-betamipron</w:t>
            </w:r>
          </w:p>
        </w:tc>
        <w:tc>
          <w:tcPr>
            <w:tcW w:w="3620" w:type="dxa"/>
            <w:tcBorders>
              <w:top w:val="nil"/>
              <w:left w:val="nil"/>
              <w:bottom w:val="single" w:sz="4" w:space="0" w:color="auto"/>
              <w:right w:val="single" w:sz="4" w:space="0" w:color="auto"/>
            </w:tcBorders>
            <w:shd w:val="clear" w:color="auto" w:fill="auto"/>
            <w:vAlign w:val="bottom"/>
            <w:hideMark/>
          </w:tcPr>
          <w:p w14:paraId="4BD83F40" w14:textId="55365E9B"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66C74CBF"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7A277516"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12</w:t>
            </w:r>
          </w:p>
        </w:tc>
        <w:tc>
          <w:tcPr>
            <w:tcW w:w="4760" w:type="dxa"/>
            <w:tcBorders>
              <w:top w:val="nil"/>
              <w:left w:val="nil"/>
              <w:bottom w:val="single" w:sz="4" w:space="0" w:color="auto"/>
              <w:right w:val="single" w:sz="4" w:space="0" w:color="auto"/>
            </w:tcBorders>
            <w:shd w:val="clear" w:color="auto" w:fill="auto"/>
            <w:vAlign w:val="center"/>
            <w:hideMark/>
          </w:tcPr>
          <w:p w14:paraId="56C3C6F9"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Doripenem, imipenem-cilastatin, meropenem, levofloxacin</w:t>
            </w:r>
          </w:p>
        </w:tc>
        <w:tc>
          <w:tcPr>
            <w:tcW w:w="2680" w:type="dxa"/>
            <w:tcBorders>
              <w:top w:val="nil"/>
              <w:left w:val="nil"/>
              <w:bottom w:val="single" w:sz="4" w:space="0" w:color="auto"/>
              <w:right w:val="single" w:sz="4" w:space="0" w:color="auto"/>
            </w:tcBorders>
            <w:shd w:val="clear" w:color="auto" w:fill="auto"/>
            <w:vAlign w:val="center"/>
            <w:hideMark/>
          </w:tcPr>
          <w:p w14:paraId="2FB53392"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Garenoxacin, </w:t>
            </w:r>
            <w:proofErr w:type="spellStart"/>
            <w:r w:rsidRPr="00D74A1D">
              <w:rPr>
                <w:rFonts w:ascii="Times New Roman" w:eastAsia="游ゴシック" w:hAnsi="Times New Roman" w:cs="Times New Roman"/>
                <w:color w:val="000000"/>
                <w:kern w:val="0"/>
                <w:sz w:val="20"/>
                <w:szCs w:val="20"/>
              </w:rPr>
              <w:t>tosufloxacin</w:t>
            </w:r>
            <w:proofErr w:type="spellEnd"/>
          </w:p>
        </w:tc>
        <w:tc>
          <w:tcPr>
            <w:tcW w:w="3620" w:type="dxa"/>
            <w:tcBorders>
              <w:top w:val="nil"/>
              <w:left w:val="nil"/>
              <w:bottom w:val="single" w:sz="4" w:space="0" w:color="auto"/>
              <w:right w:val="single" w:sz="4" w:space="0" w:color="auto"/>
            </w:tcBorders>
            <w:shd w:val="clear" w:color="auto" w:fill="auto"/>
            <w:vAlign w:val="center"/>
            <w:hideMark/>
          </w:tcPr>
          <w:p w14:paraId="55883E35"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Pazufloxacin, </w:t>
            </w:r>
            <w:proofErr w:type="spellStart"/>
            <w:r w:rsidRPr="00D74A1D">
              <w:rPr>
                <w:rFonts w:ascii="Times New Roman" w:eastAsia="游ゴシック" w:hAnsi="Times New Roman" w:cs="Times New Roman"/>
                <w:color w:val="000000"/>
                <w:kern w:val="0"/>
                <w:sz w:val="20"/>
                <w:szCs w:val="20"/>
              </w:rPr>
              <w:t>lascufloxacin</w:t>
            </w:r>
            <w:proofErr w:type="spellEnd"/>
          </w:p>
        </w:tc>
      </w:tr>
      <w:tr w:rsidR="000C56EB" w:rsidRPr="00D74A1D" w14:paraId="32947FA7"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6D81EE5"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13</w:t>
            </w:r>
          </w:p>
        </w:tc>
        <w:tc>
          <w:tcPr>
            <w:tcW w:w="4760" w:type="dxa"/>
            <w:tcBorders>
              <w:top w:val="nil"/>
              <w:left w:val="nil"/>
              <w:bottom w:val="single" w:sz="4" w:space="0" w:color="auto"/>
              <w:right w:val="single" w:sz="4" w:space="0" w:color="auto"/>
            </w:tcBorders>
            <w:shd w:val="clear" w:color="auto" w:fill="auto"/>
            <w:vAlign w:val="center"/>
            <w:hideMark/>
          </w:tcPr>
          <w:p w14:paraId="2C25F310"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 xml:space="preserve">Relebactam/imipenem-cilastatin, moxifloxacin, </w:t>
            </w:r>
            <w:proofErr w:type="spellStart"/>
            <w:r w:rsidRPr="00D74A1D">
              <w:rPr>
                <w:rFonts w:ascii="Times New Roman" w:eastAsia="游ゴシック" w:hAnsi="Times New Roman" w:cs="Times New Roman"/>
                <w:color w:val="000000"/>
                <w:kern w:val="0"/>
                <w:sz w:val="20"/>
                <w:szCs w:val="20"/>
              </w:rPr>
              <w:t>vaborbactam</w:t>
            </w:r>
            <w:proofErr w:type="spellEnd"/>
            <w:r w:rsidRPr="00D74A1D">
              <w:rPr>
                <w:rFonts w:ascii="Times New Roman" w:eastAsia="游ゴシック" w:hAnsi="Times New Roman" w:cs="Times New Roman"/>
                <w:color w:val="000000"/>
                <w:kern w:val="0"/>
                <w:sz w:val="20"/>
                <w:szCs w:val="20"/>
              </w:rPr>
              <w:t>/meropenem</w:t>
            </w:r>
          </w:p>
        </w:tc>
        <w:tc>
          <w:tcPr>
            <w:tcW w:w="2680" w:type="dxa"/>
            <w:tcBorders>
              <w:top w:val="nil"/>
              <w:left w:val="nil"/>
              <w:bottom w:val="single" w:sz="4" w:space="0" w:color="auto"/>
              <w:right w:val="single" w:sz="4" w:space="0" w:color="auto"/>
            </w:tcBorders>
            <w:shd w:val="clear" w:color="auto" w:fill="auto"/>
            <w:vAlign w:val="center"/>
            <w:hideMark/>
          </w:tcPr>
          <w:p w14:paraId="46EA654F" w14:textId="21D84756"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center"/>
            <w:hideMark/>
          </w:tcPr>
          <w:p w14:paraId="293D5FE4"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Prulifloxacin</w:t>
            </w:r>
          </w:p>
        </w:tc>
      </w:tr>
      <w:tr w:rsidR="000C56EB" w:rsidRPr="00D74A1D" w14:paraId="22FB2B53"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5F1EAA2"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14</w:t>
            </w:r>
          </w:p>
        </w:tc>
        <w:tc>
          <w:tcPr>
            <w:tcW w:w="4760" w:type="dxa"/>
            <w:tcBorders>
              <w:top w:val="nil"/>
              <w:left w:val="nil"/>
              <w:bottom w:val="single" w:sz="4" w:space="0" w:color="auto"/>
              <w:right w:val="single" w:sz="4" w:space="0" w:color="auto"/>
            </w:tcBorders>
            <w:shd w:val="clear" w:color="auto" w:fill="auto"/>
            <w:vAlign w:val="center"/>
            <w:hideMark/>
          </w:tcPr>
          <w:p w14:paraId="2CC30ED6" w14:textId="1B8D644E"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Delafloxacin</w:t>
            </w:r>
          </w:p>
        </w:tc>
        <w:tc>
          <w:tcPr>
            <w:tcW w:w="2680" w:type="dxa"/>
            <w:tcBorders>
              <w:top w:val="nil"/>
              <w:left w:val="nil"/>
              <w:bottom w:val="single" w:sz="4" w:space="0" w:color="auto"/>
              <w:right w:val="single" w:sz="4" w:space="0" w:color="auto"/>
            </w:tcBorders>
            <w:shd w:val="clear" w:color="auto" w:fill="auto"/>
            <w:vAlign w:val="center"/>
            <w:hideMark/>
          </w:tcPr>
          <w:p w14:paraId="521CF43E"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roofErr w:type="spellStart"/>
            <w:r w:rsidRPr="00D74A1D">
              <w:rPr>
                <w:rFonts w:ascii="Times New Roman" w:eastAsia="游ゴシック" w:hAnsi="Times New Roman" w:cs="Times New Roman"/>
                <w:color w:val="000000"/>
                <w:kern w:val="0"/>
                <w:sz w:val="20"/>
                <w:szCs w:val="20"/>
              </w:rPr>
              <w:t>Sitafloxacin</w:t>
            </w:r>
            <w:proofErr w:type="spellEnd"/>
          </w:p>
        </w:tc>
        <w:tc>
          <w:tcPr>
            <w:tcW w:w="3620" w:type="dxa"/>
            <w:tcBorders>
              <w:top w:val="nil"/>
              <w:left w:val="nil"/>
              <w:bottom w:val="single" w:sz="4" w:space="0" w:color="auto"/>
              <w:right w:val="single" w:sz="4" w:space="0" w:color="auto"/>
            </w:tcBorders>
            <w:shd w:val="clear" w:color="auto" w:fill="auto"/>
            <w:vAlign w:val="bottom"/>
            <w:hideMark/>
          </w:tcPr>
          <w:p w14:paraId="3BD2D9D2" w14:textId="01357EB8"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00680D52"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8B9E76C"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15</w:t>
            </w:r>
          </w:p>
        </w:tc>
        <w:tc>
          <w:tcPr>
            <w:tcW w:w="4760" w:type="dxa"/>
            <w:tcBorders>
              <w:top w:val="nil"/>
              <w:left w:val="nil"/>
              <w:bottom w:val="single" w:sz="4" w:space="0" w:color="auto"/>
              <w:right w:val="single" w:sz="4" w:space="0" w:color="auto"/>
            </w:tcBorders>
            <w:shd w:val="clear" w:color="auto" w:fill="auto"/>
            <w:vAlign w:val="center"/>
            <w:hideMark/>
          </w:tcPr>
          <w:p w14:paraId="2EEFCCAA"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roofErr w:type="spellStart"/>
            <w:r w:rsidRPr="00D74A1D">
              <w:rPr>
                <w:rFonts w:ascii="Times New Roman" w:eastAsia="游ゴシック" w:hAnsi="Times New Roman" w:cs="Times New Roman"/>
                <w:color w:val="000000"/>
                <w:kern w:val="0"/>
                <w:sz w:val="20"/>
                <w:szCs w:val="20"/>
              </w:rPr>
              <w:t>Eravacycline</w:t>
            </w:r>
            <w:proofErr w:type="spellEnd"/>
            <w:r w:rsidRPr="00D74A1D">
              <w:rPr>
                <w:rFonts w:ascii="Times New Roman" w:eastAsia="游ゴシック" w:hAnsi="Times New Roman" w:cs="Times New Roman"/>
                <w:color w:val="000000"/>
                <w:kern w:val="0"/>
                <w:sz w:val="20"/>
                <w:szCs w:val="20"/>
              </w:rPr>
              <w:t xml:space="preserve">, </w:t>
            </w:r>
            <w:proofErr w:type="spellStart"/>
            <w:r w:rsidRPr="00D74A1D">
              <w:rPr>
                <w:rFonts w:ascii="Times New Roman" w:eastAsia="游ゴシック" w:hAnsi="Times New Roman" w:cs="Times New Roman"/>
                <w:color w:val="000000"/>
                <w:kern w:val="0"/>
                <w:sz w:val="20"/>
                <w:szCs w:val="20"/>
              </w:rPr>
              <w:t>omadacycline</w:t>
            </w:r>
            <w:proofErr w:type="spellEnd"/>
            <w:r w:rsidRPr="00D74A1D">
              <w:rPr>
                <w:rFonts w:ascii="Times New Roman" w:eastAsia="游ゴシック" w:hAnsi="Times New Roman" w:cs="Times New Roman"/>
                <w:color w:val="000000"/>
                <w:kern w:val="0"/>
                <w:sz w:val="20"/>
                <w:szCs w:val="20"/>
              </w:rPr>
              <w:t>, tigecycline</w:t>
            </w:r>
          </w:p>
        </w:tc>
        <w:tc>
          <w:tcPr>
            <w:tcW w:w="2680" w:type="dxa"/>
            <w:tcBorders>
              <w:top w:val="nil"/>
              <w:left w:val="nil"/>
              <w:bottom w:val="single" w:sz="4" w:space="0" w:color="auto"/>
              <w:right w:val="single" w:sz="4" w:space="0" w:color="auto"/>
            </w:tcBorders>
            <w:shd w:val="clear" w:color="auto" w:fill="auto"/>
            <w:vAlign w:val="center"/>
            <w:hideMark/>
          </w:tcPr>
          <w:p w14:paraId="408B529A" w14:textId="669D320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bottom"/>
            <w:hideMark/>
          </w:tcPr>
          <w:p w14:paraId="3BECA44E" w14:textId="7C4B0F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r w:rsidR="000C56EB" w:rsidRPr="00D74A1D" w14:paraId="36706D98" w14:textId="77777777" w:rsidTr="000C56EB">
        <w:trPr>
          <w:trHeight w:val="397"/>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2D3B31E" w14:textId="77777777" w:rsidR="000C56EB" w:rsidRPr="00D74A1D" w:rsidRDefault="000C56EB" w:rsidP="000C56EB">
            <w:pPr>
              <w:widowControl/>
              <w:spacing w:line="240" w:lineRule="exact"/>
              <w:jc w:val="righ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16</w:t>
            </w:r>
          </w:p>
        </w:tc>
        <w:tc>
          <w:tcPr>
            <w:tcW w:w="4760" w:type="dxa"/>
            <w:tcBorders>
              <w:top w:val="nil"/>
              <w:left w:val="nil"/>
              <w:bottom w:val="single" w:sz="4" w:space="0" w:color="auto"/>
              <w:right w:val="single" w:sz="4" w:space="0" w:color="auto"/>
            </w:tcBorders>
            <w:shd w:val="clear" w:color="auto" w:fill="auto"/>
            <w:vAlign w:val="center"/>
            <w:hideMark/>
          </w:tcPr>
          <w:p w14:paraId="7E8B65CE" w14:textId="77777777"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r w:rsidRPr="00D74A1D">
              <w:rPr>
                <w:rFonts w:ascii="Times New Roman" w:eastAsia="游ゴシック" w:hAnsi="Times New Roman" w:cs="Times New Roman"/>
                <w:color w:val="000000"/>
                <w:kern w:val="0"/>
                <w:sz w:val="20"/>
                <w:szCs w:val="20"/>
              </w:rPr>
              <w:t>None</w:t>
            </w:r>
          </w:p>
        </w:tc>
        <w:tc>
          <w:tcPr>
            <w:tcW w:w="2680" w:type="dxa"/>
            <w:tcBorders>
              <w:top w:val="nil"/>
              <w:left w:val="nil"/>
              <w:bottom w:val="single" w:sz="4" w:space="0" w:color="auto"/>
              <w:right w:val="single" w:sz="4" w:space="0" w:color="auto"/>
            </w:tcBorders>
            <w:shd w:val="clear" w:color="auto" w:fill="auto"/>
            <w:vAlign w:val="center"/>
            <w:hideMark/>
          </w:tcPr>
          <w:p w14:paraId="44CD8B3E" w14:textId="37952E34"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c>
          <w:tcPr>
            <w:tcW w:w="3620" w:type="dxa"/>
            <w:tcBorders>
              <w:top w:val="nil"/>
              <w:left w:val="nil"/>
              <w:bottom w:val="single" w:sz="4" w:space="0" w:color="auto"/>
              <w:right w:val="single" w:sz="4" w:space="0" w:color="auto"/>
            </w:tcBorders>
            <w:shd w:val="clear" w:color="auto" w:fill="auto"/>
            <w:vAlign w:val="bottom"/>
            <w:hideMark/>
          </w:tcPr>
          <w:p w14:paraId="1C63A9A9" w14:textId="711A5DCD" w:rsidR="000C56EB" w:rsidRPr="00D74A1D" w:rsidRDefault="000C56EB" w:rsidP="000C56EB">
            <w:pPr>
              <w:widowControl/>
              <w:spacing w:line="240" w:lineRule="exact"/>
              <w:jc w:val="left"/>
              <w:rPr>
                <w:rFonts w:ascii="Times New Roman" w:eastAsia="游ゴシック" w:hAnsi="Times New Roman" w:cs="Times New Roman"/>
                <w:color w:val="000000"/>
                <w:kern w:val="0"/>
                <w:sz w:val="20"/>
                <w:szCs w:val="20"/>
              </w:rPr>
            </w:pPr>
          </w:p>
        </w:tc>
      </w:tr>
    </w:tbl>
    <w:p w14:paraId="02B948FD" w14:textId="5774F48E" w:rsidR="00015B1E" w:rsidRPr="00D74A1D" w:rsidRDefault="00015B1E" w:rsidP="009A6641">
      <w:pPr>
        <w:widowControl/>
        <w:jc w:val="left"/>
        <w:rPr>
          <w:rFonts w:ascii="Times New Roman" w:hAnsi="Times New Roman" w:cs="Times New Roman"/>
          <w:b/>
          <w:color w:val="000000" w:themeColor="text1"/>
          <w:sz w:val="24"/>
          <w:szCs w:val="24"/>
        </w:rPr>
      </w:pPr>
    </w:p>
    <w:p w14:paraId="3CD6E14C" w14:textId="77777777" w:rsidR="00015B1E" w:rsidRPr="00D74A1D" w:rsidRDefault="00015B1E">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br w:type="page"/>
      </w:r>
    </w:p>
    <w:p w14:paraId="10F7B9C2" w14:textId="5A373797" w:rsidR="00015B1E" w:rsidRPr="00D74A1D" w:rsidRDefault="00015B1E" w:rsidP="009A6641">
      <w:pPr>
        <w:widowControl/>
        <w:jc w:val="left"/>
        <w:rPr>
          <w:rFonts w:ascii="Times New Roman" w:hAnsi="Times New Roman" w:cs="Times New Roman"/>
          <w:b/>
          <w:color w:val="000000" w:themeColor="text1"/>
          <w:sz w:val="24"/>
          <w:szCs w:val="24"/>
        </w:rPr>
      </w:pPr>
      <w:bookmarkStart w:id="6" w:name="_Hlk166244876"/>
      <w:r w:rsidRPr="00D74A1D">
        <w:rPr>
          <w:rFonts w:ascii="Times New Roman" w:hAnsi="Times New Roman" w:cs="Times New Roman"/>
          <w:b/>
          <w:color w:val="000000" w:themeColor="text1"/>
          <w:sz w:val="24"/>
          <w:szCs w:val="24"/>
        </w:rPr>
        <w:lastRenderedPageBreak/>
        <w:t>Supplementary Table S</w:t>
      </w:r>
      <w:r w:rsidRPr="00D74A1D">
        <w:rPr>
          <w:rFonts w:ascii="Times New Roman" w:hAnsi="Times New Roman" w:cs="Times New Roman" w:hint="eastAsia"/>
          <w:b/>
          <w:color w:val="000000" w:themeColor="text1"/>
          <w:sz w:val="24"/>
          <w:szCs w:val="24"/>
        </w:rPr>
        <w:t>3.</w:t>
      </w:r>
      <w:r w:rsidR="00D055C9" w:rsidRPr="00D74A1D">
        <w:rPr>
          <w:rFonts w:ascii="Times New Roman" w:hAnsi="Times New Roman" w:cs="Times New Roman" w:hint="eastAsia"/>
          <w:b/>
          <w:color w:val="000000" w:themeColor="text1"/>
          <w:sz w:val="24"/>
          <w:szCs w:val="24"/>
        </w:rPr>
        <w:t xml:space="preserve"> </w:t>
      </w:r>
      <w:r w:rsidR="00DC6FE0" w:rsidRPr="00D74A1D">
        <w:rPr>
          <w:rFonts w:ascii="Times New Roman" w:hAnsi="Times New Roman" w:cs="Times New Roman" w:hint="eastAsia"/>
          <w:b/>
          <w:color w:val="000000" w:themeColor="text1"/>
          <w:sz w:val="24"/>
          <w:szCs w:val="24"/>
        </w:rPr>
        <w:t>Time-driven activity-based costing</w:t>
      </w:r>
      <w:r w:rsidR="00223B36" w:rsidRPr="00D74A1D">
        <w:rPr>
          <w:rFonts w:ascii="Times New Roman" w:hAnsi="Times New Roman" w:cs="Times New Roman" w:hint="eastAsia"/>
          <w:b/>
          <w:color w:val="000000" w:themeColor="text1"/>
          <w:sz w:val="24"/>
          <w:szCs w:val="24"/>
        </w:rPr>
        <w:t xml:space="preserve"> including</w:t>
      </w:r>
      <w:r w:rsidR="00504F86" w:rsidRPr="00D74A1D">
        <w:rPr>
          <w:rFonts w:ascii="Times New Roman" w:hAnsi="Times New Roman" w:cs="Times New Roman" w:hint="eastAsia"/>
          <w:b/>
          <w:color w:val="000000" w:themeColor="text1"/>
          <w:sz w:val="24"/>
          <w:szCs w:val="24"/>
        </w:rPr>
        <w:t xml:space="preserve"> non-personnel costs</w:t>
      </w:r>
      <w:r w:rsidR="003C69F7" w:rsidRPr="00D74A1D">
        <w:rPr>
          <w:rFonts w:ascii="Times New Roman" w:hAnsi="Times New Roman" w:cs="Times New Roman" w:hint="eastAsia"/>
          <w:b/>
          <w:color w:val="000000" w:themeColor="text1"/>
          <w:sz w:val="24"/>
          <w:szCs w:val="24"/>
        </w:rPr>
        <w:t xml:space="preserve"> in activities of antimicrobial stewardship team</w:t>
      </w:r>
      <w:r w:rsidR="007D03E2" w:rsidRPr="00D74A1D">
        <w:rPr>
          <w:rFonts w:ascii="Times New Roman" w:hAnsi="Times New Roman" w:cs="Times New Roman" w:hint="eastAsia"/>
          <w:b/>
          <w:color w:val="000000" w:themeColor="text1"/>
          <w:sz w:val="24"/>
          <w:szCs w:val="24"/>
        </w:rPr>
        <w:t xml:space="preserve"> [</w:t>
      </w:r>
      <w:r w:rsidR="00DB344C" w:rsidRPr="00D74A1D">
        <w:rPr>
          <w:rFonts w:ascii="Times New Roman" w:hAnsi="Times New Roman" w:cs="Times New Roman" w:hint="eastAsia"/>
          <w:b/>
          <w:color w:val="000000" w:themeColor="text1"/>
          <w:sz w:val="24"/>
          <w:szCs w:val="24"/>
        </w:rPr>
        <w:t>18</w:t>
      </w:r>
      <w:r w:rsidR="007D03E2" w:rsidRPr="00D74A1D">
        <w:rPr>
          <w:rFonts w:ascii="Times New Roman" w:hAnsi="Times New Roman" w:cs="Times New Roman" w:hint="eastAsia"/>
          <w:b/>
          <w:color w:val="000000" w:themeColor="text1"/>
          <w:sz w:val="24"/>
          <w:szCs w:val="24"/>
        </w:rPr>
        <w:t>]</w:t>
      </w:r>
      <w:r w:rsidR="003C69F7" w:rsidRPr="00D74A1D">
        <w:rPr>
          <w:rFonts w:ascii="Times New Roman" w:hAnsi="Times New Roman" w:cs="Times New Roman" w:hint="eastAsia"/>
          <w:b/>
          <w:color w:val="000000" w:themeColor="text1"/>
          <w:sz w:val="24"/>
          <w:szCs w:val="24"/>
        </w:rPr>
        <w:t>.</w:t>
      </w:r>
    </w:p>
    <w:tbl>
      <w:tblPr>
        <w:tblStyle w:val="a7"/>
        <w:tblW w:w="0" w:type="auto"/>
        <w:tblLook w:val="04A0" w:firstRow="1" w:lastRow="0" w:firstColumn="1" w:lastColumn="0" w:noHBand="0" w:noVBand="1"/>
      </w:tblPr>
      <w:tblGrid>
        <w:gridCol w:w="2000"/>
        <w:gridCol w:w="2956"/>
        <w:gridCol w:w="1487"/>
        <w:gridCol w:w="2654"/>
        <w:gridCol w:w="1016"/>
        <w:gridCol w:w="1119"/>
        <w:gridCol w:w="1579"/>
        <w:gridCol w:w="1359"/>
        <w:gridCol w:w="1218"/>
      </w:tblGrid>
      <w:tr w:rsidR="00567DB8" w:rsidRPr="00D74A1D" w14:paraId="5B8D4307" w14:textId="1BB99B7C" w:rsidTr="00AE68F9">
        <w:trPr>
          <w:trHeight w:val="57"/>
        </w:trPr>
        <w:tc>
          <w:tcPr>
            <w:tcW w:w="2000" w:type="dxa"/>
            <w:vAlign w:val="center"/>
          </w:tcPr>
          <w:bookmarkEnd w:id="6"/>
          <w:p w14:paraId="175E9FFE" w14:textId="56A4118C"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Implementation strategy</w:t>
            </w:r>
          </w:p>
        </w:tc>
        <w:tc>
          <w:tcPr>
            <w:tcW w:w="2956" w:type="dxa"/>
            <w:vAlign w:val="center"/>
          </w:tcPr>
          <w:p w14:paraId="242C92AA" w14:textId="334D8F18"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Actions</w:t>
            </w:r>
          </w:p>
        </w:tc>
        <w:tc>
          <w:tcPr>
            <w:tcW w:w="1487" w:type="dxa"/>
            <w:vAlign w:val="center"/>
          </w:tcPr>
          <w:p w14:paraId="5D0350DC" w14:textId="11D3EE30"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Temporality</w:t>
            </w:r>
          </w:p>
        </w:tc>
        <w:tc>
          <w:tcPr>
            <w:tcW w:w="2654" w:type="dxa"/>
            <w:vAlign w:val="center"/>
          </w:tcPr>
          <w:p w14:paraId="6341DE3D" w14:textId="1F9AF74F"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Actors</w:t>
            </w:r>
          </w:p>
        </w:tc>
        <w:tc>
          <w:tcPr>
            <w:tcW w:w="1016" w:type="dxa"/>
            <w:vAlign w:val="center"/>
          </w:tcPr>
          <w:p w14:paraId="70F7AD96" w14:textId="6F2A85DB"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Action frequency</w:t>
            </w:r>
          </w:p>
        </w:tc>
        <w:tc>
          <w:tcPr>
            <w:tcW w:w="1119" w:type="dxa"/>
            <w:vAlign w:val="center"/>
          </w:tcPr>
          <w:p w14:paraId="68CB551E" w14:textId="2FD34894"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Action unit duration (hours)</w:t>
            </w:r>
          </w:p>
        </w:tc>
        <w:tc>
          <w:tcPr>
            <w:tcW w:w="1579" w:type="dxa"/>
            <w:vAlign w:val="center"/>
          </w:tcPr>
          <w:p w14:paraId="35348CFF" w14:textId="311F33CC"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Total time spent on action (hours)</w:t>
            </w:r>
          </w:p>
        </w:tc>
        <w:tc>
          <w:tcPr>
            <w:tcW w:w="1359" w:type="dxa"/>
            <w:vAlign w:val="center"/>
          </w:tcPr>
          <w:p w14:paraId="6F65ED81" w14:textId="0CBC1DA9"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Actor wage rate</w:t>
            </w:r>
            <w:r w:rsidR="004C0A8D" w:rsidRPr="00D74A1D">
              <w:rPr>
                <w:rFonts w:ascii="Times New Roman" w:hAnsi="Times New Roman" w:cs="Times New Roman"/>
                <w:bCs/>
                <w:color w:val="000000" w:themeColor="text1"/>
                <w:sz w:val="20"/>
                <w:szCs w:val="20"/>
              </w:rPr>
              <w:t xml:space="preserve"> (JPY/</w:t>
            </w:r>
            <w:proofErr w:type="gramStart"/>
            <w:r w:rsidR="004C0A8D" w:rsidRPr="00D74A1D">
              <w:rPr>
                <w:rFonts w:ascii="Times New Roman" w:hAnsi="Times New Roman" w:cs="Times New Roman"/>
                <w:bCs/>
                <w:color w:val="000000" w:themeColor="text1"/>
                <w:sz w:val="20"/>
                <w:szCs w:val="20"/>
              </w:rPr>
              <w:t>hour)</w:t>
            </w:r>
            <w:r w:rsidR="00546F64" w:rsidRPr="00D74A1D">
              <w:rPr>
                <w:rFonts w:ascii="Times New Roman" w:hAnsi="Times New Roman" w:cs="Times New Roman" w:hint="eastAsia"/>
                <w:bCs/>
                <w:color w:val="000000" w:themeColor="text1"/>
                <w:sz w:val="20"/>
                <w:szCs w:val="20"/>
                <w:vertAlign w:val="superscript"/>
              </w:rPr>
              <w:t>a</w:t>
            </w:r>
            <w:proofErr w:type="gramEnd"/>
          </w:p>
        </w:tc>
        <w:tc>
          <w:tcPr>
            <w:tcW w:w="1218" w:type="dxa"/>
            <w:vAlign w:val="center"/>
          </w:tcPr>
          <w:p w14:paraId="6CF072D6" w14:textId="77777777" w:rsidR="00AD2A97" w:rsidRPr="00D74A1D" w:rsidRDefault="00AD2A97"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Total cost</w:t>
            </w:r>
          </w:p>
          <w:p w14:paraId="3A8E9A38" w14:textId="487279AF" w:rsidR="005059E8" w:rsidRPr="00D74A1D" w:rsidRDefault="005059E8" w:rsidP="00A80ECB">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hint="eastAsia"/>
                <w:bCs/>
                <w:color w:val="000000" w:themeColor="text1"/>
                <w:sz w:val="20"/>
                <w:szCs w:val="20"/>
              </w:rPr>
              <w:t>(JPY)</w:t>
            </w:r>
          </w:p>
        </w:tc>
      </w:tr>
      <w:tr w:rsidR="00670955" w:rsidRPr="00D74A1D" w14:paraId="556D2F8D" w14:textId="6F995457" w:rsidTr="00AE68F9">
        <w:trPr>
          <w:trHeight w:val="57"/>
        </w:trPr>
        <w:tc>
          <w:tcPr>
            <w:tcW w:w="2000" w:type="dxa"/>
            <w:tcBorders>
              <w:top w:val="single" w:sz="4" w:space="0" w:color="auto"/>
              <w:bottom w:val="single" w:sz="4" w:space="0" w:color="auto"/>
              <w:right w:val="single" w:sz="4" w:space="0" w:color="auto"/>
            </w:tcBorders>
            <w:vAlign w:val="center"/>
          </w:tcPr>
          <w:p w14:paraId="5D402BA8" w14:textId="59E6A10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Initial training of partners</w:t>
            </w:r>
          </w:p>
        </w:tc>
        <w:tc>
          <w:tcPr>
            <w:tcW w:w="2956" w:type="dxa"/>
            <w:tcBorders>
              <w:top w:val="single" w:sz="4" w:space="0" w:color="auto"/>
              <w:left w:val="single" w:sz="4" w:space="0" w:color="auto"/>
              <w:bottom w:val="single" w:sz="4" w:space="0" w:color="auto"/>
              <w:right w:val="single" w:sz="4" w:space="0" w:color="auto"/>
            </w:tcBorders>
            <w:vAlign w:val="center"/>
          </w:tcPr>
          <w:p w14:paraId="01D7C160" w14:textId="5B3CB1A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w:t>
            </w:r>
            <w:r w:rsidRPr="00D74A1D">
              <w:rPr>
                <w:rFonts w:ascii="Times New Roman" w:hAnsi="Times New Roman" w:cs="Times New Roman" w:hint="eastAsia"/>
                <w:bCs/>
                <w:color w:val="000000" w:themeColor="text1"/>
                <w:sz w:val="20"/>
                <w:szCs w:val="20"/>
              </w:rPr>
              <w:t>-</w:t>
            </w:r>
            <w:r w:rsidRPr="00D74A1D">
              <w:rPr>
                <w:rFonts w:ascii="Times New Roman" w:hAnsi="Times New Roman" w:cs="Times New Roman"/>
                <w:bCs/>
                <w:color w:val="000000" w:themeColor="text1"/>
                <w:sz w:val="20"/>
                <w:szCs w:val="20"/>
              </w:rPr>
              <w:t>the</w:t>
            </w:r>
            <w:r w:rsidRPr="00D74A1D">
              <w:rPr>
                <w:rFonts w:ascii="Times New Roman" w:hAnsi="Times New Roman" w:cs="Times New Roman" w:hint="eastAsia"/>
                <w:bCs/>
                <w:color w:val="000000" w:themeColor="text1"/>
                <w:sz w:val="20"/>
                <w:szCs w:val="20"/>
              </w:rPr>
              <w:t>-</w:t>
            </w:r>
            <w:r w:rsidRPr="00D74A1D">
              <w:rPr>
                <w:rFonts w:ascii="Times New Roman" w:hAnsi="Times New Roman" w:cs="Times New Roman"/>
                <w:bCs/>
                <w:color w:val="000000" w:themeColor="text1"/>
                <w:sz w:val="20"/>
                <w:szCs w:val="20"/>
              </w:rPr>
              <w:t>job training in an intensive care unit</w:t>
            </w:r>
          </w:p>
        </w:tc>
        <w:tc>
          <w:tcPr>
            <w:tcW w:w="1487" w:type="dxa"/>
            <w:tcBorders>
              <w:top w:val="single" w:sz="4" w:space="0" w:color="auto"/>
              <w:left w:val="single" w:sz="4" w:space="0" w:color="auto"/>
              <w:bottom w:val="single" w:sz="4" w:space="0" w:color="auto"/>
              <w:right w:val="single" w:sz="4" w:space="0" w:color="auto"/>
            </w:tcBorders>
            <w:vAlign w:val="center"/>
          </w:tcPr>
          <w:p w14:paraId="4D221E38" w14:textId="3516D23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 xml:space="preserve">Every morning </w:t>
            </w:r>
          </w:p>
        </w:tc>
        <w:tc>
          <w:tcPr>
            <w:tcW w:w="2654" w:type="dxa"/>
            <w:tcBorders>
              <w:top w:val="single" w:sz="4" w:space="0" w:color="auto"/>
              <w:left w:val="single" w:sz="4" w:space="0" w:color="auto"/>
              <w:bottom w:val="single" w:sz="4" w:space="0" w:color="auto"/>
              <w:right w:val="single" w:sz="4" w:space="0" w:color="auto"/>
            </w:tcBorders>
            <w:vAlign w:val="center"/>
          </w:tcPr>
          <w:p w14:paraId="30EE39D7" w14:textId="0B1ABA2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3E2DC260" w14:textId="6342A91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7C86AB79" w14:textId="143FB7C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4</w:t>
            </w:r>
          </w:p>
        </w:tc>
        <w:tc>
          <w:tcPr>
            <w:tcW w:w="1579" w:type="dxa"/>
            <w:tcBorders>
              <w:top w:val="single" w:sz="4" w:space="0" w:color="auto"/>
              <w:left w:val="single" w:sz="4" w:space="0" w:color="auto"/>
              <w:bottom w:val="single" w:sz="4" w:space="0" w:color="auto"/>
              <w:right w:val="single" w:sz="4" w:space="0" w:color="auto"/>
            </w:tcBorders>
            <w:vAlign w:val="center"/>
          </w:tcPr>
          <w:p w14:paraId="16207489" w14:textId="5893115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980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439672E" w14:textId="5E9489BB"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684578C0" w14:textId="5E99D67F"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172</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260</w:t>
            </w:r>
          </w:p>
        </w:tc>
      </w:tr>
      <w:tr w:rsidR="00670955" w:rsidRPr="00D74A1D" w14:paraId="0AD37601"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6DF9B00E"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1EE3FE80" w14:textId="083EB7A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w:t>
            </w:r>
            <w:r w:rsidRPr="00D74A1D">
              <w:rPr>
                <w:rFonts w:ascii="Times New Roman" w:hAnsi="Times New Roman" w:cs="Times New Roman" w:hint="eastAsia"/>
                <w:bCs/>
                <w:color w:val="000000" w:themeColor="text1"/>
                <w:sz w:val="20"/>
                <w:szCs w:val="20"/>
              </w:rPr>
              <w:t>-</w:t>
            </w:r>
            <w:r w:rsidRPr="00D74A1D">
              <w:rPr>
                <w:rFonts w:ascii="Times New Roman" w:hAnsi="Times New Roman" w:cs="Times New Roman"/>
                <w:bCs/>
                <w:color w:val="000000" w:themeColor="text1"/>
                <w:sz w:val="20"/>
                <w:szCs w:val="20"/>
              </w:rPr>
              <w:t>the</w:t>
            </w:r>
            <w:r w:rsidRPr="00D74A1D">
              <w:rPr>
                <w:rFonts w:ascii="Times New Roman" w:hAnsi="Times New Roman" w:cs="Times New Roman" w:hint="eastAsia"/>
                <w:bCs/>
                <w:color w:val="000000" w:themeColor="text1"/>
                <w:sz w:val="20"/>
                <w:szCs w:val="20"/>
              </w:rPr>
              <w:t>-</w:t>
            </w:r>
            <w:r w:rsidRPr="00D74A1D">
              <w:rPr>
                <w:rFonts w:ascii="Times New Roman" w:hAnsi="Times New Roman" w:cs="Times New Roman"/>
                <w:bCs/>
                <w:color w:val="000000" w:themeColor="text1"/>
                <w:sz w:val="20"/>
                <w:szCs w:val="20"/>
              </w:rPr>
              <w:t>job training in a meeting</w:t>
            </w:r>
          </w:p>
        </w:tc>
        <w:tc>
          <w:tcPr>
            <w:tcW w:w="1487" w:type="dxa"/>
            <w:tcBorders>
              <w:top w:val="single" w:sz="4" w:space="0" w:color="auto"/>
              <w:left w:val="single" w:sz="4" w:space="0" w:color="auto"/>
              <w:bottom w:val="single" w:sz="4" w:space="0" w:color="auto"/>
              <w:right w:val="single" w:sz="4" w:space="0" w:color="auto"/>
            </w:tcBorders>
            <w:vAlign w:val="center"/>
          </w:tcPr>
          <w:p w14:paraId="2BA74041" w14:textId="3264CDF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Once a week</w:t>
            </w:r>
          </w:p>
        </w:tc>
        <w:tc>
          <w:tcPr>
            <w:tcW w:w="2654" w:type="dxa"/>
            <w:tcBorders>
              <w:top w:val="single" w:sz="4" w:space="0" w:color="auto"/>
              <w:left w:val="single" w:sz="4" w:space="0" w:color="auto"/>
              <w:bottom w:val="single" w:sz="4" w:space="0" w:color="auto"/>
              <w:right w:val="single" w:sz="4" w:space="0" w:color="auto"/>
            </w:tcBorders>
            <w:vAlign w:val="center"/>
          </w:tcPr>
          <w:p w14:paraId="4A58C997" w14:textId="5B43489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4B3A86BD" w14:textId="05C658C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52</w:t>
            </w:r>
          </w:p>
        </w:tc>
        <w:tc>
          <w:tcPr>
            <w:tcW w:w="1119" w:type="dxa"/>
            <w:tcBorders>
              <w:top w:val="single" w:sz="4" w:space="0" w:color="auto"/>
              <w:left w:val="single" w:sz="4" w:space="0" w:color="auto"/>
              <w:bottom w:val="single" w:sz="4" w:space="0" w:color="auto"/>
              <w:right w:val="single" w:sz="4" w:space="0" w:color="auto"/>
            </w:tcBorders>
            <w:vAlign w:val="center"/>
          </w:tcPr>
          <w:p w14:paraId="1F4FD52E" w14:textId="78924E8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w:t>
            </w:r>
          </w:p>
        </w:tc>
        <w:tc>
          <w:tcPr>
            <w:tcW w:w="1579" w:type="dxa"/>
            <w:tcBorders>
              <w:top w:val="single" w:sz="4" w:space="0" w:color="auto"/>
              <w:left w:val="single" w:sz="4" w:space="0" w:color="auto"/>
              <w:bottom w:val="single" w:sz="4" w:space="0" w:color="auto"/>
              <w:right w:val="single" w:sz="4" w:space="0" w:color="auto"/>
            </w:tcBorders>
            <w:vAlign w:val="center"/>
          </w:tcPr>
          <w:p w14:paraId="54B21B5A" w14:textId="1D0D563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104</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FD03D23" w14:textId="31E42EED"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02C641B5" w14:textId="337C3380"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336</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648</w:t>
            </w:r>
          </w:p>
        </w:tc>
      </w:tr>
      <w:tr w:rsidR="00670955" w:rsidRPr="00D74A1D" w14:paraId="7B1FB62C" w14:textId="09B88373" w:rsidTr="00AE68F9">
        <w:trPr>
          <w:trHeight w:val="360"/>
        </w:trPr>
        <w:tc>
          <w:tcPr>
            <w:tcW w:w="2000" w:type="dxa"/>
            <w:tcBorders>
              <w:top w:val="single" w:sz="4" w:space="0" w:color="auto"/>
              <w:bottom w:val="single" w:sz="4" w:space="0" w:color="auto"/>
              <w:right w:val="single" w:sz="4" w:space="0" w:color="auto"/>
            </w:tcBorders>
            <w:vAlign w:val="center"/>
          </w:tcPr>
          <w:p w14:paraId="0C805970" w14:textId="2569836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Ongoing administrative support</w:t>
            </w:r>
          </w:p>
        </w:tc>
        <w:tc>
          <w:tcPr>
            <w:tcW w:w="2956" w:type="dxa"/>
            <w:tcBorders>
              <w:top w:val="single" w:sz="4" w:space="0" w:color="auto"/>
              <w:left w:val="single" w:sz="4" w:space="0" w:color="auto"/>
              <w:bottom w:val="single" w:sz="4" w:space="0" w:color="auto"/>
              <w:right w:val="single" w:sz="4" w:space="0" w:color="auto"/>
            </w:tcBorders>
            <w:vAlign w:val="center"/>
          </w:tcPr>
          <w:p w14:paraId="32F3E026" w14:textId="02AEBD0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Preauthorization</w:t>
            </w:r>
          </w:p>
        </w:tc>
        <w:tc>
          <w:tcPr>
            <w:tcW w:w="1487" w:type="dxa"/>
            <w:tcBorders>
              <w:top w:val="single" w:sz="4" w:space="0" w:color="auto"/>
              <w:left w:val="single" w:sz="4" w:space="0" w:color="auto"/>
              <w:bottom w:val="single" w:sz="4" w:space="0" w:color="auto"/>
              <w:right w:val="single" w:sz="4" w:space="0" w:color="auto"/>
            </w:tcBorders>
            <w:vAlign w:val="center"/>
          </w:tcPr>
          <w:p w14:paraId="50EAF010" w14:textId="1B57647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600882FB" w14:textId="654D219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5 infection control doctors</w:t>
            </w:r>
          </w:p>
        </w:tc>
        <w:tc>
          <w:tcPr>
            <w:tcW w:w="1016" w:type="dxa"/>
            <w:tcBorders>
              <w:top w:val="single" w:sz="4" w:space="0" w:color="auto"/>
              <w:left w:val="single" w:sz="4" w:space="0" w:color="auto"/>
              <w:bottom w:val="single" w:sz="4" w:space="0" w:color="auto"/>
              <w:right w:val="single" w:sz="4" w:space="0" w:color="auto"/>
            </w:tcBorders>
            <w:vAlign w:val="center"/>
          </w:tcPr>
          <w:p w14:paraId="4195C9F9" w14:textId="1D7D69B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12</w:t>
            </w:r>
          </w:p>
        </w:tc>
        <w:tc>
          <w:tcPr>
            <w:tcW w:w="1119" w:type="dxa"/>
            <w:tcBorders>
              <w:top w:val="single" w:sz="4" w:space="0" w:color="auto"/>
              <w:left w:val="single" w:sz="4" w:space="0" w:color="auto"/>
              <w:bottom w:val="single" w:sz="4" w:space="0" w:color="auto"/>
              <w:right w:val="single" w:sz="4" w:space="0" w:color="auto"/>
            </w:tcBorders>
            <w:vAlign w:val="center"/>
          </w:tcPr>
          <w:p w14:paraId="2A7239CA" w14:textId="73BA694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0.2</w:t>
            </w:r>
          </w:p>
        </w:tc>
        <w:tc>
          <w:tcPr>
            <w:tcW w:w="1579" w:type="dxa"/>
            <w:tcBorders>
              <w:top w:val="single" w:sz="4" w:space="0" w:color="auto"/>
              <w:left w:val="single" w:sz="4" w:space="0" w:color="auto"/>
              <w:bottom w:val="single" w:sz="4" w:space="0" w:color="auto"/>
              <w:right w:val="single" w:sz="4" w:space="0" w:color="auto"/>
            </w:tcBorders>
            <w:vAlign w:val="center"/>
          </w:tcPr>
          <w:p w14:paraId="062EDCC6" w14:textId="23B0DEB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2.4</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03F8AB5" w14:textId="1CC5DA56"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9189</w:t>
            </w:r>
          </w:p>
        </w:tc>
        <w:tc>
          <w:tcPr>
            <w:tcW w:w="1218" w:type="dxa"/>
            <w:tcBorders>
              <w:top w:val="single" w:sz="4" w:space="0" w:color="auto"/>
              <w:left w:val="single" w:sz="4" w:space="0" w:color="auto"/>
              <w:bottom w:val="single" w:sz="4" w:space="0" w:color="auto"/>
            </w:tcBorders>
            <w:vAlign w:val="center"/>
          </w:tcPr>
          <w:p w14:paraId="0697976A" w14:textId="311CA895"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110</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268</w:t>
            </w:r>
          </w:p>
        </w:tc>
      </w:tr>
      <w:tr w:rsidR="00670955" w:rsidRPr="00D74A1D" w14:paraId="56DF68A5"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6B3B9566"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67DF69F5" w14:textId="5C29CE0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Preauthorization</w:t>
            </w:r>
          </w:p>
        </w:tc>
        <w:tc>
          <w:tcPr>
            <w:tcW w:w="1487" w:type="dxa"/>
            <w:tcBorders>
              <w:top w:val="single" w:sz="4" w:space="0" w:color="auto"/>
              <w:left w:val="single" w:sz="4" w:space="0" w:color="auto"/>
              <w:bottom w:val="single" w:sz="4" w:space="0" w:color="auto"/>
              <w:right w:val="single" w:sz="4" w:space="0" w:color="auto"/>
            </w:tcBorders>
            <w:vAlign w:val="center"/>
          </w:tcPr>
          <w:p w14:paraId="00F0B83F" w14:textId="6285A36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2DD8ED01" w14:textId="0F57472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760907F8" w14:textId="595EACB8"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12</w:t>
            </w:r>
          </w:p>
        </w:tc>
        <w:tc>
          <w:tcPr>
            <w:tcW w:w="1119" w:type="dxa"/>
            <w:tcBorders>
              <w:top w:val="single" w:sz="4" w:space="0" w:color="auto"/>
              <w:left w:val="single" w:sz="4" w:space="0" w:color="auto"/>
              <w:bottom w:val="single" w:sz="4" w:space="0" w:color="auto"/>
              <w:right w:val="single" w:sz="4" w:space="0" w:color="auto"/>
            </w:tcBorders>
            <w:vAlign w:val="center"/>
          </w:tcPr>
          <w:p w14:paraId="53839ACF" w14:textId="1711512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7AD6D408" w14:textId="535BB89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6</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E913922" w14:textId="12F8BEDE"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44499B80" w14:textId="020C68C9"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19</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422</w:t>
            </w:r>
          </w:p>
        </w:tc>
      </w:tr>
      <w:tr w:rsidR="00670955" w:rsidRPr="00D74A1D" w14:paraId="744C2E4F"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46B1861E"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2372F774" w14:textId="76618E8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Prospective audit</w:t>
            </w:r>
          </w:p>
        </w:tc>
        <w:tc>
          <w:tcPr>
            <w:tcW w:w="1487" w:type="dxa"/>
            <w:tcBorders>
              <w:top w:val="single" w:sz="4" w:space="0" w:color="auto"/>
              <w:left w:val="single" w:sz="4" w:space="0" w:color="auto"/>
              <w:bottom w:val="single" w:sz="4" w:space="0" w:color="auto"/>
              <w:right w:val="single" w:sz="4" w:space="0" w:color="auto"/>
            </w:tcBorders>
            <w:vAlign w:val="center"/>
          </w:tcPr>
          <w:p w14:paraId="0C8BECB8" w14:textId="4857C3A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6F04FE92" w14:textId="4A451ED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2DA71BEE" w14:textId="02680F4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7EE73AB8" w14:textId="744DB85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1.5</w:t>
            </w:r>
          </w:p>
        </w:tc>
        <w:tc>
          <w:tcPr>
            <w:tcW w:w="1579" w:type="dxa"/>
            <w:tcBorders>
              <w:top w:val="single" w:sz="4" w:space="0" w:color="auto"/>
              <w:left w:val="single" w:sz="4" w:space="0" w:color="auto"/>
              <w:bottom w:val="single" w:sz="4" w:space="0" w:color="auto"/>
              <w:right w:val="single" w:sz="4" w:space="0" w:color="auto"/>
            </w:tcBorders>
            <w:vAlign w:val="center"/>
          </w:tcPr>
          <w:p w14:paraId="07C4AD11" w14:textId="00C54A9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367.5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F302158" w14:textId="198F5EA5"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147C0157" w14:textId="7B1F7D07"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189</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597.5</w:t>
            </w:r>
          </w:p>
        </w:tc>
      </w:tr>
      <w:tr w:rsidR="00670955" w:rsidRPr="00D74A1D" w14:paraId="75F0AF26"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44BC69A3"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0B2D60F8" w14:textId="699ACC0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Prospective audit</w:t>
            </w:r>
          </w:p>
        </w:tc>
        <w:tc>
          <w:tcPr>
            <w:tcW w:w="1487" w:type="dxa"/>
            <w:tcBorders>
              <w:top w:val="single" w:sz="4" w:space="0" w:color="auto"/>
              <w:left w:val="single" w:sz="4" w:space="0" w:color="auto"/>
              <w:bottom w:val="single" w:sz="4" w:space="0" w:color="auto"/>
              <w:right w:val="single" w:sz="4" w:space="0" w:color="auto"/>
            </w:tcBorders>
            <w:vAlign w:val="center"/>
          </w:tcPr>
          <w:p w14:paraId="66EDB9E5" w14:textId="69FABAA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4901820C" w14:textId="36EC5FB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 training pharmacists</w:t>
            </w:r>
          </w:p>
        </w:tc>
        <w:tc>
          <w:tcPr>
            <w:tcW w:w="1016" w:type="dxa"/>
            <w:tcBorders>
              <w:top w:val="single" w:sz="4" w:space="0" w:color="auto"/>
              <w:left w:val="single" w:sz="4" w:space="0" w:color="auto"/>
              <w:bottom w:val="single" w:sz="4" w:space="0" w:color="auto"/>
              <w:right w:val="single" w:sz="4" w:space="0" w:color="auto"/>
            </w:tcBorders>
            <w:vAlign w:val="center"/>
          </w:tcPr>
          <w:p w14:paraId="59E6E9DD" w14:textId="6D1ECD5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0AA6A585" w14:textId="4B7B03A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362897D0" w14:textId="2BCBD64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122.5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E54DEC1" w14:textId="12923945"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28F263F0" w14:textId="7AE07097"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793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065</w:t>
            </w:r>
          </w:p>
        </w:tc>
      </w:tr>
      <w:tr w:rsidR="00670955" w:rsidRPr="00D74A1D" w14:paraId="180D8456"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2F5C29F5"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7DC26B20" w14:textId="68152C3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Feedback and interventions</w:t>
            </w:r>
          </w:p>
        </w:tc>
        <w:tc>
          <w:tcPr>
            <w:tcW w:w="1487" w:type="dxa"/>
            <w:tcBorders>
              <w:top w:val="single" w:sz="4" w:space="0" w:color="auto"/>
              <w:left w:val="single" w:sz="4" w:space="0" w:color="auto"/>
              <w:bottom w:val="single" w:sz="4" w:space="0" w:color="auto"/>
              <w:right w:val="single" w:sz="4" w:space="0" w:color="auto"/>
            </w:tcBorders>
            <w:vAlign w:val="center"/>
          </w:tcPr>
          <w:p w14:paraId="2694A3A3" w14:textId="4868FC7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2F56652E" w14:textId="7EAAA8E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20745BB2" w14:textId="51B8097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2AEE882B" w14:textId="39D70E2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1.5</w:t>
            </w:r>
          </w:p>
        </w:tc>
        <w:tc>
          <w:tcPr>
            <w:tcW w:w="1579" w:type="dxa"/>
            <w:tcBorders>
              <w:top w:val="single" w:sz="4" w:space="0" w:color="auto"/>
              <w:left w:val="single" w:sz="4" w:space="0" w:color="auto"/>
              <w:bottom w:val="single" w:sz="4" w:space="0" w:color="auto"/>
              <w:right w:val="single" w:sz="4" w:space="0" w:color="auto"/>
            </w:tcBorders>
            <w:vAlign w:val="center"/>
          </w:tcPr>
          <w:p w14:paraId="1BEA9E8F" w14:textId="45E9387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367.5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2D18BA0" w14:textId="6E86C1AA"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0BE62B08" w14:textId="15F88A5B"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189</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597.5</w:t>
            </w:r>
          </w:p>
        </w:tc>
      </w:tr>
      <w:tr w:rsidR="00670955" w:rsidRPr="00D74A1D" w14:paraId="0E8A1494"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601A1A57"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64715E22" w14:textId="295EA4C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Feedback and interventions</w:t>
            </w:r>
          </w:p>
        </w:tc>
        <w:tc>
          <w:tcPr>
            <w:tcW w:w="1487" w:type="dxa"/>
            <w:tcBorders>
              <w:top w:val="single" w:sz="4" w:space="0" w:color="auto"/>
              <w:left w:val="single" w:sz="4" w:space="0" w:color="auto"/>
              <w:bottom w:val="single" w:sz="4" w:space="0" w:color="auto"/>
              <w:right w:val="single" w:sz="4" w:space="0" w:color="auto"/>
            </w:tcBorders>
            <w:vAlign w:val="center"/>
          </w:tcPr>
          <w:p w14:paraId="6C353915" w14:textId="741EF59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50DBC8B3" w14:textId="62C19BB8"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 training pharmacists</w:t>
            </w:r>
          </w:p>
        </w:tc>
        <w:tc>
          <w:tcPr>
            <w:tcW w:w="1016" w:type="dxa"/>
            <w:tcBorders>
              <w:top w:val="single" w:sz="4" w:space="0" w:color="auto"/>
              <w:left w:val="single" w:sz="4" w:space="0" w:color="auto"/>
              <w:bottom w:val="single" w:sz="4" w:space="0" w:color="auto"/>
              <w:right w:val="single" w:sz="4" w:space="0" w:color="auto"/>
            </w:tcBorders>
            <w:vAlign w:val="center"/>
          </w:tcPr>
          <w:p w14:paraId="1AAF4E6D" w14:textId="1C4F8D6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52606571" w14:textId="715C0CE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57208295" w14:textId="1F271EA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122.5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53E6280" w14:textId="7007BD26"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15559036" w14:textId="171BA5E0"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793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065</w:t>
            </w:r>
          </w:p>
        </w:tc>
      </w:tr>
      <w:tr w:rsidR="00670955" w:rsidRPr="00D74A1D" w14:paraId="6961D92D"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32EB266F"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022E3137" w14:textId="5E527EA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Therapeutic drug monitoring service</w:t>
            </w:r>
          </w:p>
        </w:tc>
        <w:tc>
          <w:tcPr>
            <w:tcW w:w="1487" w:type="dxa"/>
            <w:tcBorders>
              <w:top w:val="single" w:sz="4" w:space="0" w:color="auto"/>
              <w:left w:val="single" w:sz="4" w:space="0" w:color="auto"/>
              <w:bottom w:val="single" w:sz="4" w:space="0" w:color="auto"/>
              <w:right w:val="single" w:sz="4" w:space="0" w:color="auto"/>
            </w:tcBorders>
            <w:vAlign w:val="center"/>
          </w:tcPr>
          <w:p w14:paraId="4122C9FF" w14:textId="776DBFC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6EAC0C42" w14:textId="0CEEC26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595F41E7" w14:textId="32F1196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3670138F" w14:textId="1E7ACDA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04AB2A39" w14:textId="3AD0D04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122.5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57F74F2" w14:textId="63F1EF4D"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75B63024" w14:textId="40BFBF53"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396</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532.5</w:t>
            </w:r>
          </w:p>
        </w:tc>
      </w:tr>
      <w:tr w:rsidR="00670955" w:rsidRPr="00D74A1D" w14:paraId="06BBBA6C"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23C0E50D"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3A1FDC4B" w14:textId="22BBD7E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Therapeutic drug monitoring service</w:t>
            </w:r>
          </w:p>
        </w:tc>
        <w:tc>
          <w:tcPr>
            <w:tcW w:w="1487" w:type="dxa"/>
            <w:tcBorders>
              <w:top w:val="single" w:sz="4" w:space="0" w:color="auto"/>
              <w:left w:val="single" w:sz="4" w:space="0" w:color="auto"/>
              <w:bottom w:val="single" w:sz="4" w:space="0" w:color="auto"/>
              <w:right w:val="single" w:sz="4" w:space="0" w:color="auto"/>
            </w:tcBorders>
            <w:vAlign w:val="center"/>
          </w:tcPr>
          <w:p w14:paraId="73530867" w14:textId="3EA3C82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53764B7B" w14:textId="2C431E0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 training pharmacists</w:t>
            </w:r>
          </w:p>
        </w:tc>
        <w:tc>
          <w:tcPr>
            <w:tcW w:w="1016" w:type="dxa"/>
            <w:tcBorders>
              <w:top w:val="single" w:sz="4" w:space="0" w:color="auto"/>
              <w:left w:val="single" w:sz="4" w:space="0" w:color="auto"/>
              <w:bottom w:val="single" w:sz="4" w:space="0" w:color="auto"/>
              <w:right w:val="single" w:sz="4" w:space="0" w:color="auto"/>
            </w:tcBorders>
            <w:vAlign w:val="center"/>
          </w:tcPr>
          <w:p w14:paraId="7C3A9575" w14:textId="6667CAC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6E84994B" w14:textId="096A1BF6"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6FF9D2BF" w14:textId="77D3102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122.5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E16D701" w14:textId="7B60815E"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2D4337AD" w14:textId="5698D8BD"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793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065</w:t>
            </w:r>
          </w:p>
        </w:tc>
      </w:tr>
      <w:tr w:rsidR="00670955" w:rsidRPr="00D74A1D" w14:paraId="2CA8B316"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0997D58E"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20E870F8" w14:textId="52FE668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Microbiological testing</w:t>
            </w:r>
          </w:p>
        </w:tc>
        <w:tc>
          <w:tcPr>
            <w:tcW w:w="1487" w:type="dxa"/>
            <w:tcBorders>
              <w:top w:val="single" w:sz="4" w:space="0" w:color="auto"/>
              <w:left w:val="single" w:sz="4" w:space="0" w:color="auto"/>
              <w:bottom w:val="single" w:sz="4" w:space="0" w:color="auto"/>
              <w:right w:val="single" w:sz="4" w:space="0" w:color="auto"/>
            </w:tcBorders>
            <w:vAlign w:val="center"/>
          </w:tcPr>
          <w:p w14:paraId="10429F68" w14:textId="4F5A92B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66EA0CEE" w14:textId="6D75C568"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3 microbiologists</w:t>
            </w:r>
          </w:p>
        </w:tc>
        <w:tc>
          <w:tcPr>
            <w:tcW w:w="1016" w:type="dxa"/>
            <w:tcBorders>
              <w:top w:val="single" w:sz="4" w:space="0" w:color="auto"/>
              <w:left w:val="single" w:sz="4" w:space="0" w:color="auto"/>
              <w:bottom w:val="single" w:sz="4" w:space="0" w:color="auto"/>
              <w:right w:val="single" w:sz="4" w:space="0" w:color="auto"/>
            </w:tcBorders>
            <w:vAlign w:val="center"/>
          </w:tcPr>
          <w:p w14:paraId="3BFEF07C" w14:textId="723D5204"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3E5C9FB6" w14:textId="5E2311B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hint="eastAsia"/>
                <w:bCs/>
                <w:color w:val="000000" w:themeColor="text1"/>
                <w:sz w:val="20"/>
                <w:szCs w:val="20"/>
              </w:rPr>
              <w:t>4</w:t>
            </w:r>
          </w:p>
        </w:tc>
        <w:tc>
          <w:tcPr>
            <w:tcW w:w="1579" w:type="dxa"/>
            <w:tcBorders>
              <w:top w:val="single" w:sz="4" w:space="0" w:color="auto"/>
              <w:left w:val="single" w:sz="4" w:space="0" w:color="auto"/>
              <w:bottom w:val="single" w:sz="4" w:space="0" w:color="auto"/>
              <w:right w:val="single" w:sz="4" w:space="0" w:color="auto"/>
            </w:tcBorders>
            <w:vAlign w:val="center"/>
          </w:tcPr>
          <w:p w14:paraId="0267DAB8" w14:textId="77208D2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1960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53E70E6" w14:textId="535D764A"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277E2045" w14:textId="17B00412"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9</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516</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780</w:t>
            </w:r>
          </w:p>
        </w:tc>
      </w:tr>
      <w:tr w:rsidR="00670955" w:rsidRPr="00D74A1D" w14:paraId="307EF25A"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0C924DF5"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63C55CE2" w14:textId="6686B94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Infection prevention management</w:t>
            </w:r>
          </w:p>
        </w:tc>
        <w:tc>
          <w:tcPr>
            <w:tcW w:w="1487" w:type="dxa"/>
            <w:tcBorders>
              <w:top w:val="single" w:sz="4" w:space="0" w:color="auto"/>
              <w:left w:val="single" w:sz="4" w:space="0" w:color="auto"/>
              <w:bottom w:val="single" w:sz="4" w:space="0" w:color="auto"/>
              <w:right w:val="single" w:sz="4" w:space="0" w:color="auto"/>
            </w:tcBorders>
            <w:vAlign w:val="center"/>
          </w:tcPr>
          <w:p w14:paraId="258942BD" w14:textId="2A77DA9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1DD21112" w14:textId="045F009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3 nurses</w:t>
            </w:r>
          </w:p>
        </w:tc>
        <w:tc>
          <w:tcPr>
            <w:tcW w:w="1016" w:type="dxa"/>
            <w:tcBorders>
              <w:top w:val="single" w:sz="4" w:space="0" w:color="auto"/>
              <w:left w:val="single" w:sz="4" w:space="0" w:color="auto"/>
              <w:bottom w:val="single" w:sz="4" w:space="0" w:color="auto"/>
              <w:right w:val="single" w:sz="4" w:space="0" w:color="auto"/>
            </w:tcBorders>
            <w:vAlign w:val="center"/>
          </w:tcPr>
          <w:p w14:paraId="1EE5B329" w14:textId="46FF6AE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6D16FAA4" w14:textId="4C8CB5F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w:t>
            </w:r>
          </w:p>
        </w:tc>
        <w:tc>
          <w:tcPr>
            <w:tcW w:w="1579" w:type="dxa"/>
            <w:tcBorders>
              <w:top w:val="single" w:sz="4" w:space="0" w:color="auto"/>
              <w:left w:val="single" w:sz="4" w:space="0" w:color="auto"/>
              <w:bottom w:val="single" w:sz="4" w:space="0" w:color="auto"/>
              <w:right w:val="single" w:sz="4" w:space="0" w:color="auto"/>
            </w:tcBorders>
            <w:vAlign w:val="center"/>
          </w:tcPr>
          <w:p w14:paraId="259A621C" w14:textId="36D2EB5A"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245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EB2A1D1" w14:textId="019822C0"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15F69A02" w14:textId="0F5F8BA3"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2</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379</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195</w:t>
            </w:r>
          </w:p>
        </w:tc>
      </w:tr>
      <w:tr w:rsidR="00670955" w:rsidRPr="00D74A1D" w14:paraId="38685191" w14:textId="7EDC614D" w:rsidTr="00AE68F9">
        <w:trPr>
          <w:trHeight w:val="360"/>
        </w:trPr>
        <w:tc>
          <w:tcPr>
            <w:tcW w:w="2000" w:type="dxa"/>
            <w:tcBorders>
              <w:top w:val="single" w:sz="4" w:space="0" w:color="auto"/>
              <w:bottom w:val="single" w:sz="4" w:space="0" w:color="auto"/>
              <w:right w:val="single" w:sz="4" w:space="0" w:color="auto"/>
            </w:tcBorders>
            <w:vAlign w:val="center"/>
          </w:tcPr>
          <w:p w14:paraId="0A9CB43E" w14:textId="0B33660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Remote consultation</w:t>
            </w:r>
          </w:p>
        </w:tc>
        <w:tc>
          <w:tcPr>
            <w:tcW w:w="2956" w:type="dxa"/>
            <w:tcBorders>
              <w:top w:val="single" w:sz="4" w:space="0" w:color="auto"/>
              <w:left w:val="single" w:sz="4" w:space="0" w:color="auto"/>
              <w:bottom w:val="single" w:sz="4" w:space="0" w:color="auto"/>
              <w:right w:val="single" w:sz="4" w:space="0" w:color="auto"/>
            </w:tcBorders>
            <w:vAlign w:val="center"/>
          </w:tcPr>
          <w:p w14:paraId="38BB648C" w14:textId="0EA37B4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Summarizing patient</w:t>
            </w:r>
            <w:r w:rsidRPr="00D74A1D">
              <w:rPr>
                <w:rFonts w:ascii="Times New Roman" w:hAnsi="Times New Roman" w:cs="Times New Roman" w:hint="eastAsia"/>
                <w:bCs/>
                <w:color w:val="000000" w:themeColor="text1"/>
                <w:sz w:val="20"/>
                <w:szCs w:val="20"/>
              </w:rPr>
              <w:t xml:space="preserve"> data</w:t>
            </w:r>
          </w:p>
        </w:tc>
        <w:tc>
          <w:tcPr>
            <w:tcW w:w="1487" w:type="dxa"/>
            <w:tcBorders>
              <w:top w:val="single" w:sz="4" w:space="0" w:color="auto"/>
              <w:left w:val="single" w:sz="4" w:space="0" w:color="auto"/>
              <w:bottom w:val="single" w:sz="4" w:space="0" w:color="auto"/>
              <w:right w:val="single" w:sz="4" w:space="0" w:color="auto"/>
            </w:tcBorders>
            <w:vAlign w:val="center"/>
          </w:tcPr>
          <w:p w14:paraId="080D2747" w14:textId="6CCEFA0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7BA88F27" w14:textId="75383E2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0C88CC7F" w14:textId="0B2EF2F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7719EB64" w14:textId="3A2D4D67"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0.5</w:t>
            </w:r>
          </w:p>
        </w:tc>
        <w:tc>
          <w:tcPr>
            <w:tcW w:w="1579" w:type="dxa"/>
            <w:tcBorders>
              <w:top w:val="single" w:sz="4" w:space="0" w:color="auto"/>
              <w:left w:val="single" w:sz="4" w:space="0" w:color="auto"/>
              <w:bottom w:val="single" w:sz="4" w:space="0" w:color="auto"/>
              <w:right w:val="single" w:sz="4" w:space="0" w:color="auto"/>
            </w:tcBorders>
            <w:vAlign w:val="center"/>
          </w:tcPr>
          <w:p w14:paraId="4CA10B0C" w14:textId="549BB6B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122.5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35D61F6" w14:textId="106CCC76"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678DC3E0" w14:textId="34B2C76A"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396</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532.5</w:t>
            </w:r>
          </w:p>
        </w:tc>
      </w:tr>
      <w:tr w:rsidR="00670955" w:rsidRPr="00D74A1D" w14:paraId="365250F9"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72ABEBAC"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487D2A8F" w14:textId="5680EB4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Summarizing patient</w:t>
            </w:r>
            <w:r w:rsidRPr="00D74A1D">
              <w:rPr>
                <w:rFonts w:ascii="Times New Roman" w:hAnsi="Times New Roman" w:cs="Times New Roman" w:hint="eastAsia"/>
                <w:bCs/>
                <w:color w:val="000000" w:themeColor="text1"/>
                <w:sz w:val="20"/>
                <w:szCs w:val="20"/>
              </w:rPr>
              <w:t xml:space="preserve"> data</w:t>
            </w:r>
          </w:p>
        </w:tc>
        <w:tc>
          <w:tcPr>
            <w:tcW w:w="1487" w:type="dxa"/>
            <w:tcBorders>
              <w:top w:val="single" w:sz="4" w:space="0" w:color="auto"/>
              <w:left w:val="single" w:sz="4" w:space="0" w:color="auto"/>
              <w:bottom w:val="single" w:sz="4" w:space="0" w:color="auto"/>
              <w:right w:val="single" w:sz="4" w:space="0" w:color="auto"/>
            </w:tcBorders>
            <w:vAlign w:val="center"/>
          </w:tcPr>
          <w:p w14:paraId="04D67A35" w14:textId="5B5C1446"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Sustainment</w:t>
            </w:r>
          </w:p>
        </w:tc>
        <w:tc>
          <w:tcPr>
            <w:tcW w:w="2654" w:type="dxa"/>
            <w:tcBorders>
              <w:top w:val="single" w:sz="4" w:space="0" w:color="auto"/>
              <w:left w:val="single" w:sz="4" w:space="0" w:color="auto"/>
              <w:bottom w:val="single" w:sz="4" w:space="0" w:color="auto"/>
              <w:right w:val="single" w:sz="4" w:space="0" w:color="auto"/>
            </w:tcBorders>
            <w:vAlign w:val="center"/>
          </w:tcPr>
          <w:p w14:paraId="331AF6F5" w14:textId="09B5566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 training pharmacists</w:t>
            </w:r>
          </w:p>
        </w:tc>
        <w:tc>
          <w:tcPr>
            <w:tcW w:w="1016" w:type="dxa"/>
            <w:tcBorders>
              <w:top w:val="single" w:sz="4" w:space="0" w:color="auto"/>
              <w:left w:val="single" w:sz="4" w:space="0" w:color="auto"/>
              <w:bottom w:val="single" w:sz="4" w:space="0" w:color="auto"/>
              <w:right w:val="single" w:sz="4" w:space="0" w:color="auto"/>
            </w:tcBorders>
            <w:vAlign w:val="center"/>
          </w:tcPr>
          <w:p w14:paraId="2C80D538" w14:textId="232AF24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245</w:t>
            </w:r>
          </w:p>
        </w:tc>
        <w:tc>
          <w:tcPr>
            <w:tcW w:w="1119" w:type="dxa"/>
            <w:tcBorders>
              <w:top w:val="single" w:sz="4" w:space="0" w:color="auto"/>
              <w:left w:val="single" w:sz="4" w:space="0" w:color="auto"/>
              <w:bottom w:val="single" w:sz="4" w:space="0" w:color="auto"/>
              <w:right w:val="single" w:sz="4" w:space="0" w:color="auto"/>
            </w:tcBorders>
            <w:vAlign w:val="center"/>
          </w:tcPr>
          <w:p w14:paraId="6580925E" w14:textId="599CB33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0.1</w:t>
            </w:r>
          </w:p>
        </w:tc>
        <w:tc>
          <w:tcPr>
            <w:tcW w:w="1579" w:type="dxa"/>
            <w:tcBorders>
              <w:top w:val="single" w:sz="4" w:space="0" w:color="auto"/>
              <w:left w:val="single" w:sz="4" w:space="0" w:color="auto"/>
              <w:bottom w:val="single" w:sz="4" w:space="0" w:color="auto"/>
              <w:right w:val="single" w:sz="4" w:space="0" w:color="auto"/>
            </w:tcBorders>
            <w:vAlign w:val="center"/>
          </w:tcPr>
          <w:p w14:paraId="107C15DD" w14:textId="74BE185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24.5</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35F807A" w14:textId="66D6E3B0"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01D07CD9" w14:textId="0E497FA6"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158</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613</w:t>
            </w:r>
          </w:p>
        </w:tc>
      </w:tr>
      <w:tr w:rsidR="00670955" w:rsidRPr="00D74A1D" w14:paraId="784AC3E2"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011DF205"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74DA562C" w14:textId="5D4628D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Consultation meeting</w:t>
            </w:r>
          </w:p>
        </w:tc>
        <w:tc>
          <w:tcPr>
            <w:tcW w:w="1487" w:type="dxa"/>
            <w:tcBorders>
              <w:top w:val="single" w:sz="4" w:space="0" w:color="auto"/>
              <w:left w:val="single" w:sz="4" w:space="0" w:color="auto"/>
              <w:bottom w:val="single" w:sz="4" w:space="0" w:color="auto"/>
              <w:right w:val="single" w:sz="4" w:space="0" w:color="auto"/>
            </w:tcBorders>
            <w:vAlign w:val="center"/>
          </w:tcPr>
          <w:p w14:paraId="7728C434" w14:textId="2AA9AB3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Once a week</w:t>
            </w:r>
          </w:p>
        </w:tc>
        <w:tc>
          <w:tcPr>
            <w:tcW w:w="2654" w:type="dxa"/>
            <w:tcBorders>
              <w:top w:val="single" w:sz="4" w:space="0" w:color="auto"/>
              <w:left w:val="single" w:sz="4" w:space="0" w:color="auto"/>
              <w:bottom w:val="single" w:sz="4" w:space="0" w:color="auto"/>
              <w:right w:val="single" w:sz="4" w:space="0" w:color="auto"/>
            </w:tcBorders>
            <w:vAlign w:val="center"/>
          </w:tcPr>
          <w:p w14:paraId="71FBEBC2" w14:textId="4A19342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68906ED4" w14:textId="43F1B67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52</w:t>
            </w:r>
          </w:p>
        </w:tc>
        <w:tc>
          <w:tcPr>
            <w:tcW w:w="1119" w:type="dxa"/>
            <w:tcBorders>
              <w:top w:val="single" w:sz="4" w:space="0" w:color="auto"/>
              <w:left w:val="single" w:sz="4" w:space="0" w:color="auto"/>
              <w:bottom w:val="single" w:sz="4" w:space="0" w:color="auto"/>
              <w:right w:val="single" w:sz="4" w:space="0" w:color="auto"/>
            </w:tcBorders>
            <w:vAlign w:val="center"/>
          </w:tcPr>
          <w:p w14:paraId="07F8B6E0" w14:textId="2AF18E3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w:t>
            </w:r>
          </w:p>
        </w:tc>
        <w:tc>
          <w:tcPr>
            <w:tcW w:w="1579" w:type="dxa"/>
            <w:tcBorders>
              <w:top w:val="single" w:sz="4" w:space="0" w:color="auto"/>
              <w:left w:val="single" w:sz="4" w:space="0" w:color="auto"/>
              <w:bottom w:val="single" w:sz="4" w:space="0" w:color="auto"/>
              <w:right w:val="single" w:sz="4" w:space="0" w:color="auto"/>
            </w:tcBorders>
            <w:vAlign w:val="center"/>
          </w:tcPr>
          <w:p w14:paraId="6B8C6C84" w14:textId="3BB9D8B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104</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52BE630" w14:textId="0CE78BB1"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002A7803" w14:textId="7C4C1834"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336</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648</w:t>
            </w:r>
          </w:p>
        </w:tc>
      </w:tr>
      <w:tr w:rsidR="00670955" w:rsidRPr="00D74A1D" w14:paraId="36A95410"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297D35E3"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43891FC1" w14:textId="66E3D91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Consultation meeting</w:t>
            </w:r>
          </w:p>
        </w:tc>
        <w:tc>
          <w:tcPr>
            <w:tcW w:w="1487" w:type="dxa"/>
            <w:tcBorders>
              <w:top w:val="single" w:sz="4" w:space="0" w:color="auto"/>
              <w:left w:val="single" w:sz="4" w:space="0" w:color="auto"/>
              <w:bottom w:val="single" w:sz="4" w:space="0" w:color="auto"/>
              <w:right w:val="single" w:sz="4" w:space="0" w:color="auto"/>
            </w:tcBorders>
            <w:vAlign w:val="center"/>
          </w:tcPr>
          <w:p w14:paraId="7E94043A" w14:textId="4E0B4E5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Once a week</w:t>
            </w:r>
          </w:p>
        </w:tc>
        <w:tc>
          <w:tcPr>
            <w:tcW w:w="2654" w:type="dxa"/>
            <w:tcBorders>
              <w:top w:val="single" w:sz="4" w:space="0" w:color="auto"/>
              <w:left w:val="single" w:sz="4" w:space="0" w:color="auto"/>
              <w:bottom w:val="single" w:sz="4" w:space="0" w:color="auto"/>
              <w:right w:val="single" w:sz="4" w:space="0" w:color="auto"/>
            </w:tcBorders>
            <w:vAlign w:val="center"/>
          </w:tcPr>
          <w:p w14:paraId="0F733277" w14:textId="5DAC396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3 infection control doctors</w:t>
            </w:r>
          </w:p>
        </w:tc>
        <w:tc>
          <w:tcPr>
            <w:tcW w:w="1016" w:type="dxa"/>
            <w:tcBorders>
              <w:top w:val="single" w:sz="4" w:space="0" w:color="auto"/>
              <w:left w:val="single" w:sz="4" w:space="0" w:color="auto"/>
              <w:bottom w:val="single" w:sz="4" w:space="0" w:color="auto"/>
              <w:right w:val="single" w:sz="4" w:space="0" w:color="auto"/>
            </w:tcBorders>
            <w:vAlign w:val="center"/>
          </w:tcPr>
          <w:p w14:paraId="5163A96A" w14:textId="0EB2B8C2"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52</w:t>
            </w:r>
          </w:p>
        </w:tc>
        <w:tc>
          <w:tcPr>
            <w:tcW w:w="1119" w:type="dxa"/>
            <w:tcBorders>
              <w:top w:val="single" w:sz="4" w:space="0" w:color="auto"/>
              <w:left w:val="single" w:sz="4" w:space="0" w:color="auto"/>
              <w:bottom w:val="single" w:sz="4" w:space="0" w:color="auto"/>
              <w:right w:val="single" w:sz="4" w:space="0" w:color="auto"/>
            </w:tcBorders>
            <w:vAlign w:val="center"/>
          </w:tcPr>
          <w:p w14:paraId="77672B76" w14:textId="7966B1A8"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w:t>
            </w:r>
          </w:p>
        </w:tc>
        <w:tc>
          <w:tcPr>
            <w:tcW w:w="1579" w:type="dxa"/>
            <w:tcBorders>
              <w:top w:val="single" w:sz="4" w:space="0" w:color="auto"/>
              <w:left w:val="single" w:sz="4" w:space="0" w:color="auto"/>
              <w:bottom w:val="single" w:sz="4" w:space="0" w:color="auto"/>
              <w:right w:val="single" w:sz="4" w:space="0" w:color="auto"/>
            </w:tcBorders>
            <w:vAlign w:val="center"/>
          </w:tcPr>
          <w:p w14:paraId="4BFB338B" w14:textId="63BAD298"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52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EF54810" w14:textId="13F23478"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9189</w:t>
            </w:r>
          </w:p>
        </w:tc>
        <w:tc>
          <w:tcPr>
            <w:tcW w:w="1218" w:type="dxa"/>
            <w:tcBorders>
              <w:top w:val="single" w:sz="4" w:space="0" w:color="auto"/>
              <w:left w:val="single" w:sz="4" w:space="0" w:color="auto"/>
              <w:bottom w:val="single" w:sz="4" w:space="0" w:color="auto"/>
            </w:tcBorders>
            <w:vAlign w:val="center"/>
          </w:tcPr>
          <w:p w14:paraId="22DA9596" w14:textId="79242FD6"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1433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484</w:t>
            </w:r>
          </w:p>
        </w:tc>
      </w:tr>
      <w:tr w:rsidR="00670955" w:rsidRPr="00D74A1D" w14:paraId="2DCA928B"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68F70E08"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68E22C69" w14:textId="191A3CA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Consultation meeting</w:t>
            </w:r>
          </w:p>
        </w:tc>
        <w:tc>
          <w:tcPr>
            <w:tcW w:w="1487" w:type="dxa"/>
            <w:tcBorders>
              <w:top w:val="single" w:sz="4" w:space="0" w:color="auto"/>
              <w:left w:val="single" w:sz="4" w:space="0" w:color="auto"/>
              <w:bottom w:val="single" w:sz="4" w:space="0" w:color="auto"/>
              <w:right w:val="single" w:sz="4" w:space="0" w:color="auto"/>
            </w:tcBorders>
            <w:vAlign w:val="center"/>
          </w:tcPr>
          <w:p w14:paraId="47CE9A60" w14:textId="1E96B0E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Once a week</w:t>
            </w:r>
          </w:p>
        </w:tc>
        <w:tc>
          <w:tcPr>
            <w:tcW w:w="2654" w:type="dxa"/>
            <w:tcBorders>
              <w:top w:val="single" w:sz="4" w:space="0" w:color="auto"/>
              <w:left w:val="single" w:sz="4" w:space="0" w:color="auto"/>
              <w:bottom w:val="single" w:sz="4" w:space="0" w:color="auto"/>
              <w:right w:val="single" w:sz="4" w:space="0" w:color="auto"/>
            </w:tcBorders>
            <w:vAlign w:val="center"/>
          </w:tcPr>
          <w:p w14:paraId="5C0533BC" w14:textId="0D674B96"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hint="eastAsia"/>
                <w:bCs/>
                <w:color w:val="000000" w:themeColor="text1"/>
                <w:sz w:val="20"/>
                <w:szCs w:val="20"/>
              </w:rPr>
              <w:t>1</w:t>
            </w:r>
            <w:r w:rsidRPr="00D74A1D">
              <w:rPr>
                <w:rFonts w:ascii="Times New Roman" w:hAnsi="Times New Roman" w:cs="Times New Roman"/>
                <w:bCs/>
                <w:color w:val="000000" w:themeColor="text1"/>
                <w:sz w:val="20"/>
                <w:szCs w:val="20"/>
              </w:rPr>
              <w:t xml:space="preserve"> </w:t>
            </w:r>
            <w:r w:rsidRPr="00D74A1D">
              <w:rPr>
                <w:rFonts w:ascii="Times New Roman" w:hAnsi="Times New Roman" w:cs="Times New Roman" w:hint="eastAsia"/>
                <w:bCs/>
                <w:color w:val="000000" w:themeColor="text1"/>
                <w:sz w:val="20"/>
                <w:szCs w:val="20"/>
              </w:rPr>
              <w:t>microbiologist and 2 nurses</w:t>
            </w:r>
          </w:p>
        </w:tc>
        <w:tc>
          <w:tcPr>
            <w:tcW w:w="1016" w:type="dxa"/>
            <w:tcBorders>
              <w:top w:val="single" w:sz="4" w:space="0" w:color="auto"/>
              <w:left w:val="single" w:sz="4" w:space="0" w:color="auto"/>
              <w:bottom w:val="single" w:sz="4" w:space="0" w:color="auto"/>
              <w:right w:val="single" w:sz="4" w:space="0" w:color="auto"/>
            </w:tcBorders>
            <w:vAlign w:val="center"/>
          </w:tcPr>
          <w:p w14:paraId="4E9E8B7D" w14:textId="7E825AF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52</w:t>
            </w:r>
          </w:p>
        </w:tc>
        <w:tc>
          <w:tcPr>
            <w:tcW w:w="1119" w:type="dxa"/>
            <w:tcBorders>
              <w:top w:val="single" w:sz="4" w:space="0" w:color="auto"/>
              <w:left w:val="single" w:sz="4" w:space="0" w:color="auto"/>
              <w:bottom w:val="single" w:sz="4" w:space="0" w:color="auto"/>
              <w:right w:val="single" w:sz="4" w:space="0" w:color="auto"/>
            </w:tcBorders>
            <w:vAlign w:val="center"/>
          </w:tcPr>
          <w:p w14:paraId="335A0C3C" w14:textId="69E9DAC0"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w:t>
            </w:r>
          </w:p>
        </w:tc>
        <w:tc>
          <w:tcPr>
            <w:tcW w:w="1579" w:type="dxa"/>
            <w:tcBorders>
              <w:top w:val="single" w:sz="4" w:space="0" w:color="auto"/>
              <w:left w:val="single" w:sz="4" w:space="0" w:color="auto"/>
              <w:bottom w:val="single" w:sz="4" w:space="0" w:color="auto"/>
              <w:right w:val="single" w:sz="4" w:space="0" w:color="auto"/>
            </w:tcBorders>
            <w:vAlign w:val="center"/>
          </w:tcPr>
          <w:p w14:paraId="20941AC3" w14:textId="4B79EA2A" w:rsidR="00670955" w:rsidRPr="00D74A1D" w:rsidRDefault="00670955" w:rsidP="00670955">
            <w:pPr>
              <w:widowControl/>
              <w:spacing w:line="180" w:lineRule="exact"/>
              <w:rPr>
                <w:rFonts w:ascii="Times New Roman" w:hAnsi="Times New Roman" w:cs="Times New Roman"/>
                <w:sz w:val="20"/>
                <w:szCs w:val="20"/>
              </w:rPr>
            </w:pPr>
            <w:r w:rsidRPr="00D74A1D">
              <w:rPr>
                <w:rFonts w:ascii="Times New Roman" w:hAnsi="Times New Roman" w:cs="Times New Roman"/>
                <w:sz w:val="20"/>
                <w:szCs w:val="20"/>
              </w:rPr>
              <w:t>52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CD370D2" w14:textId="47597B3F" w:rsidR="00670955" w:rsidRPr="00D74A1D" w:rsidRDefault="00670955" w:rsidP="00670955">
            <w:pPr>
              <w:widowControl/>
              <w:spacing w:line="180" w:lineRule="exact"/>
              <w:rPr>
                <w:rFonts w:ascii="Times New Roman" w:eastAsia="游ゴシック" w:hAnsi="Times New Roman" w:cs="Times New Roman"/>
                <w:color w:val="000000"/>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069C1B28" w14:textId="6694E50E" w:rsidR="00670955" w:rsidRPr="00D74A1D" w:rsidRDefault="00670955" w:rsidP="00670955">
            <w:pPr>
              <w:widowControl/>
              <w:spacing w:line="180" w:lineRule="exact"/>
              <w:rPr>
                <w:rFonts w:ascii="Times New Roman" w:hAnsi="Times New Roman" w:cs="Times New Roman"/>
                <w:sz w:val="20"/>
                <w:szCs w:val="21"/>
              </w:rPr>
            </w:pPr>
            <w:r w:rsidRPr="00D74A1D">
              <w:rPr>
                <w:rFonts w:ascii="Times New Roman" w:hAnsi="Times New Roman" w:cs="Times New Roman"/>
                <w:sz w:val="20"/>
                <w:szCs w:val="21"/>
              </w:rPr>
              <w:t>233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064</w:t>
            </w:r>
          </w:p>
        </w:tc>
      </w:tr>
      <w:tr w:rsidR="00670955" w:rsidRPr="00D74A1D" w14:paraId="19F46E7D" w14:textId="77777777" w:rsidTr="00AE68F9">
        <w:trPr>
          <w:trHeight w:val="360"/>
        </w:trPr>
        <w:tc>
          <w:tcPr>
            <w:tcW w:w="2000" w:type="dxa"/>
            <w:tcBorders>
              <w:top w:val="single" w:sz="4" w:space="0" w:color="auto"/>
              <w:bottom w:val="single" w:sz="4" w:space="0" w:color="auto"/>
              <w:right w:val="single" w:sz="4" w:space="0" w:color="auto"/>
            </w:tcBorders>
            <w:vAlign w:val="center"/>
          </w:tcPr>
          <w:p w14:paraId="4518521B" w14:textId="77777777" w:rsidR="00670955" w:rsidRPr="00D74A1D" w:rsidRDefault="00670955" w:rsidP="00670955">
            <w:pPr>
              <w:widowControl/>
              <w:spacing w:line="180" w:lineRule="exact"/>
              <w:rPr>
                <w:rFonts w:ascii="Times New Roman" w:hAnsi="Times New Roman" w:cs="Times New Roman"/>
                <w:bCs/>
                <w:color w:val="000000" w:themeColor="text1"/>
                <w:sz w:val="20"/>
                <w:szCs w:val="20"/>
              </w:rPr>
            </w:pPr>
          </w:p>
        </w:tc>
        <w:tc>
          <w:tcPr>
            <w:tcW w:w="2956" w:type="dxa"/>
            <w:tcBorders>
              <w:top w:val="single" w:sz="4" w:space="0" w:color="auto"/>
              <w:left w:val="single" w:sz="4" w:space="0" w:color="auto"/>
              <w:bottom w:val="single" w:sz="4" w:space="0" w:color="auto"/>
              <w:right w:val="single" w:sz="4" w:space="0" w:color="auto"/>
            </w:tcBorders>
            <w:vAlign w:val="center"/>
          </w:tcPr>
          <w:p w14:paraId="5112BB43" w14:textId="6B443C6F"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Development of facility-specific clinical practice guidelines</w:t>
            </w:r>
          </w:p>
        </w:tc>
        <w:tc>
          <w:tcPr>
            <w:tcW w:w="1487" w:type="dxa"/>
            <w:tcBorders>
              <w:top w:val="single" w:sz="4" w:space="0" w:color="auto"/>
              <w:left w:val="single" w:sz="4" w:space="0" w:color="auto"/>
              <w:bottom w:val="single" w:sz="4" w:space="0" w:color="auto"/>
              <w:right w:val="single" w:sz="4" w:space="0" w:color="auto"/>
            </w:tcBorders>
            <w:vAlign w:val="center"/>
          </w:tcPr>
          <w:p w14:paraId="56A6D0EE" w14:textId="36C2A00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 months a year</w:t>
            </w:r>
          </w:p>
        </w:tc>
        <w:tc>
          <w:tcPr>
            <w:tcW w:w="2654" w:type="dxa"/>
            <w:tcBorders>
              <w:top w:val="single" w:sz="4" w:space="0" w:color="auto"/>
              <w:left w:val="single" w:sz="4" w:space="0" w:color="auto"/>
              <w:bottom w:val="single" w:sz="4" w:space="0" w:color="auto"/>
              <w:right w:val="single" w:sz="4" w:space="0" w:color="auto"/>
            </w:tcBorders>
            <w:vAlign w:val="center"/>
          </w:tcPr>
          <w:p w14:paraId="58AA2143" w14:textId="7D2EDE0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3 pharmacist</w:t>
            </w:r>
            <w:r w:rsidRPr="00D74A1D">
              <w:rPr>
                <w:rFonts w:ascii="Times New Roman" w:hAnsi="Times New Roman" w:cs="Times New Roman" w:hint="eastAsia"/>
                <w:bCs/>
                <w:color w:val="000000" w:themeColor="text1"/>
                <w:sz w:val="20"/>
                <w:szCs w:val="20"/>
              </w:rPr>
              <w:t>s</w:t>
            </w:r>
          </w:p>
        </w:tc>
        <w:tc>
          <w:tcPr>
            <w:tcW w:w="1016" w:type="dxa"/>
            <w:tcBorders>
              <w:top w:val="single" w:sz="4" w:space="0" w:color="auto"/>
              <w:left w:val="single" w:sz="4" w:space="0" w:color="auto"/>
              <w:bottom w:val="single" w:sz="4" w:space="0" w:color="auto"/>
              <w:right w:val="single" w:sz="4" w:space="0" w:color="auto"/>
            </w:tcBorders>
            <w:vAlign w:val="center"/>
          </w:tcPr>
          <w:p w14:paraId="11CAE946" w14:textId="38F982D5"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24</w:t>
            </w:r>
          </w:p>
        </w:tc>
        <w:tc>
          <w:tcPr>
            <w:tcW w:w="1119" w:type="dxa"/>
            <w:tcBorders>
              <w:top w:val="single" w:sz="4" w:space="0" w:color="auto"/>
              <w:left w:val="single" w:sz="4" w:space="0" w:color="auto"/>
              <w:bottom w:val="single" w:sz="4" w:space="0" w:color="auto"/>
              <w:right w:val="single" w:sz="4" w:space="0" w:color="auto"/>
            </w:tcBorders>
            <w:vAlign w:val="center"/>
          </w:tcPr>
          <w:p w14:paraId="3063E56B" w14:textId="2100152E"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w:t>
            </w:r>
          </w:p>
        </w:tc>
        <w:tc>
          <w:tcPr>
            <w:tcW w:w="1579" w:type="dxa"/>
            <w:tcBorders>
              <w:top w:val="single" w:sz="4" w:space="0" w:color="auto"/>
              <w:left w:val="single" w:sz="4" w:space="0" w:color="auto"/>
              <w:bottom w:val="single" w:sz="4" w:space="0" w:color="auto"/>
              <w:right w:val="single" w:sz="4" w:space="0" w:color="auto"/>
            </w:tcBorders>
            <w:vAlign w:val="center"/>
          </w:tcPr>
          <w:p w14:paraId="0364FC30" w14:textId="112DF853"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24</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42B6765" w14:textId="1D1451D0"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202A831B" w14:textId="3B2070D1"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233</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064</w:t>
            </w:r>
          </w:p>
        </w:tc>
      </w:tr>
      <w:tr w:rsidR="00670955" w:rsidRPr="00D74A1D" w14:paraId="2F902830" w14:textId="78EB6EA2" w:rsidTr="00AE68F9">
        <w:trPr>
          <w:trHeight w:val="360"/>
        </w:trPr>
        <w:tc>
          <w:tcPr>
            <w:tcW w:w="2000" w:type="dxa"/>
            <w:tcBorders>
              <w:top w:val="single" w:sz="4" w:space="0" w:color="auto"/>
              <w:bottom w:val="single" w:sz="4" w:space="0" w:color="auto"/>
              <w:right w:val="single" w:sz="4" w:space="0" w:color="auto"/>
            </w:tcBorders>
            <w:vAlign w:val="center"/>
          </w:tcPr>
          <w:p w14:paraId="2D0B0BB1" w14:textId="37CD6EDD"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Fidelity review</w:t>
            </w:r>
          </w:p>
        </w:tc>
        <w:tc>
          <w:tcPr>
            <w:tcW w:w="2956" w:type="dxa"/>
            <w:tcBorders>
              <w:top w:val="single" w:sz="4" w:space="0" w:color="auto"/>
              <w:left w:val="single" w:sz="4" w:space="0" w:color="auto"/>
              <w:bottom w:val="single" w:sz="4" w:space="0" w:color="auto"/>
              <w:right w:val="single" w:sz="4" w:space="0" w:color="auto"/>
            </w:tcBorders>
            <w:vAlign w:val="center"/>
          </w:tcPr>
          <w:p w14:paraId="1BCC5673" w14:textId="49B6086C"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Participati</w:t>
            </w:r>
            <w:r w:rsidRPr="00D74A1D">
              <w:rPr>
                <w:rFonts w:ascii="Times New Roman" w:hAnsi="Times New Roman" w:cs="Times New Roman" w:hint="eastAsia"/>
                <w:bCs/>
                <w:color w:val="000000" w:themeColor="text1"/>
                <w:sz w:val="20"/>
                <w:szCs w:val="20"/>
              </w:rPr>
              <w:t>on</w:t>
            </w:r>
            <w:r w:rsidRPr="00D74A1D">
              <w:rPr>
                <w:rFonts w:ascii="Times New Roman" w:hAnsi="Times New Roman" w:cs="Times New Roman"/>
                <w:bCs/>
                <w:color w:val="000000" w:themeColor="text1"/>
                <w:sz w:val="20"/>
                <w:szCs w:val="20"/>
              </w:rPr>
              <w:t xml:space="preserve"> in national surveillance for antibiotic</w:t>
            </w:r>
            <w:r w:rsidRPr="00D74A1D">
              <w:rPr>
                <w:rFonts w:ascii="Times New Roman" w:hAnsi="Times New Roman" w:cs="Times New Roman" w:hint="eastAsia"/>
                <w:bCs/>
                <w:color w:val="000000" w:themeColor="text1"/>
                <w:sz w:val="20"/>
                <w:szCs w:val="20"/>
              </w:rPr>
              <w:t xml:space="preserve"> consumption</w:t>
            </w:r>
          </w:p>
        </w:tc>
        <w:tc>
          <w:tcPr>
            <w:tcW w:w="1487" w:type="dxa"/>
            <w:tcBorders>
              <w:top w:val="single" w:sz="4" w:space="0" w:color="auto"/>
              <w:left w:val="single" w:sz="4" w:space="0" w:color="auto"/>
              <w:bottom w:val="single" w:sz="4" w:space="0" w:color="auto"/>
              <w:right w:val="single" w:sz="4" w:space="0" w:color="auto"/>
            </w:tcBorders>
            <w:vAlign w:val="center"/>
          </w:tcPr>
          <w:p w14:paraId="091D48C1" w14:textId="2F797029"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hint="eastAsia"/>
                <w:bCs/>
                <w:color w:val="000000" w:themeColor="text1"/>
                <w:sz w:val="20"/>
                <w:szCs w:val="20"/>
              </w:rPr>
              <w:t>4 times a year</w:t>
            </w:r>
          </w:p>
        </w:tc>
        <w:tc>
          <w:tcPr>
            <w:tcW w:w="2654" w:type="dxa"/>
            <w:tcBorders>
              <w:top w:val="single" w:sz="4" w:space="0" w:color="auto"/>
              <w:left w:val="single" w:sz="4" w:space="0" w:color="auto"/>
              <w:bottom w:val="single" w:sz="4" w:space="0" w:color="auto"/>
              <w:right w:val="single" w:sz="4" w:space="0" w:color="auto"/>
            </w:tcBorders>
            <w:vAlign w:val="center"/>
          </w:tcPr>
          <w:p w14:paraId="437CD8D3" w14:textId="6F122B9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1 certified pharmacist</w:t>
            </w:r>
          </w:p>
        </w:tc>
        <w:tc>
          <w:tcPr>
            <w:tcW w:w="1016" w:type="dxa"/>
            <w:tcBorders>
              <w:top w:val="single" w:sz="4" w:space="0" w:color="auto"/>
              <w:left w:val="single" w:sz="4" w:space="0" w:color="auto"/>
              <w:bottom w:val="single" w:sz="4" w:space="0" w:color="auto"/>
              <w:right w:val="single" w:sz="4" w:space="0" w:color="auto"/>
            </w:tcBorders>
            <w:vAlign w:val="center"/>
          </w:tcPr>
          <w:p w14:paraId="2796DFC9" w14:textId="271E4F51"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4</w:t>
            </w:r>
          </w:p>
        </w:tc>
        <w:tc>
          <w:tcPr>
            <w:tcW w:w="1119" w:type="dxa"/>
            <w:tcBorders>
              <w:top w:val="single" w:sz="4" w:space="0" w:color="auto"/>
              <w:left w:val="single" w:sz="4" w:space="0" w:color="auto"/>
              <w:bottom w:val="single" w:sz="4" w:space="0" w:color="auto"/>
              <w:right w:val="single" w:sz="4" w:space="0" w:color="auto"/>
            </w:tcBorders>
            <w:vAlign w:val="center"/>
          </w:tcPr>
          <w:p w14:paraId="6213E048" w14:textId="50D590C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bCs/>
                <w:color w:val="000000" w:themeColor="text1"/>
                <w:sz w:val="20"/>
                <w:szCs w:val="20"/>
              </w:rPr>
              <w:t>2</w:t>
            </w:r>
          </w:p>
        </w:tc>
        <w:tc>
          <w:tcPr>
            <w:tcW w:w="1579" w:type="dxa"/>
            <w:tcBorders>
              <w:top w:val="single" w:sz="4" w:space="0" w:color="auto"/>
              <w:left w:val="single" w:sz="4" w:space="0" w:color="auto"/>
              <w:bottom w:val="single" w:sz="4" w:space="0" w:color="auto"/>
              <w:right w:val="single" w:sz="4" w:space="0" w:color="auto"/>
            </w:tcBorders>
            <w:vAlign w:val="center"/>
          </w:tcPr>
          <w:p w14:paraId="333493E7" w14:textId="2B9C393B" w:rsidR="00670955" w:rsidRPr="00D74A1D" w:rsidRDefault="00670955" w:rsidP="00670955">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sz w:val="20"/>
                <w:szCs w:val="20"/>
              </w:rPr>
              <w:t>8</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E6A10BD" w14:textId="40EFEC45"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3237</w:t>
            </w:r>
          </w:p>
        </w:tc>
        <w:tc>
          <w:tcPr>
            <w:tcW w:w="1218" w:type="dxa"/>
            <w:tcBorders>
              <w:top w:val="single" w:sz="4" w:space="0" w:color="auto"/>
              <w:left w:val="single" w:sz="4" w:space="0" w:color="auto"/>
              <w:bottom w:val="single" w:sz="4" w:space="0" w:color="auto"/>
            </w:tcBorders>
            <w:vAlign w:val="center"/>
          </w:tcPr>
          <w:p w14:paraId="7B002D9E" w14:textId="5CFB98C4" w:rsidR="00670955" w:rsidRPr="00D74A1D" w:rsidRDefault="00670955" w:rsidP="00670955">
            <w:pPr>
              <w:widowControl/>
              <w:spacing w:line="180" w:lineRule="exact"/>
              <w:rPr>
                <w:rFonts w:ascii="Times New Roman" w:hAnsi="Times New Roman" w:cs="Times New Roman"/>
                <w:bCs/>
                <w:color w:val="000000" w:themeColor="text1"/>
                <w:sz w:val="20"/>
                <w:szCs w:val="21"/>
              </w:rPr>
            </w:pPr>
            <w:r w:rsidRPr="00D74A1D">
              <w:rPr>
                <w:rFonts w:ascii="Times New Roman" w:hAnsi="Times New Roman" w:cs="Times New Roman"/>
                <w:sz w:val="20"/>
                <w:szCs w:val="21"/>
              </w:rPr>
              <w:t>25</w:t>
            </w:r>
            <w:r w:rsidR="00AE68F9" w:rsidRPr="00D74A1D">
              <w:rPr>
                <w:rFonts w:ascii="Times New Roman" w:hAnsi="Times New Roman" w:cs="Times New Roman" w:hint="eastAsia"/>
                <w:sz w:val="20"/>
                <w:szCs w:val="21"/>
              </w:rPr>
              <w:t>,</w:t>
            </w:r>
            <w:r w:rsidRPr="00D74A1D">
              <w:rPr>
                <w:rFonts w:ascii="Times New Roman" w:hAnsi="Times New Roman" w:cs="Times New Roman"/>
                <w:sz w:val="20"/>
                <w:szCs w:val="21"/>
              </w:rPr>
              <w:t>896</w:t>
            </w:r>
          </w:p>
        </w:tc>
      </w:tr>
      <w:tr w:rsidR="00567DB8" w:rsidRPr="00D74A1D" w14:paraId="6B64E69D" w14:textId="77777777" w:rsidTr="009162C1">
        <w:trPr>
          <w:trHeight w:val="360"/>
        </w:trPr>
        <w:tc>
          <w:tcPr>
            <w:tcW w:w="15388" w:type="dxa"/>
            <w:gridSpan w:val="9"/>
            <w:vAlign w:val="center"/>
          </w:tcPr>
          <w:p w14:paraId="5DFA6E43" w14:textId="14C8FA0D" w:rsidR="00567DB8" w:rsidRPr="00D74A1D" w:rsidRDefault="00567DB8" w:rsidP="00567DB8">
            <w:pPr>
              <w:widowControl/>
              <w:spacing w:line="180" w:lineRule="exact"/>
              <w:rPr>
                <w:rFonts w:ascii="Times New Roman" w:hAnsi="Times New Roman" w:cs="Times New Roman"/>
                <w:sz w:val="20"/>
                <w:szCs w:val="20"/>
              </w:rPr>
            </w:pPr>
            <w:r w:rsidRPr="00D74A1D">
              <w:rPr>
                <w:rFonts w:ascii="Times New Roman" w:hAnsi="Times New Roman" w:cs="Times New Roman" w:hint="eastAsia"/>
                <w:bCs/>
                <w:color w:val="000000" w:themeColor="text1"/>
                <w:sz w:val="20"/>
                <w:szCs w:val="20"/>
              </w:rPr>
              <w:t xml:space="preserve">Total personnel </w:t>
            </w:r>
            <w:r w:rsidRPr="00D74A1D">
              <w:rPr>
                <w:rFonts w:ascii="Times New Roman" w:hAnsi="Times New Roman" w:cs="Times New Roman"/>
                <w:bCs/>
                <w:color w:val="000000" w:themeColor="text1"/>
                <w:sz w:val="20"/>
                <w:szCs w:val="20"/>
              </w:rPr>
              <w:t>time</w:t>
            </w:r>
            <w:r w:rsidRPr="00D74A1D">
              <w:rPr>
                <w:rFonts w:ascii="Times New Roman" w:hAnsi="Times New Roman" w:cs="Times New Roman" w:hint="eastAsia"/>
                <w:bCs/>
                <w:color w:val="000000" w:themeColor="text1"/>
                <w:sz w:val="20"/>
                <w:szCs w:val="20"/>
              </w:rPr>
              <w:t xml:space="preserve"> costs: \</w:t>
            </w:r>
            <w:r w:rsidR="00670955" w:rsidRPr="00D74A1D">
              <w:rPr>
                <w:rFonts w:ascii="Times New Roman" w:hAnsi="Times New Roman" w:cs="Times New Roman" w:hint="eastAsia"/>
                <w:bCs/>
                <w:color w:val="000000" w:themeColor="text1"/>
                <w:sz w:val="20"/>
                <w:szCs w:val="20"/>
              </w:rPr>
              <w:t>23,506,797</w:t>
            </w:r>
          </w:p>
        </w:tc>
      </w:tr>
      <w:tr w:rsidR="00567DB8" w:rsidRPr="00D74A1D" w14:paraId="5F558E03" w14:textId="77777777" w:rsidTr="00AE68F9">
        <w:trPr>
          <w:trHeight w:val="360"/>
        </w:trPr>
        <w:tc>
          <w:tcPr>
            <w:tcW w:w="2000" w:type="dxa"/>
            <w:vAlign w:val="center"/>
          </w:tcPr>
          <w:p w14:paraId="34576689" w14:textId="1772A88F" w:rsidR="00567DB8" w:rsidRPr="00D74A1D" w:rsidRDefault="00567DB8" w:rsidP="00567DB8">
            <w:pPr>
              <w:widowControl/>
              <w:spacing w:line="180" w:lineRule="exact"/>
              <w:rPr>
                <w:rFonts w:ascii="Times New Roman" w:hAnsi="Times New Roman" w:cs="Times New Roman"/>
                <w:bCs/>
                <w:color w:val="000000" w:themeColor="text1"/>
                <w:sz w:val="20"/>
                <w:szCs w:val="20"/>
              </w:rPr>
            </w:pPr>
            <w:r w:rsidRPr="00D74A1D">
              <w:rPr>
                <w:rFonts w:ascii="Times New Roman" w:hAnsi="Times New Roman" w:cs="Times New Roman" w:hint="eastAsia"/>
                <w:bCs/>
                <w:color w:val="000000" w:themeColor="text1"/>
                <w:sz w:val="20"/>
                <w:szCs w:val="20"/>
              </w:rPr>
              <w:t>Non-personnel costs</w:t>
            </w:r>
          </w:p>
        </w:tc>
        <w:tc>
          <w:tcPr>
            <w:tcW w:w="12170" w:type="dxa"/>
            <w:gridSpan w:val="7"/>
            <w:tcBorders>
              <w:right w:val="single" w:sz="4" w:space="0" w:color="auto"/>
            </w:tcBorders>
            <w:vAlign w:val="center"/>
          </w:tcPr>
          <w:p w14:paraId="539269B1" w14:textId="2F2F29CE" w:rsidR="00567DB8" w:rsidRPr="00D74A1D" w:rsidRDefault="00567DB8" w:rsidP="00567DB8">
            <w:pPr>
              <w:widowControl/>
              <w:spacing w:line="180" w:lineRule="exact"/>
              <w:rPr>
                <w:rFonts w:ascii="Times New Roman" w:eastAsia="游ゴシック" w:hAnsi="Times New Roman" w:cs="Times New Roman"/>
                <w:color w:val="000000"/>
                <w:sz w:val="20"/>
                <w:szCs w:val="20"/>
              </w:rPr>
            </w:pPr>
            <w:r w:rsidRPr="00D74A1D">
              <w:rPr>
                <w:rFonts w:ascii="Times New Roman" w:hAnsi="Times New Roman" w:cs="Times New Roman" w:hint="eastAsia"/>
                <w:bCs/>
                <w:color w:val="000000" w:themeColor="text1"/>
                <w:sz w:val="20"/>
                <w:szCs w:val="20"/>
              </w:rPr>
              <w:t>Travel</w:t>
            </w:r>
          </w:p>
        </w:tc>
        <w:tc>
          <w:tcPr>
            <w:tcW w:w="1218" w:type="dxa"/>
            <w:tcBorders>
              <w:left w:val="single" w:sz="4" w:space="0" w:color="auto"/>
            </w:tcBorders>
            <w:vAlign w:val="center"/>
          </w:tcPr>
          <w:p w14:paraId="32ED940D" w14:textId="4A9EA2C9" w:rsidR="00567DB8" w:rsidRPr="00D74A1D" w:rsidRDefault="00567DB8" w:rsidP="00567DB8">
            <w:pPr>
              <w:widowControl/>
              <w:spacing w:line="180" w:lineRule="exact"/>
              <w:rPr>
                <w:rFonts w:ascii="Times New Roman" w:hAnsi="Times New Roman" w:cs="Times New Roman"/>
                <w:sz w:val="20"/>
                <w:szCs w:val="20"/>
              </w:rPr>
            </w:pPr>
            <w:r w:rsidRPr="00D74A1D">
              <w:rPr>
                <w:rFonts w:ascii="Times New Roman" w:hAnsi="Times New Roman" w:cs="Times New Roman" w:hint="eastAsia"/>
                <w:sz w:val="20"/>
                <w:szCs w:val="20"/>
              </w:rPr>
              <w:t>500,000</w:t>
            </w:r>
          </w:p>
        </w:tc>
      </w:tr>
      <w:tr w:rsidR="00567DB8" w:rsidRPr="00D74A1D" w14:paraId="6F03AC59" w14:textId="77777777" w:rsidTr="00AE68F9">
        <w:trPr>
          <w:trHeight w:val="360"/>
        </w:trPr>
        <w:tc>
          <w:tcPr>
            <w:tcW w:w="2000" w:type="dxa"/>
            <w:vAlign w:val="center"/>
          </w:tcPr>
          <w:p w14:paraId="551C7FBE" w14:textId="77777777" w:rsidR="00567DB8" w:rsidRPr="00D74A1D" w:rsidRDefault="00567DB8" w:rsidP="00567DB8">
            <w:pPr>
              <w:widowControl/>
              <w:spacing w:line="180" w:lineRule="exact"/>
              <w:rPr>
                <w:rFonts w:ascii="Times New Roman" w:hAnsi="Times New Roman" w:cs="Times New Roman"/>
                <w:bCs/>
                <w:color w:val="000000" w:themeColor="text1"/>
                <w:sz w:val="20"/>
                <w:szCs w:val="20"/>
              </w:rPr>
            </w:pPr>
          </w:p>
        </w:tc>
        <w:tc>
          <w:tcPr>
            <w:tcW w:w="12170" w:type="dxa"/>
            <w:gridSpan w:val="7"/>
            <w:tcBorders>
              <w:right w:val="single" w:sz="4" w:space="0" w:color="auto"/>
            </w:tcBorders>
            <w:vAlign w:val="center"/>
          </w:tcPr>
          <w:p w14:paraId="2E12980D" w14:textId="09352943" w:rsidR="00567DB8" w:rsidRPr="00D74A1D" w:rsidRDefault="00567DB8" w:rsidP="00567DB8">
            <w:pPr>
              <w:widowControl/>
              <w:spacing w:line="180" w:lineRule="exact"/>
              <w:rPr>
                <w:rFonts w:ascii="Times New Roman" w:eastAsia="游ゴシック" w:hAnsi="Times New Roman" w:cs="Times New Roman"/>
                <w:color w:val="000000"/>
                <w:sz w:val="20"/>
                <w:szCs w:val="20"/>
              </w:rPr>
            </w:pPr>
            <w:r w:rsidRPr="00D74A1D">
              <w:rPr>
                <w:rFonts w:ascii="Times New Roman" w:hAnsi="Times New Roman" w:cs="Times New Roman" w:hint="eastAsia"/>
                <w:bCs/>
                <w:color w:val="000000" w:themeColor="text1"/>
                <w:sz w:val="20"/>
                <w:szCs w:val="20"/>
              </w:rPr>
              <w:t>IT tool</w:t>
            </w:r>
            <w:r w:rsidR="00C765A4" w:rsidRPr="00D74A1D">
              <w:rPr>
                <w:rFonts w:ascii="Times New Roman" w:hAnsi="Times New Roman" w:cs="Times New Roman" w:hint="eastAsia"/>
                <w:bCs/>
                <w:color w:val="000000" w:themeColor="text1"/>
                <w:sz w:val="20"/>
                <w:szCs w:val="20"/>
              </w:rPr>
              <w:t>s</w:t>
            </w:r>
          </w:p>
        </w:tc>
        <w:tc>
          <w:tcPr>
            <w:tcW w:w="1218" w:type="dxa"/>
            <w:tcBorders>
              <w:left w:val="single" w:sz="4" w:space="0" w:color="auto"/>
            </w:tcBorders>
            <w:vAlign w:val="center"/>
          </w:tcPr>
          <w:p w14:paraId="1A5FF9ED" w14:textId="42CD76CF" w:rsidR="00567DB8" w:rsidRPr="00D74A1D" w:rsidRDefault="00567DB8" w:rsidP="00567DB8">
            <w:pPr>
              <w:widowControl/>
              <w:spacing w:line="180" w:lineRule="exact"/>
              <w:rPr>
                <w:rFonts w:ascii="Times New Roman" w:hAnsi="Times New Roman" w:cs="Times New Roman"/>
                <w:sz w:val="20"/>
                <w:szCs w:val="20"/>
              </w:rPr>
            </w:pPr>
            <w:r w:rsidRPr="00D74A1D">
              <w:rPr>
                <w:rFonts w:ascii="Times New Roman" w:hAnsi="Times New Roman" w:cs="Times New Roman" w:hint="eastAsia"/>
                <w:sz w:val="20"/>
                <w:szCs w:val="20"/>
              </w:rPr>
              <w:t>500,000</w:t>
            </w:r>
          </w:p>
        </w:tc>
      </w:tr>
      <w:tr w:rsidR="00567DB8" w:rsidRPr="00D74A1D" w14:paraId="2BA0F10E" w14:textId="77777777" w:rsidTr="00AE68F9">
        <w:trPr>
          <w:trHeight w:val="360"/>
        </w:trPr>
        <w:tc>
          <w:tcPr>
            <w:tcW w:w="2000" w:type="dxa"/>
            <w:vAlign w:val="center"/>
          </w:tcPr>
          <w:p w14:paraId="15C06CAF" w14:textId="77777777" w:rsidR="00567DB8" w:rsidRPr="00D74A1D" w:rsidRDefault="00567DB8" w:rsidP="00567DB8">
            <w:pPr>
              <w:widowControl/>
              <w:spacing w:line="180" w:lineRule="exact"/>
              <w:rPr>
                <w:rFonts w:ascii="Times New Roman" w:hAnsi="Times New Roman" w:cs="Times New Roman"/>
                <w:bCs/>
                <w:color w:val="000000" w:themeColor="text1"/>
                <w:sz w:val="20"/>
                <w:szCs w:val="20"/>
              </w:rPr>
            </w:pPr>
          </w:p>
        </w:tc>
        <w:tc>
          <w:tcPr>
            <w:tcW w:w="12170" w:type="dxa"/>
            <w:gridSpan w:val="7"/>
            <w:tcBorders>
              <w:right w:val="single" w:sz="4" w:space="0" w:color="auto"/>
            </w:tcBorders>
            <w:vAlign w:val="center"/>
          </w:tcPr>
          <w:p w14:paraId="69CBFCA2" w14:textId="4F86BA4D" w:rsidR="00567DB8" w:rsidRPr="00D74A1D" w:rsidRDefault="00567DB8" w:rsidP="00567DB8">
            <w:pPr>
              <w:widowControl/>
              <w:spacing w:line="180" w:lineRule="exact"/>
              <w:rPr>
                <w:rFonts w:ascii="Times New Roman" w:eastAsia="游ゴシック" w:hAnsi="Times New Roman" w:cs="Times New Roman"/>
                <w:color w:val="000000"/>
                <w:sz w:val="20"/>
                <w:szCs w:val="20"/>
              </w:rPr>
            </w:pPr>
            <w:r w:rsidRPr="00D74A1D">
              <w:rPr>
                <w:rFonts w:ascii="Times New Roman" w:hAnsi="Times New Roman" w:cs="Times New Roman"/>
                <w:bCs/>
                <w:color w:val="000000" w:themeColor="text1"/>
                <w:sz w:val="20"/>
                <w:szCs w:val="20"/>
              </w:rPr>
              <w:t>Development of facility-specific clinical practice guidelines</w:t>
            </w:r>
          </w:p>
        </w:tc>
        <w:tc>
          <w:tcPr>
            <w:tcW w:w="1218" w:type="dxa"/>
            <w:tcBorders>
              <w:left w:val="single" w:sz="4" w:space="0" w:color="auto"/>
            </w:tcBorders>
            <w:vAlign w:val="center"/>
          </w:tcPr>
          <w:p w14:paraId="51A7C0EC" w14:textId="49C3232E" w:rsidR="00567DB8" w:rsidRPr="00D74A1D" w:rsidRDefault="00567DB8" w:rsidP="00567DB8">
            <w:pPr>
              <w:widowControl/>
              <w:spacing w:line="180" w:lineRule="exact"/>
              <w:rPr>
                <w:rFonts w:ascii="Times New Roman" w:hAnsi="Times New Roman" w:cs="Times New Roman"/>
                <w:sz w:val="20"/>
                <w:szCs w:val="20"/>
              </w:rPr>
            </w:pPr>
            <w:r w:rsidRPr="00D74A1D">
              <w:rPr>
                <w:rFonts w:ascii="Times New Roman" w:hAnsi="Times New Roman" w:cs="Times New Roman" w:hint="eastAsia"/>
                <w:sz w:val="20"/>
                <w:szCs w:val="20"/>
              </w:rPr>
              <w:t>200,000</w:t>
            </w:r>
          </w:p>
        </w:tc>
      </w:tr>
    </w:tbl>
    <w:p w14:paraId="4B74F519" w14:textId="59057B9A" w:rsidR="00015B1E" w:rsidRPr="00D74A1D" w:rsidRDefault="00DC6FE0" w:rsidP="009A6641">
      <w:pPr>
        <w:widowControl/>
        <w:jc w:val="left"/>
        <w:rPr>
          <w:rFonts w:ascii="Times New Roman" w:hAnsi="Times New Roman" w:cs="Times New Roman"/>
          <w:bCs/>
          <w:color w:val="000000" w:themeColor="text1"/>
          <w:sz w:val="24"/>
          <w:szCs w:val="24"/>
        </w:rPr>
      </w:pPr>
      <w:r w:rsidRPr="00D74A1D">
        <w:rPr>
          <w:rFonts w:ascii="Times New Roman" w:hAnsi="Times New Roman" w:cs="Times New Roman" w:hint="eastAsia"/>
          <w:bCs/>
          <w:color w:val="000000" w:themeColor="text1"/>
          <w:sz w:val="24"/>
          <w:szCs w:val="24"/>
        </w:rPr>
        <w:t xml:space="preserve">A total of </w:t>
      </w:r>
      <w:r w:rsidRPr="00D74A1D">
        <w:rPr>
          <w:rFonts w:ascii="Times New Roman" w:hAnsi="Times New Roman" w:cs="Times New Roman"/>
          <w:bCs/>
          <w:color w:val="000000" w:themeColor="text1"/>
          <w:sz w:val="24"/>
          <w:szCs w:val="24"/>
        </w:rPr>
        <w:t xml:space="preserve">245 days </w:t>
      </w:r>
      <w:r w:rsidRPr="00D74A1D">
        <w:rPr>
          <w:rFonts w:ascii="Times New Roman" w:hAnsi="Times New Roman" w:cs="Times New Roman" w:hint="eastAsia"/>
          <w:bCs/>
          <w:color w:val="000000" w:themeColor="text1"/>
          <w:sz w:val="24"/>
          <w:szCs w:val="24"/>
        </w:rPr>
        <w:t>per</w:t>
      </w:r>
      <w:r w:rsidRPr="00D74A1D">
        <w:rPr>
          <w:rFonts w:ascii="Times New Roman" w:hAnsi="Times New Roman" w:cs="Times New Roman"/>
          <w:bCs/>
          <w:color w:val="000000" w:themeColor="text1"/>
          <w:sz w:val="24"/>
          <w:szCs w:val="24"/>
        </w:rPr>
        <w:t xml:space="preserve"> year </w:t>
      </w:r>
      <w:r w:rsidRPr="00D74A1D">
        <w:rPr>
          <w:rFonts w:ascii="Times New Roman" w:hAnsi="Times New Roman" w:cs="Times New Roman" w:hint="eastAsia"/>
          <w:bCs/>
          <w:color w:val="000000" w:themeColor="text1"/>
          <w:sz w:val="24"/>
          <w:szCs w:val="24"/>
        </w:rPr>
        <w:t xml:space="preserve">were counted, </w:t>
      </w:r>
      <w:r w:rsidRPr="00D74A1D">
        <w:rPr>
          <w:rFonts w:ascii="Times New Roman" w:hAnsi="Times New Roman" w:cs="Times New Roman"/>
          <w:bCs/>
          <w:color w:val="000000" w:themeColor="text1"/>
          <w:sz w:val="24"/>
          <w:szCs w:val="24"/>
        </w:rPr>
        <w:t>excluding holidays in Japan</w:t>
      </w:r>
      <w:r w:rsidRPr="00D74A1D">
        <w:rPr>
          <w:rFonts w:ascii="Times New Roman" w:hAnsi="Times New Roman" w:cs="Times New Roman" w:hint="eastAsia"/>
          <w:bCs/>
          <w:color w:val="000000" w:themeColor="text1"/>
          <w:sz w:val="24"/>
          <w:szCs w:val="24"/>
        </w:rPr>
        <w:t xml:space="preserve">. </w:t>
      </w:r>
      <w:r w:rsidR="005059E8" w:rsidRPr="00D74A1D">
        <w:rPr>
          <w:rFonts w:ascii="Times New Roman" w:hAnsi="Times New Roman" w:cs="Times New Roman" w:hint="eastAsia"/>
          <w:bCs/>
          <w:color w:val="000000" w:themeColor="text1"/>
          <w:sz w:val="24"/>
          <w:szCs w:val="24"/>
        </w:rPr>
        <w:t xml:space="preserve">Sum of the </w:t>
      </w:r>
      <w:r w:rsidR="00A80ECB" w:rsidRPr="00D74A1D">
        <w:rPr>
          <w:rFonts w:ascii="Times New Roman" w:hAnsi="Times New Roman" w:cs="Times New Roman" w:hint="eastAsia"/>
          <w:bCs/>
          <w:color w:val="000000" w:themeColor="text1"/>
          <w:sz w:val="24"/>
          <w:szCs w:val="24"/>
        </w:rPr>
        <w:t xml:space="preserve">\ </w:t>
      </w:r>
      <w:r w:rsidR="00670955" w:rsidRPr="00D74A1D">
        <w:rPr>
          <w:rFonts w:ascii="Times New Roman" w:hAnsi="Times New Roman" w:cs="Times New Roman" w:hint="eastAsia"/>
          <w:bCs/>
          <w:color w:val="000000" w:themeColor="text1"/>
          <w:sz w:val="24"/>
          <w:szCs w:val="24"/>
        </w:rPr>
        <w:t>24,206,797</w:t>
      </w:r>
      <w:r w:rsidR="00A80ECB" w:rsidRPr="00D74A1D">
        <w:rPr>
          <w:rFonts w:ascii="Times New Roman" w:hAnsi="Times New Roman" w:cs="Times New Roman" w:hint="eastAsia"/>
          <w:bCs/>
          <w:color w:val="000000" w:themeColor="text1"/>
          <w:sz w:val="24"/>
          <w:szCs w:val="24"/>
        </w:rPr>
        <w:t xml:space="preserve"> </w:t>
      </w:r>
      <w:r w:rsidR="005059E8" w:rsidRPr="00D74A1D">
        <w:rPr>
          <w:rFonts w:ascii="Times New Roman" w:hAnsi="Times New Roman" w:cs="Times New Roman" w:hint="eastAsia"/>
          <w:bCs/>
          <w:color w:val="000000" w:themeColor="text1"/>
          <w:sz w:val="24"/>
          <w:szCs w:val="24"/>
        </w:rPr>
        <w:t>was calculated.</w:t>
      </w:r>
    </w:p>
    <w:p w14:paraId="39726965" w14:textId="4307B795" w:rsidR="003C69F7" w:rsidRPr="00D74A1D" w:rsidRDefault="00546F64">
      <w:pPr>
        <w:widowControl/>
        <w:jc w:val="left"/>
        <w:rPr>
          <w:rFonts w:ascii="Times New Roman" w:hAnsi="Times New Roman" w:cs="Times New Roman"/>
          <w:bCs/>
          <w:color w:val="000000" w:themeColor="text1"/>
          <w:sz w:val="24"/>
          <w:szCs w:val="24"/>
        </w:rPr>
      </w:pPr>
      <w:proofErr w:type="spellStart"/>
      <w:r w:rsidRPr="00D74A1D">
        <w:rPr>
          <w:rFonts w:ascii="Times New Roman" w:hAnsi="Times New Roman" w:cs="Times New Roman" w:hint="eastAsia"/>
          <w:bCs/>
          <w:color w:val="000000" w:themeColor="text1"/>
          <w:sz w:val="24"/>
          <w:szCs w:val="24"/>
          <w:vertAlign w:val="superscript"/>
        </w:rPr>
        <w:t>a</w:t>
      </w:r>
      <w:proofErr w:type="spellEnd"/>
      <w:r w:rsidRPr="00D74A1D">
        <w:rPr>
          <w:rFonts w:ascii="Times New Roman" w:hAnsi="Times New Roman" w:cs="Times New Roman" w:hint="eastAsia"/>
          <w:bCs/>
          <w:color w:val="000000" w:themeColor="text1"/>
          <w:sz w:val="24"/>
          <w:szCs w:val="24"/>
        </w:rPr>
        <w:t xml:space="preserve"> </w:t>
      </w:r>
      <w:proofErr w:type="gramStart"/>
      <w:r w:rsidRPr="00D74A1D">
        <w:rPr>
          <w:rFonts w:ascii="Times New Roman" w:hAnsi="Times New Roman" w:cs="Times New Roman"/>
          <w:bCs/>
          <w:color w:val="000000" w:themeColor="text1"/>
          <w:sz w:val="24"/>
          <w:szCs w:val="24"/>
        </w:rPr>
        <w:t>The</w:t>
      </w:r>
      <w:proofErr w:type="gramEnd"/>
      <w:r w:rsidRPr="00D74A1D">
        <w:rPr>
          <w:rFonts w:ascii="Times New Roman" w:hAnsi="Times New Roman" w:cs="Times New Roman"/>
          <w:bCs/>
          <w:color w:val="000000" w:themeColor="text1"/>
          <w:sz w:val="24"/>
          <w:szCs w:val="24"/>
        </w:rPr>
        <w:t xml:space="preserve"> wage data was sourced from Average Salary Survey</w:t>
      </w:r>
      <w:r w:rsidRPr="00D74A1D">
        <w:rPr>
          <w:rFonts w:ascii="Times New Roman" w:hAnsi="Times New Roman" w:cs="Times New Roman" w:hint="eastAsia"/>
          <w:bCs/>
          <w:color w:val="000000" w:themeColor="text1"/>
          <w:sz w:val="24"/>
          <w:szCs w:val="24"/>
        </w:rPr>
        <w:t xml:space="preserve"> (</w:t>
      </w:r>
      <w:hyperlink r:id="rId8" w:history="1">
        <w:r w:rsidR="003C69F7" w:rsidRPr="00D74A1D">
          <w:rPr>
            <w:rStyle w:val="ae"/>
            <w:rFonts w:ascii="Times New Roman" w:hAnsi="Times New Roman" w:cs="Times New Roman"/>
            <w:bCs/>
            <w:sz w:val="24"/>
            <w:szCs w:val="24"/>
          </w:rPr>
          <w:t>https://www.averagesalarysurvey.com</w:t>
        </w:r>
      </w:hyperlink>
      <w:r w:rsidRPr="00D74A1D">
        <w:rPr>
          <w:rFonts w:ascii="Times New Roman" w:hAnsi="Times New Roman" w:cs="Times New Roman" w:hint="eastAsia"/>
          <w:bCs/>
          <w:color w:val="000000" w:themeColor="text1"/>
          <w:sz w:val="24"/>
          <w:szCs w:val="24"/>
        </w:rPr>
        <w:t>).</w:t>
      </w:r>
    </w:p>
    <w:p w14:paraId="5D4889E5" w14:textId="71E64893" w:rsidR="003C69F7" w:rsidRPr="00D74A1D" w:rsidRDefault="007D03E2">
      <w:pPr>
        <w:widowControl/>
        <w:jc w:val="left"/>
        <w:rPr>
          <w:rFonts w:ascii="Times New Roman" w:hAnsi="Times New Roman" w:cs="Times New Roman"/>
          <w:bCs/>
          <w:color w:val="000000" w:themeColor="text1"/>
          <w:sz w:val="24"/>
          <w:szCs w:val="24"/>
        </w:rPr>
      </w:pPr>
      <w:r w:rsidRPr="00D74A1D">
        <w:rPr>
          <w:noProof/>
        </w:rPr>
        <w:lastRenderedPageBreak/>
        <w:drawing>
          <wp:anchor distT="0" distB="0" distL="114300" distR="114300" simplePos="0" relativeHeight="251675648" behindDoc="0" locked="0" layoutInCell="1" allowOverlap="1" wp14:anchorId="15F7A4BD" wp14:editId="4AD94F98">
            <wp:simplePos x="0" y="0"/>
            <wp:positionH relativeFrom="margin">
              <wp:posOffset>304213</wp:posOffset>
            </wp:positionH>
            <wp:positionV relativeFrom="margin">
              <wp:posOffset>76921</wp:posOffset>
            </wp:positionV>
            <wp:extent cx="8892000" cy="5997099"/>
            <wp:effectExtent l="0" t="0" r="4445" b="3810"/>
            <wp:wrapSquare wrapText="bothSides"/>
            <wp:docPr id="1716164951"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64951" name="図 1" descr="グラフ, 棒グラフ&#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8892000" cy="5997099"/>
                    </a:xfrm>
                    <a:prstGeom prst="rect">
                      <a:avLst/>
                    </a:prstGeom>
                  </pic:spPr>
                </pic:pic>
              </a:graphicData>
            </a:graphic>
            <wp14:sizeRelH relativeFrom="margin">
              <wp14:pctWidth>0</wp14:pctWidth>
            </wp14:sizeRelH>
            <wp14:sizeRelV relativeFrom="margin">
              <wp14:pctHeight>0</wp14:pctHeight>
            </wp14:sizeRelV>
          </wp:anchor>
        </w:drawing>
      </w:r>
      <w:bookmarkStart w:id="7" w:name="_Hlk166313291"/>
      <w:r w:rsidR="003C69F7" w:rsidRPr="00D74A1D">
        <w:rPr>
          <w:rFonts w:ascii="Times New Roman" w:hAnsi="Times New Roman" w:cs="Times New Roman"/>
          <w:b/>
          <w:color w:val="000000" w:themeColor="text1"/>
          <w:sz w:val="24"/>
          <w:szCs w:val="24"/>
        </w:rPr>
        <w:t>Supplementary Figure S1</w:t>
      </w:r>
      <w:r w:rsidR="003C69F7" w:rsidRPr="00D74A1D">
        <w:rPr>
          <w:rFonts w:ascii="Times New Roman" w:hAnsi="Times New Roman" w:cs="Times New Roman" w:hint="eastAsia"/>
          <w:b/>
          <w:color w:val="000000" w:themeColor="text1"/>
          <w:sz w:val="24"/>
          <w:szCs w:val="24"/>
        </w:rPr>
        <w:t xml:space="preserve">. </w:t>
      </w:r>
      <w:bookmarkStart w:id="8" w:name="_Hlk166245186"/>
      <w:r w:rsidR="003C69F7" w:rsidRPr="00D74A1D">
        <w:rPr>
          <w:rFonts w:ascii="Times New Roman" w:hAnsi="Times New Roman" w:cs="Times New Roman"/>
          <w:b/>
          <w:color w:val="000000" w:themeColor="text1"/>
          <w:sz w:val="24"/>
          <w:szCs w:val="24"/>
        </w:rPr>
        <w:t xml:space="preserve">Number of </w:t>
      </w:r>
      <w:r w:rsidR="003C69F7" w:rsidRPr="00D74A1D">
        <w:rPr>
          <w:rFonts w:ascii="Times New Roman" w:hAnsi="Times New Roman" w:cs="Times New Roman" w:hint="eastAsia"/>
          <w:b/>
          <w:color w:val="000000" w:themeColor="text1"/>
          <w:sz w:val="24"/>
          <w:szCs w:val="24"/>
        </w:rPr>
        <w:t>i</w:t>
      </w:r>
      <w:r w:rsidR="003C69F7" w:rsidRPr="00D74A1D">
        <w:rPr>
          <w:rFonts w:ascii="Times New Roman" w:hAnsi="Times New Roman" w:cs="Times New Roman"/>
          <w:b/>
          <w:color w:val="000000" w:themeColor="text1"/>
          <w:sz w:val="24"/>
          <w:szCs w:val="24"/>
        </w:rPr>
        <w:t>nterventions</w:t>
      </w:r>
      <w:r w:rsidRPr="00D74A1D">
        <w:rPr>
          <w:rFonts w:ascii="Times New Roman" w:hAnsi="Times New Roman" w:cs="Times New Roman" w:hint="eastAsia"/>
          <w:b/>
          <w:color w:val="000000" w:themeColor="text1"/>
          <w:sz w:val="24"/>
          <w:szCs w:val="24"/>
        </w:rPr>
        <w:t xml:space="preserve"> (upper panels)</w:t>
      </w:r>
      <w:r w:rsidR="003C69F7" w:rsidRPr="00D74A1D">
        <w:rPr>
          <w:rFonts w:ascii="Times New Roman" w:hAnsi="Times New Roman" w:cs="Times New Roman"/>
          <w:b/>
          <w:color w:val="000000" w:themeColor="text1"/>
          <w:sz w:val="24"/>
          <w:szCs w:val="24"/>
        </w:rPr>
        <w:t xml:space="preserve"> and </w:t>
      </w:r>
      <w:r w:rsidR="003C69F7" w:rsidRPr="00D74A1D">
        <w:rPr>
          <w:rFonts w:ascii="Times New Roman" w:hAnsi="Times New Roman" w:cs="Times New Roman" w:hint="eastAsia"/>
          <w:b/>
          <w:color w:val="000000" w:themeColor="text1"/>
          <w:sz w:val="24"/>
          <w:szCs w:val="24"/>
        </w:rPr>
        <w:t>t</w:t>
      </w:r>
      <w:r w:rsidR="003C69F7" w:rsidRPr="00D74A1D">
        <w:rPr>
          <w:rFonts w:ascii="Times New Roman" w:hAnsi="Times New Roman" w:cs="Times New Roman"/>
          <w:b/>
          <w:color w:val="000000" w:themeColor="text1"/>
          <w:sz w:val="24"/>
          <w:szCs w:val="24"/>
        </w:rPr>
        <w:t xml:space="preserve">heir </w:t>
      </w:r>
      <w:r w:rsidR="003C69F7" w:rsidRPr="00D74A1D">
        <w:rPr>
          <w:rFonts w:ascii="Times New Roman" w:hAnsi="Times New Roman" w:cs="Times New Roman" w:hint="eastAsia"/>
          <w:b/>
          <w:color w:val="000000" w:themeColor="text1"/>
          <w:sz w:val="24"/>
          <w:szCs w:val="24"/>
        </w:rPr>
        <w:t>p</w:t>
      </w:r>
      <w:r w:rsidR="003C69F7" w:rsidRPr="00D74A1D">
        <w:rPr>
          <w:rFonts w:ascii="Times New Roman" w:hAnsi="Times New Roman" w:cs="Times New Roman"/>
          <w:b/>
          <w:color w:val="000000" w:themeColor="text1"/>
          <w:sz w:val="24"/>
          <w:szCs w:val="24"/>
        </w:rPr>
        <w:t xml:space="preserve">robability of </w:t>
      </w:r>
      <w:r w:rsidR="003C69F7" w:rsidRPr="00D74A1D">
        <w:rPr>
          <w:rFonts w:ascii="Times New Roman" w:hAnsi="Times New Roman" w:cs="Times New Roman" w:hint="eastAsia"/>
          <w:b/>
          <w:color w:val="000000" w:themeColor="text1"/>
          <w:sz w:val="24"/>
          <w:szCs w:val="24"/>
        </w:rPr>
        <w:t>a</w:t>
      </w:r>
      <w:r w:rsidR="003C69F7" w:rsidRPr="00D74A1D">
        <w:rPr>
          <w:rFonts w:ascii="Times New Roman" w:hAnsi="Times New Roman" w:cs="Times New Roman"/>
          <w:b/>
          <w:color w:val="000000" w:themeColor="text1"/>
          <w:sz w:val="24"/>
          <w:szCs w:val="24"/>
        </w:rPr>
        <w:t>cceptance</w:t>
      </w:r>
      <w:r w:rsidRPr="00D74A1D">
        <w:rPr>
          <w:rFonts w:ascii="Times New Roman" w:hAnsi="Times New Roman" w:cs="Times New Roman" w:hint="eastAsia"/>
          <w:b/>
          <w:color w:val="000000" w:themeColor="text1"/>
          <w:sz w:val="24"/>
          <w:szCs w:val="24"/>
        </w:rPr>
        <w:t xml:space="preserve"> (lower panels)</w:t>
      </w:r>
      <w:bookmarkEnd w:id="7"/>
      <w:r w:rsidR="003C69F7" w:rsidRPr="00D74A1D">
        <w:rPr>
          <w:rFonts w:ascii="Times New Roman" w:hAnsi="Times New Roman" w:cs="Times New Roman" w:hint="eastAsia"/>
          <w:b/>
          <w:color w:val="000000" w:themeColor="text1"/>
          <w:sz w:val="24"/>
          <w:szCs w:val="24"/>
        </w:rPr>
        <w:t>.</w:t>
      </w:r>
      <w:bookmarkEnd w:id="8"/>
    </w:p>
    <w:p w14:paraId="01221438" w14:textId="77777777" w:rsidR="003C69F7" w:rsidRPr="00D74A1D" w:rsidRDefault="003C69F7">
      <w:pPr>
        <w:widowControl/>
        <w:jc w:val="left"/>
        <w:rPr>
          <w:rFonts w:ascii="Times New Roman" w:hAnsi="Times New Roman" w:cs="Times New Roman"/>
          <w:bCs/>
          <w:color w:val="000000" w:themeColor="text1"/>
          <w:sz w:val="24"/>
          <w:szCs w:val="24"/>
        </w:rPr>
      </w:pPr>
      <w:r w:rsidRPr="00D74A1D">
        <w:rPr>
          <w:rFonts w:ascii="Times New Roman" w:hAnsi="Times New Roman" w:cs="Times New Roman"/>
          <w:bCs/>
          <w:color w:val="000000" w:themeColor="text1"/>
          <w:sz w:val="24"/>
          <w:szCs w:val="24"/>
        </w:rPr>
        <w:br w:type="page"/>
      </w:r>
    </w:p>
    <w:p w14:paraId="2AED4C83" w14:textId="5FCF2DDF" w:rsidR="0005341C" w:rsidRPr="00D74A1D" w:rsidRDefault="0005341C" w:rsidP="0005341C">
      <w:pPr>
        <w:pStyle w:val="Web"/>
      </w:pPr>
      <w:r w:rsidRPr="00D74A1D">
        <w:rPr>
          <w:noProof/>
        </w:rPr>
        <w:lastRenderedPageBreak/>
        <w:drawing>
          <wp:inline distT="0" distB="0" distL="0" distR="0" wp14:anchorId="57D89587" wp14:editId="6F6A8041">
            <wp:extent cx="9777730" cy="4887595"/>
            <wp:effectExtent l="0" t="0" r="0" b="8255"/>
            <wp:docPr id="802820172"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0172" name="図 1" descr="グラフ, ヒストグラム&#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7730" cy="4887595"/>
                    </a:xfrm>
                    <a:prstGeom prst="rect">
                      <a:avLst/>
                    </a:prstGeom>
                    <a:noFill/>
                    <a:ln>
                      <a:noFill/>
                    </a:ln>
                  </pic:spPr>
                </pic:pic>
              </a:graphicData>
            </a:graphic>
          </wp:inline>
        </w:drawing>
      </w:r>
    </w:p>
    <w:p w14:paraId="7804207E" w14:textId="1E64F79B" w:rsidR="00F24CBA" w:rsidRPr="00D74A1D" w:rsidRDefault="00F24CBA" w:rsidP="00F24CBA">
      <w:pPr>
        <w:widowControl/>
        <w:jc w:val="left"/>
        <w:rPr>
          <w:rFonts w:ascii="Times New Roman" w:hAnsi="Times New Roman" w:cs="Times New Roman"/>
          <w:b/>
          <w:color w:val="000000" w:themeColor="text1"/>
          <w:sz w:val="24"/>
          <w:szCs w:val="24"/>
        </w:rPr>
      </w:pPr>
      <w:r w:rsidRPr="00D74A1D">
        <w:rPr>
          <w:rFonts w:ascii="Times New Roman" w:hAnsi="Times New Roman" w:cs="Times New Roman"/>
          <w:b/>
          <w:color w:val="000000" w:themeColor="text1"/>
          <w:sz w:val="24"/>
          <w:szCs w:val="24"/>
        </w:rPr>
        <w:t>Supplementary Figure S</w:t>
      </w:r>
      <w:r w:rsidR="007D03E2" w:rsidRPr="00D74A1D">
        <w:rPr>
          <w:rFonts w:ascii="Times New Roman" w:hAnsi="Times New Roman" w:cs="Times New Roman" w:hint="eastAsia"/>
          <w:b/>
          <w:color w:val="000000" w:themeColor="text1"/>
          <w:sz w:val="24"/>
          <w:szCs w:val="24"/>
        </w:rPr>
        <w:t>2</w:t>
      </w:r>
      <w:r w:rsidRPr="00D74A1D">
        <w:rPr>
          <w:rFonts w:ascii="Times New Roman" w:hAnsi="Times New Roman" w:cs="Times New Roman"/>
          <w:b/>
          <w:color w:val="000000" w:themeColor="text1"/>
          <w:sz w:val="24"/>
          <w:szCs w:val="24"/>
        </w:rPr>
        <w:t xml:space="preserve">. Number of </w:t>
      </w:r>
      <w:r w:rsidR="0083047F" w:rsidRPr="00D74A1D">
        <w:rPr>
          <w:rFonts w:ascii="Times New Roman" w:hAnsi="Times New Roman" w:cs="Times New Roman"/>
          <w:b/>
          <w:color w:val="000000" w:themeColor="text1"/>
          <w:sz w:val="24"/>
          <w:szCs w:val="24"/>
        </w:rPr>
        <w:t>prescriptions</w:t>
      </w:r>
      <w:r w:rsidRPr="00D74A1D">
        <w:rPr>
          <w:rFonts w:ascii="Times New Roman" w:hAnsi="Times New Roman" w:cs="Times New Roman"/>
          <w:b/>
          <w:color w:val="000000" w:themeColor="text1"/>
          <w:sz w:val="24"/>
          <w:szCs w:val="24"/>
        </w:rPr>
        <w:t xml:space="preserve"> for sulfamethoxazole/trimethoprim in outpatients.</w:t>
      </w:r>
    </w:p>
    <w:p w14:paraId="1FA27AEE" w14:textId="397E2062" w:rsidR="00F24CBA" w:rsidRPr="00D74A1D" w:rsidRDefault="00F24CBA" w:rsidP="00F24CBA">
      <w:pPr>
        <w:rPr>
          <w:rFonts w:ascii="Times New Roman" w:hAnsi="Times New Roman" w:cs="Times New Roman"/>
          <w:sz w:val="24"/>
          <w:szCs w:val="28"/>
        </w:rPr>
      </w:pPr>
      <w:r w:rsidRPr="00D74A1D">
        <w:rPr>
          <w:rFonts w:ascii="Times New Roman" w:hAnsi="Times New Roman" w:cs="Times New Roman"/>
          <w:sz w:val="24"/>
          <w:szCs w:val="28"/>
        </w:rPr>
        <w:t xml:space="preserve">White bars indicate the number of prescriptions with dosages of 80 mg/day or less, </w:t>
      </w:r>
      <w:r w:rsidR="007B3445" w:rsidRPr="00D74A1D">
        <w:rPr>
          <w:rFonts w:ascii="Times New Roman" w:hAnsi="Times New Roman" w:cs="Times New Roman"/>
          <w:sz w:val="24"/>
          <w:szCs w:val="28"/>
        </w:rPr>
        <w:t>while</w:t>
      </w:r>
      <w:r w:rsidRPr="00D74A1D">
        <w:rPr>
          <w:rFonts w:ascii="Times New Roman" w:hAnsi="Times New Roman" w:cs="Times New Roman"/>
          <w:sz w:val="24"/>
          <w:szCs w:val="28"/>
        </w:rPr>
        <w:t xml:space="preserve"> </w:t>
      </w:r>
      <w:r w:rsidR="007B3445" w:rsidRPr="00D74A1D">
        <w:rPr>
          <w:rFonts w:ascii="Times New Roman" w:hAnsi="Times New Roman" w:cs="Times New Roman"/>
          <w:sz w:val="24"/>
          <w:szCs w:val="28"/>
        </w:rPr>
        <w:t>grey</w:t>
      </w:r>
      <w:r w:rsidRPr="00D74A1D">
        <w:rPr>
          <w:rFonts w:ascii="Times New Roman" w:hAnsi="Times New Roman" w:cs="Times New Roman"/>
          <w:sz w:val="24"/>
          <w:szCs w:val="28"/>
        </w:rPr>
        <w:t xml:space="preserve"> bars represent prescriptions with higher dosages. The black </w:t>
      </w:r>
      <w:r w:rsidR="007B3445" w:rsidRPr="00D74A1D">
        <w:rPr>
          <w:rFonts w:ascii="Times New Roman" w:hAnsi="Times New Roman" w:cs="Times New Roman"/>
          <w:sz w:val="24"/>
          <w:szCs w:val="28"/>
        </w:rPr>
        <w:t>poly</w:t>
      </w:r>
      <w:r w:rsidRPr="00D74A1D">
        <w:rPr>
          <w:rFonts w:ascii="Times New Roman" w:hAnsi="Times New Roman" w:cs="Times New Roman"/>
          <w:sz w:val="24"/>
          <w:szCs w:val="28"/>
        </w:rPr>
        <w:t xml:space="preserve">line denotes the ratio of prophylactic use, </w:t>
      </w:r>
      <w:r w:rsidR="007B3445" w:rsidRPr="00D74A1D">
        <w:rPr>
          <w:rFonts w:ascii="Times New Roman" w:hAnsi="Times New Roman" w:cs="Times New Roman"/>
          <w:sz w:val="24"/>
          <w:szCs w:val="28"/>
        </w:rPr>
        <w:t xml:space="preserve">specifically </w:t>
      </w:r>
      <w:r w:rsidRPr="00D74A1D">
        <w:rPr>
          <w:rFonts w:ascii="Times New Roman" w:hAnsi="Times New Roman" w:cs="Times New Roman"/>
          <w:sz w:val="24"/>
          <w:szCs w:val="28"/>
        </w:rPr>
        <w:t xml:space="preserve">corresponding to </w:t>
      </w:r>
      <w:r w:rsidR="007B3445" w:rsidRPr="00D74A1D">
        <w:rPr>
          <w:rFonts w:ascii="Times New Roman" w:hAnsi="Times New Roman" w:cs="Times New Roman"/>
          <w:sz w:val="24"/>
          <w:szCs w:val="28"/>
        </w:rPr>
        <w:t>the prescriptions represented by the white bars (</w:t>
      </w:r>
      <w:r w:rsidR="003B2E1B" w:rsidRPr="00D74A1D">
        <w:rPr>
          <w:rFonts w:ascii="Times New Roman" w:hAnsi="Times New Roman" w:cs="Times New Roman"/>
          <w:sz w:val="24"/>
          <w:szCs w:val="28"/>
        </w:rPr>
        <w:t xml:space="preserve">trimethoprim </w:t>
      </w:r>
      <w:r w:rsidRPr="00D74A1D">
        <w:rPr>
          <w:rFonts w:ascii="Times New Roman" w:hAnsi="Times New Roman" w:cs="Times New Roman"/>
          <w:sz w:val="24"/>
          <w:szCs w:val="28"/>
        </w:rPr>
        <w:t>dosages of 80 mg/day or less</w:t>
      </w:r>
      <w:r w:rsidR="007B3445" w:rsidRPr="00D74A1D">
        <w:rPr>
          <w:rFonts w:ascii="Times New Roman" w:hAnsi="Times New Roman" w:cs="Times New Roman"/>
          <w:sz w:val="24"/>
          <w:szCs w:val="28"/>
        </w:rPr>
        <w:t>)</w:t>
      </w:r>
      <w:r w:rsidRPr="00D74A1D">
        <w:rPr>
          <w:rFonts w:ascii="Times New Roman" w:hAnsi="Times New Roman" w:cs="Times New Roman"/>
          <w:sz w:val="24"/>
          <w:szCs w:val="28"/>
        </w:rPr>
        <w:t>.</w:t>
      </w:r>
      <w:r w:rsidR="00C52DD9">
        <w:rPr>
          <w:rFonts w:ascii="Times New Roman" w:hAnsi="Times New Roman" w:cs="Times New Roman" w:hint="eastAsia"/>
          <w:sz w:val="24"/>
          <w:szCs w:val="28"/>
        </w:rPr>
        <w:t xml:space="preserve"> It was considered </w:t>
      </w:r>
      <w:r w:rsidR="00C52DD9">
        <w:rPr>
          <w:rFonts w:ascii="Times New Roman" w:hAnsi="Times New Roman" w:cs="Times New Roman"/>
          <w:sz w:val="24"/>
          <w:szCs w:val="28"/>
        </w:rPr>
        <w:t>that</w:t>
      </w:r>
      <w:r w:rsidR="00C52DD9">
        <w:rPr>
          <w:rFonts w:ascii="Times New Roman" w:hAnsi="Times New Roman" w:cs="Times New Roman" w:hint="eastAsia"/>
          <w:sz w:val="24"/>
          <w:szCs w:val="28"/>
        </w:rPr>
        <w:t xml:space="preserve"> </w:t>
      </w:r>
      <w:r w:rsidR="00C52DD9" w:rsidRPr="00732D67">
        <w:rPr>
          <w:rFonts w:ascii="Times New Roman" w:hAnsi="Times New Roman" w:cs="Times New Roman"/>
          <w:sz w:val="24"/>
          <w:szCs w:val="28"/>
        </w:rPr>
        <w:t>approximately 90% of ST prescriptions were for prophylactic use</w:t>
      </w:r>
      <w:r w:rsidR="00C52DD9">
        <w:rPr>
          <w:rFonts w:ascii="Times New Roman" w:hAnsi="Times New Roman" w:cs="Times New Roman" w:hint="eastAsia"/>
          <w:sz w:val="24"/>
          <w:szCs w:val="28"/>
        </w:rPr>
        <w:t>.</w:t>
      </w:r>
    </w:p>
    <w:p w14:paraId="47F24208" w14:textId="77777777" w:rsidR="00F24CBA" w:rsidRPr="00D74A1D" w:rsidRDefault="00F24CBA">
      <w:pPr>
        <w:widowControl/>
        <w:jc w:val="left"/>
        <w:rPr>
          <w:rFonts w:ascii="Times New Roman" w:hAnsi="Times New Roman" w:cs="Times New Roman"/>
          <w:sz w:val="24"/>
          <w:szCs w:val="28"/>
        </w:rPr>
      </w:pPr>
      <w:r w:rsidRPr="00D74A1D">
        <w:rPr>
          <w:rFonts w:ascii="Times New Roman" w:hAnsi="Times New Roman" w:cs="Times New Roman"/>
          <w:sz w:val="24"/>
          <w:szCs w:val="28"/>
        </w:rPr>
        <w:br w:type="page"/>
      </w:r>
    </w:p>
    <w:p w14:paraId="47713ED3" w14:textId="4A5FEA43" w:rsidR="00A77CA3" w:rsidRPr="00D74A1D" w:rsidRDefault="001F118B" w:rsidP="0005341C">
      <w:pPr>
        <w:pStyle w:val="Web"/>
        <w:rPr>
          <w:rFonts w:ascii="Times New Roman" w:hAnsi="Times New Roman" w:cs="Times New Roman"/>
          <w:b/>
          <w:bCs/>
        </w:rPr>
      </w:pPr>
      <w:r w:rsidRPr="00D74A1D">
        <w:rPr>
          <w:noProof/>
        </w:rPr>
        <w:lastRenderedPageBreak/>
        <w:drawing>
          <wp:anchor distT="0" distB="0" distL="114300" distR="114300" simplePos="0" relativeHeight="251676672" behindDoc="1" locked="0" layoutInCell="1" allowOverlap="1" wp14:anchorId="4D9E21C6" wp14:editId="5141120A">
            <wp:simplePos x="0" y="0"/>
            <wp:positionH relativeFrom="column">
              <wp:posOffset>0</wp:posOffset>
            </wp:positionH>
            <wp:positionV relativeFrom="paragraph">
              <wp:posOffset>84455</wp:posOffset>
            </wp:positionV>
            <wp:extent cx="6730365" cy="6411595"/>
            <wp:effectExtent l="0" t="0" r="0" b="8255"/>
            <wp:wrapThrough wrapText="bothSides">
              <wp:wrapPolygon edited="0">
                <wp:start x="0" y="0"/>
                <wp:lineTo x="0" y="21564"/>
                <wp:lineTo x="21521" y="21564"/>
                <wp:lineTo x="21521" y="0"/>
                <wp:lineTo x="0" y="0"/>
              </wp:wrapPolygon>
            </wp:wrapThrough>
            <wp:docPr id="1719412728"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12728" name="図 2" descr="ダイアグラム&#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0365" cy="6411595"/>
                    </a:xfrm>
                    <a:prstGeom prst="rect">
                      <a:avLst/>
                    </a:prstGeom>
                    <a:noFill/>
                    <a:ln>
                      <a:noFill/>
                    </a:ln>
                  </pic:spPr>
                </pic:pic>
              </a:graphicData>
            </a:graphic>
          </wp:anchor>
        </w:drawing>
      </w:r>
      <w:r w:rsidR="00F24CBA" w:rsidRPr="00D74A1D">
        <w:rPr>
          <w:rFonts w:ascii="Times New Roman" w:hAnsi="Times New Roman" w:cs="Times New Roman" w:hint="eastAsia"/>
          <w:b/>
          <w:bCs/>
        </w:rPr>
        <w:t>S</w:t>
      </w:r>
      <w:r w:rsidR="00F24CBA" w:rsidRPr="00D74A1D">
        <w:rPr>
          <w:rFonts w:ascii="Times New Roman" w:hAnsi="Times New Roman" w:cs="Times New Roman"/>
          <w:b/>
          <w:bCs/>
        </w:rPr>
        <w:t>upplementary</w:t>
      </w:r>
      <w:bookmarkStart w:id="9" w:name="_Hlk156603391"/>
      <w:r w:rsidR="00F24CBA" w:rsidRPr="00D74A1D">
        <w:rPr>
          <w:rFonts w:ascii="Times New Roman" w:hAnsi="Times New Roman" w:cs="Times New Roman"/>
          <w:b/>
          <w:bCs/>
        </w:rPr>
        <w:t xml:space="preserve"> Figure S</w:t>
      </w:r>
      <w:r w:rsidR="007D03E2" w:rsidRPr="00D74A1D">
        <w:rPr>
          <w:rFonts w:ascii="Times New Roman" w:hAnsi="Times New Roman" w:cs="Times New Roman" w:hint="eastAsia"/>
          <w:b/>
          <w:bCs/>
        </w:rPr>
        <w:t>3</w:t>
      </w:r>
      <w:r w:rsidR="00F24CBA" w:rsidRPr="00D74A1D">
        <w:rPr>
          <w:rFonts w:ascii="Times New Roman" w:hAnsi="Times New Roman" w:cs="Times New Roman"/>
          <w:b/>
          <w:bCs/>
        </w:rPr>
        <w:t>. Impact of antimicrobial stewardship team</w:t>
      </w:r>
      <w:r w:rsidR="00A77CA3" w:rsidRPr="00D74A1D">
        <w:rPr>
          <w:rFonts w:ascii="Times New Roman" w:hAnsi="Times New Roman" w:cs="Times New Roman"/>
          <w:b/>
          <w:bCs/>
        </w:rPr>
        <w:t xml:space="preserve"> (AST)</w:t>
      </w:r>
      <w:r w:rsidR="00A77CA3" w:rsidRPr="00D74A1D">
        <w:rPr>
          <w:rFonts w:ascii="Times New Roman" w:hAnsi="Times New Roman" w:cs="Times New Roman" w:hint="eastAsia"/>
          <w:b/>
          <w:bCs/>
        </w:rPr>
        <w:t xml:space="preserve"> </w:t>
      </w:r>
      <w:r w:rsidR="002129B2">
        <w:rPr>
          <w:rFonts w:ascii="Times New Roman" w:hAnsi="Times New Roman" w:cs="Times New Roman" w:hint="eastAsia"/>
          <w:b/>
          <w:bCs/>
        </w:rPr>
        <w:t xml:space="preserve">programs </w:t>
      </w:r>
      <w:r w:rsidR="00D525B5" w:rsidRPr="00D74A1D">
        <w:rPr>
          <w:rFonts w:ascii="Times New Roman" w:hAnsi="Times New Roman" w:cs="Times New Roman"/>
          <w:b/>
          <w:bCs/>
        </w:rPr>
        <w:t>on days of therapy (DOT), days of antibiotic spectrum coverage (DASC), and DASC/DOT</w:t>
      </w:r>
      <w:r w:rsidR="003B2E1B" w:rsidRPr="00D74A1D">
        <w:rPr>
          <w:rFonts w:ascii="Times New Roman" w:hAnsi="Times New Roman" w:cs="Times New Roman"/>
          <w:b/>
          <w:bCs/>
        </w:rPr>
        <w:t xml:space="preserve"> ratio</w:t>
      </w:r>
      <w:r w:rsidR="00D525B5" w:rsidRPr="00D74A1D">
        <w:rPr>
          <w:rFonts w:ascii="Times New Roman" w:hAnsi="Times New Roman" w:cs="Times New Roman"/>
          <w:b/>
          <w:bCs/>
        </w:rPr>
        <w:t xml:space="preserve"> </w:t>
      </w:r>
      <w:r w:rsidR="00A77CA3" w:rsidRPr="00D74A1D">
        <w:rPr>
          <w:rFonts w:ascii="Times New Roman" w:hAnsi="Times New Roman" w:cs="Times New Roman"/>
          <w:b/>
          <w:bCs/>
        </w:rPr>
        <w:t>based on antibiotic spectrum coverage (ASC) scores</w:t>
      </w:r>
      <w:r w:rsidR="00B449E7" w:rsidRPr="00D74A1D">
        <w:rPr>
          <w:rFonts w:ascii="Times New Roman" w:hAnsi="Times New Roman" w:cs="Times New Roman"/>
          <w:b/>
          <w:bCs/>
        </w:rPr>
        <w:t xml:space="preserve"> across all antibiotics</w:t>
      </w:r>
      <w:r w:rsidR="0083047F" w:rsidRPr="00D74A1D">
        <w:rPr>
          <w:rFonts w:ascii="Times New Roman" w:hAnsi="Times New Roman" w:cs="Times New Roman"/>
          <w:b/>
          <w:bCs/>
        </w:rPr>
        <w:t xml:space="preserve"> in inpatients.</w:t>
      </w:r>
    </w:p>
    <w:p w14:paraId="6D0CF1DD" w14:textId="1E0249F5" w:rsidR="00D525B5" w:rsidRPr="00D74A1D" w:rsidRDefault="00127BC1" w:rsidP="00F24CBA">
      <w:pPr>
        <w:rPr>
          <w:rFonts w:ascii="Times New Roman" w:hAnsi="Times New Roman" w:cs="Times New Roman"/>
          <w:sz w:val="24"/>
          <w:szCs w:val="24"/>
        </w:rPr>
      </w:pPr>
      <w:r w:rsidRPr="00D74A1D">
        <w:rPr>
          <w:rFonts w:ascii="Times New Roman" w:hAnsi="Times New Roman" w:cs="Times New Roman"/>
          <w:sz w:val="24"/>
          <w:szCs w:val="28"/>
        </w:rPr>
        <w:t>The panels in the upper (a-c), middle (d-f), and lower (g-</w:t>
      </w:r>
      <w:proofErr w:type="spellStart"/>
      <w:r w:rsidRPr="00D74A1D">
        <w:rPr>
          <w:rFonts w:ascii="Times New Roman" w:hAnsi="Times New Roman" w:cs="Times New Roman"/>
          <w:sz w:val="24"/>
          <w:szCs w:val="28"/>
        </w:rPr>
        <w:t>i</w:t>
      </w:r>
      <w:proofErr w:type="spellEnd"/>
      <w:r w:rsidRPr="00D74A1D">
        <w:rPr>
          <w:rFonts w:ascii="Times New Roman" w:hAnsi="Times New Roman" w:cs="Times New Roman"/>
          <w:sz w:val="24"/>
          <w:szCs w:val="28"/>
        </w:rPr>
        <w:t xml:space="preserve">) rows display total (parenteral and oral), parenteral, and oral antibiotics, respectively. The panels in the left (a, d, g), center (b, e, h), and right (c, f, </w:t>
      </w:r>
      <w:proofErr w:type="spellStart"/>
      <w:r w:rsidRPr="00D74A1D">
        <w:rPr>
          <w:rFonts w:ascii="Times New Roman" w:hAnsi="Times New Roman" w:cs="Times New Roman"/>
          <w:sz w:val="24"/>
          <w:szCs w:val="28"/>
        </w:rPr>
        <w:t>i</w:t>
      </w:r>
      <w:proofErr w:type="spellEnd"/>
      <w:r w:rsidRPr="00D74A1D">
        <w:rPr>
          <w:rFonts w:ascii="Times New Roman" w:hAnsi="Times New Roman" w:cs="Times New Roman"/>
          <w:sz w:val="24"/>
          <w:szCs w:val="28"/>
        </w:rPr>
        <w:t>) columns represent for DOT, DASC, and DASC/DOT ratio, respectively.</w:t>
      </w:r>
      <w:r w:rsidRPr="00D74A1D">
        <w:rPr>
          <w:rFonts w:ascii="Times New Roman" w:hAnsi="Times New Roman" w:cs="Times New Roman" w:hint="eastAsia"/>
          <w:sz w:val="24"/>
          <w:szCs w:val="28"/>
        </w:rPr>
        <w:t xml:space="preserve"> </w:t>
      </w:r>
      <w:r w:rsidR="003132E5" w:rsidRPr="00D74A1D">
        <w:rPr>
          <w:rFonts w:ascii="Times New Roman" w:hAnsi="Times New Roman" w:cs="Times New Roman"/>
          <w:sz w:val="24"/>
          <w:szCs w:val="28"/>
        </w:rPr>
        <w:t>The lines and grey areas represent the data fitted to the model and the corresponding 95% confidence interval by interrupted time series analysis</w:t>
      </w:r>
      <w:r w:rsidR="003B2E1B" w:rsidRPr="00D74A1D">
        <w:rPr>
          <w:rFonts w:ascii="Times New Roman" w:hAnsi="Times New Roman" w:cs="Times New Roman"/>
          <w:sz w:val="24"/>
          <w:szCs w:val="28"/>
        </w:rPr>
        <w:t>, with the interruption set at 40 months</w:t>
      </w:r>
      <w:r w:rsidR="00D47C88" w:rsidRPr="00D74A1D">
        <w:rPr>
          <w:rFonts w:ascii="Times New Roman" w:hAnsi="Times New Roman" w:cs="Times New Roman"/>
          <w:sz w:val="24"/>
          <w:szCs w:val="28"/>
        </w:rPr>
        <w:t xml:space="preserve"> for the full AST</w:t>
      </w:r>
      <w:r w:rsidR="002129B2">
        <w:rPr>
          <w:rFonts w:ascii="Times New Roman" w:hAnsi="Times New Roman" w:cs="Times New Roman" w:hint="eastAsia"/>
          <w:sz w:val="24"/>
          <w:szCs w:val="28"/>
        </w:rPr>
        <w:t xml:space="preserve"> programs</w:t>
      </w:r>
      <w:r w:rsidR="003132E5" w:rsidRPr="00D74A1D">
        <w:rPr>
          <w:rFonts w:ascii="Times New Roman" w:hAnsi="Times New Roman" w:cs="Times New Roman"/>
          <w:sz w:val="24"/>
          <w:szCs w:val="28"/>
        </w:rPr>
        <w:t>.</w:t>
      </w:r>
      <w:r w:rsidR="00C63A0C" w:rsidRPr="00D74A1D">
        <w:rPr>
          <w:rFonts w:ascii="Times New Roman" w:hAnsi="Times New Roman" w:cs="Times New Roman"/>
          <w:sz w:val="24"/>
          <w:szCs w:val="28"/>
        </w:rPr>
        <w:t xml:space="preserve"> </w:t>
      </w:r>
      <w:r w:rsidR="003B2E1B" w:rsidRPr="00D74A1D">
        <w:rPr>
          <w:rFonts w:ascii="Times New Roman" w:hAnsi="Times New Roman" w:cs="Times New Roman"/>
          <w:sz w:val="24"/>
          <w:szCs w:val="24"/>
        </w:rPr>
        <w:t xml:space="preserve">The vertical dotted and continuous lines signify the </w:t>
      </w:r>
      <w:r w:rsidR="00D47C88" w:rsidRPr="00D74A1D">
        <w:rPr>
          <w:rFonts w:ascii="Times New Roman" w:hAnsi="Times New Roman" w:cs="Times New Roman"/>
          <w:sz w:val="24"/>
          <w:szCs w:val="24"/>
        </w:rPr>
        <w:t xml:space="preserve">preliminary and full </w:t>
      </w:r>
      <w:r w:rsidR="003B2E1B" w:rsidRPr="00D74A1D">
        <w:rPr>
          <w:rFonts w:ascii="Times New Roman" w:hAnsi="Times New Roman" w:cs="Times New Roman"/>
          <w:sz w:val="24"/>
          <w:szCs w:val="24"/>
        </w:rPr>
        <w:t>AST</w:t>
      </w:r>
      <w:r w:rsidR="002129B2">
        <w:rPr>
          <w:rFonts w:ascii="Times New Roman" w:hAnsi="Times New Roman" w:cs="Times New Roman" w:hint="eastAsia"/>
          <w:sz w:val="24"/>
          <w:szCs w:val="24"/>
        </w:rPr>
        <w:t xml:space="preserve"> </w:t>
      </w:r>
      <w:r w:rsidR="002129B2">
        <w:rPr>
          <w:rFonts w:ascii="Times New Roman" w:hAnsi="Times New Roman" w:cs="Times New Roman" w:hint="eastAsia"/>
          <w:sz w:val="24"/>
          <w:szCs w:val="28"/>
        </w:rPr>
        <w:t>programs</w:t>
      </w:r>
      <w:r w:rsidR="003B2E1B" w:rsidRPr="00D74A1D">
        <w:rPr>
          <w:rFonts w:ascii="Times New Roman" w:hAnsi="Times New Roman" w:cs="Times New Roman"/>
          <w:sz w:val="24"/>
          <w:szCs w:val="24"/>
        </w:rPr>
        <w:t xml:space="preserve"> at 16 months (with a full-time equivalent (FTE) of 0.7) and 40 months (with an FTE of 1.5) after January 2015, respectively.</w:t>
      </w:r>
    </w:p>
    <w:bookmarkEnd w:id="9"/>
    <w:p w14:paraId="4B099E98" w14:textId="77777777" w:rsidR="00D525B5" w:rsidRPr="00D74A1D" w:rsidRDefault="00D525B5">
      <w:pPr>
        <w:widowControl/>
        <w:jc w:val="left"/>
        <w:rPr>
          <w:rFonts w:ascii="Times New Roman" w:hAnsi="Times New Roman" w:cs="Times New Roman"/>
          <w:sz w:val="24"/>
          <w:szCs w:val="24"/>
        </w:rPr>
      </w:pPr>
      <w:r w:rsidRPr="00D74A1D">
        <w:rPr>
          <w:rFonts w:ascii="Times New Roman" w:hAnsi="Times New Roman" w:cs="Times New Roman"/>
          <w:sz w:val="24"/>
          <w:szCs w:val="24"/>
        </w:rPr>
        <w:br w:type="page"/>
      </w:r>
    </w:p>
    <w:p w14:paraId="5C0E460A" w14:textId="149CC522" w:rsidR="00D525B5" w:rsidRPr="00D74A1D" w:rsidRDefault="001F118B" w:rsidP="0005341C">
      <w:pPr>
        <w:pStyle w:val="Web"/>
        <w:rPr>
          <w:rFonts w:ascii="Times New Roman" w:hAnsi="Times New Roman" w:cs="Times New Roman"/>
          <w:b/>
          <w:bCs/>
        </w:rPr>
      </w:pPr>
      <w:r w:rsidRPr="00D74A1D">
        <w:rPr>
          <w:noProof/>
        </w:rPr>
        <w:lastRenderedPageBreak/>
        <w:drawing>
          <wp:anchor distT="0" distB="0" distL="114300" distR="114300" simplePos="0" relativeHeight="251677696" behindDoc="0" locked="0" layoutInCell="1" allowOverlap="1" wp14:anchorId="32DA847D" wp14:editId="58766658">
            <wp:simplePos x="0" y="0"/>
            <wp:positionH relativeFrom="column">
              <wp:posOffset>0</wp:posOffset>
            </wp:positionH>
            <wp:positionV relativeFrom="paragraph">
              <wp:posOffset>85060</wp:posOffset>
            </wp:positionV>
            <wp:extent cx="6730365" cy="6411595"/>
            <wp:effectExtent l="0" t="0" r="0" b="8255"/>
            <wp:wrapSquare wrapText="bothSides"/>
            <wp:docPr id="1476616322"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16322" name="図 4" descr="ダイアグラム&#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0365" cy="6411595"/>
                    </a:xfrm>
                    <a:prstGeom prst="rect">
                      <a:avLst/>
                    </a:prstGeom>
                    <a:noFill/>
                    <a:ln>
                      <a:noFill/>
                    </a:ln>
                  </pic:spPr>
                </pic:pic>
              </a:graphicData>
            </a:graphic>
          </wp:anchor>
        </w:drawing>
      </w:r>
      <w:r w:rsidR="00D525B5" w:rsidRPr="00D74A1D">
        <w:rPr>
          <w:rFonts w:ascii="Times New Roman" w:hAnsi="Times New Roman" w:cs="Times New Roman"/>
          <w:b/>
          <w:bCs/>
        </w:rPr>
        <w:t xml:space="preserve">Supplementary </w:t>
      </w:r>
      <w:bookmarkStart w:id="10" w:name="_Hlk156603408"/>
      <w:r w:rsidR="00D525B5" w:rsidRPr="00D74A1D">
        <w:rPr>
          <w:rFonts w:ascii="Times New Roman" w:hAnsi="Times New Roman" w:cs="Times New Roman"/>
          <w:b/>
          <w:bCs/>
        </w:rPr>
        <w:t>Figure S</w:t>
      </w:r>
      <w:r w:rsidR="007D03E2" w:rsidRPr="00D74A1D">
        <w:rPr>
          <w:rFonts w:ascii="Times New Roman" w:hAnsi="Times New Roman" w:cs="Times New Roman" w:hint="eastAsia"/>
          <w:b/>
          <w:bCs/>
        </w:rPr>
        <w:t>4</w:t>
      </w:r>
      <w:r w:rsidR="00136AA4" w:rsidRPr="00D74A1D">
        <w:rPr>
          <w:rFonts w:ascii="Times New Roman" w:hAnsi="Times New Roman" w:cs="Times New Roman"/>
          <w:b/>
          <w:bCs/>
        </w:rPr>
        <w:t>.</w:t>
      </w:r>
      <w:r w:rsidR="00D525B5" w:rsidRPr="00D74A1D">
        <w:rPr>
          <w:rFonts w:ascii="Times New Roman" w:hAnsi="Times New Roman" w:cs="Times New Roman"/>
          <w:b/>
          <w:bCs/>
        </w:rPr>
        <w:t xml:space="preserve"> Impact of antimicrobial stewardship team (AST) </w:t>
      </w:r>
      <w:r w:rsidR="002129B2">
        <w:rPr>
          <w:rFonts w:ascii="Times New Roman" w:hAnsi="Times New Roman" w:cs="Times New Roman" w:hint="eastAsia"/>
          <w:b/>
          <w:bCs/>
        </w:rPr>
        <w:t xml:space="preserve">programs </w:t>
      </w:r>
      <w:r w:rsidR="00D525B5" w:rsidRPr="00D74A1D">
        <w:rPr>
          <w:rFonts w:ascii="Times New Roman" w:hAnsi="Times New Roman" w:cs="Times New Roman"/>
          <w:b/>
          <w:bCs/>
        </w:rPr>
        <w:t>on days of therapy (DOT) stratified by antibiotic spectrum coverage (ASC) scores</w:t>
      </w:r>
      <w:r w:rsidR="0083047F" w:rsidRPr="00D74A1D">
        <w:rPr>
          <w:rFonts w:ascii="Times New Roman" w:hAnsi="Times New Roman" w:cs="Times New Roman"/>
          <w:b/>
          <w:bCs/>
        </w:rPr>
        <w:t xml:space="preserve"> </w:t>
      </w:r>
      <w:r w:rsidR="00B449E7" w:rsidRPr="00D74A1D">
        <w:rPr>
          <w:rFonts w:ascii="Times New Roman" w:hAnsi="Times New Roman" w:cs="Times New Roman"/>
          <w:b/>
          <w:bCs/>
        </w:rPr>
        <w:t xml:space="preserve">across all antibiotics </w:t>
      </w:r>
      <w:r w:rsidR="0083047F" w:rsidRPr="00D74A1D">
        <w:rPr>
          <w:rFonts w:ascii="Times New Roman" w:hAnsi="Times New Roman" w:cs="Times New Roman"/>
          <w:b/>
          <w:bCs/>
        </w:rPr>
        <w:t>in inpatients.</w:t>
      </w:r>
    </w:p>
    <w:p w14:paraId="71CE39BC" w14:textId="39251FEC" w:rsidR="003B2E1B" w:rsidRPr="00D74A1D" w:rsidRDefault="00127BC1" w:rsidP="003B2E1B">
      <w:pPr>
        <w:rPr>
          <w:rFonts w:ascii="Times New Roman" w:hAnsi="Times New Roman" w:cs="Times New Roman"/>
          <w:sz w:val="24"/>
          <w:szCs w:val="28"/>
        </w:rPr>
      </w:pPr>
      <w:r w:rsidRPr="00D74A1D">
        <w:rPr>
          <w:rFonts w:ascii="Times New Roman" w:hAnsi="Times New Roman" w:cs="Times New Roman"/>
          <w:sz w:val="24"/>
          <w:szCs w:val="28"/>
        </w:rPr>
        <w:t>The panels in the upper (a-c), middle (d-f), and lower (g-</w:t>
      </w:r>
      <w:proofErr w:type="spellStart"/>
      <w:r w:rsidRPr="00D74A1D">
        <w:rPr>
          <w:rFonts w:ascii="Times New Roman" w:hAnsi="Times New Roman" w:cs="Times New Roman"/>
          <w:sz w:val="24"/>
          <w:szCs w:val="28"/>
        </w:rPr>
        <w:t>i</w:t>
      </w:r>
      <w:proofErr w:type="spellEnd"/>
      <w:r w:rsidRPr="00D74A1D">
        <w:rPr>
          <w:rFonts w:ascii="Times New Roman" w:hAnsi="Times New Roman" w:cs="Times New Roman"/>
          <w:sz w:val="24"/>
          <w:szCs w:val="28"/>
        </w:rPr>
        <w:t xml:space="preserve">) rows display total (parenteral and oral), parenteral, and oral antibiotics, respectively. The panels in the left (a, d, g), center (b, e, h), and right (c, f, </w:t>
      </w:r>
      <w:proofErr w:type="spellStart"/>
      <w:r w:rsidRPr="00D74A1D">
        <w:rPr>
          <w:rFonts w:ascii="Times New Roman" w:hAnsi="Times New Roman" w:cs="Times New Roman"/>
          <w:sz w:val="24"/>
          <w:szCs w:val="28"/>
        </w:rPr>
        <w:t>i</w:t>
      </w:r>
      <w:proofErr w:type="spellEnd"/>
      <w:r w:rsidRPr="00D74A1D">
        <w:rPr>
          <w:rFonts w:ascii="Times New Roman" w:hAnsi="Times New Roman" w:cs="Times New Roman"/>
          <w:sz w:val="24"/>
          <w:szCs w:val="28"/>
        </w:rPr>
        <w:t xml:space="preserve">) columns correspond to antibiotics with ASC scores &gt; 10, 6-10, and &lt; 6, respectively </w:t>
      </w:r>
      <w:r w:rsidR="003132E5" w:rsidRPr="00D74A1D">
        <w:rPr>
          <w:rFonts w:ascii="Times New Roman" w:hAnsi="Times New Roman" w:cs="Times New Roman"/>
          <w:sz w:val="24"/>
          <w:szCs w:val="28"/>
        </w:rPr>
        <w:t>The lines and grey areas represent the data fitted to the model and the corresponding 95% confidence interval by interrupted time series analysis</w:t>
      </w:r>
      <w:r w:rsidR="003B2E1B" w:rsidRPr="00D74A1D">
        <w:rPr>
          <w:rFonts w:ascii="Times New Roman" w:hAnsi="Times New Roman" w:cs="Times New Roman"/>
          <w:sz w:val="24"/>
          <w:szCs w:val="28"/>
        </w:rPr>
        <w:t>, with the interruption set at 40 months</w:t>
      </w:r>
      <w:r w:rsidR="003132E5" w:rsidRPr="00D74A1D">
        <w:rPr>
          <w:rFonts w:ascii="Times New Roman" w:hAnsi="Times New Roman" w:cs="Times New Roman"/>
          <w:sz w:val="24"/>
          <w:szCs w:val="28"/>
        </w:rPr>
        <w:t>.</w:t>
      </w:r>
      <w:r w:rsidR="00C63A0C" w:rsidRPr="00D74A1D">
        <w:rPr>
          <w:rFonts w:ascii="Times New Roman" w:hAnsi="Times New Roman" w:cs="Times New Roman"/>
          <w:sz w:val="24"/>
          <w:szCs w:val="28"/>
        </w:rPr>
        <w:t xml:space="preserve"> </w:t>
      </w:r>
      <w:bookmarkEnd w:id="10"/>
      <w:r w:rsidR="00D47C88" w:rsidRPr="00D74A1D">
        <w:rPr>
          <w:rFonts w:ascii="Times New Roman" w:hAnsi="Times New Roman" w:cs="Times New Roman"/>
          <w:sz w:val="24"/>
          <w:szCs w:val="24"/>
        </w:rPr>
        <w:t>The vertical dotted and continuous lines signify the preliminary and full AST</w:t>
      </w:r>
      <w:r w:rsidR="002129B2">
        <w:rPr>
          <w:rFonts w:ascii="Times New Roman" w:hAnsi="Times New Roman" w:cs="Times New Roman" w:hint="eastAsia"/>
          <w:sz w:val="24"/>
          <w:szCs w:val="24"/>
        </w:rPr>
        <w:t xml:space="preserve"> </w:t>
      </w:r>
      <w:r w:rsidR="002129B2">
        <w:rPr>
          <w:rFonts w:ascii="Times New Roman" w:hAnsi="Times New Roman" w:cs="Times New Roman" w:hint="eastAsia"/>
          <w:sz w:val="24"/>
          <w:szCs w:val="28"/>
        </w:rPr>
        <w:t>programs</w:t>
      </w:r>
      <w:r w:rsidR="00D47C88" w:rsidRPr="00D74A1D">
        <w:rPr>
          <w:rFonts w:ascii="Times New Roman" w:hAnsi="Times New Roman" w:cs="Times New Roman"/>
          <w:sz w:val="24"/>
          <w:szCs w:val="24"/>
        </w:rPr>
        <w:t xml:space="preserve"> at 16 months (with a full-time equivalent (FTE) of 0.7) and 40 months (with an FTE of 1.5) after January 2015, respectively</w:t>
      </w:r>
      <w:r w:rsidR="003B2E1B" w:rsidRPr="00D74A1D">
        <w:rPr>
          <w:rFonts w:ascii="Times New Roman" w:hAnsi="Times New Roman" w:cs="Times New Roman"/>
          <w:sz w:val="24"/>
          <w:szCs w:val="24"/>
        </w:rPr>
        <w:t>. Stratification details are depicted on the top-left of each panel.</w:t>
      </w:r>
    </w:p>
    <w:p w14:paraId="48303DEC" w14:textId="0BFE5758" w:rsidR="0083047F" w:rsidRPr="00D74A1D" w:rsidRDefault="001F118B" w:rsidP="003B2E1B">
      <w:pPr>
        <w:rPr>
          <w:rFonts w:ascii="Times New Roman" w:hAnsi="Times New Roman" w:cs="Times New Roman"/>
          <w:b/>
          <w:bCs/>
          <w:sz w:val="24"/>
          <w:szCs w:val="24"/>
        </w:rPr>
      </w:pPr>
      <w:r w:rsidRPr="00D74A1D">
        <w:rPr>
          <w:noProof/>
        </w:rPr>
        <w:lastRenderedPageBreak/>
        <w:drawing>
          <wp:anchor distT="0" distB="0" distL="114300" distR="114300" simplePos="0" relativeHeight="251678720" behindDoc="0" locked="0" layoutInCell="1" allowOverlap="1" wp14:anchorId="14A049BD" wp14:editId="19EDF255">
            <wp:simplePos x="0" y="0"/>
            <wp:positionH relativeFrom="column">
              <wp:posOffset>0</wp:posOffset>
            </wp:positionH>
            <wp:positionV relativeFrom="paragraph">
              <wp:posOffset>-143540</wp:posOffset>
            </wp:positionV>
            <wp:extent cx="6730365" cy="6411595"/>
            <wp:effectExtent l="0" t="0" r="0" b="8255"/>
            <wp:wrapSquare wrapText="bothSides"/>
            <wp:docPr id="1469110708" name="図 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0708" name="図 5" descr="ダイアグラム, 設計図&#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0365" cy="6411595"/>
                    </a:xfrm>
                    <a:prstGeom prst="rect">
                      <a:avLst/>
                    </a:prstGeom>
                    <a:noFill/>
                    <a:ln>
                      <a:noFill/>
                    </a:ln>
                  </pic:spPr>
                </pic:pic>
              </a:graphicData>
            </a:graphic>
          </wp:anchor>
        </w:drawing>
      </w:r>
      <w:r w:rsidR="0083047F" w:rsidRPr="00D74A1D">
        <w:rPr>
          <w:rFonts w:ascii="Times New Roman" w:hAnsi="Times New Roman" w:cs="Times New Roman"/>
          <w:b/>
          <w:bCs/>
          <w:sz w:val="24"/>
          <w:szCs w:val="24"/>
        </w:rPr>
        <w:t xml:space="preserve">Supplementary </w:t>
      </w:r>
      <w:bookmarkStart w:id="11" w:name="_Hlk156603433"/>
      <w:r w:rsidR="0083047F" w:rsidRPr="00D74A1D">
        <w:rPr>
          <w:rFonts w:ascii="Times New Roman" w:hAnsi="Times New Roman" w:cs="Times New Roman"/>
          <w:b/>
          <w:bCs/>
          <w:sz w:val="24"/>
          <w:szCs w:val="24"/>
        </w:rPr>
        <w:t>Figure S</w:t>
      </w:r>
      <w:r w:rsidR="007D03E2" w:rsidRPr="00D74A1D">
        <w:rPr>
          <w:rFonts w:ascii="Times New Roman" w:hAnsi="Times New Roman" w:cs="Times New Roman" w:hint="eastAsia"/>
          <w:b/>
          <w:bCs/>
          <w:sz w:val="24"/>
          <w:szCs w:val="24"/>
        </w:rPr>
        <w:t>5</w:t>
      </w:r>
      <w:r w:rsidR="0083047F" w:rsidRPr="00D74A1D">
        <w:rPr>
          <w:rFonts w:ascii="Times New Roman" w:hAnsi="Times New Roman" w:cs="Times New Roman"/>
          <w:b/>
          <w:bCs/>
          <w:sz w:val="24"/>
          <w:szCs w:val="24"/>
        </w:rPr>
        <w:t>. Impact of antimicrobial stewardship team (AST)</w:t>
      </w:r>
      <w:r w:rsidR="0083047F" w:rsidRPr="00D74A1D">
        <w:rPr>
          <w:rFonts w:ascii="Times New Roman" w:hAnsi="Times New Roman" w:cs="Times New Roman" w:hint="eastAsia"/>
          <w:b/>
          <w:bCs/>
          <w:sz w:val="24"/>
          <w:szCs w:val="24"/>
        </w:rPr>
        <w:t xml:space="preserve"> </w:t>
      </w:r>
      <w:r w:rsidR="002129B2">
        <w:rPr>
          <w:rFonts w:ascii="Times New Roman" w:hAnsi="Times New Roman" w:cs="Times New Roman" w:hint="eastAsia"/>
          <w:b/>
          <w:bCs/>
          <w:sz w:val="24"/>
          <w:szCs w:val="24"/>
        </w:rPr>
        <w:t xml:space="preserve">programs </w:t>
      </w:r>
      <w:r w:rsidR="0083047F" w:rsidRPr="00D74A1D">
        <w:rPr>
          <w:rFonts w:ascii="Times New Roman" w:hAnsi="Times New Roman" w:cs="Times New Roman"/>
          <w:b/>
          <w:bCs/>
          <w:sz w:val="24"/>
          <w:szCs w:val="24"/>
        </w:rPr>
        <w:t>on days of therapy (DOT), days of antibiotic spectrum coverage (DASC), and DASC/DOT</w:t>
      </w:r>
      <w:r w:rsidR="0005341C" w:rsidRPr="00D74A1D">
        <w:rPr>
          <w:rFonts w:ascii="Times New Roman" w:hAnsi="Times New Roman" w:cs="Times New Roman"/>
          <w:b/>
          <w:bCs/>
          <w:sz w:val="24"/>
          <w:szCs w:val="24"/>
        </w:rPr>
        <w:t xml:space="preserve"> ratio</w:t>
      </w:r>
      <w:r w:rsidR="0083047F" w:rsidRPr="00D74A1D">
        <w:rPr>
          <w:rFonts w:ascii="Times New Roman" w:hAnsi="Times New Roman" w:cs="Times New Roman"/>
          <w:b/>
          <w:bCs/>
          <w:sz w:val="24"/>
          <w:szCs w:val="24"/>
        </w:rPr>
        <w:t xml:space="preserve"> based on antibiotic spectrum coverage (ASC) scores </w:t>
      </w:r>
      <w:r w:rsidR="00B449E7" w:rsidRPr="00D74A1D">
        <w:rPr>
          <w:rFonts w:ascii="Times New Roman" w:hAnsi="Times New Roman" w:cs="Times New Roman"/>
          <w:b/>
          <w:bCs/>
          <w:sz w:val="24"/>
          <w:szCs w:val="24"/>
        </w:rPr>
        <w:t xml:space="preserve">across all antibiotics </w:t>
      </w:r>
      <w:r w:rsidR="0083047F" w:rsidRPr="00D74A1D">
        <w:rPr>
          <w:rFonts w:ascii="Times New Roman" w:hAnsi="Times New Roman" w:cs="Times New Roman"/>
          <w:b/>
          <w:bCs/>
          <w:sz w:val="24"/>
          <w:szCs w:val="24"/>
        </w:rPr>
        <w:t>in outpatients.</w:t>
      </w:r>
    </w:p>
    <w:p w14:paraId="51912473" w14:textId="53BCF4F5" w:rsidR="001257D9" w:rsidRPr="00D74A1D" w:rsidRDefault="00127BC1" w:rsidP="0083047F">
      <w:pPr>
        <w:rPr>
          <w:rFonts w:ascii="Times New Roman" w:hAnsi="Times New Roman" w:cs="Times New Roman"/>
          <w:sz w:val="24"/>
          <w:szCs w:val="24"/>
        </w:rPr>
      </w:pPr>
      <w:r w:rsidRPr="00D74A1D">
        <w:rPr>
          <w:rFonts w:ascii="Times New Roman" w:hAnsi="Times New Roman" w:cs="Times New Roman"/>
          <w:sz w:val="24"/>
          <w:szCs w:val="28"/>
        </w:rPr>
        <w:t>The panels in the upper (a-c), middle (d-f), and lower (g-</w:t>
      </w:r>
      <w:proofErr w:type="spellStart"/>
      <w:r w:rsidRPr="00D74A1D">
        <w:rPr>
          <w:rFonts w:ascii="Times New Roman" w:hAnsi="Times New Roman" w:cs="Times New Roman"/>
          <w:sz w:val="24"/>
          <w:szCs w:val="28"/>
        </w:rPr>
        <w:t>i</w:t>
      </w:r>
      <w:proofErr w:type="spellEnd"/>
      <w:r w:rsidRPr="00D74A1D">
        <w:rPr>
          <w:rFonts w:ascii="Times New Roman" w:hAnsi="Times New Roman" w:cs="Times New Roman"/>
          <w:sz w:val="24"/>
          <w:szCs w:val="28"/>
        </w:rPr>
        <w:t xml:space="preserve">) rows represent the results for total oral antibiotics (DOT, DASC, and DASC/DOT ratio), DOT stratified by ASC scores (&gt;10, 6-10, and &lt;6), and the results excluding sulfamethoxazole/trimethoprim (DOT, DASC, and DASC/DOT ratio), respectively. </w:t>
      </w:r>
      <w:r w:rsidR="003132E5" w:rsidRPr="00D74A1D">
        <w:rPr>
          <w:rFonts w:ascii="Times New Roman" w:hAnsi="Times New Roman" w:cs="Times New Roman"/>
          <w:sz w:val="24"/>
          <w:szCs w:val="28"/>
        </w:rPr>
        <w:t>The lines and grey areas represent the data fitted to the model and the corresponding 95% confidence interval by interrupted time series analysis</w:t>
      </w:r>
      <w:r w:rsidR="003B2E1B" w:rsidRPr="00D74A1D">
        <w:rPr>
          <w:rFonts w:ascii="Times New Roman" w:hAnsi="Times New Roman" w:cs="Times New Roman"/>
          <w:sz w:val="24"/>
          <w:szCs w:val="28"/>
        </w:rPr>
        <w:t>, with the interruption set at 40 months</w:t>
      </w:r>
      <w:r w:rsidR="003132E5" w:rsidRPr="00D74A1D">
        <w:rPr>
          <w:rFonts w:ascii="Times New Roman" w:hAnsi="Times New Roman" w:cs="Times New Roman"/>
          <w:sz w:val="24"/>
          <w:szCs w:val="28"/>
        </w:rPr>
        <w:t>.</w:t>
      </w:r>
      <w:r w:rsidR="00C63A0C" w:rsidRPr="00D74A1D">
        <w:rPr>
          <w:rFonts w:ascii="Times New Roman" w:hAnsi="Times New Roman" w:cs="Times New Roman"/>
          <w:sz w:val="24"/>
          <w:szCs w:val="28"/>
        </w:rPr>
        <w:t xml:space="preserve"> </w:t>
      </w:r>
      <w:bookmarkEnd w:id="11"/>
      <w:r w:rsidR="001816F9" w:rsidRPr="00D74A1D">
        <w:rPr>
          <w:rFonts w:ascii="Times New Roman" w:hAnsi="Times New Roman" w:cs="Times New Roman"/>
          <w:sz w:val="24"/>
          <w:szCs w:val="24"/>
        </w:rPr>
        <w:t>The vertical dotted and continuous lines signify the preliminary and full AST</w:t>
      </w:r>
      <w:r w:rsidR="002129B2">
        <w:rPr>
          <w:rFonts w:ascii="Times New Roman" w:hAnsi="Times New Roman" w:cs="Times New Roman" w:hint="eastAsia"/>
          <w:sz w:val="24"/>
          <w:szCs w:val="24"/>
        </w:rPr>
        <w:t xml:space="preserve"> programs</w:t>
      </w:r>
      <w:r w:rsidR="001816F9" w:rsidRPr="00D74A1D">
        <w:rPr>
          <w:rFonts w:ascii="Times New Roman" w:hAnsi="Times New Roman" w:cs="Times New Roman"/>
          <w:sz w:val="24"/>
          <w:szCs w:val="24"/>
        </w:rPr>
        <w:t xml:space="preserve"> at 16 months (with a full-time equivalent (FTE) of 0.7) and 40 months (with an FTE of 1.5) after January 2015, respectively</w:t>
      </w:r>
      <w:r w:rsidR="003B2E1B" w:rsidRPr="00D74A1D">
        <w:rPr>
          <w:rFonts w:ascii="Times New Roman" w:hAnsi="Times New Roman" w:cs="Times New Roman"/>
          <w:sz w:val="24"/>
          <w:szCs w:val="24"/>
        </w:rPr>
        <w:t>. Stratification by ASC scores are depicted on the top-left of panels d-f. Panels g-</w:t>
      </w:r>
      <w:proofErr w:type="spellStart"/>
      <w:r w:rsidR="003B2E1B" w:rsidRPr="00D74A1D">
        <w:rPr>
          <w:rFonts w:ascii="Times New Roman" w:hAnsi="Times New Roman" w:cs="Times New Roman"/>
          <w:sz w:val="24"/>
          <w:szCs w:val="24"/>
        </w:rPr>
        <w:t>i</w:t>
      </w:r>
      <w:proofErr w:type="spellEnd"/>
      <w:r w:rsidR="003B2E1B" w:rsidRPr="00D74A1D">
        <w:rPr>
          <w:rFonts w:ascii="Times New Roman" w:hAnsi="Times New Roman" w:cs="Times New Roman"/>
          <w:sz w:val="24"/>
          <w:szCs w:val="24"/>
        </w:rPr>
        <w:t xml:space="preserve"> exclude sulfamethoxazole/trimethoprim.</w:t>
      </w:r>
    </w:p>
    <w:p w14:paraId="5A1779E9" w14:textId="1F943EF3" w:rsidR="006F6DD0" w:rsidRDefault="001257D9">
      <w:pPr>
        <w:widowControl/>
        <w:jc w:val="left"/>
        <w:rPr>
          <w:rFonts w:ascii="Times New Roman" w:hAnsi="Times New Roman" w:cs="Times New Roman"/>
          <w:sz w:val="24"/>
          <w:szCs w:val="24"/>
        </w:rPr>
      </w:pPr>
      <w:r w:rsidRPr="00D74A1D">
        <w:rPr>
          <w:rFonts w:ascii="Times New Roman" w:hAnsi="Times New Roman" w:cs="Times New Roman"/>
          <w:sz w:val="24"/>
          <w:szCs w:val="24"/>
        </w:rPr>
        <w:br w:type="page"/>
      </w:r>
    </w:p>
    <w:p w14:paraId="72591F92" w14:textId="1E989D4E" w:rsidR="00427B09" w:rsidRPr="00B6790D" w:rsidRDefault="00427B09" w:rsidP="00427B09">
      <w:pPr>
        <w:rPr>
          <w:rFonts w:ascii="Times New Roman" w:hAnsi="Times New Roman" w:cs="Times New Roman"/>
          <w:b/>
          <w:bCs/>
          <w:sz w:val="24"/>
          <w:szCs w:val="28"/>
        </w:rPr>
      </w:pPr>
      <w:r>
        <w:rPr>
          <w:noProof/>
        </w:rPr>
        <w:lastRenderedPageBreak/>
        <w:drawing>
          <wp:anchor distT="0" distB="0" distL="114300" distR="114300" simplePos="0" relativeHeight="251679744" behindDoc="0" locked="0" layoutInCell="1" allowOverlap="1" wp14:anchorId="2D631A82" wp14:editId="09987649">
            <wp:simplePos x="0" y="0"/>
            <wp:positionH relativeFrom="margin">
              <wp:align>center</wp:align>
            </wp:positionH>
            <wp:positionV relativeFrom="margin">
              <wp:align>top</wp:align>
            </wp:positionV>
            <wp:extent cx="7995285" cy="2654935"/>
            <wp:effectExtent l="0" t="0" r="5715" b="0"/>
            <wp:wrapTopAndBottom/>
            <wp:docPr id="20498816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5285"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A1D">
        <w:rPr>
          <w:rFonts w:ascii="Times New Roman" w:hAnsi="Times New Roman" w:cs="Times New Roman"/>
          <w:b/>
          <w:bCs/>
          <w:sz w:val="24"/>
          <w:szCs w:val="24"/>
        </w:rPr>
        <w:t>Supplementary Figure S</w:t>
      </w:r>
      <w:r w:rsidR="00C17420">
        <w:rPr>
          <w:rFonts w:ascii="Times New Roman" w:hAnsi="Times New Roman" w:cs="Times New Roman" w:hint="eastAsia"/>
          <w:b/>
          <w:bCs/>
          <w:sz w:val="24"/>
          <w:szCs w:val="24"/>
        </w:rPr>
        <w:t>6</w:t>
      </w:r>
      <w:r w:rsidRPr="00B6790D">
        <w:rPr>
          <w:rFonts w:ascii="Times New Roman" w:hAnsi="Times New Roman" w:cs="Times New Roman"/>
          <w:b/>
          <w:bCs/>
          <w:sz w:val="24"/>
          <w:szCs w:val="28"/>
        </w:rPr>
        <w:t xml:space="preserve">. </w:t>
      </w:r>
      <w:r w:rsidRPr="009A204D">
        <w:rPr>
          <w:rFonts w:ascii="Times New Roman" w:hAnsi="Times New Roman" w:cs="Times New Roman"/>
          <w:b/>
          <w:bCs/>
          <w:sz w:val="24"/>
          <w:szCs w:val="28"/>
        </w:rPr>
        <w:t xml:space="preserve">Outcomes of </w:t>
      </w:r>
      <w:r>
        <w:rPr>
          <w:rFonts w:ascii="Times New Roman" w:hAnsi="Times New Roman" w:cs="Times New Roman"/>
          <w:b/>
          <w:bCs/>
          <w:sz w:val="24"/>
          <w:szCs w:val="24"/>
        </w:rPr>
        <w:t>antimicrobial stewardship team (</w:t>
      </w:r>
      <w:r w:rsidRPr="009A204D">
        <w:rPr>
          <w:rFonts w:ascii="Times New Roman" w:hAnsi="Times New Roman" w:cs="Times New Roman"/>
          <w:b/>
          <w:bCs/>
          <w:sz w:val="24"/>
          <w:szCs w:val="28"/>
        </w:rPr>
        <w:t>AST</w:t>
      </w:r>
      <w:r>
        <w:rPr>
          <w:rFonts w:ascii="Times New Roman" w:hAnsi="Times New Roman" w:cs="Times New Roman"/>
          <w:b/>
          <w:bCs/>
          <w:sz w:val="24"/>
          <w:szCs w:val="28"/>
        </w:rPr>
        <w:t>)</w:t>
      </w:r>
      <w:r w:rsidRPr="009A204D">
        <w:rPr>
          <w:rFonts w:ascii="Times New Roman" w:hAnsi="Times New Roman" w:cs="Times New Roman"/>
          <w:b/>
          <w:bCs/>
          <w:sz w:val="24"/>
          <w:szCs w:val="28"/>
        </w:rPr>
        <w:t xml:space="preserve"> </w:t>
      </w:r>
      <w:r w:rsidR="002129B2">
        <w:rPr>
          <w:rFonts w:ascii="Times New Roman" w:hAnsi="Times New Roman" w:cs="Times New Roman" w:hint="eastAsia"/>
          <w:b/>
          <w:bCs/>
          <w:sz w:val="24"/>
          <w:szCs w:val="28"/>
        </w:rPr>
        <w:t xml:space="preserve">programs </w:t>
      </w:r>
      <w:r w:rsidRPr="009A204D">
        <w:rPr>
          <w:rFonts w:ascii="Times New Roman" w:hAnsi="Times New Roman" w:cs="Times New Roman"/>
          <w:b/>
          <w:bCs/>
          <w:sz w:val="24"/>
          <w:szCs w:val="28"/>
        </w:rPr>
        <w:t xml:space="preserve">on infection </w:t>
      </w:r>
      <w:r>
        <w:rPr>
          <w:rFonts w:ascii="Times New Roman" w:hAnsi="Times New Roman" w:cs="Times New Roman"/>
          <w:b/>
          <w:bCs/>
          <w:sz w:val="24"/>
          <w:szCs w:val="28"/>
        </w:rPr>
        <w:t>onset</w:t>
      </w:r>
      <w:r w:rsidRPr="009A204D">
        <w:rPr>
          <w:rFonts w:ascii="Times New Roman" w:hAnsi="Times New Roman" w:cs="Times New Roman"/>
          <w:b/>
          <w:bCs/>
          <w:sz w:val="24"/>
          <w:szCs w:val="28"/>
        </w:rPr>
        <w:t xml:space="preserve"> and </w:t>
      </w:r>
      <w:r>
        <w:rPr>
          <w:rFonts w:ascii="Times New Roman" w:hAnsi="Times New Roman" w:cs="Times New Roman"/>
          <w:b/>
          <w:bCs/>
          <w:sz w:val="24"/>
          <w:szCs w:val="28"/>
        </w:rPr>
        <w:t>antibiotic</w:t>
      </w:r>
      <w:r w:rsidRPr="009A204D">
        <w:rPr>
          <w:rFonts w:ascii="Times New Roman" w:hAnsi="Times New Roman" w:cs="Times New Roman"/>
          <w:b/>
          <w:bCs/>
          <w:sz w:val="24"/>
          <w:szCs w:val="28"/>
        </w:rPr>
        <w:t xml:space="preserve"> susceptibilities.</w:t>
      </w:r>
    </w:p>
    <w:p w14:paraId="601D237E" w14:textId="77777777" w:rsidR="00427B09" w:rsidRPr="005D07A5" w:rsidRDefault="00427B09" w:rsidP="00427B09">
      <w:pPr>
        <w:rPr>
          <w:rFonts w:ascii="Times New Roman" w:hAnsi="Times New Roman" w:cs="Times New Roman"/>
          <w:sz w:val="24"/>
          <w:szCs w:val="28"/>
        </w:rPr>
      </w:pPr>
      <w:r>
        <w:rPr>
          <w:rFonts w:ascii="Times New Roman" w:hAnsi="Times New Roman" w:cs="Times New Roman" w:hint="eastAsia"/>
          <w:sz w:val="24"/>
          <w:szCs w:val="28"/>
        </w:rPr>
        <w:t>a</w:t>
      </w:r>
      <w:r>
        <w:rPr>
          <w:rFonts w:ascii="Times New Roman" w:hAnsi="Times New Roman" w:cs="Times New Roman"/>
          <w:sz w:val="24"/>
          <w:szCs w:val="28"/>
        </w:rPr>
        <w:t>.</w:t>
      </w:r>
      <w:r w:rsidRPr="00B6790D">
        <w:rPr>
          <w:rFonts w:ascii="Times New Roman" w:hAnsi="Times New Roman" w:cs="Times New Roman"/>
          <w:i/>
          <w:iCs/>
          <w:sz w:val="24"/>
          <w:szCs w:val="28"/>
        </w:rPr>
        <w:t xml:space="preserve"> </w:t>
      </w:r>
      <w:r w:rsidRPr="00DA609F">
        <w:rPr>
          <w:rFonts w:ascii="Times New Roman" w:hAnsi="Times New Roman" w:cs="Times New Roman"/>
          <w:sz w:val="24"/>
          <w:szCs w:val="28"/>
        </w:rPr>
        <w:t xml:space="preserve">Onset of </w:t>
      </w:r>
      <w:r w:rsidRPr="00B6790D">
        <w:rPr>
          <w:rFonts w:ascii="Times New Roman" w:hAnsi="Times New Roman" w:cs="Times New Roman"/>
          <w:i/>
          <w:iCs/>
          <w:sz w:val="24"/>
          <w:szCs w:val="28"/>
        </w:rPr>
        <w:t>Clostridioid</w:t>
      </w:r>
      <w:r>
        <w:rPr>
          <w:rFonts w:ascii="Times New Roman" w:hAnsi="Times New Roman" w:cs="Times New Roman"/>
          <w:i/>
          <w:iCs/>
          <w:sz w:val="24"/>
          <w:szCs w:val="28"/>
        </w:rPr>
        <w:t>e</w:t>
      </w:r>
      <w:r w:rsidRPr="00B6790D">
        <w:rPr>
          <w:rFonts w:ascii="Times New Roman" w:hAnsi="Times New Roman" w:cs="Times New Roman"/>
          <w:i/>
          <w:iCs/>
          <w:sz w:val="24"/>
          <w:szCs w:val="28"/>
        </w:rPr>
        <w:t>s difficile</w:t>
      </w:r>
      <w:r>
        <w:rPr>
          <w:rFonts w:ascii="Times New Roman" w:hAnsi="Times New Roman" w:cs="Times New Roman"/>
          <w:sz w:val="24"/>
          <w:szCs w:val="28"/>
        </w:rPr>
        <w:t xml:space="preserve"> infection (CDI) per 1,000 patient days. b. Onset of candidemia per 1,000 patient days, based on 6,000 blood culture bottles. c. Trends in susceptibilities of </w:t>
      </w:r>
      <w:r w:rsidRPr="002811A0">
        <w:rPr>
          <w:rFonts w:ascii="Times New Roman" w:hAnsi="Times New Roman" w:cs="Times New Roman"/>
          <w:i/>
          <w:iCs/>
          <w:sz w:val="24"/>
          <w:szCs w:val="28"/>
        </w:rPr>
        <w:t>Pseudomonas aeruginosa</w:t>
      </w:r>
      <w:r>
        <w:rPr>
          <w:rFonts w:ascii="Times New Roman" w:hAnsi="Times New Roman" w:cs="Times New Roman"/>
          <w:sz w:val="24"/>
          <w:szCs w:val="28"/>
        </w:rPr>
        <w:t xml:space="preserve"> to imipenem/cilastatin (represented by a continuous line and black circles, with values </w:t>
      </w:r>
      <w:r w:rsidRPr="00011504">
        <w:rPr>
          <w:rFonts w:ascii="Times New Roman" w:hAnsi="Times New Roman" w:cs="Times New Roman"/>
          <w:sz w:val="24"/>
          <w:szCs w:val="28"/>
        </w:rPr>
        <w:t>denoted by 'I</w:t>
      </w:r>
      <w:r>
        <w:rPr>
          <w:rFonts w:ascii="Times New Roman" w:hAnsi="Times New Roman" w:cs="Times New Roman"/>
          <w:sz w:val="24"/>
          <w:szCs w:val="28"/>
        </w:rPr>
        <w:t>.PA</w:t>
      </w:r>
      <w:r w:rsidRPr="00011504">
        <w:rPr>
          <w:rFonts w:ascii="Times New Roman" w:hAnsi="Times New Roman" w:cs="Times New Roman"/>
          <w:sz w:val="24"/>
          <w:szCs w:val="28"/>
        </w:rPr>
        <w:t>' on the right shoulder</w:t>
      </w:r>
      <w:r>
        <w:rPr>
          <w:rFonts w:ascii="Times New Roman" w:hAnsi="Times New Roman" w:cs="Times New Roman"/>
          <w:sz w:val="24"/>
          <w:szCs w:val="28"/>
        </w:rPr>
        <w:t xml:space="preserve">) and </w:t>
      </w:r>
      <w:r w:rsidRPr="002811A0">
        <w:rPr>
          <w:rFonts w:ascii="Times New Roman" w:hAnsi="Times New Roman" w:cs="Times New Roman"/>
          <w:i/>
          <w:iCs/>
          <w:sz w:val="24"/>
          <w:szCs w:val="28"/>
        </w:rPr>
        <w:t>Escherichia coli</w:t>
      </w:r>
      <w:r>
        <w:rPr>
          <w:rFonts w:ascii="Times New Roman" w:hAnsi="Times New Roman" w:cs="Times New Roman"/>
          <w:sz w:val="24"/>
          <w:szCs w:val="28"/>
        </w:rPr>
        <w:t xml:space="preserve"> to cefotaxime (represented by a dashed line and white circles, with values </w:t>
      </w:r>
      <w:r w:rsidRPr="00011504">
        <w:rPr>
          <w:rFonts w:ascii="Times New Roman" w:hAnsi="Times New Roman" w:cs="Times New Roman"/>
          <w:sz w:val="24"/>
          <w:szCs w:val="28"/>
        </w:rPr>
        <w:t>denoted by '</w:t>
      </w:r>
      <w:r>
        <w:rPr>
          <w:rFonts w:ascii="Times New Roman" w:hAnsi="Times New Roman" w:cs="Times New Roman"/>
          <w:sz w:val="24"/>
          <w:szCs w:val="28"/>
        </w:rPr>
        <w:t>CTX.EC</w:t>
      </w:r>
      <w:r w:rsidRPr="00011504">
        <w:rPr>
          <w:rFonts w:ascii="Times New Roman" w:hAnsi="Times New Roman" w:cs="Times New Roman"/>
          <w:sz w:val="24"/>
          <w:szCs w:val="28"/>
        </w:rPr>
        <w:t>' on the right shoulder</w:t>
      </w:r>
      <w:r>
        <w:rPr>
          <w:rFonts w:ascii="Times New Roman" w:hAnsi="Times New Roman" w:cs="Times New Roman"/>
          <w:sz w:val="24"/>
          <w:szCs w:val="28"/>
        </w:rPr>
        <w:t>).</w:t>
      </w:r>
      <w:bookmarkStart w:id="12" w:name="_Hlk156603820"/>
      <w:r>
        <w:rPr>
          <w:rFonts w:ascii="Times New Roman" w:hAnsi="Times New Roman" w:cs="Times New Roman"/>
          <w:sz w:val="24"/>
          <w:szCs w:val="28"/>
        </w:rPr>
        <w:t xml:space="preserve"> </w:t>
      </w:r>
      <w:bookmarkEnd w:id="12"/>
      <w:r w:rsidRPr="00BF15E5">
        <w:rPr>
          <w:rFonts w:ascii="Times New Roman" w:hAnsi="Times New Roman" w:cs="Times New Roman"/>
          <w:sz w:val="24"/>
          <w:szCs w:val="28"/>
        </w:rPr>
        <w:t xml:space="preserve">The </w:t>
      </w:r>
      <w:r>
        <w:rPr>
          <w:rFonts w:ascii="Times New Roman" w:hAnsi="Times New Roman" w:cs="Times New Roman"/>
          <w:sz w:val="24"/>
          <w:szCs w:val="28"/>
        </w:rPr>
        <w:t xml:space="preserve">continuous </w:t>
      </w:r>
      <w:r w:rsidRPr="00BF15E5">
        <w:rPr>
          <w:rFonts w:ascii="Times New Roman" w:hAnsi="Times New Roman" w:cs="Times New Roman"/>
          <w:sz w:val="24"/>
          <w:szCs w:val="28"/>
        </w:rPr>
        <w:t>lines and grey areas represent the data fitted to the model and the corresponding 95% confidence interval by interrupted time series analysis</w:t>
      </w:r>
      <w:r>
        <w:rPr>
          <w:rFonts w:ascii="Times New Roman" w:hAnsi="Times New Roman" w:cs="Times New Roman"/>
          <w:sz w:val="24"/>
          <w:szCs w:val="28"/>
        </w:rPr>
        <w:t xml:space="preserve"> (specifically for </w:t>
      </w:r>
      <w:r w:rsidRPr="00011504">
        <w:rPr>
          <w:rFonts w:ascii="Times New Roman" w:hAnsi="Times New Roman" w:cs="Times New Roman"/>
          <w:sz w:val="24"/>
          <w:szCs w:val="28"/>
        </w:rPr>
        <w:t>'I</w:t>
      </w:r>
      <w:r>
        <w:rPr>
          <w:rFonts w:ascii="Times New Roman" w:hAnsi="Times New Roman" w:cs="Times New Roman"/>
          <w:sz w:val="24"/>
          <w:szCs w:val="28"/>
        </w:rPr>
        <w:t>.PA</w:t>
      </w:r>
      <w:r w:rsidRPr="00011504">
        <w:rPr>
          <w:rFonts w:ascii="Times New Roman" w:hAnsi="Times New Roman" w:cs="Times New Roman"/>
          <w:sz w:val="24"/>
          <w:szCs w:val="28"/>
        </w:rPr>
        <w:t>'</w:t>
      </w:r>
      <w:r>
        <w:rPr>
          <w:rFonts w:ascii="Times New Roman" w:hAnsi="Times New Roman" w:cs="Times New Roman"/>
          <w:sz w:val="24"/>
          <w:szCs w:val="28"/>
        </w:rPr>
        <w:t xml:space="preserve"> for panel c), with the interruption set at 40 months</w:t>
      </w:r>
      <w:r w:rsidRPr="00BF15E5">
        <w:rPr>
          <w:rFonts w:ascii="Times New Roman" w:hAnsi="Times New Roman" w:cs="Times New Roman"/>
          <w:sz w:val="24"/>
          <w:szCs w:val="28"/>
        </w:rPr>
        <w:t>.</w:t>
      </w:r>
      <w:r>
        <w:rPr>
          <w:rFonts w:ascii="Times New Roman" w:hAnsi="Times New Roman" w:cs="Times New Roman"/>
          <w:sz w:val="24"/>
          <w:szCs w:val="28"/>
        </w:rPr>
        <w:t xml:space="preserve"> In panel c, t</w:t>
      </w:r>
      <w:r w:rsidRPr="00BF15E5">
        <w:rPr>
          <w:rFonts w:ascii="Times New Roman" w:hAnsi="Times New Roman" w:cs="Times New Roman"/>
          <w:sz w:val="24"/>
          <w:szCs w:val="28"/>
        </w:rPr>
        <w:t xml:space="preserve">he </w:t>
      </w:r>
      <w:r>
        <w:rPr>
          <w:rFonts w:ascii="Times New Roman" w:hAnsi="Times New Roman" w:cs="Times New Roman"/>
          <w:sz w:val="24"/>
          <w:szCs w:val="28"/>
        </w:rPr>
        <w:t xml:space="preserve">dashed bold </w:t>
      </w:r>
      <w:r w:rsidRPr="00BF15E5">
        <w:rPr>
          <w:rFonts w:ascii="Times New Roman" w:hAnsi="Times New Roman" w:cs="Times New Roman"/>
          <w:sz w:val="24"/>
          <w:szCs w:val="28"/>
        </w:rPr>
        <w:t>lines</w:t>
      </w:r>
      <w:r>
        <w:rPr>
          <w:rFonts w:ascii="Times New Roman" w:hAnsi="Times New Roman" w:cs="Times New Roman"/>
          <w:sz w:val="24"/>
          <w:szCs w:val="28"/>
        </w:rPr>
        <w:t xml:space="preserve">, along with the upper and lower dashed thin lines </w:t>
      </w:r>
      <w:r w:rsidRPr="00BF15E5">
        <w:rPr>
          <w:rFonts w:ascii="Times New Roman" w:hAnsi="Times New Roman" w:cs="Times New Roman"/>
          <w:sz w:val="24"/>
          <w:szCs w:val="28"/>
        </w:rPr>
        <w:t xml:space="preserve">represent </w:t>
      </w:r>
      <w:r>
        <w:rPr>
          <w:rFonts w:ascii="Times New Roman" w:hAnsi="Times New Roman" w:cs="Times New Roman"/>
          <w:sz w:val="24"/>
          <w:szCs w:val="28"/>
        </w:rPr>
        <w:t xml:space="preserve">the data for </w:t>
      </w:r>
      <w:r w:rsidRPr="00011504">
        <w:rPr>
          <w:rFonts w:ascii="Times New Roman" w:hAnsi="Times New Roman" w:cs="Times New Roman"/>
          <w:sz w:val="24"/>
          <w:szCs w:val="28"/>
        </w:rPr>
        <w:t>'</w:t>
      </w:r>
      <w:r>
        <w:rPr>
          <w:rFonts w:ascii="Times New Roman" w:hAnsi="Times New Roman" w:cs="Times New Roman"/>
          <w:sz w:val="24"/>
          <w:szCs w:val="28"/>
        </w:rPr>
        <w:t>CTX.EC</w:t>
      </w:r>
      <w:r w:rsidRPr="00011504">
        <w:rPr>
          <w:rFonts w:ascii="Times New Roman" w:hAnsi="Times New Roman" w:cs="Times New Roman"/>
          <w:sz w:val="24"/>
          <w:szCs w:val="28"/>
        </w:rPr>
        <w:t>'</w:t>
      </w:r>
      <w:r>
        <w:rPr>
          <w:rFonts w:ascii="Times New Roman" w:hAnsi="Times New Roman" w:cs="Times New Roman"/>
          <w:sz w:val="24"/>
          <w:szCs w:val="28"/>
        </w:rPr>
        <w:t>.</w:t>
      </w:r>
    </w:p>
    <w:p w14:paraId="58E77190" w14:textId="37123E65" w:rsidR="00427B09" w:rsidRPr="005D07A5" w:rsidRDefault="00427B09" w:rsidP="00427B09">
      <w:pPr>
        <w:rPr>
          <w:rFonts w:ascii="Times New Roman" w:hAnsi="Times New Roman" w:cs="Times New Roman"/>
          <w:sz w:val="24"/>
          <w:szCs w:val="24"/>
        </w:rPr>
      </w:pPr>
      <w:r w:rsidRPr="005D07A5">
        <w:rPr>
          <w:rFonts w:ascii="Times New Roman" w:hAnsi="Times New Roman" w:cs="Times New Roman"/>
          <w:sz w:val="24"/>
          <w:szCs w:val="24"/>
        </w:rPr>
        <w:t>The vertical dotted and continuous lines signify the AST</w:t>
      </w:r>
      <w:r w:rsidR="002129B2">
        <w:rPr>
          <w:rFonts w:ascii="Times New Roman" w:hAnsi="Times New Roman" w:cs="Times New Roman" w:hint="eastAsia"/>
          <w:sz w:val="24"/>
          <w:szCs w:val="24"/>
        </w:rPr>
        <w:t xml:space="preserve"> programs</w:t>
      </w:r>
      <w:r w:rsidRPr="005D07A5">
        <w:rPr>
          <w:rFonts w:ascii="Times New Roman" w:hAnsi="Times New Roman" w:cs="Times New Roman"/>
          <w:sz w:val="24"/>
          <w:szCs w:val="24"/>
        </w:rPr>
        <w:t xml:space="preserve"> at 16 months (with a full-time equivalent (FTE) of 0.7) and its acceleration at 40 months (with an FTE of 1.5) after January 2015, respectively.</w:t>
      </w:r>
    </w:p>
    <w:p w14:paraId="25080DB4" w14:textId="7D83CBD8" w:rsidR="00427B09" w:rsidRPr="005D07A5" w:rsidRDefault="00427B09" w:rsidP="00427B09">
      <w:pPr>
        <w:rPr>
          <w:rFonts w:ascii="Times New Roman" w:hAnsi="Times New Roman" w:cs="Times New Roman"/>
          <w:sz w:val="24"/>
          <w:szCs w:val="24"/>
        </w:rPr>
      </w:pPr>
      <w:r w:rsidRPr="005D07A5">
        <w:rPr>
          <w:rFonts w:ascii="Times New Roman" w:hAnsi="Times New Roman" w:cs="Times New Roman" w:hint="eastAsia"/>
          <w:sz w:val="24"/>
          <w:szCs w:val="24"/>
        </w:rPr>
        <w:t>Definition and calculations</w:t>
      </w:r>
    </w:p>
    <w:p w14:paraId="299BEEF4" w14:textId="77777777" w:rsidR="00427B09" w:rsidRPr="005D07A5" w:rsidRDefault="00427B09" w:rsidP="00427B09">
      <w:pPr>
        <w:pStyle w:val="a8"/>
        <w:numPr>
          <w:ilvl w:val="0"/>
          <w:numId w:val="4"/>
        </w:numPr>
        <w:ind w:leftChars="0" w:left="851" w:hanging="424"/>
        <w:rPr>
          <w:rFonts w:ascii="Times New Roman" w:hAnsi="Times New Roman" w:cs="Times New Roman"/>
          <w:sz w:val="24"/>
          <w:szCs w:val="28"/>
        </w:rPr>
      </w:pPr>
      <w:r w:rsidRPr="005D07A5">
        <w:rPr>
          <w:rFonts w:ascii="Times New Roman" w:hAnsi="Times New Roman" w:cs="Times New Roman"/>
          <w:sz w:val="24"/>
          <w:szCs w:val="28"/>
        </w:rPr>
        <w:t>The onset rate of Clostridioides difficile infection (CDI), expressed per 1,000 patient-days.</w:t>
      </w:r>
    </w:p>
    <w:p w14:paraId="5E2ACC19" w14:textId="77777777" w:rsidR="00427B09" w:rsidRPr="005D07A5" w:rsidRDefault="00427B09" w:rsidP="00427B09">
      <w:pPr>
        <w:pStyle w:val="a8"/>
        <w:ind w:leftChars="0" w:left="0"/>
        <w:rPr>
          <w:rFonts w:ascii="Times New Roman" w:hAnsi="Times New Roman" w:cs="Times New Roman"/>
          <w:sz w:val="24"/>
          <w:szCs w:val="28"/>
        </w:rPr>
      </w:pPr>
      <m:oMathPara>
        <m:oMath>
          <m:r>
            <w:rPr>
              <w:rFonts w:ascii="Cambria Math" w:hAnsi="Cambria Math" w:cs="Times New Roman"/>
              <w:sz w:val="24"/>
              <w:szCs w:val="28"/>
            </w:rPr>
            <m:t xml:space="preserve">CDI onset= </m:t>
          </m:r>
          <m:f>
            <m:fPr>
              <m:ctrlPr>
                <w:rPr>
                  <w:rFonts w:ascii="Cambria Math" w:hAnsi="Cambria Math" w:cs="Times New Roman"/>
                  <w:i/>
                  <w:sz w:val="24"/>
                  <w:szCs w:val="28"/>
                </w:rPr>
              </m:ctrlPr>
            </m:fPr>
            <m:num>
              <m:r>
                <w:rPr>
                  <w:rFonts w:ascii="Cambria Math" w:hAnsi="Cambria Math" w:cs="Times New Roman"/>
                  <w:sz w:val="24"/>
                  <w:szCs w:val="28"/>
                </w:rPr>
                <m:t>Number of patients with positive result of CD toxin×1,000</m:t>
              </m:r>
            </m:num>
            <m:den>
              <m:r>
                <w:rPr>
                  <w:rFonts w:ascii="Cambria Math" w:hAnsi="Cambria Math" w:cs="Times New Roman"/>
                  <w:sz w:val="24"/>
                  <w:szCs w:val="28"/>
                </w:rPr>
                <m:t xml:space="preserve">Number of patient days in a specified year </m:t>
              </m:r>
            </m:den>
          </m:f>
        </m:oMath>
      </m:oMathPara>
    </w:p>
    <w:p w14:paraId="2AE4C389" w14:textId="77777777" w:rsidR="00427B09" w:rsidRPr="005D07A5" w:rsidRDefault="00427B09" w:rsidP="00427B09">
      <w:pPr>
        <w:pStyle w:val="a8"/>
        <w:numPr>
          <w:ilvl w:val="0"/>
          <w:numId w:val="4"/>
        </w:numPr>
        <w:ind w:leftChars="202" w:left="848" w:hanging="424"/>
        <w:rPr>
          <w:rFonts w:ascii="Times New Roman" w:hAnsi="Times New Roman" w:cs="Times New Roman"/>
          <w:sz w:val="24"/>
          <w:szCs w:val="28"/>
        </w:rPr>
      </w:pPr>
      <w:r w:rsidRPr="005D07A5">
        <w:rPr>
          <w:rFonts w:ascii="Times New Roman" w:hAnsi="Times New Roman" w:cs="Times New Roman"/>
          <w:sz w:val="24"/>
          <w:szCs w:val="28"/>
        </w:rPr>
        <w:t>The onset rate of candidemia, calculated both per 1,000 patient-days and per 6,000 blood culture bottles—the latter figure approximating the annual usage of blood culture bottles in our hospital.</w:t>
      </w:r>
    </w:p>
    <w:p w14:paraId="252E1A31" w14:textId="77777777" w:rsidR="00427B09" w:rsidRPr="005D07A5" w:rsidRDefault="00427B09" w:rsidP="00427B09">
      <w:pPr>
        <w:ind w:left="424"/>
        <w:rPr>
          <w:rFonts w:ascii="Times New Roman" w:hAnsi="Times New Roman" w:cs="Times New Roman"/>
          <w:sz w:val="24"/>
          <w:szCs w:val="28"/>
        </w:rPr>
      </w:pPr>
      <m:oMathPara>
        <m:oMath>
          <m:r>
            <w:rPr>
              <w:rFonts w:ascii="Cambria Math" w:hAnsi="Cambria Math" w:cs="Times New Roman"/>
              <w:sz w:val="24"/>
              <w:szCs w:val="28"/>
            </w:rPr>
            <m:t xml:space="preserve">Candidemia onset= </m:t>
          </m:r>
          <m:f>
            <m:fPr>
              <m:ctrlPr>
                <w:rPr>
                  <w:rFonts w:ascii="Cambria Math" w:hAnsi="Cambria Math" w:cs="Times New Roman"/>
                  <w:i/>
                  <w:sz w:val="24"/>
                  <w:szCs w:val="28"/>
                </w:rPr>
              </m:ctrlPr>
            </m:fPr>
            <m:num>
              <m:r>
                <w:rPr>
                  <w:rFonts w:ascii="Cambria Math" w:hAnsi="Cambria Math" w:cs="Times New Roman"/>
                  <w:sz w:val="24"/>
                  <w:szCs w:val="28"/>
                </w:rPr>
                <m:t>Number of patients with positive blood culture of Candida species×1,000×6,000</m:t>
              </m:r>
            </m:num>
            <m:den>
              <m:r>
                <w:rPr>
                  <w:rFonts w:ascii="Cambria Math" w:hAnsi="Cambria Math" w:cs="Times New Roman"/>
                  <w:sz w:val="24"/>
                  <w:szCs w:val="28"/>
                </w:rPr>
                <m:t>Number of patient days ×total blood culture bottles in a specified year</m:t>
              </m:r>
            </m:den>
          </m:f>
        </m:oMath>
      </m:oMathPara>
    </w:p>
    <w:p w14:paraId="74AF7ED9" w14:textId="77777777" w:rsidR="00427B09" w:rsidRPr="005D07A5" w:rsidRDefault="00427B09" w:rsidP="00427B09">
      <w:pPr>
        <w:ind w:firstLine="424"/>
        <w:rPr>
          <w:rFonts w:ascii="Times New Roman" w:hAnsi="Times New Roman" w:cs="Times New Roman"/>
          <w:sz w:val="24"/>
          <w:szCs w:val="28"/>
        </w:rPr>
      </w:pPr>
      <w:r w:rsidRPr="005D07A5">
        <w:rPr>
          <w:rFonts w:ascii="Times New Roman" w:hAnsi="Times New Roman" w:cs="Times New Roman"/>
          <w:sz w:val="24"/>
          <w:szCs w:val="28"/>
        </w:rPr>
        <w:lastRenderedPageBreak/>
        <w:t>The onset of candidemia was determined by the isolation of Candida species from at least one blood culture bottle, with the rate standardized to the total number of blood culture bottles used within a specified year.</w:t>
      </w:r>
    </w:p>
    <w:p w14:paraId="0BA23BC1" w14:textId="77777777" w:rsidR="00427B09" w:rsidRPr="005D07A5" w:rsidRDefault="00427B09" w:rsidP="00427B09">
      <w:pPr>
        <w:pStyle w:val="a8"/>
        <w:numPr>
          <w:ilvl w:val="0"/>
          <w:numId w:val="4"/>
        </w:numPr>
        <w:ind w:leftChars="202" w:left="848" w:hanging="424"/>
        <w:rPr>
          <w:rFonts w:ascii="Times New Roman" w:hAnsi="Times New Roman" w:cs="Times New Roman"/>
          <w:sz w:val="24"/>
          <w:szCs w:val="28"/>
        </w:rPr>
      </w:pPr>
      <w:r w:rsidRPr="005D07A5">
        <w:rPr>
          <w:rFonts w:ascii="Times New Roman" w:hAnsi="Times New Roman" w:cs="Times New Roman"/>
          <w:sz w:val="24"/>
          <w:szCs w:val="28"/>
        </w:rPr>
        <w:t xml:space="preserve">The susceptibilities of </w:t>
      </w:r>
      <w:r w:rsidRPr="005D07A5">
        <w:rPr>
          <w:rFonts w:ascii="Times New Roman" w:hAnsi="Times New Roman" w:cs="Times New Roman"/>
          <w:i/>
          <w:iCs/>
          <w:sz w:val="24"/>
          <w:szCs w:val="28"/>
        </w:rPr>
        <w:t>Pseudomonas aeruginosa</w:t>
      </w:r>
      <w:r w:rsidRPr="005D07A5">
        <w:rPr>
          <w:rFonts w:ascii="Times New Roman" w:hAnsi="Times New Roman" w:cs="Times New Roman"/>
          <w:sz w:val="24"/>
          <w:szCs w:val="28"/>
        </w:rPr>
        <w:t xml:space="preserve"> to imipenem (representing carbapenems) and </w:t>
      </w:r>
      <w:r w:rsidRPr="005D07A5">
        <w:rPr>
          <w:rFonts w:ascii="Times New Roman" w:hAnsi="Times New Roman" w:cs="Times New Roman"/>
          <w:i/>
          <w:iCs/>
          <w:sz w:val="24"/>
          <w:szCs w:val="28"/>
        </w:rPr>
        <w:t>Escherichia coli</w:t>
      </w:r>
      <w:r w:rsidRPr="005D07A5">
        <w:rPr>
          <w:rFonts w:ascii="Times New Roman" w:hAnsi="Times New Roman" w:cs="Times New Roman"/>
          <w:sz w:val="24"/>
          <w:szCs w:val="28"/>
        </w:rPr>
        <w:t xml:space="preserve"> to cefotaxime (representing third-generation cephalosporins) for selected years.</w:t>
      </w:r>
    </w:p>
    <w:p w14:paraId="69DB0466" w14:textId="77777777" w:rsidR="00427B09" w:rsidRDefault="00427B09" w:rsidP="00427B09">
      <w:pPr>
        <w:ind w:firstLine="424"/>
        <w:rPr>
          <w:rFonts w:ascii="Times New Roman" w:hAnsi="Times New Roman" w:cs="Times New Roman"/>
          <w:sz w:val="24"/>
          <w:szCs w:val="28"/>
        </w:rPr>
      </w:pPr>
      <w:r w:rsidRPr="00773663">
        <w:rPr>
          <w:rFonts w:ascii="Times New Roman" w:hAnsi="Times New Roman" w:cs="Times New Roman"/>
          <w:sz w:val="24"/>
          <w:szCs w:val="28"/>
        </w:rPr>
        <w:t xml:space="preserve">We assessed the susceptibilities of </w:t>
      </w:r>
      <w:r w:rsidRPr="00773663">
        <w:rPr>
          <w:rFonts w:ascii="Times New Roman" w:hAnsi="Times New Roman" w:cs="Times New Roman"/>
          <w:i/>
          <w:iCs/>
          <w:sz w:val="24"/>
          <w:szCs w:val="28"/>
        </w:rPr>
        <w:t>Pseudomonas aeruginosa</w:t>
      </w:r>
      <w:r w:rsidRPr="00773663">
        <w:rPr>
          <w:rFonts w:ascii="Times New Roman" w:hAnsi="Times New Roman" w:cs="Times New Roman"/>
          <w:sz w:val="24"/>
          <w:szCs w:val="28"/>
        </w:rPr>
        <w:t xml:space="preserve"> and </w:t>
      </w:r>
      <w:r w:rsidRPr="00773663">
        <w:rPr>
          <w:rFonts w:ascii="Times New Roman" w:hAnsi="Times New Roman" w:cs="Times New Roman"/>
          <w:i/>
          <w:iCs/>
          <w:sz w:val="24"/>
          <w:szCs w:val="28"/>
        </w:rPr>
        <w:t>Escherichia coli</w:t>
      </w:r>
      <w:r w:rsidRPr="00773663">
        <w:rPr>
          <w:rFonts w:ascii="Times New Roman" w:hAnsi="Times New Roman" w:cs="Times New Roman"/>
          <w:sz w:val="24"/>
          <w:szCs w:val="28"/>
        </w:rPr>
        <w:t xml:space="preserve"> by analyzing our medical database, categorizing these susceptibilities in accordance with the guidelines established by the Clinical &amp; Laboratory Standards Institute (CLSI). The minimum inhibitory concentrations (MICs) were determined using the microdilution method. The breakpoint values for categorizing a strain as sensitive were defined as ≤ 2 μg/mL for imipenem/cilastatin against </w:t>
      </w:r>
      <w:r w:rsidRPr="00773663">
        <w:rPr>
          <w:rFonts w:ascii="Times New Roman" w:hAnsi="Times New Roman" w:cs="Times New Roman"/>
          <w:i/>
          <w:iCs/>
          <w:sz w:val="24"/>
          <w:szCs w:val="28"/>
        </w:rPr>
        <w:t>Pseudomonas aeruginosa</w:t>
      </w:r>
      <w:r w:rsidRPr="00773663">
        <w:rPr>
          <w:rFonts w:ascii="Times New Roman" w:hAnsi="Times New Roman" w:cs="Times New Roman"/>
          <w:sz w:val="24"/>
          <w:szCs w:val="28"/>
        </w:rPr>
        <w:t xml:space="preserve"> and ≤ 1 μg/mL for cefotaxime against </w:t>
      </w:r>
      <w:r w:rsidRPr="00773663">
        <w:rPr>
          <w:rFonts w:ascii="Times New Roman" w:hAnsi="Times New Roman" w:cs="Times New Roman"/>
          <w:i/>
          <w:iCs/>
          <w:sz w:val="24"/>
          <w:szCs w:val="28"/>
        </w:rPr>
        <w:t>Escherichia coli</w:t>
      </w:r>
      <w:r w:rsidRPr="00773663">
        <w:rPr>
          <w:rFonts w:ascii="Times New Roman" w:hAnsi="Times New Roman" w:cs="Times New Roman"/>
          <w:sz w:val="24"/>
          <w:szCs w:val="28"/>
        </w:rPr>
        <w:t>. Efforts were made to ensure the exclusion of duplicate patient records within the specified timeframe.</w:t>
      </w:r>
    </w:p>
    <w:p w14:paraId="05F1D598" w14:textId="77777777" w:rsidR="00427B09" w:rsidRPr="00427B09" w:rsidRDefault="00427B09" w:rsidP="00427B09">
      <w:pPr>
        <w:spacing w:line="360" w:lineRule="auto"/>
        <w:rPr>
          <w:rFonts w:ascii="Times New Roman" w:hAnsi="Times New Roman" w:cs="Times New Roman"/>
          <w:sz w:val="24"/>
          <w:szCs w:val="28"/>
        </w:rPr>
      </w:pPr>
    </w:p>
    <w:p w14:paraId="7FB6B6EB" w14:textId="0DCA57F9" w:rsidR="001257D9" w:rsidRPr="00D74A1D" w:rsidRDefault="001257D9">
      <w:pPr>
        <w:widowControl/>
        <w:jc w:val="left"/>
        <w:rPr>
          <w:rFonts w:ascii="Times New Roman" w:hAnsi="Times New Roman" w:cs="Times New Roman"/>
          <w:sz w:val="24"/>
          <w:szCs w:val="24"/>
        </w:rPr>
      </w:pPr>
    </w:p>
    <w:p w14:paraId="1B7255CF" w14:textId="3D558690" w:rsidR="0083047F" w:rsidRPr="00D74A1D" w:rsidRDefault="001257D9" w:rsidP="0083047F">
      <w:pPr>
        <w:rPr>
          <w:rFonts w:ascii="Times New Roman" w:hAnsi="Times New Roman" w:cs="Times New Roman"/>
          <w:b/>
          <w:bCs/>
          <w:sz w:val="24"/>
          <w:szCs w:val="24"/>
        </w:rPr>
      </w:pPr>
      <w:r w:rsidRPr="00D74A1D">
        <w:rPr>
          <w:rFonts w:ascii="Times New Roman" w:hAnsi="Times New Roman" w:cs="Times New Roman" w:hint="eastAsia"/>
          <w:b/>
          <w:bCs/>
          <w:sz w:val="24"/>
          <w:szCs w:val="24"/>
        </w:rPr>
        <w:t>R</w:t>
      </w:r>
      <w:r w:rsidRPr="00D74A1D">
        <w:rPr>
          <w:rFonts w:ascii="Times New Roman" w:hAnsi="Times New Roman" w:cs="Times New Roman"/>
          <w:b/>
          <w:bCs/>
          <w:sz w:val="24"/>
          <w:szCs w:val="24"/>
        </w:rPr>
        <w:t>eferences for Supplementary Information</w:t>
      </w:r>
    </w:p>
    <w:p w14:paraId="53B6719B" w14:textId="77777777" w:rsidR="009019E4" w:rsidRPr="00D74A1D" w:rsidRDefault="009019E4" w:rsidP="009019E4">
      <w:pPr>
        <w:pStyle w:val="a8"/>
        <w:numPr>
          <w:ilvl w:val="0"/>
          <w:numId w:val="2"/>
        </w:numPr>
        <w:ind w:leftChars="0"/>
        <w:rPr>
          <w:rFonts w:ascii="Times New Roman" w:hAnsi="Times New Roman" w:cs="Times New Roman"/>
          <w:sz w:val="24"/>
          <w:szCs w:val="24"/>
        </w:rPr>
      </w:pPr>
      <w:bookmarkStart w:id="13" w:name="_Hlk166246229"/>
      <w:proofErr w:type="spellStart"/>
      <w:r w:rsidRPr="00D74A1D">
        <w:rPr>
          <w:rFonts w:ascii="Times New Roman" w:hAnsi="Times New Roman" w:cs="Times New Roman"/>
          <w:sz w:val="24"/>
          <w:szCs w:val="24"/>
        </w:rPr>
        <w:t>Kakiuchi</w:t>
      </w:r>
      <w:proofErr w:type="spellEnd"/>
      <w:r w:rsidRPr="00D74A1D">
        <w:rPr>
          <w:rFonts w:ascii="Times New Roman" w:hAnsi="Times New Roman" w:cs="Times New Roman"/>
          <w:sz w:val="24"/>
          <w:szCs w:val="24"/>
        </w:rPr>
        <w:t xml:space="preserve"> S, Livorsi DJ, Perencevich EN, </w:t>
      </w:r>
      <w:r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Days of Antibiotic Spectrum Coverage: A Novel Metric for Inpatient Antibiotic Consumption. </w:t>
      </w:r>
      <w:r w:rsidRPr="00D74A1D">
        <w:rPr>
          <w:rFonts w:ascii="Times New Roman" w:hAnsi="Times New Roman" w:cs="Times New Roman"/>
          <w:i/>
          <w:iCs/>
          <w:sz w:val="24"/>
          <w:szCs w:val="24"/>
        </w:rPr>
        <w:t>Clin Infect Dis</w:t>
      </w:r>
      <w:r w:rsidRPr="00D74A1D">
        <w:rPr>
          <w:rFonts w:ascii="Times New Roman" w:hAnsi="Times New Roman" w:cs="Times New Roman"/>
          <w:sz w:val="24"/>
          <w:szCs w:val="24"/>
        </w:rPr>
        <w:t xml:space="preserve"> 2022;75(4):567-576.</w:t>
      </w:r>
    </w:p>
    <w:p w14:paraId="31FA5D2B" w14:textId="31D6B240" w:rsidR="007D03E2" w:rsidRPr="00D74A1D" w:rsidRDefault="007D03E2" w:rsidP="001257D9">
      <w:pPr>
        <w:pStyle w:val="a8"/>
        <w:numPr>
          <w:ilvl w:val="0"/>
          <w:numId w:val="2"/>
        </w:numPr>
        <w:ind w:leftChars="0"/>
        <w:rPr>
          <w:rFonts w:ascii="Times New Roman" w:hAnsi="Times New Roman" w:cs="Times New Roman"/>
          <w:sz w:val="24"/>
          <w:szCs w:val="24"/>
        </w:rPr>
      </w:pPr>
      <w:proofErr w:type="spellStart"/>
      <w:r w:rsidRPr="00D74A1D">
        <w:rPr>
          <w:rFonts w:ascii="Times New Roman" w:hAnsi="Times New Roman" w:cs="Times New Roman"/>
          <w:sz w:val="24"/>
          <w:szCs w:val="24"/>
        </w:rPr>
        <w:t>Cidav</w:t>
      </w:r>
      <w:proofErr w:type="spellEnd"/>
      <w:r w:rsidRPr="00D74A1D">
        <w:rPr>
          <w:rFonts w:ascii="Times New Roman" w:hAnsi="Times New Roman" w:cs="Times New Roman"/>
          <w:sz w:val="24"/>
          <w:szCs w:val="24"/>
        </w:rPr>
        <w:t xml:space="preserve"> Z, Mandell D, Pyne J, </w:t>
      </w:r>
      <w:proofErr w:type="spellStart"/>
      <w:r w:rsidRPr="00D74A1D">
        <w:rPr>
          <w:rFonts w:ascii="Times New Roman" w:hAnsi="Times New Roman" w:cs="Times New Roman"/>
          <w:sz w:val="24"/>
          <w:szCs w:val="24"/>
        </w:rPr>
        <w:t>Beidas</w:t>
      </w:r>
      <w:proofErr w:type="spellEnd"/>
      <w:r w:rsidRPr="00D74A1D">
        <w:rPr>
          <w:rFonts w:ascii="Times New Roman" w:hAnsi="Times New Roman" w:cs="Times New Roman"/>
          <w:sz w:val="24"/>
          <w:szCs w:val="24"/>
        </w:rPr>
        <w:t xml:space="preserve"> R, Curran G, Marcus S. A pragmatic method for costing implementation strategies using time-driven activity-based costing. </w:t>
      </w:r>
      <w:r w:rsidRPr="00D74A1D">
        <w:rPr>
          <w:rFonts w:ascii="Times New Roman" w:hAnsi="Times New Roman" w:cs="Times New Roman"/>
          <w:i/>
          <w:iCs/>
          <w:sz w:val="24"/>
          <w:szCs w:val="24"/>
        </w:rPr>
        <w:t>Implement Sci</w:t>
      </w:r>
      <w:r w:rsidRPr="00D74A1D">
        <w:rPr>
          <w:rFonts w:ascii="Times New Roman" w:hAnsi="Times New Roman" w:cs="Times New Roman"/>
          <w:sz w:val="24"/>
          <w:szCs w:val="24"/>
        </w:rPr>
        <w:t xml:space="preserve"> 2020;15(1):28.</w:t>
      </w:r>
      <w:bookmarkEnd w:id="13"/>
      <w:r w:rsidRPr="00D74A1D">
        <w:rPr>
          <w:rFonts w:ascii="Times New Roman" w:hAnsi="Times New Roman" w:cs="Times New Roman"/>
          <w:sz w:val="24"/>
          <w:szCs w:val="24"/>
        </w:rPr>
        <w:t xml:space="preserve"> </w:t>
      </w:r>
    </w:p>
    <w:p w14:paraId="1A9FBB00" w14:textId="77777777" w:rsidR="00DB344C" w:rsidRPr="00D74A1D" w:rsidRDefault="00DB344C" w:rsidP="00DB344C">
      <w:pPr>
        <w:pStyle w:val="a8"/>
        <w:numPr>
          <w:ilvl w:val="0"/>
          <w:numId w:val="2"/>
        </w:numPr>
        <w:ind w:leftChars="0"/>
        <w:rPr>
          <w:rFonts w:ascii="Times New Roman" w:hAnsi="Times New Roman" w:cs="Times New Roman"/>
          <w:sz w:val="24"/>
          <w:szCs w:val="24"/>
        </w:rPr>
      </w:pPr>
      <w:proofErr w:type="spellStart"/>
      <w:r w:rsidRPr="00D74A1D">
        <w:rPr>
          <w:rFonts w:ascii="Times New Roman" w:hAnsi="Times New Roman" w:cs="Times New Roman"/>
          <w:sz w:val="24"/>
          <w:szCs w:val="24"/>
        </w:rPr>
        <w:t>Doernberg</w:t>
      </w:r>
      <w:proofErr w:type="spellEnd"/>
      <w:r w:rsidRPr="00D74A1D">
        <w:rPr>
          <w:rFonts w:ascii="Times New Roman" w:hAnsi="Times New Roman" w:cs="Times New Roman"/>
          <w:sz w:val="24"/>
          <w:szCs w:val="24"/>
        </w:rPr>
        <w:t xml:space="preserve"> SB, Abbo LM, Burdette SD, et al. Essential Resources and Strategies for Antibiotic Stewardship Programs in the Acute Care Setting. </w:t>
      </w:r>
      <w:r w:rsidRPr="00D74A1D">
        <w:rPr>
          <w:rFonts w:ascii="Times New Roman" w:hAnsi="Times New Roman" w:cs="Times New Roman"/>
          <w:i/>
          <w:iCs/>
          <w:sz w:val="24"/>
          <w:szCs w:val="24"/>
        </w:rPr>
        <w:t>Clin Infect Dis</w:t>
      </w:r>
      <w:r w:rsidRPr="00D74A1D">
        <w:rPr>
          <w:rFonts w:ascii="Times New Roman" w:hAnsi="Times New Roman" w:cs="Times New Roman"/>
          <w:sz w:val="24"/>
          <w:szCs w:val="24"/>
        </w:rPr>
        <w:t xml:space="preserve"> 2018;67(8):1168-1174.</w:t>
      </w:r>
    </w:p>
    <w:p w14:paraId="7CD5AB64"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Le Coz P, Carlet J, </w:t>
      </w:r>
      <w:proofErr w:type="spellStart"/>
      <w:r w:rsidRPr="00D74A1D">
        <w:rPr>
          <w:rFonts w:ascii="Times New Roman" w:hAnsi="Times New Roman" w:cs="Times New Roman"/>
          <w:sz w:val="24"/>
          <w:szCs w:val="24"/>
        </w:rPr>
        <w:t>Roblot</w:t>
      </w:r>
      <w:proofErr w:type="spellEnd"/>
      <w:r w:rsidRPr="00D74A1D">
        <w:rPr>
          <w:rFonts w:ascii="Times New Roman" w:hAnsi="Times New Roman" w:cs="Times New Roman"/>
          <w:sz w:val="24"/>
          <w:szCs w:val="24"/>
        </w:rPr>
        <w:t xml:space="preserve"> F, Pulcini C. Human resources needed to perform antimicrobial stewardship teams' activities in French hospitals. </w:t>
      </w:r>
      <w:r w:rsidRPr="00D74A1D">
        <w:rPr>
          <w:rFonts w:ascii="Times New Roman" w:hAnsi="Times New Roman" w:cs="Times New Roman"/>
          <w:i/>
          <w:iCs/>
          <w:sz w:val="24"/>
          <w:szCs w:val="24"/>
        </w:rPr>
        <w:t>Med Mal Infect</w:t>
      </w:r>
      <w:r w:rsidRPr="00D74A1D">
        <w:rPr>
          <w:rFonts w:ascii="Times New Roman" w:hAnsi="Times New Roman" w:cs="Times New Roman"/>
          <w:sz w:val="24"/>
          <w:szCs w:val="24"/>
        </w:rPr>
        <w:t xml:space="preserve"> 2016;46(4):200-6.</w:t>
      </w:r>
    </w:p>
    <w:p w14:paraId="2C1D049B"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Morris AM, Rennert-May E, Dalton B, et al. Rationale and development of a business case for antimicrobial stewardship programs in acute care hospital settings. </w:t>
      </w:r>
      <w:proofErr w:type="spellStart"/>
      <w:r w:rsidRPr="00D74A1D">
        <w:rPr>
          <w:rFonts w:ascii="Times New Roman" w:hAnsi="Times New Roman" w:cs="Times New Roman"/>
          <w:i/>
          <w:iCs/>
          <w:sz w:val="24"/>
          <w:szCs w:val="24"/>
        </w:rPr>
        <w:t>Antimicrob</w:t>
      </w:r>
      <w:proofErr w:type="spellEnd"/>
      <w:r w:rsidRPr="00D74A1D">
        <w:rPr>
          <w:rFonts w:ascii="Times New Roman" w:hAnsi="Times New Roman" w:cs="Times New Roman"/>
          <w:i/>
          <w:iCs/>
          <w:sz w:val="24"/>
          <w:szCs w:val="24"/>
        </w:rPr>
        <w:t xml:space="preserve"> Resist Infect Control</w:t>
      </w:r>
      <w:r w:rsidRPr="00D74A1D">
        <w:rPr>
          <w:rFonts w:ascii="Times New Roman" w:hAnsi="Times New Roman" w:cs="Times New Roman"/>
          <w:sz w:val="24"/>
          <w:szCs w:val="24"/>
        </w:rPr>
        <w:t xml:space="preserve"> </w:t>
      </w:r>
      <w:proofErr w:type="gramStart"/>
      <w:r w:rsidRPr="00D74A1D">
        <w:rPr>
          <w:rFonts w:ascii="Times New Roman" w:hAnsi="Times New Roman" w:cs="Times New Roman"/>
          <w:sz w:val="24"/>
          <w:szCs w:val="24"/>
        </w:rPr>
        <w:t>2018;7:104</w:t>
      </w:r>
      <w:proofErr w:type="gramEnd"/>
      <w:r w:rsidRPr="00D74A1D">
        <w:rPr>
          <w:rFonts w:ascii="Times New Roman" w:hAnsi="Times New Roman" w:cs="Times New Roman"/>
          <w:sz w:val="24"/>
          <w:szCs w:val="24"/>
        </w:rPr>
        <w:t>.</w:t>
      </w:r>
    </w:p>
    <w:p w14:paraId="704669B9"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Maeda M, Muraki Y, Kosaka T, et al. Essential human resources for antimicrobial stewardship teams in Japan: Estimates from a nationwide survey conducted by the Japanese Society of Chemotherapy. </w:t>
      </w:r>
      <w:r w:rsidRPr="00D74A1D">
        <w:rPr>
          <w:rFonts w:ascii="Times New Roman" w:hAnsi="Times New Roman" w:cs="Times New Roman"/>
          <w:i/>
          <w:iCs/>
          <w:sz w:val="24"/>
          <w:szCs w:val="24"/>
        </w:rPr>
        <w:t>J Infect Chemother</w:t>
      </w:r>
      <w:r w:rsidRPr="00D74A1D">
        <w:rPr>
          <w:rFonts w:ascii="Times New Roman" w:hAnsi="Times New Roman" w:cs="Times New Roman"/>
          <w:sz w:val="24"/>
          <w:szCs w:val="24"/>
        </w:rPr>
        <w:t xml:space="preserve"> 2019;25(9):653-656.</w:t>
      </w:r>
    </w:p>
    <w:p w14:paraId="5852DFFB"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Sawada K, Inose R, Goto R, Nakatani T, Kono S, Muraki Y. Effectiveness of Noncertified Pharmacist-Led Antimicrobial Stewardship Programs in a Medium-Sized Hospital Without an Infectious Disease Specialist: A Retrospective Pre-Post Study. </w:t>
      </w:r>
      <w:r w:rsidRPr="00D74A1D">
        <w:rPr>
          <w:rFonts w:ascii="Times New Roman" w:hAnsi="Times New Roman" w:cs="Times New Roman"/>
          <w:i/>
          <w:iCs/>
          <w:sz w:val="24"/>
          <w:szCs w:val="24"/>
        </w:rPr>
        <w:t>Open Forum Infect Dis</w:t>
      </w:r>
      <w:r w:rsidRPr="00D74A1D">
        <w:rPr>
          <w:rFonts w:ascii="Times New Roman" w:hAnsi="Times New Roman" w:cs="Times New Roman"/>
          <w:sz w:val="24"/>
          <w:szCs w:val="24"/>
        </w:rPr>
        <w:t xml:space="preserve"> 2023;10(3</w:t>
      </w:r>
      <w:proofErr w:type="gramStart"/>
      <w:r w:rsidRPr="00D74A1D">
        <w:rPr>
          <w:rFonts w:ascii="Times New Roman" w:hAnsi="Times New Roman" w:cs="Times New Roman"/>
          <w:sz w:val="24"/>
          <w:szCs w:val="24"/>
        </w:rPr>
        <w:t>):ofad</w:t>
      </w:r>
      <w:proofErr w:type="gramEnd"/>
      <w:r w:rsidRPr="00D74A1D">
        <w:rPr>
          <w:rFonts w:ascii="Times New Roman" w:hAnsi="Times New Roman" w:cs="Times New Roman"/>
          <w:sz w:val="24"/>
          <w:szCs w:val="24"/>
        </w:rPr>
        <w:t>116.</w:t>
      </w:r>
    </w:p>
    <w:p w14:paraId="7E679119"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Bystritsky RJ, Beltran A, Young AT, Wong A, Hu X, </w:t>
      </w:r>
      <w:proofErr w:type="spellStart"/>
      <w:r w:rsidRPr="00D74A1D">
        <w:rPr>
          <w:rFonts w:ascii="Times New Roman" w:hAnsi="Times New Roman" w:cs="Times New Roman"/>
          <w:sz w:val="24"/>
          <w:szCs w:val="24"/>
        </w:rPr>
        <w:t>Doernberg</w:t>
      </w:r>
      <w:proofErr w:type="spellEnd"/>
      <w:r w:rsidRPr="00D74A1D">
        <w:rPr>
          <w:rFonts w:ascii="Times New Roman" w:hAnsi="Times New Roman" w:cs="Times New Roman"/>
          <w:sz w:val="24"/>
          <w:szCs w:val="24"/>
        </w:rPr>
        <w:t xml:space="preserve"> SB. Machine learning for the prediction of antimicrobial stewardship intervention in hospitalized patients receiving broad-spectrum agents. </w:t>
      </w:r>
      <w:r w:rsidRPr="00D74A1D">
        <w:rPr>
          <w:rFonts w:ascii="Times New Roman" w:hAnsi="Times New Roman" w:cs="Times New Roman"/>
          <w:i/>
          <w:iCs/>
          <w:sz w:val="24"/>
          <w:szCs w:val="24"/>
        </w:rPr>
        <w:t>Infect Control Hosp Epidemiol</w:t>
      </w:r>
      <w:r w:rsidRPr="00D74A1D">
        <w:rPr>
          <w:rFonts w:ascii="Times New Roman" w:hAnsi="Times New Roman" w:cs="Times New Roman"/>
          <w:sz w:val="24"/>
          <w:szCs w:val="24"/>
        </w:rPr>
        <w:t xml:space="preserve"> 2020;41(9):1022-1027.</w:t>
      </w:r>
    </w:p>
    <w:p w14:paraId="5F62E310" w14:textId="77777777" w:rsidR="00DB344C" w:rsidRPr="00D74A1D" w:rsidRDefault="00DB344C"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lastRenderedPageBreak/>
        <w:t xml:space="preserve">Maillard A, Micheli G, Lefevre L, et al. Can Chatbot artificial intelligence replace infectious disease physicians in the management of bloodstream infections? A prospective cohort study. </w:t>
      </w:r>
      <w:r w:rsidRPr="00D74A1D">
        <w:rPr>
          <w:rFonts w:ascii="Times New Roman" w:hAnsi="Times New Roman" w:cs="Times New Roman"/>
          <w:i/>
          <w:iCs/>
          <w:sz w:val="24"/>
          <w:szCs w:val="24"/>
        </w:rPr>
        <w:t>Clin Infect Dis</w:t>
      </w:r>
      <w:r w:rsidRPr="00D74A1D">
        <w:rPr>
          <w:rFonts w:ascii="Times New Roman" w:hAnsi="Times New Roman" w:cs="Times New Roman"/>
          <w:sz w:val="24"/>
          <w:szCs w:val="24"/>
        </w:rPr>
        <w:t xml:space="preserve"> </w:t>
      </w:r>
      <w:proofErr w:type="gramStart"/>
      <w:r w:rsidRPr="00D74A1D">
        <w:rPr>
          <w:rFonts w:ascii="Times New Roman" w:hAnsi="Times New Roman" w:cs="Times New Roman"/>
          <w:sz w:val="24"/>
          <w:szCs w:val="24"/>
        </w:rPr>
        <w:t>2023:ciad</w:t>
      </w:r>
      <w:proofErr w:type="gramEnd"/>
      <w:r w:rsidRPr="00D74A1D">
        <w:rPr>
          <w:rFonts w:ascii="Times New Roman" w:hAnsi="Times New Roman" w:cs="Times New Roman"/>
          <w:sz w:val="24"/>
          <w:szCs w:val="24"/>
        </w:rPr>
        <w:t>632.</w:t>
      </w:r>
    </w:p>
    <w:p w14:paraId="1DD19EDA" w14:textId="1068A0EE" w:rsidR="001257D9" w:rsidRPr="00D74A1D" w:rsidRDefault="001257D9" w:rsidP="00DB344C">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Hongbin Chen, </w:t>
      </w:r>
      <w:proofErr w:type="spellStart"/>
      <w:r w:rsidRPr="00D74A1D">
        <w:rPr>
          <w:rFonts w:ascii="Times New Roman" w:hAnsi="Times New Roman" w:cs="Times New Roman"/>
          <w:sz w:val="24"/>
          <w:szCs w:val="24"/>
        </w:rPr>
        <w:t>Zhanwei</w:t>
      </w:r>
      <w:proofErr w:type="spellEnd"/>
      <w:r w:rsidRPr="00D74A1D">
        <w:rPr>
          <w:rFonts w:ascii="Times New Roman" w:hAnsi="Times New Roman" w:cs="Times New Roman"/>
          <w:sz w:val="24"/>
          <w:szCs w:val="24"/>
        </w:rPr>
        <w:t xml:space="preserve"> Wang, Henan Li, </w:t>
      </w:r>
      <w:r w:rsidR="00DB344C"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In Vitro Analysis of Activities of 16 Antimicrobial Agents against Gram-Negative Bacteria from Six Teaching Hospitals in China. </w:t>
      </w:r>
      <w:proofErr w:type="spellStart"/>
      <w:r w:rsidRPr="00D74A1D">
        <w:rPr>
          <w:rFonts w:ascii="Times New Roman" w:hAnsi="Times New Roman" w:cs="Times New Roman"/>
          <w:i/>
          <w:iCs/>
          <w:sz w:val="24"/>
          <w:szCs w:val="24"/>
        </w:rPr>
        <w:t>Jpn</w:t>
      </w:r>
      <w:proofErr w:type="spellEnd"/>
      <w:r w:rsidRPr="00D74A1D">
        <w:rPr>
          <w:rFonts w:ascii="Times New Roman" w:hAnsi="Times New Roman" w:cs="Times New Roman"/>
          <w:i/>
          <w:iCs/>
          <w:sz w:val="24"/>
          <w:szCs w:val="24"/>
        </w:rPr>
        <w:t xml:space="preserve"> J Infect Dis</w:t>
      </w:r>
      <w:r w:rsidR="00DB344C" w:rsidRPr="00D74A1D">
        <w:rPr>
          <w:rFonts w:ascii="Times New Roman" w:hAnsi="Times New Roman" w:cs="Times New Roman" w:hint="eastAsia"/>
          <w:sz w:val="24"/>
          <w:szCs w:val="24"/>
        </w:rPr>
        <w:t xml:space="preserve"> 2015;</w:t>
      </w:r>
      <w:r w:rsidRPr="00D74A1D">
        <w:rPr>
          <w:rFonts w:ascii="Times New Roman" w:hAnsi="Times New Roman" w:cs="Times New Roman"/>
          <w:sz w:val="24"/>
          <w:szCs w:val="24"/>
        </w:rPr>
        <w:t xml:space="preserve"> 68</w:t>
      </w:r>
      <w:r w:rsidR="00DB344C" w:rsidRPr="00D74A1D">
        <w:rPr>
          <w:rFonts w:ascii="Times New Roman" w:hAnsi="Times New Roman" w:cs="Times New Roman" w:hint="eastAsia"/>
          <w:sz w:val="24"/>
          <w:szCs w:val="24"/>
        </w:rPr>
        <w:t>:</w:t>
      </w:r>
      <w:r w:rsidRPr="00D74A1D">
        <w:rPr>
          <w:rFonts w:ascii="Times New Roman" w:hAnsi="Times New Roman" w:cs="Times New Roman"/>
          <w:sz w:val="24"/>
          <w:szCs w:val="24"/>
        </w:rPr>
        <w:t>263–267</w:t>
      </w:r>
      <w:r w:rsidR="00DB344C" w:rsidRPr="00D74A1D">
        <w:rPr>
          <w:rFonts w:ascii="Times New Roman" w:hAnsi="Times New Roman" w:cs="Times New Roman" w:hint="eastAsia"/>
          <w:sz w:val="24"/>
          <w:szCs w:val="24"/>
        </w:rPr>
        <w:t>.</w:t>
      </w:r>
    </w:p>
    <w:p w14:paraId="0DC7C4D3" w14:textId="39C7BEB9"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Ishikawa K, Uehara Y, Mori N, </w:t>
      </w:r>
      <w:r w:rsidR="00DB344C"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In Vitro Activity and Clinical Efficacy of </w:t>
      </w:r>
      <w:proofErr w:type="spellStart"/>
      <w:r w:rsidRPr="00D74A1D">
        <w:rPr>
          <w:rFonts w:ascii="Times New Roman" w:hAnsi="Times New Roman" w:cs="Times New Roman"/>
          <w:sz w:val="24"/>
          <w:szCs w:val="24"/>
        </w:rPr>
        <w:t>Faropenem</w:t>
      </w:r>
      <w:proofErr w:type="spellEnd"/>
      <w:r w:rsidRPr="00D74A1D">
        <w:rPr>
          <w:rFonts w:ascii="Times New Roman" w:hAnsi="Times New Roman" w:cs="Times New Roman"/>
          <w:sz w:val="24"/>
          <w:szCs w:val="24"/>
        </w:rPr>
        <w:t xml:space="preserve"> against Third-Generation Cephalosporin-Resistant Escherichia coli and Klebsiella pneumoniae. </w:t>
      </w:r>
      <w:proofErr w:type="spellStart"/>
      <w:r w:rsidRPr="00D74A1D">
        <w:rPr>
          <w:rFonts w:ascii="Times New Roman" w:hAnsi="Times New Roman" w:cs="Times New Roman"/>
          <w:i/>
          <w:iCs/>
          <w:sz w:val="24"/>
          <w:szCs w:val="24"/>
        </w:rPr>
        <w:t>Antimicrob</w:t>
      </w:r>
      <w:proofErr w:type="spellEnd"/>
      <w:r w:rsidRPr="00D74A1D">
        <w:rPr>
          <w:rFonts w:ascii="Times New Roman" w:hAnsi="Times New Roman" w:cs="Times New Roman"/>
          <w:i/>
          <w:iCs/>
          <w:sz w:val="24"/>
          <w:szCs w:val="24"/>
        </w:rPr>
        <w:t xml:space="preserve"> Agents Chemother</w:t>
      </w:r>
      <w:r w:rsidRPr="00D74A1D">
        <w:rPr>
          <w:rFonts w:ascii="Times New Roman" w:hAnsi="Times New Roman" w:cs="Times New Roman"/>
          <w:sz w:val="24"/>
          <w:szCs w:val="24"/>
        </w:rPr>
        <w:t xml:space="preserve"> 2022;66(6</w:t>
      </w:r>
      <w:proofErr w:type="gramStart"/>
      <w:r w:rsidRPr="00D74A1D">
        <w:rPr>
          <w:rFonts w:ascii="Times New Roman" w:hAnsi="Times New Roman" w:cs="Times New Roman"/>
          <w:sz w:val="24"/>
          <w:szCs w:val="24"/>
        </w:rPr>
        <w:t>):e</w:t>
      </w:r>
      <w:proofErr w:type="gramEnd"/>
      <w:r w:rsidRPr="00D74A1D">
        <w:rPr>
          <w:rFonts w:ascii="Times New Roman" w:hAnsi="Times New Roman" w:cs="Times New Roman"/>
          <w:sz w:val="24"/>
          <w:szCs w:val="24"/>
        </w:rPr>
        <w:t>0012522.</w:t>
      </w:r>
    </w:p>
    <w:p w14:paraId="43D68BE6" w14:textId="25C72AA2" w:rsidR="001257D9" w:rsidRPr="00D74A1D" w:rsidRDefault="001257D9" w:rsidP="001257D9">
      <w:pPr>
        <w:pStyle w:val="a8"/>
        <w:numPr>
          <w:ilvl w:val="0"/>
          <w:numId w:val="2"/>
        </w:numPr>
        <w:ind w:leftChars="0"/>
        <w:rPr>
          <w:rFonts w:ascii="Times New Roman" w:hAnsi="Times New Roman" w:cs="Times New Roman"/>
          <w:sz w:val="24"/>
          <w:szCs w:val="24"/>
        </w:rPr>
      </w:pPr>
      <w:proofErr w:type="spellStart"/>
      <w:r w:rsidRPr="00D74A1D">
        <w:rPr>
          <w:rFonts w:ascii="Times New Roman" w:hAnsi="Times New Roman" w:cs="Times New Roman"/>
          <w:sz w:val="24"/>
          <w:szCs w:val="24"/>
        </w:rPr>
        <w:t>Asempa</w:t>
      </w:r>
      <w:proofErr w:type="spellEnd"/>
      <w:r w:rsidRPr="00D74A1D">
        <w:rPr>
          <w:rFonts w:ascii="Times New Roman" w:hAnsi="Times New Roman" w:cs="Times New Roman"/>
          <w:sz w:val="24"/>
          <w:szCs w:val="24"/>
        </w:rPr>
        <w:t xml:space="preserve"> TE, </w:t>
      </w:r>
      <w:proofErr w:type="spellStart"/>
      <w:r w:rsidRPr="00D74A1D">
        <w:rPr>
          <w:rFonts w:ascii="Times New Roman" w:hAnsi="Times New Roman" w:cs="Times New Roman"/>
          <w:sz w:val="24"/>
          <w:szCs w:val="24"/>
        </w:rPr>
        <w:t>Bobenchik</w:t>
      </w:r>
      <w:proofErr w:type="spellEnd"/>
      <w:r w:rsidRPr="00D74A1D">
        <w:rPr>
          <w:rFonts w:ascii="Times New Roman" w:hAnsi="Times New Roman" w:cs="Times New Roman"/>
          <w:sz w:val="24"/>
          <w:szCs w:val="24"/>
        </w:rPr>
        <w:t xml:space="preserve"> AM, Bourassa L, </w:t>
      </w:r>
      <w:r w:rsidR="00DB344C"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Antimicrobial Activity of Tebipenem and Comparators against </w:t>
      </w:r>
      <w:proofErr w:type="spellStart"/>
      <w:r w:rsidRPr="00D74A1D">
        <w:rPr>
          <w:rFonts w:ascii="Times New Roman" w:hAnsi="Times New Roman" w:cs="Times New Roman"/>
          <w:sz w:val="24"/>
          <w:szCs w:val="24"/>
        </w:rPr>
        <w:t>Enterobacterales</w:t>
      </w:r>
      <w:proofErr w:type="spellEnd"/>
      <w:r w:rsidRPr="00D74A1D">
        <w:rPr>
          <w:rFonts w:ascii="Times New Roman" w:hAnsi="Times New Roman" w:cs="Times New Roman"/>
          <w:sz w:val="24"/>
          <w:szCs w:val="24"/>
        </w:rPr>
        <w:t xml:space="preserve"> from diverse Outpatient Centers and Nursing Homes in the United States. </w:t>
      </w:r>
      <w:r w:rsidRPr="00D74A1D">
        <w:rPr>
          <w:rFonts w:ascii="Times New Roman" w:hAnsi="Times New Roman" w:cs="Times New Roman"/>
          <w:i/>
          <w:iCs/>
          <w:sz w:val="24"/>
          <w:szCs w:val="24"/>
        </w:rPr>
        <w:t xml:space="preserve">Int J </w:t>
      </w:r>
      <w:proofErr w:type="spellStart"/>
      <w:r w:rsidRPr="00D74A1D">
        <w:rPr>
          <w:rFonts w:ascii="Times New Roman" w:hAnsi="Times New Roman" w:cs="Times New Roman"/>
          <w:i/>
          <w:iCs/>
          <w:sz w:val="24"/>
          <w:szCs w:val="24"/>
        </w:rPr>
        <w:t>Antimicrob</w:t>
      </w:r>
      <w:proofErr w:type="spellEnd"/>
      <w:r w:rsidRPr="00D74A1D">
        <w:rPr>
          <w:rFonts w:ascii="Times New Roman" w:hAnsi="Times New Roman" w:cs="Times New Roman"/>
          <w:i/>
          <w:iCs/>
          <w:sz w:val="24"/>
          <w:szCs w:val="24"/>
        </w:rPr>
        <w:t xml:space="preserve"> Agents</w:t>
      </w:r>
      <w:r w:rsidRPr="00D74A1D">
        <w:rPr>
          <w:rFonts w:ascii="Times New Roman" w:hAnsi="Times New Roman" w:cs="Times New Roman"/>
          <w:sz w:val="24"/>
          <w:szCs w:val="24"/>
        </w:rPr>
        <w:t xml:space="preserve"> 2023;61(3):106733.</w:t>
      </w:r>
    </w:p>
    <w:p w14:paraId="18C1C7B4" w14:textId="64BB4624"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Yamashiro Y, Takahata M, Minami S. Bactericidal activity of pazufloxacin mesilate against Pseudomonas aeruginosa and MRSA in an in vitro dynamic model. </w:t>
      </w:r>
      <w:proofErr w:type="spellStart"/>
      <w:r w:rsidRPr="00D74A1D">
        <w:rPr>
          <w:rFonts w:ascii="Times New Roman" w:hAnsi="Times New Roman" w:cs="Times New Roman"/>
          <w:i/>
          <w:iCs/>
          <w:sz w:val="24"/>
          <w:szCs w:val="24"/>
        </w:rPr>
        <w:t>Jpn</w:t>
      </w:r>
      <w:proofErr w:type="spellEnd"/>
      <w:r w:rsidRPr="00D74A1D">
        <w:rPr>
          <w:rFonts w:ascii="Times New Roman" w:hAnsi="Times New Roman" w:cs="Times New Roman"/>
          <w:i/>
          <w:iCs/>
          <w:sz w:val="24"/>
          <w:szCs w:val="24"/>
        </w:rPr>
        <w:t xml:space="preserve"> J Chemother</w:t>
      </w:r>
      <w:r w:rsidRPr="00D74A1D">
        <w:rPr>
          <w:rFonts w:ascii="Times New Roman" w:hAnsi="Times New Roman" w:cs="Times New Roman"/>
          <w:sz w:val="24"/>
          <w:szCs w:val="24"/>
        </w:rPr>
        <w:t xml:space="preserve"> 2002;50(5):273-279.</w:t>
      </w:r>
    </w:p>
    <w:p w14:paraId="5D17135D" w14:textId="3D151E81"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Sun C, Hao J, Dou M, Gong Y. Mutant prevention concentrations of levofloxacin, pazufloxacin and ciprofloxacin for A. baumannii and mutations in </w:t>
      </w:r>
      <w:proofErr w:type="spellStart"/>
      <w:r w:rsidRPr="00D74A1D">
        <w:rPr>
          <w:rFonts w:ascii="Times New Roman" w:hAnsi="Times New Roman" w:cs="Times New Roman"/>
          <w:sz w:val="24"/>
          <w:szCs w:val="24"/>
        </w:rPr>
        <w:t>gyrA</w:t>
      </w:r>
      <w:proofErr w:type="spellEnd"/>
      <w:r w:rsidRPr="00D74A1D">
        <w:rPr>
          <w:rFonts w:ascii="Times New Roman" w:hAnsi="Times New Roman" w:cs="Times New Roman"/>
          <w:sz w:val="24"/>
          <w:szCs w:val="24"/>
        </w:rPr>
        <w:t xml:space="preserve"> and </w:t>
      </w:r>
      <w:proofErr w:type="spellStart"/>
      <w:r w:rsidRPr="00D74A1D">
        <w:rPr>
          <w:rFonts w:ascii="Times New Roman" w:hAnsi="Times New Roman" w:cs="Times New Roman"/>
          <w:sz w:val="24"/>
          <w:szCs w:val="24"/>
        </w:rPr>
        <w:t>parC</w:t>
      </w:r>
      <w:proofErr w:type="spellEnd"/>
      <w:r w:rsidRPr="00D74A1D">
        <w:rPr>
          <w:rFonts w:ascii="Times New Roman" w:hAnsi="Times New Roman" w:cs="Times New Roman"/>
          <w:sz w:val="24"/>
          <w:szCs w:val="24"/>
        </w:rPr>
        <w:t xml:space="preserve"> genes. </w:t>
      </w:r>
      <w:r w:rsidRPr="00D74A1D">
        <w:rPr>
          <w:rFonts w:ascii="Times New Roman" w:hAnsi="Times New Roman" w:cs="Times New Roman"/>
          <w:i/>
          <w:iCs/>
          <w:sz w:val="24"/>
          <w:szCs w:val="24"/>
        </w:rPr>
        <w:t xml:space="preserve">J </w:t>
      </w:r>
      <w:proofErr w:type="spellStart"/>
      <w:r w:rsidRPr="00D74A1D">
        <w:rPr>
          <w:rFonts w:ascii="Times New Roman" w:hAnsi="Times New Roman" w:cs="Times New Roman"/>
          <w:i/>
          <w:iCs/>
          <w:sz w:val="24"/>
          <w:szCs w:val="24"/>
        </w:rPr>
        <w:t>Antibiot</w:t>
      </w:r>
      <w:proofErr w:type="spellEnd"/>
      <w:r w:rsidRPr="00D74A1D">
        <w:rPr>
          <w:rFonts w:ascii="Times New Roman" w:hAnsi="Times New Roman" w:cs="Times New Roman"/>
          <w:i/>
          <w:iCs/>
          <w:sz w:val="24"/>
          <w:szCs w:val="24"/>
        </w:rPr>
        <w:t xml:space="preserve"> (Tokyo)</w:t>
      </w:r>
      <w:r w:rsidRPr="00D74A1D">
        <w:rPr>
          <w:rFonts w:ascii="Times New Roman" w:hAnsi="Times New Roman" w:cs="Times New Roman"/>
          <w:sz w:val="24"/>
          <w:szCs w:val="24"/>
        </w:rPr>
        <w:t xml:space="preserve"> 2015;68(5):313-7.</w:t>
      </w:r>
    </w:p>
    <w:p w14:paraId="594EC1DB" w14:textId="1FA17740"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Kishii R, Yamaguchi Y, Takei M. In Vitro Activities and Spectrum of the Novel Fluoroquinolone </w:t>
      </w:r>
      <w:proofErr w:type="spellStart"/>
      <w:r w:rsidRPr="00D74A1D">
        <w:rPr>
          <w:rFonts w:ascii="Times New Roman" w:hAnsi="Times New Roman" w:cs="Times New Roman"/>
          <w:sz w:val="24"/>
          <w:szCs w:val="24"/>
        </w:rPr>
        <w:t>Lascufloxacin</w:t>
      </w:r>
      <w:proofErr w:type="spellEnd"/>
      <w:r w:rsidRPr="00D74A1D">
        <w:rPr>
          <w:rFonts w:ascii="Times New Roman" w:hAnsi="Times New Roman" w:cs="Times New Roman"/>
          <w:sz w:val="24"/>
          <w:szCs w:val="24"/>
        </w:rPr>
        <w:t xml:space="preserve"> (KRP-AM1977). </w:t>
      </w:r>
      <w:proofErr w:type="spellStart"/>
      <w:r w:rsidRPr="00D74A1D">
        <w:rPr>
          <w:rFonts w:ascii="Times New Roman" w:hAnsi="Times New Roman" w:cs="Times New Roman"/>
          <w:i/>
          <w:iCs/>
          <w:sz w:val="24"/>
          <w:szCs w:val="24"/>
        </w:rPr>
        <w:t>Antimicrob</w:t>
      </w:r>
      <w:proofErr w:type="spellEnd"/>
      <w:r w:rsidRPr="00D74A1D">
        <w:rPr>
          <w:rFonts w:ascii="Times New Roman" w:hAnsi="Times New Roman" w:cs="Times New Roman"/>
          <w:i/>
          <w:iCs/>
          <w:sz w:val="24"/>
          <w:szCs w:val="24"/>
        </w:rPr>
        <w:t xml:space="preserve"> Agents Chemother</w:t>
      </w:r>
      <w:r w:rsidRPr="00D74A1D">
        <w:rPr>
          <w:rFonts w:ascii="Times New Roman" w:hAnsi="Times New Roman" w:cs="Times New Roman"/>
          <w:sz w:val="24"/>
          <w:szCs w:val="24"/>
        </w:rPr>
        <w:t xml:space="preserve"> 2017;61(6</w:t>
      </w:r>
      <w:proofErr w:type="gramStart"/>
      <w:r w:rsidRPr="00D74A1D">
        <w:rPr>
          <w:rFonts w:ascii="Times New Roman" w:hAnsi="Times New Roman" w:cs="Times New Roman"/>
          <w:sz w:val="24"/>
          <w:szCs w:val="24"/>
        </w:rPr>
        <w:t>):e</w:t>
      </w:r>
      <w:proofErr w:type="gramEnd"/>
      <w:r w:rsidRPr="00D74A1D">
        <w:rPr>
          <w:rFonts w:ascii="Times New Roman" w:hAnsi="Times New Roman" w:cs="Times New Roman"/>
          <w:sz w:val="24"/>
          <w:szCs w:val="24"/>
        </w:rPr>
        <w:t>00120-17.</w:t>
      </w:r>
    </w:p>
    <w:p w14:paraId="3D6FDE0D" w14:textId="2B44909E"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Uno T. In vitro activity of prulifloxacin against clinical isolates causing otorhinolaryngological infections. </w:t>
      </w:r>
      <w:proofErr w:type="spellStart"/>
      <w:r w:rsidRPr="00D74A1D">
        <w:rPr>
          <w:rFonts w:ascii="Times New Roman" w:hAnsi="Times New Roman" w:cs="Times New Roman"/>
          <w:i/>
          <w:iCs/>
          <w:sz w:val="24"/>
          <w:szCs w:val="24"/>
        </w:rPr>
        <w:t>Jpn</w:t>
      </w:r>
      <w:proofErr w:type="spellEnd"/>
      <w:r w:rsidRPr="00D74A1D">
        <w:rPr>
          <w:rFonts w:ascii="Times New Roman" w:hAnsi="Times New Roman" w:cs="Times New Roman"/>
          <w:i/>
          <w:iCs/>
          <w:sz w:val="24"/>
          <w:szCs w:val="24"/>
        </w:rPr>
        <w:t xml:space="preserve"> J Chemother</w:t>
      </w:r>
      <w:r w:rsidRPr="00D74A1D">
        <w:rPr>
          <w:rFonts w:ascii="Times New Roman" w:hAnsi="Times New Roman" w:cs="Times New Roman"/>
          <w:sz w:val="24"/>
          <w:szCs w:val="24"/>
        </w:rPr>
        <w:t xml:space="preserve"> 2005;53(9):512-525.</w:t>
      </w:r>
    </w:p>
    <w:p w14:paraId="4AB3E0D3" w14:textId="4DBB202E" w:rsidR="001257D9" w:rsidRPr="00D74A1D" w:rsidRDefault="001257D9" w:rsidP="001257D9">
      <w:pPr>
        <w:pStyle w:val="a8"/>
        <w:numPr>
          <w:ilvl w:val="0"/>
          <w:numId w:val="2"/>
        </w:numPr>
        <w:ind w:leftChars="0"/>
        <w:rPr>
          <w:rFonts w:ascii="Times New Roman" w:hAnsi="Times New Roman" w:cs="Times New Roman"/>
          <w:sz w:val="24"/>
          <w:szCs w:val="24"/>
        </w:rPr>
      </w:pPr>
      <w:r w:rsidRPr="00D74A1D">
        <w:rPr>
          <w:rFonts w:ascii="Times New Roman" w:hAnsi="Times New Roman" w:cs="Times New Roman"/>
          <w:sz w:val="24"/>
          <w:szCs w:val="24"/>
        </w:rPr>
        <w:t xml:space="preserve">Kanda N, </w:t>
      </w:r>
      <w:proofErr w:type="spellStart"/>
      <w:r w:rsidRPr="00D74A1D">
        <w:rPr>
          <w:rFonts w:ascii="Times New Roman" w:hAnsi="Times New Roman" w:cs="Times New Roman"/>
          <w:sz w:val="24"/>
          <w:szCs w:val="24"/>
        </w:rPr>
        <w:t>Ohbe</w:t>
      </w:r>
      <w:proofErr w:type="spellEnd"/>
      <w:r w:rsidRPr="00D74A1D">
        <w:rPr>
          <w:rFonts w:ascii="Times New Roman" w:hAnsi="Times New Roman" w:cs="Times New Roman"/>
          <w:sz w:val="24"/>
          <w:szCs w:val="24"/>
        </w:rPr>
        <w:t xml:space="preserve"> H, Jo T, </w:t>
      </w:r>
      <w:r w:rsidR="00DB344C"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Trends in inpatient antimicrobial consumption using days of therapy and days of antibiotic spectrum coverage: A nationwide claims database study in Japan. </w:t>
      </w:r>
      <w:r w:rsidRPr="00D74A1D">
        <w:rPr>
          <w:rFonts w:ascii="Times New Roman" w:hAnsi="Times New Roman" w:cs="Times New Roman"/>
          <w:i/>
          <w:iCs/>
          <w:sz w:val="24"/>
          <w:szCs w:val="24"/>
        </w:rPr>
        <w:t>J Infect Chemother</w:t>
      </w:r>
      <w:r w:rsidRPr="00D74A1D">
        <w:rPr>
          <w:rFonts w:ascii="Times New Roman" w:hAnsi="Times New Roman" w:cs="Times New Roman"/>
          <w:sz w:val="24"/>
          <w:szCs w:val="24"/>
        </w:rPr>
        <w:t xml:space="preserve"> </w:t>
      </w:r>
      <w:proofErr w:type="gramStart"/>
      <w:r w:rsidRPr="00D74A1D">
        <w:rPr>
          <w:rFonts w:ascii="Times New Roman" w:hAnsi="Times New Roman" w:cs="Times New Roman"/>
          <w:sz w:val="24"/>
          <w:szCs w:val="24"/>
        </w:rPr>
        <w:t>2023:S</w:t>
      </w:r>
      <w:proofErr w:type="gramEnd"/>
      <w:r w:rsidRPr="00D74A1D">
        <w:rPr>
          <w:rFonts w:ascii="Times New Roman" w:hAnsi="Times New Roman" w:cs="Times New Roman"/>
          <w:sz w:val="24"/>
          <w:szCs w:val="24"/>
        </w:rPr>
        <w:t>1341-321X(23)00257-X</w:t>
      </w:r>
      <w:r w:rsidR="00DB344C" w:rsidRPr="00D74A1D">
        <w:rPr>
          <w:rFonts w:ascii="Times New Roman" w:hAnsi="Times New Roman" w:cs="Times New Roman" w:hint="eastAsia"/>
          <w:sz w:val="24"/>
          <w:szCs w:val="24"/>
        </w:rPr>
        <w:t>.</w:t>
      </w:r>
    </w:p>
    <w:p w14:paraId="5619942A" w14:textId="13D9A527" w:rsidR="007D03E2" w:rsidRPr="00D74A1D" w:rsidRDefault="007D03E2" w:rsidP="001257D9">
      <w:pPr>
        <w:pStyle w:val="a8"/>
        <w:numPr>
          <w:ilvl w:val="0"/>
          <w:numId w:val="2"/>
        </w:numPr>
        <w:ind w:leftChars="0"/>
        <w:rPr>
          <w:rFonts w:ascii="Times New Roman" w:hAnsi="Times New Roman" w:cs="Times New Roman"/>
          <w:sz w:val="24"/>
          <w:szCs w:val="24"/>
        </w:rPr>
      </w:pPr>
      <w:proofErr w:type="spellStart"/>
      <w:r w:rsidRPr="00D74A1D">
        <w:rPr>
          <w:rFonts w:ascii="Times New Roman" w:hAnsi="Times New Roman" w:cs="Times New Roman"/>
          <w:sz w:val="24"/>
          <w:szCs w:val="24"/>
        </w:rPr>
        <w:t>Barlam</w:t>
      </w:r>
      <w:proofErr w:type="spellEnd"/>
      <w:r w:rsidRPr="00D74A1D">
        <w:rPr>
          <w:rFonts w:ascii="Times New Roman" w:hAnsi="Times New Roman" w:cs="Times New Roman"/>
          <w:sz w:val="24"/>
          <w:szCs w:val="24"/>
        </w:rPr>
        <w:t xml:space="preserve"> TF, Cosgrove SE, Abbo LM, </w:t>
      </w:r>
      <w:r w:rsidR="00DB344C" w:rsidRPr="00D74A1D">
        <w:rPr>
          <w:rFonts w:ascii="Times New Roman" w:hAnsi="Times New Roman" w:cs="Times New Roman" w:hint="eastAsia"/>
          <w:sz w:val="24"/>
          <w:szCs w:val="24"/>
        </w:rPr>
        <w:t>et al</w:t>
      </w:r>
      <w:r w:rsidRPr="00D74A1D">
        <w:rPr>
          <w:rFonts w:ascii="Times New Roman" w:hAnsi="Times New Roman" w:cs="Times New Roman"/>
          <w:sz w:val="24"/>
          <w:szCs w:val="24"/>
        </w:rPr>
        <w:t xml:space="preserve">. Implementing an Antibiotic Stewardship Program: Guidelines by the Infectious Diseases Society of America and the Society for Healthcare Epidemiology of America. </w:t>
      </w:r>
      <w:r w:rsidRPr="00D74A1D">
        <w:rPr>
          <w:rFonts w:ascii="Times New Roman" w:hAnsi="Times New Roman" w:cs="Times New Roman"/>
          <w:i/>
          <w:iCs/>
          <w:sz w:val="24"/>
          <w:szCs w:val="24"/>
        </w:rPr>
        <w:t>Clin Infect Dis</w:t>
      </w:r>
      <w:r w:rsidRPr="00D74A1D">
        <w:rPr>
          <w:rFonts w:ascii="Times New Roman" w:hAnsi="Times New Roman" w:cs="Times New Roman"/>
          <w:sz w:val="24"/>
          <w:szCs w:val="24"/>
        </w:rPr>
        <w:t xml:space="preserve"> 2016;62(10</w:t>
      </w:r>
      <w:proofErr w:type="gramStart"/>
      <w:r w:rsidRPr="00D74A1D">
        <w:rPr>
          <w:rFonts w:ascii="Times New Roman" w:hAnsi="Times New Roman" w:cs="Times New Roman"/>
          <w:sz w:val="24"/>
          <w:szCs w:val="24"/>
        </w:rPr>
        <w:t>):e</w:t>
      </w:r>
      <w:proofErr w:type="gramEnd"/>
      <w:r w:rsidRPr="00D74A1D">
        <w:rPr>
          <w:rFonts w:ascii="Times New Roman" w:hAnsi="Times New Roman" w:cs="Times New Roman"/>
          <w:sz w:val="24"/>
          <w:szCs w:val="24"/>
        </w:rPr>
        <w:t>51-77.</w:t>
      </w:r>
    </w:p>
    <w:sectPr w:rsidR="007D03E2" w:rsidRPr="00D74A1D" w:rsidSect="009A6641">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7597A" w14:textId="77777777" w:rsidR="00571BEA" w:rsidRDefault="00571BEA" w:rsidP="00667DEC">
      <w:r>
        <w:separator/>
      </w:r>
    </w:p>
  </w:endnote>
  <w:endnote w:type="continuationSeparator" w:id="0">
    <w:p w14:paraId="06B7597B" w14:textId="77777777" w:rsidR="00571BEA" w:rsidRDefault="00571BEA" w:rsidP="0066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75978" w14:textId="77777777" w:rsidR="00571BEA" w:rsidRDefault="00571BEA" w:rsidP="00667DEC">
      <w:r>
        <w:separator/>
      </w:r>
    </w:p>
  </w:footnote>
  <w:footnote w:type="continuationSeparator" w:id="0">
    <w:p w14:paraId="06B75979" w14:textId="77777777" w:rsidR="00571BEA" w:rsidRDefault="00571BEA" w:rsidP="00667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C3C7D"/>
    <w:multiLevelType w:val="hybridMultilevel"/>
    <w:tmpl w:val="9C46D2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606A62"/>
    <w:multiLevelType w:val="hybridMultilevel"/>
    <w:tmpl w:val="6E9002DA"/>
    <w:lvl w:ilvl="0" w:tplc="7E8AD7C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C2B0B32"/>
    <w:multiLevelType w:val="hybridMultilevel"/>
    <w:tmpl w:val="C8A0506A"/>
    <w:lvl w:ilvl="0" w:tplc="71EE49F0">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3" w15:restartNumberingAfterBreak="0">
    <w:nsid w:val="75A76A02"/>
    <w:multiLevelType w:val="hybridMultilevel"/>
    <w:tmpl w:val="273C7726"/>
    <w:lvl w:ilvl="0" w:tplc="3528ADE4">
      <w:start w:val="1"/>
      <w:numFmt w:val="decimal"/>
      <w:lvlText w:val="[%1]"/>
      <w:lvlJc w:val="left"/>
      <w:pPr>
        <w:ind w:left="440" w:hanging="44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03974656">
    <w:abstractNumId w:val="0"/>
  </w:num>
  <w:num w:numId="2" w16cid:durableId="1090155814">
    <w:abstractNumId w:val="3"/>
  </w:num>
  <w:num w:numId="3" w16cid:durableId="1231774090">
    <w:abstractNumId w:val="1"/>
  </w:num>
  <w:num w:numId="4" w16cid:durableId="2023437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616"/>
    <w:rsid w:val="000055AC"/>
    <w:rsid w:val="00015B1E"/>
    <w:rsid w:val="00020616"/>
    <w:rsid w:val="000239C5"/>
    <w:rsid w:val="00030EC9"/>
    <w:rsid w:val="00043E08"/>
    <w:rsid w:val="0005341C"/>
    <w:rsid w:val="000C2FDA"/>
    <w:rsid w:val="000C56EB"/>
    <w:rsid w:val="000C6CDC"/>
    <w:rsid w:val="000D781C"/>
    <w:rsid w:val="001038A4"/>
    <w:rsid w:val="001257D9"/>
    <w:rsid w:val="00127BC1"/>
    <w:rsid w:val="00136AA4"/>
    <w:rsid w:val="001471C6"/>
    <w:rsid w:val="001522D4"/>
    <w:rsid w:val="001816F9"/>
    <w:rsid w:val="00187076"/>
    <w:rsid w:val="00191316"/>
    <w:rsid w:val="00192594"/>
    <w:rsid w:val="001975FA"/>
    <w:rsid w:val="001F118B"/>
    <w:rsid w:val="001F145A"/>
    <w:rsid w:val="001F4FD8"/>
    <w:rsid w:val="002129B2"/>
    <w:rsid w:val="0021519B"/>
    <w:rsid w:val="00223B36"/>
    <w:rsid w:val="00226E43"/>
    <w:rsid w:val="00241B16"/>
    <w:rsid w:val="00244493"/>
    <w:rsid w:val="00255542"/>
    <w:rsid w:val="00265212"/>
    <w:rsid w:val="00274EB7"/>
    <w:rsid w:val="00276F88"/>
    <w:rsid w:val="00283E28"/>
    <w:rsid w:val="002A58F6"/>
    <w:rsid w:val="002B3196"/>
    <w:rsid w:val="002E00A3"/>
    <w:rsid w:val="002F06C7"/>
    <w:rsid w:val="003132E5"/>
    <w:rsid w:val="00395B68"/>
    <w:rsid w:val="003A5ACF"/>
    <w:rsid w:val="003A650A"/>
    <w:rsid w:val="003B2E1B"/>
    <w:rsid w:val="003C69F7"/>
    <w:rsid w:val="003D1663"/>
    <w:rsid w:val="003F72C3"/>
    <w:rsid w:val="00413954"/>
    <w:rsid w:val="00415A86"/>
    <w:rsid w:val="00420150"/>
    <w:rsid w:val="00427B09"/>
    <w:rsid w:val="004508F2"/>
    <w:rsid w:val="00473D76"/>
    <w:rsid w:val="004C0A8D"/>
    <w:rsid w:val="004C63C1"/>
    <w:rsid w:val="004F43BC"/>
    <w:rsid w:val="00502EF5"/>
    <w:rsid w:val="00504F86"/>
    <w:rsid w:val="005059E8"/>
    <w:rsid w:val="0051666E"/>
    <w:rsid w:val="005425D8"/>
    <w:rsid w:val="00546F64"/>
    <w:rsid w:val="00555851"/>
    <w:rsid w:val="00567DB8"/>
    <w:rsid w:val="00571BEA"/>
    <w:rsid w:val="005778EA"/>
    <w:rsid w:val="005B2F52"/>
    <w:rsid w:val="005B7F08"/>
    <w:rsid w:val="005D07A5"/>
    <w:rsid w:val="005D4E21"/>
    <w:rsid w:val="005D66D6"/>
    <w:rsid w:val="0060021B"/>
    <w:rsid w:val="006265F1"/>
    <w:rsid w:val="00632F29"/>
    <w:rsid w:val="00634B6B"/>
    <w:rsid w:val="00667DEC"/>
    <w:rsid w:val="00670955"/>
    <w:rsid w:val="00680E22"/>
    <w:rsid w:val="006D787C"/>
    <w:rsid w:val="006F6DD0"/>
    <w:rsid w:val="007060E7"/>
    <w:rsid w:val="00714BDB"/>
    <w:rsid w:val="00715DA9"/>
    <w:rsid w:val="0075527B"/>
    <w:rsid w:val="0076272E"/>
    <w:rsid w:val="007B3445"/>
    <w:rsid w:val="007B40E2"/>
    <w:rsid w:val="007D03E2"/>
    <w:rsid w:val="007D5ECC"/>
    <w:rsid w:val="007E1E1E"/>
    <w:rsid w:val="007E3AEF"/>
    <w:rsid w:val="0082481E"/>
    <w:rsid w:val="00827086"/>
    <w:rsid w:val="0083047F"/>
    <w:rsid w:val="00833AF0"/>
    <w:rsid w:val="00846A21"/>
    <w:rsid w:val="00862360"/>
    <w:rsid w:val="00862452"/>
    <w:rsid w:val="00876111"/>
    <w:rsid w:val="008820F5"/>
    <w:rsid w:val="008E39CE"/>
    <w:rsid w:val="009019E4"/>
    <w:rsid w:val="00913360"/>
    <w:rsid w:val="0092202B"/>
    <w:rsid w:val="00943BC1"/>
    <w:rsid w:val="009557B8"/>
    <w:rsid w:val="0096519B"/>
    <w:rsid w:val="009A13F4"/>
    <w:rsid w:val="009A64A0"/>
    <w:rsid w:val="009A6641"/>
    <w:rsid w:val="009A7A4A"/>
    <w:rsid w:val="009B5924"/>
    <w:rsid w:val="009F5A5A"/>
    <w:rsid w:val="00A13ED0"/>
    <w:rsid w:val="00A56208"/>
    <w:rsid w:val="00A77CA3"/>
    <w:rsid w:val="00A80ECB"/>
    <w:rsid w:val="00A85670"/>
    <w:rsid w:val="00AA33AD"/>
    <w:rsid w:val="00AC0CFB"/>
    <w:rsid w:val="00AD16D2"/>
    <w:rsid w:val="00AD2A97"/>
    <w:rsid w:val="00AE180F"/>
    <w:rsid w:val="00AE1856"/>
    <w:rsid w:val="00AE6370"/>
    <w:rsid w:val="00AE68F9"/>
    <w:rsid w:val="00B028D0"/>
    <w:rsid w:val="00B14108"/>
    <w:rsid w:val="00B14FBE"/>
    <w:rsid w:val="00B27C75"/>
    <w:rsid w:val="00B30064"/>
    <w:rsid w:val="00B449E7"/>
    <w:rsid w:val="00B55A17"/>
    <w:rsid w:val="00B87E64"/>
    <w:rsid w:val="00B9588E"/>
    <w:rsid w:val="00BB554C"/>
    <w:rsid w:val="00BC2D24"/>
    <w:rsid w:val="00BD3189"/>
    <w:rsid w:val="00BF58DC"/>
    <w:rsid w:val="00C17420"/>
    <w:rsid w:val="00C42E4F"/>
    <w:rsid w:val="00C52DD9"/>
    <w:rsid w:val="00C63A0C"/>
    <w:rsid w:val="00C765A4"/>
    <w:rsid w:val="00C91733"/>
    <w:rsid w:val="00CB0D68"/>
    <w:rsid w:val="00CB5196"/>
    <w:rsid w:val="00CD2C47"/>
    <w:rsid w:val="00CD3732"/>
    <w:rsid w:val="00CD4970"/>
    <w:rsid w:val="00CE7191"/>
    <w:rsid w:val="00D055C9"/>
    <w:rsid w:val="00D47C88"/>
    <w:rsid w:val="00D525B5"/>
    <w:rsid w:val="00D601A9"/>
    <w:rsid w:val="00D66D4F"/>
    <w:rsid w:val="00D70525"/>
    <w:rsid w:val="00D74A1D"/>
    <w:rsid w:val="00D91C10"/>
    <w:rsid w:val="00DB344C"/>
    <w:rsid w:val="00DB7ADA"/>
    <w:rsid w:val="00DC18CF"/>
    <w:rsid w:val="00DC6FE0"/>
    <w:rsid w:val="00DD3696"/>
    <w:rsid w:val="00E060BB"/>
    <w:rsid w:val="00E11D04"/>
    <w:rsid w:val="00E25016"/>
    <w:rsid w:val="00E27DC7"/>
    <w:rsid w:val="00E30636"/>
    <w:rsid w:val="00E4073C"/>
    <w:rsid w:val="00E70EDB"/>
    <w:rsid w:val="00E87F89"/>
    <w:rsid w:val="00EF3C4B"/>
    <w:rsid w:val="00F23450"/>
    <w:rsid w:val="00F24CBA"/>
    <w:rsid w:val="00F41DFC"/>
    <w:rsid w:val="00F608B6"/>
    <w:rsid w:val="00F66B43"/>
    <w:rsid w:val="00FB0412"/>
    <w:rsid w:val="00FB3656"/>
    <w:rsid w:val="00FC4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v:textbox inset="5.85pt,.7pt,5.85pt,.7pt"/>
    </o:shapedefaults>
    <o:shapelayout v:ext="edit">
      <o:idmap v:ext="edit" data="1"/>
    </o:shapelayout>
  </w:shapeDefaults>
  <w:decimalSymbol w:val="."/>
  <w:listSeparator w:val=","/>
  <w14:docId w14:val="06B75965"/>
  <w15:chartTrackingRefBased/>
  <w15:docId w15:val="{CF662193-71D1-4828-821E-A5A39F76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DEC"/>
    <w:pPr>
      <w:tabs>
        <w:tab w:val="center" w:pos="4252"/>
        <w:tab w:val="right" w:pos="8504"/>
      </w:tabs>
      <w:snapToGrid w:val="0"/>
    </w:pPr>
  </w:style>
  <w:style w:type="character" w:customStyle="1" w:styleId="a4">
    <w:name w:val="ヘッダー (文字)"/>
    <w:basedOn w:val="a0"/>
    <w:link w:val="a3"/>
    <w:uiPriority w:val="99"/>
    <w:rsid w:val="00667DEC"/>
  </w:style>
  <w:style w:type="paragraph" w:styleId="a5">
    <w:name w:val="footer"/>
    <w:basedOn w:val="a"/>
    <w:link w:val="a6"/>
    <w:uiPriority w:val="99"/>
    <w:unhideWhenUsed/>
    <w:rsid w:val="00667DEC"/>
    <w:pPr>
      <w:tabs>
        <w:tab w:val="center" w:pos="4252"/>
        <w:tab w:val="right" w:pos="8504"/>
      </w:tabs>
      <w:snapToGrid w:val="0"/>
    </w:pPr>
  </w:style>
  <w:style w:type="character" w:customStyle="1" w:styleId="a6">
    <w:name w:val="フッター (文字)"/>
    <w:basedOn w:val="a0"/>
    <w:link w:val="a5"/>
    <w:uiPriority w:val="99"/>
    <w:rsid w:val="00667DEC"/>
  </w:style>
  <w:style w:type="table" w:styleId="a7">
    <w:name w:val="Table Grid"/>
    <w:basedOn w:val="a1"/>
    <w:uiPriority w:val="39"/>
    <w:rsid w:val="00F23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92594"/>
    <w:pPr>
      <w:ind w:leftChars="400" w:left="840"/>
    </w:pPr>
  </w:style>
  <w:style w:type="paragraph" w:styleId="Web">
    <w:name w:val="Normal (Web)"/>
    <w:basedOn w:val="a"/>
    <w:uiPriority w:val="99"/>
    <w:unhideWhenUsed/>
    <w:rsid w:val="000534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876111"/>
    <w:rPr>
      <w:sz w:val="18"/>
      <w:szCs w:val="18"/>
    </w:rPr>
  </w:style>
  <w:style w:type="paragraph" w:styleId="aa">
    <w:name w:val="annotation text"/>
    <w:basedOn w:val="a"/>
    <w:link w:val="ab"/>
    <w:uiPriority w:val="99"/>
    <w:unhideWhenUsed/>
    <w:rsid w:val="00876111"/>
    <w:pPr>
      <w:jc w:val="left"/>
    </w:pPr>
  </w:style>
  <w:style w:type="character" w:customStyle="1" w:styleId="ab">
    <w:name w:val="コメント文字列 (文字)"/>
    <w:basedOn w:val="a0"/>
    <w:link w:val="aa"/>
    <w:uiPriority w:val="99"/>
    <w:rsid w:val="00876111"/>
  </w:style>
  <w:style w:type="paragraph" w:styleId="ac">
    <w:name w:val="annotation subject"/>
    <w:basedOn w:val="aa"/>
    <w:next w:val="aa"/>
    <w:link w:val="ad"/>
    <w:uiPriority w:val="99"/>
    <w:semiHidden/>
    <w:unhideWhenUsed/>
    <w:rsid w:val="00876111"/>
    <w:rPr>
      <w:b/>
      <w:bCs/>
    </w:rPr>
  </w:style>
  <w:style w:type="character" w:customStyle="1" w:styleId="ad">
    <w:name w:val="コメント内容 (文字)"/>
    <w:basedOn w:val="ab"/>
    <w:link w:val="ac"/>
    <w:uiPriority w:val="99"/>
    <w:semiHidden/>
    <w:rsid w:val="00876111"/>
    <w:rPr>
      <w:b/>
      <w:bCs/>
    </w:rPr>
  </w:style>
  <w:style w:type="character" w:styleId="ae">
    <w:name w:val="Hyperlink"/>
    <w:basedOn w:val="a0"/>
    <w:uiPriority w:val="99"/>
    <w:unhideWhenUsed/>
    <w:rsid w:val="004C0A8D"/>
    <w:rPr>
      <w:color w:val="0563C1" w:themeColor="hyperlink"/>
      <w:u w:val="single"/>
    </w:rPr>
  </w:style>
  <w:style w:type="character" w:styleId="af">
    <w:name w:val="Unresolved Mention"/>
    <w:basedOn w:val="a0"/>
    <w:uiPriority w:val="99"/>
    <w:semiHidden/>
    <w:unhideWhenUsed/>
    <w:rsid w:val="004C0A8D"/>
    <w:rPr>
      <w:color w:val="605E5C"/>
      <w:shd w:val="clear" w:color="auto" w:fill="E1DFDD"/>
    </w:rPr>
  </w:style>
  <w:style w:type="paragraph" w:styleId="af0">
    <w:name w:val="Revision"/>
    <w:hidden/>
    <w:uiPriority w:val="99"/>
    <w:semiHidden/>
    <w:rsid w:val="00DB344C"/>
  </w:style>
  <w:style w:type="paragraph" w:styleId="af1">
    <w:name w:val="Title"/>
    <w:basedOn w:val="a"/>
    <w:next w:val="a"/>
    <w:link w:val="af2"/>
    <w:uiPriority w:val="10"/>
    <w:qFormat/>
    <w:rsid w:val="001F118B"/>
    <w:pPr>
      <w:spacing w:before="240" w:after="120"/>
      <w:jc w:val="center"/>
      <w:outlineLvl w:val="0"/>
    </w:pPr>
    <w:rPr>
      <w:rFonts w:asciiTheme="majorHAnsi" w:eastAsiaTheme="majorEastAsia" w:hAnsiTheme="majorHAnsi" w:cstheme="majorBidi"/>
      <w:sz w:val="32"/>
      <w:szCs w:val="32"/>
    </w:rPr>
  </w:style>
  <w:style w:type="character" w:customStyle="1" w:styleId="af2">
    <w:name w:val="表題 (文字)"/>
    <w:basedOn w:val="a0"/>
    <w:link w:val="af1"/>
    <w:uiPriority w:val="10"/>
    <w:rsid w:val="001F118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6019">
      <w:bodyDiv w:val="1"/>
      <w:marLeft w:val="0"/>
      <w:marRight w:val="0"/>
      <w:marTop w:val="0"/>
      <w:marBottom w:val="0"/>
      <w:divBdr>
        <w:top w:val="none" w:sz="0" w:space="0" w:color="auto"/>
        <w:left w:val="none" w:sz="0" w:space="0" w:color="auto"/>
        <w:bottom w:val="none" w:sz="0" w:space="0" w:color="auto"/>
        <w:right w:val="none" w:sz="0" w:space="0" w:color="auto"/>
      </w:divBdr>
    </w:div>
    <w:div w:id="80100884">
      <w:bodyDiv w:val="1"/>
      <w:marLeft w:val="0"/>
      <w:marRight w:val="0"/>
      <w:marTop w:val="0"/>
      <w:marBottom w:val="0"/>
      <w:divBdr>
        <w:top w:val="none" w:sz="0" w:space="0" w:color="auto"/>
        <w:left w:val="none" w:sz="0" w:space="0" w:color="auto"/>
        <w:bottom w:val="none" w:sz="0" w:space="0" w:color="auto"/>
        <w:right w:val="none" w:sz="0" w:space="0" w:color="auto"/>
      </w:divBdr>
    </w:div>
    <w:div w:id="151680006">
      <w:bodyDiv w:val="1"/>
      <w:marLeft w:val="0"/>
      <w:marRight w:val="0"/>
      <w:marTop w:val="0"/>
      <w:marBottom w:val="0"/>
      <w:divBdr>
        <w:top w:val="none" w:sz="0" w:space="0" w:color="auto"/>
        <w:left w:val="none" w:sz="0" w:space="0" w:color="auto"/>
        <w:bottom w:val="none" w:sz="0" w:space="0" w:color="auto"/>
        <w:right w:val="none" w:sz="0" w:space="0" w:color="auto"/>
      </w:divBdr>
    </w:div>
    <w:div w:id="195891721">
      <w:bodyDiv w:val="1"/>
      <w:marLeft w:val="0"/>
      <w:marRight w:val="0"/>
      <w:marTop w:val="0"/>
      <w:marBottom w:val="0"/>
      <w:divBdr>
        <w:top w:val="none" w:sz="0" w:space="0" w:color="auto"/>
        <w:left w:val="none" w:sz="0" w:space="0" w:color="auto"/>
        <w:bottom w:val="none" w:sz="0" w:space="0" w:color="auto"/>
        <w:right w:val="none" w:sz="0" w:space="0" w:color="auto"/>
      </w:divBdr>
    </w:div>
    <w:div w:id="364065017">
      <w:bodyDiv w:val="1"/>
      <w:marLeft w:val="0"/>
      <w:marRight w:val="0"/>
      <w:marTop w:val="0"/>
      <w:marBottom w:val="0"/>
      <w:divBdr>
        <w:top w:val="none" w:sz="0" w:space="0" w:color="auto"/>
        <w:left w:val="none" w:sz="0" w:space="0" w:color="auto"/>
        <w:bottom w:val="none" w:sz="0" w:space="0" w:color="auto"/>
        <w:right w:val="none" w:sz="0" w:space="0" w:color="auto"/>
      </w:divBdr>
    </w:div>
    <w:div w:id="519508429">
      <w:bodyDiv w:val="1"/>
      <w:marLeft w:val="0"/>
      <w:marRight w:val="0"/>
      <w:marTop w:val="0"/>
      <w:marBottom w:val="0"/>
      <w:divBdr>
        <w:top w:val="none" w:sz="0" w:space="0" w:color="auto"/>
        <w:left w:val="none" w:sz="0" w:space="0" w:color="auto"/>
        <w:bottom w:val="none" w:sz="0" w:space="0" w:color="auto"/>
        <w:right w:val="none" w:sz="0" w:space="0" w:color="auto"/>
      </w:divBdr>
    </w:div>
    <w:div w:id="593782490">
      <w:bodyDiv w:val="1"/>
      <w:marLeft w:val="0"/>
      <w:marRight w:val="0"/>
      <w:marTop w:val="0"/>
      <w:marBottom w:val="0"/>
      <w:divBdr>
        <w:top w:val="none" w:sz="0" w:space="0" w:color="auto"/>
        <w:left w:val="none" w:sz="0" w:space="0" w:color="auto"/>
        <w:bottom w:val="none" w:sz="0" w:space="0" w:color="auto"/>
        <w:right w:val="none" w:sz="0" w:space="0" w:color="auto"/>
      </w:divBdr>
    </w:div>
    <w:div w:id="723334304">
      <w:bodyDiv w:val="1"/>
      <w:marLeft w:val="0"/>
      <w:marRight w:val="0"/>
      <w:marTop w:val="0"/>
      <w:marBottom w:val="0"/>
      <w:divBdr>
        <w:top w:val="none" w:sz="0" w:space="0" w:color="auto"/>
        <w:left w:val="none" w:sz="0" w:space="0" w:color="auto"/>
        <w:bottom w:val="none" w:sz="0" w:space="0" w:color="auto"/>
        <w:right w:val="none" w:sz="0" w:space="0" w:color="auto"/>
      </w:divBdr>
    </w:div>
    <w:div w:id="782529943">
      <w:bodyDiv w:val="1"/>
      <w:marLeft w:val="0"/>
      <w:marRight w:val="0"/>
      <w:marTop w:val="0"/>
      <w:marBottom w:val="0"/>
      <w:divBdr>
        <w:top w:val="none" w:sz="0" w:space="0" w:color="auto"/>
        <w:left w:val="none" w:sz="0" w:space="0" w:color="auto"/>
        <w:bottom w:val="none" w:sz="0" w:space="0" w:color="auto"/>
        <w:right w:val="none" w:sz="0" w:space="0" w:color="auto"/>
      </w:divBdr>
    </w:div>
    <w:div w:id="824662812">
      <w:bodyDiv w:val="1"/>
      <w:marLeft w:val="0"/>
      <w:marRight w:val="0"/>
      <w:marTop w:val="0"/>
      <w:marBottom w:val="0"/>
      <w:divBdr>
        <w:top w:val="none" w:sz="0" w:space="0" w:color="auto"/>
        <w:left w:val="none" w:sz="0" w:space="0" w:color="auto"/>
        <w:bottom w:val="none" w:sz="0" w:space="0" w:color="auto"/>
        <w:right w:val="none" w:sz="0" w:space="0" w:color="auto"/>
      </w:divBdr>
    </w:div>
    <w:div w:id="990787760">
      <w:bodyDiv w:val="1"/>
      <w:marLeft w:val="0"/>
      <w:marRight w:val="0"/>
      <w:marTop w:val="0"/>
      <w:marBottom w:val="0"/>
      <w:divBdr>
        <w:top w:val="none" w:sz="0" w:space="0" w:color="auto"/>
        <w:left w:val="none" w:sz="0" w:space="0" w:color="auto"/>
        <w:bottom w:val="none" w:sz="0" w:space="0" w:color="auto"/>
        <w:right w:val="none" w:sz="0" w:space="0" w:color="auto"/>
      </w:divBdr>
    </w:div>
    <w:div w:id="1039429691">
      <w:bodyDiv w:val="1"/>
      <w:marLeft w:val="0"/>
      <w:marRight w:val="0"/>
      <w:marTop w:val="0"/>
      <w:marBottom w:val="0"/>
      <w:divBdr>
        <w:top w:val="none" w:sz="0" w:space="0" w:color="auto"/>
        <w:left w:val="none" w:sz="0" w:space="0" w:color="auto"/>
        <w:bottom w:val="none" w:sz="0" w:space="0" w:color="auto"/>
        <w:right w:val="none" w:sz="0" w:space="0" w:color="auto"/>
      </w:divBdr>
    </w:div>
    <w:div w:id="1237133157">
      <w:bodyDiv w:val="1"/>
      <w:marLeft w:val="0"/>
      <w:marRight w:val="0"/>
      <w:marTop w:val="0"/>
      <w:marBottom w:val="0"/>
      <w:divBdr>
        <w:top w:val="none" w:sz="0" w:space="0" w:color="auto"/>
        <w:left w:val="none" w:sz="0" w:space="0" w:color="auto"/>
        <w:bottom w:val="none" w:sz="0" w:space="0" w:color="auto"/>
        <w:right w:val="none" w:sz="0" w:space="0" w:color="auto"/>
      </w:divBdr>
    </w:div>
    <w:div w:id="1386366235">
      <w:bodyDiv w:val="1"/>
      <w:marLeft w:val="0"/>
      <w:marRight w:val="0"/>
      <w:marTop w:val="0"/>
      <w:marBottom w:val="0"/>
      <w:divBdr>
        <w:top w:val="none" w:sz="0" w:space="0" w:color="auto"/>
        <w:left w:val="none" w:sz="0" w:space="0" w:color="auto"/>
        <w:bottom w:val="none" w:sz="0" w:space="0" w:color="auto"/>
        <w:right w:val="none" w:sz="0" w:space="0" w:color="auto"/>
      </w:divBdr>
    </w:div>
    <w:div w:id="1438870955">
      <w:bodyDiv w:val="1"/>
      <w:marLeft w:val="0"/>
      <w:marRight w:val="0"/>
      <w:marTop w:val="0"/>
      <w:marBottom w:val="0"/>
      <w:divBdr>
        <w:top w:val="none" w:sz="0" w:space="0" w:color="auto"/>
        <w:left w:val="none" w:sz="0" w:space="0" w:color="auto"/>
        <w:bottom w:val="none" w:sz="0" w:space="0" w:color="auto"/>
        <w:right w:val="none" w:sz="0" w:space="0" w:color="auto"/>
      </w:divBdr>
    </w:div>
    <w:div w:id="1835993425">
      <w:bodyDiv w:val="1"/>
      <w:marLeft w:val="0"/>
      <w:marRight w:val="0"/>
      <w:marTop w:val="0"/>
      <w:marBottom w:val="0"/>
      <w:divBdr>
        <w:top w:val="none" w:sz="0" w:space="0" w:color="auto"/>
        <w:left w:val="none" w:sz="0" w:space="0" w:color="auto"/>
        <w:bottom w:val="none" w:sz="0" w:space="0" w:color="auto"/>
        <w:right w:val="none" w:sz="0" w:space="0" w:color="auto"/>
      </w:divBdr>
    </w:div>
    <w:div w:id="1953200907">
      <w:bodyDiv w:val="1"/>
      <w:marLeft w:val="0"/>
      <w:marRight w:val="0"/>
      <w:marTop w:val="0"/>
      <w:marBottom w:val="0"/>
      <w:divBdr>
        <w:top w:val="none" w:sz="0" w:space="0" w:color="auto"/>
        <w:left w:val="none" w:sz="0" w:space="0" w:color="auto"/>
        <w:bottom w:val="none" w:sz="0" w:space="0" w:color="auto"/>
        <w:right w:val="none" w:sz="0" w:space="0" w:color="auto"/>
      </w:divBdr>
    </w:div>
    <w:div w:id="1965577405">
      <w:bodyDiv w:val="1"/>
      <w:marLeft w:val="0"/>
      <w:marRight w:val="0"/>
      <w:marTop w:val="0"/>
      <w:marBottom w:val="0"/>
      <w:divBdr>
        <w:top w:val="none" w:sz="0" w:space="0" w:color="auto"/>
        <w:left w:val="none" w:sz="0" w:space="0" w:color="auto"/>
        <w:bottom w:val="none" w:sz="0" w:space="0" w:color="auto"/>
        <w:right w:val="none" w:sz="0" w:space="0" w:color="auto"/>
      </w:divBdr>
    </w:div>
    <w:div w:id="213590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veragesalarysurvey.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0906D-CD9F-4FB7-A18D-CF44EA097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3361</Words>
  <Characters>20414</Characters>
  <Application>Microsoft Office Word</Application>
  <DocSecurity>0</DocSecurity>
  <Lines>170</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尾田 一貴</dc:creator>
  <cp:keywords/>
  <dc:description/>
  <cp:lastModifiedBy>一貴 尾田</cp:lastModifiedBy>
  <cp:revision>15</cp:revision>
  <dcterms:created xsi:type="dcterms:W3CDTF">2024-06-10T14:22:00Z</dcterms:created>
  <dcterms:modified xsi:type="dcterms:W3CDTF">2024-07-05T09:12:00Z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b6e85383fdaaa603258941fce1aeb2c35c556decbe135c67c96f217ed329f412</vt:lpwstr>
  </property>
</Properties>
</file>