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2A0F" w14:textId="77777777" w:rsidR="00A31490" w:rsidRPr="004E3F58" w:rsidRDefault="00A31490" w:rsidP="00A31490">
      <w:pPr>
        <w:spacing w:line="48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color w:val="000000"/>
          <w:kern w:val="0"/>
          <w14:ligatures w14:val="none"/>
        </w:rPr>
        <w:t xml:space="preserve">Supplemental </w:t>
      </w:r>
      <w:r w:rsidRPr="004E3F58">
        <w:rPr>
          <w:rFonts w:ascii="Times New Roman" w:eastAsia="Times New Roman" w:hAnsi="Times New Roman" w:cs="Times New Roman"/>
          <w:b/>
          <w:bCs/>
          <w:color w:val="000000"/>
          <w:kern w:val="0"/>
          <w14:ligatures w14:val="none"/>
        </w:rPr>
        <w:t xml:space="preserve">Table 1. Variable definitions for each </w:t>
      </w:r>
      <w:r>
        <w:rPr>
          <w:rFonts w:ascii="Times New Roman" w:eastAsia="Times New Roman" w:hAnsi="Times New Roman" w:cs="Times New Roman"/>
          <w:b/>
          <w:bCs/>
          <w:color w:val="000000"/>
          <w:kern w:val="0"/>
          <w14:ligatures w14:val="none"/>
        </w:rPr>
        <w:t>catheter</w:t>
      </w:r>
      <w:r w:rsidRPr="004E3F58">
        <w:rPr>
          <w:rFonts w:ascii="Times New Roman" w:eastAsia="Times New Roman" w:hAnsi="Times New Roman" w:cs="Times New Roman"/>
          <w:b/>
          <w:bCs/>
          <w:color w:val="000000"/>
          <w:kern w:val="0"/>
          <w14:ligatures w14:val="none"/>
        </w:rPr>
        <w:t xml:space="preserve"> day </w:t>
      </w:r>
      <w:r w:rsidRPr="004E3F58">
        <w:rPr>
          <w:rFonts w:ascii="Times New Roman" w:eastAsia="Times New Roman" w:hAnsi="Times New Roman" w:cs="Times New Roman"/>
          <w:color w:val="000000"/>
          <w:kern w:val="0"/>
          <w14:ligatures w14:val="non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9"/>
        <w:gridCol w:w="5825"/>
      </w:tblGrid>
      <w:tr w:rsidR="00A31490" w:rsidRPr="004E3F58" w14:paraId="51FD85E1"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20573F"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b/>
                <w:bCs/>
                <w:color w:val="000000"/>
                <w:kern w:val="0"/>
                <w14:ligatures w14:val="none"/>
              </w:rPr>
              <w:t>Variable</w:t>
            </w:r>
            <w:r w:rsidRPr="004E3F58">
              <w:rPr>
                <w:rFonts w:ascii="Times New Roman" w:eastAsia="Times New Roman" w:hAnsi="Times New Roman" w:cs="Times New Roman"/>
                <w:color w:val="000000"/>
                <w:kern w:val="0"/>
                <w14:ligatures w14:val="none"/>
              </w:rPr>
              <w:t>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BFBE8A"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b/>
                <w:bCs/>
                <w:color w:val="000000"/>
                <w:kern w:val="0"/>
                <w14:ligatures w14:val="none"/>
              </w:rPr>
              <w:t>Definition for EMR abstraction</w:t>
            </w:r>
            <w:r w:rsidRPr="004E3F58">
              <w:rPr>
                <w:rFonts w:ascii="Times New Roman" w:eastAsia="Times New Roman" w:hAnsi="Times New Roman" w:cs="Times New Roman"/>
                <w:color w:val="000000"/>
                <w:kern w:val="0"/>
                <w14:ligatures w14:val="none"/>
              </w:rPr>
              <w:t>  </w:t>
            </w:r>
          </w:p>
        </w:tc>
      </w:tr>
      <w:tr w:rsidR="00A31490" w:rsidRPr="004E3F58" w14:paraId="5314B390"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05E91A"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ICU Level of Care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CC2E30" w14:textId="77777777" w:rsidR="00A31490" w:rsidRPr="004E3F58" w:rsidRDefault="00A31490" w:rsidP="00720EB3">
            <w:pPr>
              <w:spacing w:line="480" w:lineRule="auto"/>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r>
      <w:tr w:rsidR="00A31490" w:rsidRPr="004E3F58" w14:paraId="29AB33DC"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398A21" w14:textId="77777777" w:rsidR="00A31490" w:rsidRPr="004E3F58" w:rsidRDefault="00A31490" w:rsidP="00720EB3">
            <w:pPr>
              <w:spacing w:line="480" w:lineRule="auto"/>
              <w:ind w:left="720"/>
              <w:jc w:val="right"/>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Cardiovascular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7506A1"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Any of the following criteria met on the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p w14:paraId="728C24E1" w14:textId="77777777" w:rsidR="00A31490" w:rsidRPr="004E3F58" w:rsidRDefault="00A31490" w:rsidP="00720EB3">
            <w:pPr>
              <w:numPr>
                <w:ilvl w:val="0"/>
                <w:numId w:val="1"/>
              </w:numPr>
              <w:spacing w:line="480" w:lineRule="auto"/>
              <w:ind w:left="1800" w:firstLine="36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Exposure to two consecutive </w:t>
            </w:r>
            <w:proofErr w:type="spellStart"/>
            <w:r w:rsidRPr="004E3F58">
              <w:rPr>
                <w:rFonts w:ascii="Times New Roman" w:eastAsia="Times New Roman" w:hAnsi="Times New Roman" w:cs="Times New Roman"/>
                <w:color w:val="000000"/>
                <w:kern w:val="0"/>
                <w14:ligatures w14:val="none"/>
              </w:rPr>
              <w:t>days</w:t>
            </w:r>
            <w:r w:rsidRPr="004E3F58">
              <w:rPr>
                <w:rFonts w:ascii="Times New Roman" w:eastAsia="Times New Roman" w:hAnsi="Times New Roman" w:cs="Times New Roman"/>
                <w:color w:val="000000"/>
                <w:kern w:val="0"/>
                <w:sz w:val="19"/>
                <w:szCs w:val="19"/>
                <w:vertAlign w:val="superscript"/>
                <w14:ligatures w14:val="none"/>
              </w:rPr>
              <w:t>a</w:t>
            </w:r>
            <w:proofErr w:type="spellEnd"/>
            <w:r w:rsidRPr="004E3F58">
              <w:rPr>
                <w:rFonts w:ascii="Times New Roman" w:eastAsia="Times New Roman" w:hAnsi="Times New Roman" w:cs="Times New Roman"/>
                <w:color w:val="000000"/>
                <w:kern w:val="0"/>
                <w14:ligatures w14:val="none"/>
              </w:rPr>
              <w:t xml:space="preserve"> of any of: dopamine, IV epinephrine, norepinephrine, dobutamine, milrinone, IV </w:t>
            </w:r>
            <w:proofErr w:type="spellStart"/>
            <w:r w:rsidRPr="004E3F58">
              <w:rPr>
                <w:rFonts w:ascii="Times New Roman" w:eastAsia="Times New Roman" w:hAnsi="Times New Roman" w:cs="Times New Roman"/>
                <w:color w:val="000000"/>
                <w:kern w:val="0"/>
                <w14:ligatures w14:val="none"/>
              </w:rPr>
              <w:t>treprostinil</w:t>
            </w:r>
            <w:proofErr w:type="spellEnd"/>
            <w:r w:rsidRPr="004E3F58">
              <w:rPr>
                <w:rFonts w:ascii="Times New Roman" w:eastAsia="Times New Roman" w:hAnsi="Times New Roman" w:cs="Times New Roman"/>
                <w:color w:val="000000"/>
                <w:kern w:val="0"/>
                <w14:ligatures w14:val="none"/>
              </w:rPr>
              <w:t>  </w:t>
            </w:r>
          </w:p>
          <w:p w14:paraId="056FB624" w14:textId="77777777" w:rsidR="00A31490" w:rsidRPr="004E3F58" w:rsidRDefault="00A31490" w:rsidP="00720EB3">
            <w:pPr>
              <w:numPr>
                <w:ilvl w:val="0"/>
                <w:numId w:val="2"/>
              </w:numPr>
              <w:spacing w:line="480" w:lineRule="auto"/>
              <w:ind w:left="1800" w:firstLine="36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Presence of or documentation of monitoring for any of the following: arterial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pulmonary artery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systemic arterial pressure monitoring, CVP monitoring  </w:t>
            </w:r>
          </w:p>
        </w:tc>
      </w:tr>
      <w:tr w:rsidR="00A31490" w:rsidRPr="004E3F58" w14:paraId="0230B159"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F13BEA" w14:textId="77777777" w:rsidR="00A31490" w:rsidRPr="004E3F58" w:rsidRDefault="00A31490" w:rsidP="00720EB3">
            <w:pPr>
              <w:spacing w:line="480" w:lineRule="auto"/>
              <w:ind w:left="720"/>
              <w:jc w:val="right"/>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Respiratory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94544D"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Any of the following criteria met on the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p w14:paraId="1172F514"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Exposure to two consecutive </w:t>
            </w:r>
            <w:proofErr w:type="spellStart"/>
            <w:r w:rsidRPr="004E3F58">
              <w:rPr>
                <w:rFonts w:ascii="Times New Roman" w:eastAsia="Times New Roman" w:hAnsi="Times New Roman" w:cs="Times New Roman"/>
                <w:color w:val="000000"/>
                <w:kern w:val="0"/>
                <w14:ligatures w14:val="none"/>
              </w:rPr>
              <w:t>days</w:t>
            </w:r>
            <w:r w:rsidRPr="004E3F58">
              <w:rPr>
                <w:rFonts w:ascii="Times New Roman" w:eastAsia="Times New Roman" w:hAnsi="Times New Roman" w:cs="Times New Roman"/>
                <w:color w:val="000000"/>
                <w:kern w:val="0"/>
                <w:sz w:val="19"/>
                <w:szCs w:val="19"/>
                <w:vertAlign w:val="superscript"/>
                <w14:ligatures w14:val="none"/>
              </w:rPr>
              <w:t>a</w:t>
            </w:r>
            <w:proofErr w:type="spellEnd"/>
            <w:r w:rsidRPr="004E3F58">
              <w:rPr>
                <w:rFonts w:ascii="Times New Roman" w:eastAsia="Times New Roman" w:hAnsi="Times New Roman" w:cs="Times New Roman"/>
                <w:color w:val="000000"/>
                <w:kern w:val="0"/>
                <w14:ligatures w14:val="none"/>
              </w:rPr>
              <w:t xml:space="preserve"> of high frequency ventilation, CPAP, BiPAP, mechanical ventilation, nitric oxide, surfactant therapy or ECMO  </w:t>
            </w:r>
          </w:p>
        </w:tc>
      </w:tr>
      <w:tr w:rsidR="00A31490" w:rsidRPr="004E3F58" w14:paraId="119D3ED4"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1055D6" w14:textId="77777777" w:rsidR="00A31490" w:rsidRPr="004E3F58" w:rsidRDefault="00A31490" w:rsidP="00720EB3">
            <w:pPr>
              <w:spacing w:line="480" w:lineRule="auto"/>
              <w:ind w:left="720"/>
              <w:jc w:val="right"/>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Renal replacement therapy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B9B68F"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Exposure to hemodialysis, peritoneal dialysis, or </w:t>
            </w:r>
            <w:proofErr w:type="spellStart"/>
            <w:r w:rsidRPr="004E3F58">
              <w:rPr>
                <w:rFonts w:ascii="Times New Roman" w:eastAsia="Times New Roman" w:hAnsi="Times New Roman" w:cs="Times New Roman"/>
                <w:color w:val="000000"/>
                <w:kern w:val="0"/>
                <w14:ligatures w14:val="none"/>
              </w:rPr>
              <w:t>aquapheresis</w:t>
            </w:r>
            <w:proofErr w:type="spellEnd"/>
            <w:r w:rsidRPr="004E3F58">
              <w:rPr>
                <w:rFonts w:ascii="Times New Roman" w:eastAsia="Times New Roman" w:hAnsi="Times New Roman" w:cs="Times New Roman"/>
                <w:color w:val="000000"/>
                <w:kern w:val="0"/>
                <w14:ligatures w14:val="none"/>
              </w:rPr>
              <w:t xml:space="preserve"> on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50411F1B"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800B4E" w14:textId="77777777" w:rsidR="00A31490" w:rsidRPr="004E3F58" w:rsidRDefault="00A31490" w:rsidP="00720EB3">
            <w:pPr>
              <w:spacing w:line="480" w:lineRule="auto"/>
              <w:ind w:left="720"/>
              <w:jc w:val="right"/>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Hematologic interventions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3E8355"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Exposure to </w:t>
            </w:r>
            <w:proofErr w:type="spellStart"/>
            <w:r w:rsidRPr="004E3F58">
              <w:rPr>
                <w:rFonts w:ascii="Times New Roman" w:eastAsia="Times New Roman" w:hAnsi="Times New Roman" w:cs="Times New Roman"/>
                <w:color w:val="000000"/>
                <w:kern w:val="0"/>
                <w14:ligatures w14:val="none"/>
              </w:rPr>
              <w:t>leukocytapheresis</w:t>
            </w:r>
            <w:proofErr w:type="spellEnd"/>
            <w:r w:rsidRPr="004E3F58">
              <w:rPr>
                <w:rFonts w:ascii="Times New Roman" w:eastAsia="Times New Roman" w:hAnsi="Times New Roman" w:cs="Times New Roman"/>
                <w:color w:val="000000"/>
                <w:kern w:val="0"/>
                <w14:ligatures w14:val="none"/>
              </w:rPr>
              <w:t xml:space="preserve"> or plasmapheresis on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1EB1C8CF"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5336BB" w14:textId="77777777" w:rsidR="00A31490" w:rsidRPr="004E3F58" w:rsidRDefault="00A31490" w:rsidP="00720EB3">
            <w:pPr>
              <w:spacing w:line="480" w:lineRule="auto"/>
              <w:ind w:left="720"/>
              <w:jc w:val="right"/>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Neurologic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67A1AA"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Exposure to Intracranial pressure monitoring or Intracranial oxygen monitoring on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1DB84181"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715CB5"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lastRenderedPageBreak/>
              <w:t>Age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FE4561"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The patient's age as of the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grouped as follows: &lt; 1 year, 1-&lt;5 years, 5-&lt;10 years, 10-&lt;15 years, 15-21 years   </w:t>
            </w:r>
          </w:p>
        </w:tc>
      </w:tr>
      <w:tr w:rsidR="00A31490" w:rsidRPr="004E3F58" w14:paraId="6FBBA71F"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B5AC3C"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Race/ethnicity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9D4062"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The patient's race/ethnicity, grouped as follows: Non-Hispanic White, Non-Hispanic Black, Hispanic, Multi-Racial, Other  </w:t>
            </w:r>
          </w:p>
        </w:tc>
      </w:tr>
      <w:tr w:rsidR="00A31490" w:rsidRPr="004E3F58" w14:paraId="27D3F5F1"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0740F5"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Non-English speaking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53B1AC"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Patient has a non-English language listed as their preferred language</w:t>
            </w:r>
            <w:r>
              <w:rPr>
                <w:rFonts w:ascii="Times New Roman" w:eastAsia="Times New Roman" w:hAnsi="Times New Roman" w:cs="Times New Roman"/>
                <w:color w:val="000000"/>
                <w:kern w:val="0"/>
                <w14:ligatures w14:val="none"/>
              </w:rPr>
              <w:t>**</w:t>
            </w:r>
            <w:r w:rsidRPr="004E3F58">
              <w:rPr>
                <w:rFonts w:ascii="Times New Roman" w:eastAsia="Times New Roman" w:hAnsi="Times New Roman" w:cs="Times New Roman"/>
                <w:color w:val="000000"/>
                <w:kern w:val="0"/>
                <w14:ligatures w14:val="none"/>
              </w:rPr>
              <w:t>  </w:t>
            </w:r>
          </w:p>
        </w:tc>
      </w:tr>
      <w:tr w:rsidR="00A31490" w:rsidRPr="004E3F58" w14:paraId="296ABD8B"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8EEBF5"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Sex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FEBB78"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The legal/administrative sex of the patient (female/male)  </w:t>
            </w:r>
          </w:p>
        </w:tc>
      </w:tr>
      <w:tr w:rsidR="00A31490" w:rsidRPr="004E3F58" w14:paraId="7AC9F72F"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F633E4"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type: Port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31AD16"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Patient had a port-a-</w:t>
            </w:r>
            <w:proofErr w:type="spellStart"/>
            <w:r w:rsidRPr="004E3F58">
              <w:rPr>
                <w:rFonts w:ascii="Times New Roman" w:eastAsia="Times New Roman" w:hAnsi="Times New Roman" w:cs="Times New Roman"/>
                <w:color w:val="000000"/>
                <w:kern w:val="0"/>
                <w14:ligatures w14:val="none"/>
              </w:rPr>
              <w:t>cath</w:t>
            </w:r>
            <w:proofErr w:type="spellEnd"/>
            <w:r w:rsidRPr="004E3F58">
              <w:rPr>
                <w:rFonts w:ascii="Times New Roman" w:eastAsia="Times New Roman" w:hAnsi="Times New Roman" w:cs="Times New Roman"/>
                <w:color w:val="000000"/>
                <w:kern w:val="0"/>
                <w14:ligatures w14:val="none"/>
              </w:rPr>
              <w:t xml:space="preserve"> present on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405CA914"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1CD03E"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Oncology department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6DB244"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Patient was on the Oncology service on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5EFE6B4A"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CF3DF5"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Dwell time of current central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88A3BD"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The number of inpatient and outpatient days between the day of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placement and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for the central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that is in place. If the patient has multiple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s present on this day, the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with the earliest date of placement is used  </w:t>
            </w:r>
          </w:p>
        </w:tc>
      </w:tr>
      <w:tr w:rsidR="00A31490" w:rsidRPr="004E3F58" w14:paraId="4861C230"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66E9B8"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Cumulative inpatient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days as of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213101"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The number of days the patient has had a central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during this inpatient hospitalization. </w:t>
            </w:r>
            <w:r w:rsidRPr="00F6547C">
              <w:rPr>
                <w:rFonts w:ascii="Times New Roman" w:eastAsia="Times New Roman" w:hAnsi="Times New Roman" w:cs="Times New Roman"/>
                <w:color w:val="0070C0"/>
                <w:kern w:val="0"/>
                <w:u w:val="single"/>
                <w14:ligatures w14:val="none"/>
              </w:rPr>
              <w:t xml:space="preserve">Multiple central catheters present on the same day are counted as a single </w:t>
            </w:r>
            <w:r>
              <w:rPr>
                <w:rFonts w:ascii="Times New Roman" w:eastAsia="Times New Roman" w:hAnsi="Times New Roman" w:cs="Times New Roman"/>
                <w:color w:val="0070C0"/>
                <w:kern w:val="0"/>
                <w:u w:val="single"/>
                <w14:ligatures w14:val="none"/>
              </w:rPr>
              <w:t>catheter</w:t>
            </w:r>
            <w:r w:rsidRPr="00F6547C">
              <w:rPr>
                <w:rFonts w:ascii="Times New Roman" w:eastAsia="Times New Roman" w:hAnsi="Times New Roman" w:cs="Times New Roman"/>
                <w:color w:val="0070C0"/>
                <w:kern w:val="0"/>
                <w:u w:val="single"/>
                <w14:ligatures w14:val="none"/>
              </w:rPr>
              <w:t xml:space="preserve"> day.</w:t>
            </w:r>
            <w:r>
              <w:rPr>
                <w:rFonts w:ascii="Times New Roman" w:eastAsia="Times New Roman" w:hAnsi="Times New Roman" w:cs="Times New Roman"/>
                <w:color w:val="0070C0"/>
                <w:kern w:val="0"/>
                <w:u w:val="single"/>
                <w14:ligatures w14:val="none"/>
              </w:rPr>
              <w:t xml:space="preserve"> </w:t>
            </w:r>
            <w:r w:rsidRPr="004E3F58">
              <w:rPr>
                <w:rFonts w:ascii="Times New Roman" w:eastAsia="Times New Roman" w:hAnsi="Times New Roman" w:cs="Times New Roman"/>
                <w:color w:val="000000"/>
                <w:kern w:val="0"/>
                <w14:ligatures w14:val="none"/>
              </w:rPr>
              <w:t xml:space="preserve">Value may be less than "dwell time of current central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if the patient has a central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in place that was present prior to inpatient hospitalization. Value may be more than “dwell time of current central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if </w:t>
            </w:r>
            <w:r w:rsidRPr="004E3F58">
              <w:rPr>
                <w:rFonts w:ascii="Times New Roman" w:eastAsia="Times New Roman" w:hAnsi="Times New Roman" w:cs="Times New Roman"/>
                <w:color w:val="000000"/>
                <w:kern w:val="0"/>
                <w14:ligatures w14:val="none"/>
              </w:rPr>
              <w:lastRenderedPageBreak/>
              <w:t xml:space="preserve">patient has required central </w:t>
            </w:r>
            <w:r>
              <w:rPr>
                <w:rFonts w:ascii="Times New Roman" w:eastAsia="Times New Roman" w:hAnsi="Times New Roman" w:cs="Times New Roman"/>
                <w:color w:val="000000"/>
                <w:kern w:val="0"/>
                <w14:ligatures w14:val="none"/>
              </w:rPr>
              <w:t>catheters</w:t>
            </w:r>
            <w:r w:rsidRPr="004E3F58">
              <w:rPr>
                <w:rFonts w:ascii="Times New Roman" w:eastAsia="Times New Roman" w:hAnsi="Times New Roman" w:cs="Times New Roman"/>
                <w:color w:val="000000"/>
                <w:kern w:val="0"/>
                <w14:ligatures w14:val="none"/>
              </w:rPr>
              <w:t xml:space="preserve"> to be replaced during the hospitalization  </w:t>
            </w:r>
          </w:p>
        </w:tc>
      </w:tr>
      <w:tr w:rsidR="00A31490" w:rsidRPr="004E3F58" w14:paraId="5570CFCF"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638892"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lastRenderedPageBreak/>
              <w:t>Ostomy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7B40C7"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Documented ostomy site assessment on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1333FB9F"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E116E8"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Total parenteral nutrition (TPN)  use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38B2E6"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Received TPN on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or the preceding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4CBBFD2E"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48C2FA"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Behavioral health condition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6CBDD9"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Evidence of at least one of the following during this encounter, before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1) a behavioral health team consult or note in EMR, 2) a  behavioral health safety observation order (visual and </w:t>
            </w:r>
            <w:proofErr w:type="spellStart"/>
            <w:r w:rsidRPr="004E3F58">
              <w:rPr>
                <w:rFonts w:ascii="Times New Roman" w:eastAsia="Times New Roman" w:hAnsi="Times New Roman" w:cs="Times New Roman"/>
                <w:color w:val="000000"/>
                <w:kern w:val="0"/>
                <w14:ligatures w14:val="none"/>
              </w:rPr>
              <w:t>arms length</w:t>
            </w:r>
            <w:proofErr w:type="spellEnd"/>
            <w:r w:rsidRPr="004E3F58">
              <w:rPr>
                <w:rFonts w:ascii="Times New Roman" w:eastAsia="Times New Roman" w:hAnsi="Times New Roman" w:cs="Times New Roman"/>
                <w:color w:val="000000"/>
                <w:kern w:val="0"/>
                <w14:ligatures w14:val="none"/>
              </w:rPr>
              <w:t xml:space="preserve"> or visual observation)  </w:t>
            </w:r>
            <w:r w:rsidRPr="004E3F58">
              <w:rPr>
                <w:rFonts w:ascii="Times New Roman" w:eastAsia="Times New Roman" w:hAnsi="Times New Roman" w:cs="Times New Roman"/>
                <w:color w:val="000000"/>
                <w:kern w:val="0"/>
                <w14:ligatures w14:val="none"/>
              </w:rPr>
              <w:br/>
              <w:t> </w:t>
            </w:r>
          </w:p>
        </w:tc>
      </w:tr>
      <w:tr w:rsidR="00A31490" w:rsidRPr="004E3F58" w14:paraId="50DFE592"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ECB543"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Behavioral health safety observer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F2A63B"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Evidence of a behavioral health safety observation order (visual and </w:t>
            </w:r>
            <w:proofErr w:type="spellStart"/>
            <w:r w:rsidRPr="004E3F58">
              <w:rPr>
                <w:rFonts w:ascii="Times New Roman" w:eastAsia="Times New Roman" w:hAnsi="Times New Roman" w:cs="Times New Roman"/>
                <w:color w:val="000000"/>
                <w:kern w:val="0"/>
                <w14:ligatures w14:val="none"/>
              </w:rPr>
              <w:t>arms length</w:t>
            </w:r>
            <w:proofErr w:type="spellEnd"/>
            <w:r w:rsidRPr="004E3F58">
              <w:rPr>
                <w:rFonts w:ascii="Times New Roman" w:eastAsia="Times New Roman" w:hAnsi="Times New Roman" w:cs="Times New Roman"/>
                <w:color w:val="000000"/>
                <w:kern w:val="0"/>
                <w14:ligatures w14:val="none"/>
              </w:rPr>
              <w:t xml:space="preserve"> or visual observation) during this encounter, before this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(as a marker of a patient identified as being at risk for central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dislodgement, loss of dressing integrity, and/or infection risk) </w:t>
            </w:r>
          </w:p>
        </w:tc>
      </w:tr>
      <w:tr w:rsidR="00A31490" w:rsidRPr="004E3F58" w14:paraId="2D6E726B"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76FE76"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Lymphatic condition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0CC856"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Active lymphatic diagnosis (excluding localized lymphedema and localized lymphatic leak) on their problem list at this visit  </w:t>
            </w:r>
          </w:p>
        </w:tc>
      </w:tr>
      <w:tr w:rsidR="00A31490" w:rsidRPr="004E3F58" w14:paraId="0FAC611B"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285149"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Neutropenia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C30BE7"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Patient had an ANC value below 500 within 3 days before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r w:rsidR="00A31490" w:rsidRPr="004E3F58" w14:paraId="3DD898BF" w14:textId="77777777" w:rsidTr="00720EB3">
        <w:tc>
          <w:tcPr>
            <w:tcW w:w="1883"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161305"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Hospital length of stay  </w:t>
            </w:r>
          </w:p>
        </w:tc>
        <w:tc>
          <w:tcPr>
            <w:tcW w:w="3117" w:type="pc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E49FF0" w14:textId="77777777" w:rsidR="00A31490" w:rsidRPr="004E3F58" w:rsidRDefault="00A31490" w:rsidP="00720EB3">
            <w:pPr>
              <w:spacing w:line="480" w:lineRule="auto"/>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xml:space="preserve">Number of days between day of admission and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w:t>
            </w:r>
          </w:p>
        </w:tc>
      </w:tr>
    </w:tbl>
    <w:p w14:paraId="3968BA11" w14:textId="77777777" w:rsidR="00A31490" w:rsidRDefault="00A31490" w:rsidP="00A31490">
      <w:pPr>
        <w:spacing w:line="480" w:lineRule="auto"/>
        <w:textAlignment w:val="baseline"/>
        <w:rPr>
          <w:rFonts w:ascii="Times New Roman" w:eastAsia="Times New Roman" w:hAnsi="Times New Roman" w:cs="Times New Roman"/>
          <w:color w:val="000000"/>
          <w:kern w:val="0"/>
          <w14:ligatures w14:val="none"/>
        </w:rPr>
      </w:pPr>
      <w:proofErr w:type="spellStart"/>
      <w:r w:rsidRPr="004E3F58">
        <w:rPr>
          <w:rFonts w:ascii="Times New Roman" w:eastAsia="Times New Roman" w:hAnsi="Times New Roman" w:cs="Times New Roman"/>
          <w:color w:val="000000"/>
          <w:kern w:val="0"/>
          <w:sz w:val="19"/>
          <w:szCs w:val="19"/>
          <w:vertAlign w:val="superscript"/>
          <w14:ligatures w14:val="none"/>
        </w:rPr>
        <w:lastRenderedPageBreak/>
        <w:t>a</w:t>
      </w:r>
      <w:r w:rsidRPr="004E3F58">
        <w:rPr>
          <w:rFonts w:ascii="Times New Roman" w:eastAsia="Times New Roman" w:hAnsi="Times New Roman" w:cs="Times New Roman"/>
          <w:color w:val="000000"/>
          <w:kern w:val="0"/>
          <w14:ligatures w14:val="none"/>
        </w:rPr>
        <w:t>Two</w:t>
      </w:r>
      <w:proofErr w:type="spellEnd"/>
      <w:r w:rsidRPr="004E3F58">
        <w:rPr>
          <w:rFonts w:ascii="Times New Roman" w:eastAsia="Times New Roman" w:hAnsi="Times New Roman" w:cs="Times New Roman"/>
          <w:color w:val="000000"/>
          <w:kern w:val="0"/>
          <w14:ligatures w14:val="none"/>
        </w:rPr>
        <w:t xml:space="preserve"> consecutive days of measurement were used to define exposure to cardiovascular medications or respiratory therapies, thus excluding brief exposure to these interventions during operative procedures from being counted as ICU level of </w:t>
      </w:r>
      <w:proofErr w:type="gramStart"/>
      <w:r w:rsidRPr="004E3F58">
        <w:rPr>
          <w:rFonts w:ascii="Times New Roman" w:eastAsia="Times New Roman" w:hAnsi="Times New Roman" w:cs="Times New Roman"/>
          <w:color w:val="000000"/>
          <w:kern w:val="0"/>
          <w14:ligatures w14:val="none"/>
        </w:rPr>
        <w:t>care</w:t>
      </w:r>
      <w:proofErr w:type="gramEnd"/>
      <w:r w:rsidRPr="004E3F58">
        <w:rPr>
          <w:rFonts w:ascii="Times New Roman" w:eastAsia="Times New Roman" w:hAnsi="Times New Roman" w:cs="Times New Roman"/>
          <w:color w:val="000000"/>
          <w:kern w:val="0"/>
          <w14:ligatures w14:val="none"/>
        </w:rPr>
        <w:t>  </w:t>
      </w:r>
    </w:p>
    <w:p w14:paraId="01B7007C" w14:textId="77777777" w:rsidR="00A31490" w:rsidRDefault="00A31490" w:rsidP="00A31490">
      <w:pPr>
        <w:spacing w:line="48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**This refers to the patient’s preferred language; in cases where the patient is unable to express a language preference, the primary caregiver’s language is listed</w:t>
      </w:r>
    </w:p>
    <w:p w14:paraId="649A5482"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0FA8F9AA"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607EB198"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776FEEF4"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1C2F0592"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52F5807D"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2F4F1C12"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08F49E28"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2B64202D"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3B33284D"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349DF687"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2B0769BE"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5670698D"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318E23A9"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34FAD147"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153B6431"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227F65A6" w14:textId="77777777" w:rsidR="00A31490" w:rsidRDefault="00A31490" w:rsidP="00A31490">
      <w:pPr>
        <w:spacing w:line="480" w:lineRule="auto"/>
        <w:textAlignment w:val="baseline"/>
        <w:rPr>
          <w:rFonts w:ascii="Times New Roman" w:eastAsia="Times New Roman" w:hAnsi="Times New Roman" w:cs="Times New Roman"/>
          <w:b/>
          <w:bCs/>
          <w:color w:val="000000"/>
          <w:kern w:val="0"/>
          <w:shd w:val="clear" w:color="auto" w:fill="FFFFFF"/>
          <w14:ligatures w14:val="none"/>
        </w:rPr>
      </w:pPr>
    </w:p>
    <w:p w14:paraId="0C6B4D7A" w14:textId="77777777" w:rsidR="00A31490" w:rsidRPr="004E3F58" w:rsidRDefault="00A31490" w:rsidP="00A31490">
      <w:pPr>
        <w:spacing w:line="48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color w:val="000000"/>
          <w:kern w:val="0"/>
          <w:shd w:val="clear" w:color="auto" w:fill="FFFFFF"/>
          <w14:ligatures w14:val="none"/>
        </w:rPr>
        <w:lastRenderedPageBreak/>
        <w:t xml:space="preserve">Supplemental </w:t>
      </w:r>
      <w:r w:rsidRPr="004E3F58">
        <w:rPr>
          <w:rFonts w:ascii="Times New Roman" w:eastAsia="Times New Roman" w:hAnsi="Times New Roman" w:cs="Times New Roman"/>
          <w:b/>
          <w:bCs/>
          <w:color w:val="000000"/>
          <w:kern w:val="0"/>
          <w:shd w:val="clear" w:color="auto" w:fill="FFFFFF"/>
          <w14:ligatures w14:val="none"/>
        </w:rPr>
        <w:t xml:space="preserve">Table 2. Covariates and risk factors in </w:t>
      </w:r>
      <w:r>
        <w:rPr>
          <w:rFonts w:ascii="Times New Roman" w:eastAsia="Times New Roman" w:hAnsi="Times New Roman" w:cs="Times New Roman"/>
          <w:b/>
          <w:bCs/>
          <w:color w:val="000000"/>
          <w:kern w:val="0"/>
          <w:shd w:val="clear" w:color="auto" w:fill="FFFFFF"/>
          <w14:ligatures w14:val="none"/>
        </w:rPr>
        <w:t>catheter</w:t>
      </w:r>
      <w:r w:rsidRPr="004E3F58">
        <w:rPr>
          <w:rFonts w:ascii="Times New Roman" w:eastAsia="Times New Roman" w:hAnsi="Times New Roman" w:cs="Times New Roman"/>
          <w:b/>
          <w:bCs/>
          <w:color w:val="000000"/>
          <w:kern w:val="0"/>
          <w:shd w:val="clear" w:color="auto" w:fill="FFFFFF"/>
          <w14:ligatures w14:val="none"/>
        </w:rPr>
        <w:t xml:space="preserve"> days with and without CLABSI </w:t>
      </w:r>
      <w:r w:rsidRPr="004E3F58">
        <w:rPr>
          <w:rFonts w:ascii="Times New Roman" w:eastAsia="Times New Roman" w:hAnsi="Times New Roman" w:cs="Times New Roman"/>
          <w:color w:val="000000"/>
          <w:kern w:val="0"/>
          <w14:ligatures w14:val="none"/>
        </w:rPr>
        <w:t>  </w:t>
      </w:r>
    </w:p>
    <w:p w14:paraId="0B87EF54" w14:textId="77777777" w:rsidR="00A31490" w:rsidRPr="004E3F58" w:rsidRDefault="00A31490" w:rsidP="00A31490">
      <w:pPr>
        <w:spacing w:line="480" w:lineRule="auto"/>
        <w:textAlignment w:val="baseline"/>
        <w:rPr>
          <w:rFonts w:ascii="Segoe UI" w:eastAsia="Times New Roman" w:hAnsi="Segoe UI" w:cs="Segoe UI"/>
          <w:kern w:val="0"/>
          <w:sz w:val="18"/>
          <w:szCs w:val="18"/>
          <w14:ligatures w14:val="none"/>
        </w:rPr>
      </w:pPr>
      <w:r w:rsidRPr="004E3F58">
        <w:rPr>
          <w:rFonts w:ascii="Times New Roman" w:eastAsia="Times New Roman" w:hAnsi="Times New Roman" w:cs="Times New Roman"/>
          <w:color w:val="000000"/>
          <w:kern w:val="0"/>
          <w14:ligatures w14:val="non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7"/>
        <w:gridCol w:w="2011"/>
        <w:gridCol w:w="2022"/>
        <w:gridCol w:w="2020"/>
      </w:tblGrid>
      <w:tr w:rsidR="00A31490" w:rsidRPr="004E3F58" w14:paraId="6B813190" w14:textId="77777777" w:rsidTr="00720EB3">
        <w:trPr>
          <w:trHeight w:val="300"/>
        </w:trPr>
        <w:tc>
          <w:tcPr>
            <w:tcW w:w="1767" w:type="pct"/>
            <w:tcBorders>
              <w:top w:val="single" w:sz="6" w:space="0" w:color="000000"/>
              <w:left w:val="nil"/>
              <w:bottom w:val="single" w:sz="6" w:space="0" w:color="000000"/>
              <w:right w:val="nil"/>
            </w:tcBorders>
            <w:shd w:val="clear" w:color="auto" w:fill="FFFFFF"/>
            <w:vAlign w:val="center"/>
            <w:hideMark/>
          </w:tcPr>
          <w:p w14:paraId="78F53138"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b/>
                <w:bCs/>
                <w:color w:val="000000"/>
                <w:kern w:val="0"/>
                <w:shd w:val="clear" w:color="auto" w:fill="E6E6E6"/>
                <w14:ligatures w14:val="none"/>
              </w:rPr>
              <w:t>Characteristic</w:t>
            </w:r>
            <w:r w:rsidRPr="004E3F58">
              <w:rPr>
                <w:rFonts w:ascii="Times New Roman" w:eastAsia="Times New Roman" w:hAnsi="Times New Roman" w:cs="Times New Roman"/>
                <w:color w:val="000000"/>
                <w:kern w:val="0"/>
                <w14:ligatures w14:val="none"/>
              </w:rPr>
              <w:t> </w:t>
            </w:r>
          </w:p>
        </w:tc>
        <w:tc>
          <w:tcPr>
            <w:tcW w:w="1074" w:type="pct"/>
            <w:tcBorders>
              <w:top w:val="single" w:sz="6" w:space="0" w:color="000000"/>
              <w:left w:val="nil"/>
              <w:bottom w:val="single" w:sz="6" w:space="0" w:color="000000"/>
              <w:right w:val="nil"/>
            </w:tcBorders>
            <w:shd w:val="clear" w:color="auto" w:fill="FFFFFF"/>
            <w:vAlign w:val="center"/>
            <w:hideMark/>
          </w:tcPr>
          <w:p w14:paraId="716E2B0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b/>
                <w:bCs/>
                <w:color w:val="000000"/>
                <w:kern w:val="0"/>
                <w:shd w:val="clear" w:color="auto" w:fill="E6E6E6"/>
                <w14:ligatures w14:val="none"/>
              </w:rPr>
              <w:t>Overall, N = 520,209</w:t>
            </w:r>
            <w:r w:rsidRPr="004E3F58">
              <w:rPr>
                <w:rFonts w:ascii="Times New Roman" w:eastAsia="Times New Roman" w:hAnsi="Times New Roman" w:cs="Times New Roman"/>
                <w:b/>
                <w:bCs/>
                <w:color w:val="000000"/>
                <w:kern w:val="0"/>
                <w:sz w:val="19"/>
                <w:szCs w:val="19"/>
                <w:shd w:val="clear" w:color="auto" w:fill="E6E6E6"/>
                <w:vertAlign w:val="superscript"/>
                <w14:ligatures w14:val="none"/>
              </w:rPr>
              <w:t>a</w:t>
            </w:r>
            <w:r w:rsidRPr="004E3F58">
              <w:rPr>
                <w:rFonts w:ascii="Times New Roman" w:eastAsia="Times New Roman" w:hAnsi="Times New Roman" w:cs="Times New Roman"/>
                <w:color w:val="000000"/>
                <w:kern w:val="0"/>
                <w:sz w:val="19"/>
                <w:szCs w:val="19"/>
                <w14:ligatures w14:val="none"/>
              </w:rPr>
              <w:t> </w:t>
            </w:r>
          </w:p>
        </w:tc>
        <w:tc>
          <w:tcPr>
            <w:tcW w:w="1080" w:type="pct"/>
            <w:tcBorders>
              <w:top w:val="single" w:sz="6" w:space="0" w:color="000000"/>
              <w:left w:val="nil"/>
              <w:bottom w:val="single" w:sz="6" w:space="0" w:color="000000"/>
              <w:right w:val="nil"/>
            </w:tcBorders>
            <w:shd w:val="clear" w:color="auto" w:fill="FFFFFF"/>
            <w:vAlign w:val="center"/>
            <w:hideMark/>
          </w:tcPr>
          <w:p w14:paraId="2A7584C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b/>
                <w:bCs/>
                <w:color w:val="000000"/>
                <w:kern w:val="0"/>
                <w:shd w:val="clear" w:color="auto" w:fill="E6E6E6"/>
                <w14:ligatures w14:val="none"/>
              </w:rPr>
              <w:t>CLABSI line days, N = 796</w:t>
            </w:r>
            <w:r w:rsidRPr="004E3F58">
              <w:rPr>
                <w:rFonts w:ascii="Times New Roman" w:eastAsia="Times New Roman" w:hAnsi="Times New Roman" w:cs="Times New Roman"/>
                <w:b/>
                <w:bCs/>
                <w:color w:val="000000"/>
                <w:kern w:val="0"/>
                <w:sz w:val="19"/>
                <w:szCs w:val="19"/>
                <w:shd w:val="clear" w:color="auto" w:fill="E6E6E6"/>
                <w:vertAlign w:val="superscript"/>
                <w14:ligatures w14:val="none"/>
              </w:rPr>
              <w:t>a</w:t>
            </w:r>
            <w:r w:rsidRPr="004E3F58">
              <w:rPr>
                <w:rFonts w:ascii="Times New Roman" w:eastAsia="Times New Roman" w:hAnsi="Times New Roman" w:cs="Times New Roman"/>
                <w:color w:val="000000"/>
                <w:kern w:val="0"/>
                <w:sz w:val="19"/>
                <w:szCs w:val="19"/>
                <w14:ligatures w14:val="none"/>
              </w:rPr>
              <w:t> </w:t>
            </w:r>
          </w:p>
        </w:tc>
        <w:tc>
          <w:tcPr>
            <w:tcW w:w="1080" w:type="pct"/>
            <w:tcBorders>
              <w:top w:val="single" w:sz="6" w:space="0" w:color="000000"/>
              <w:left w:val="nil"/>
              <w:bottom w:val="single" w:sz="6" w:space="0" w:color="000000"/>
              <w:right w:val="nil"/>
            </w:tcBorders>
            <w:shd w:val="clear" w:color="auto" w:fill="FFFFFF"/>
            <w:vAlign w:val="center"/>
            <w:hideMark/>
          </w:tcPr>
          <w:p w14:paraId="7973D36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b/>
                <w:bCs/>
                <w:color w:val="000000"/>
                <w:kern w:val="0"/>
                <w:shd w:val="clear" w:color="auto" w:fill="E6E6E6"/>
                <w14:ligatures w14:val="none"/>
              </w:rPr>
              <w:t>Non-CLABSI line days, N = 519,413</w:t>
            </w:r>
            <w:r w:rsidRPr="004E3F58">
              <w:rPr>
                <w:rFonts w:ascii="Times New Roman" w:eastAsia="Times New Roman" w:hAnsi="Times New Roman" w:cs="Times New Roman"/>
                <w:color w:val="000000"/>
                <w:kern w:val="0"/>
                <w14:ligatures w14:val="none"/>
              </w:rPr>
              <w:t> </w:t>
            </w:r>
          </w:p>
        </w:tc>
      </w:tr>
      <w:tr w:rsidR="00A31490" w:rsidRPr="004E3F58" w14:paraId="2FE873E6" w14:textId="77777777" w:rsidTr="00720EB3">
        <w:trPr>
          <w:trHeight w:val="300"/>
        </w:trPr>
        <w:tc>
          <w:tcPr>
            <w:tcW w:w="1767" w:type="pct"/>
            <w:tcBorders>
              <w:top w:val="single" w:sz="6" w:space="0" w:color="000000"/>
              <w:left w:val="nil"/>
              <w:bottom w:val="nil"/>
              <w:right w:val="nil"/>
            </w:tcBorders>
            <w:shd w:val="clear" w:color="auto" w:fill="FFFFFF"/>
            <w:hideMark/>
          </w:tcPr>
          <w:p w14:paraId="56574EEE"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Age in years, Median (IQR)</w:t>
            </w:r>
            <w:r w:rsidRPr="004E3F58">
              <w:rPr>
                <w:rFonts w:ascii="Times New Roman" w:eastAsia="Times New Roman" w:hAnsi="Times New Roman" w:cs="Times New Roman"/>
                <w:color w:val="000000"/>
                <w:kern w:val="0"/>
                <w14:ligatures w14:val="none"/>
              </w:rPr>
              <w:t> </w:t>
            </w:r>
          </w:p>
        </w:tc>
        <w:tc>
          <w:tcPr>
            <w:tcW w:w="1074" w:type="pct"/>
            <w:tcBorders>
              <w:top w:val="single" w:sz="6" w:space="0" w:color="000000"/>
              <w:left w:val="nil"/>
              <w:bottom w:val="nil"/>
              <w:right w:val="nil"/>
            </w:tcBorders>
            <w:shd w:val="clear" w:color="auto" w:fill="FFFFFF"/>
            <w:hideMark/>
          </w:tcPr>
          <w:p w14:paraId="6E7BF6C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1.7 (0.3, 9.3)</w:t>
            </w:r>
            <w:r w:rsidRPr="004E3F58">
              <w:rPr>
                <w:rFonts w:ascii="Times New Roman" w:eastAsia="Times New Roman" w:hAnsi="Times New Roman" w:cs="Times New Roman"/>
                <w:color w:val="000000"/>
                <w:kern w:val="0"/>
                <w14:ligatures w14:val="none"/>
              </w:rPr>
              <w:t> </w:t>
            </w:r>
          </w:p>
        </w:tc>
        <w:tc>
          <w:tcPr>
            <w:tcW w:w="1080" w:type="pct"/>
            <w:tcBorders>
              <w:top w:val="single" w:sz="6" w:space="0" w:color="000000"/>
              <w:left w:val="nil"/>
              <w:bottom w:val="nil"/>
              <w:right w:val="nil"/>
            </w:tcBorders>
            <w:shd w:val="clear" w:color="auto" w:fill="FFFFFF"/>
            <w:hideMark/>
          </w:tcPr>
          <w:p w14:paraId="24B6DC8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0.8 (0.2, 4.6)</w:t>
            </w:r>
            <w:r w:rsidRPr="004E3F58">
              <w:rPr>
                <w:rFonts w:ascii="Times New Roman" w:eastAsia="Times New Roman" w:hAnsi="Times New Roman" w:cs="Times New Roman"/>
                <w:color w:val="000000"/>
                <w:kern w:val="0"/>
                <w14:ligatures w14:val="none"/>
              </w:rPr>
              <w:t> </w:t>
            </w:r>
          </w:p>
        </w:tc>
        <w:tc>
          <w:tcPr>
            <w:tcW w:w="1080" w:type="pct"/>
            <w:tcBorders>
              <w:top w:val="single" w:sz="6" w:space="0" w:color="000000"/>
              <w:left w:val="nil"/>
              <w:bottom w:val="nil"/>
              <w:right w:val="nil"/>
            </w:tcBorders>
            <w:shd w:val="clear" w:color="auto" w:fill="FFFFFF"/>
            <w:hideMark/>
          </w:tcPr>
          <w:p w14:paraId="1635FAF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1.7 (0.3, 9.3)</w:t>
            </w:r>
            <w:r w:rsidRPr="004E3F58">
              <w:rPr>
                <w:rFonts w:ascii="Times New Roman" w:eastAsia="Times New Roman" w:hAnsi="Times New Roman" w:cs="Times New Roman"/>
                <w:color w:val="000000"/>
                <w:kern w:val="0"/>
                <w14:ligatures w14:val="none"/>
              </w:rPr>
              <w:t> </w:t>
            </w:r>
          </w:p>
        </w:tc>
      </w:tr>
      <w:tr w:rsidR="00A31490" w:rsidRPr="004E3F58" w14:paraId="41F3A256" w14:textId="77777777" w:rsidTr="00720EB3">
        <w:trPr>
          <w:trHeight w:val="300"/>
        </w:trPr>
        <w:tc>
          <w:tcPr>
            <w:tcW w:w="1767" w:type="pct"/>
            <w:tcBorders>
              <w:top w:val="nil"/>
              <w:left w:val="nil"/>
              <w:bottom w:val="nil"/>
              <w:right w:val="nil"/>
            </w:tcBorders>
            <w:shd w:val="clear" w:color="auto" w:fill="FFFFFF"/>
            <w:hideMark/>
          </w:tcPr>
          <w:p w14:paraId="03B30691"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Age Group,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60F8B2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1D59D333"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1A080D5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r>
      <w:tr w:rsidR="00A31490" w:rsidRPr="004E3F58" w14:paraId="51CC1CD9" w14:textId="77777777" w:rsidTr="00720EB3">
        <w:trPr>
          <w:trHeight w:val="300"/>
        </w:trPr>
        <w:tc>
          <w:tcPr>
            <w:tcW w:w="1767" w:type="pct"/>
            <w:tcBorders>
              <w:top w:val="nil"/>
              <w:left w:val="nil"/>
              <w:bottom w:val="nil"/>
              <w:right w:val="nil"/>
            </w:tcBorders>
            <w:shd w:val="clear" w:color="auto" w:fill="FFFFFF"/>
            <w:hideMark/>
          </w:tcPr>
          <w:p w14:paraId="3AA782C7"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&lt;1yr</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750D55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229,075 (44%)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31594FF"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427 (54%)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E01B00F"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228,648 (44%)</w:t>
            </w:r>
            <w:r w:rsidRPr="004E3F58">
              <w:rPr>
                <w:rFonts w:ascii="Times New Roman" w:eastAsia="Times New Roman" w:hAnsi="Times New Roman" w:cs="Times New Roman"/>
                <w:color w:val="000000"/>
                <w:kern w:val="0"/>
                <w14:ligatures w14:val="none"/>
              </w:rPr>
              <w:t> </w:t>
            </w:r>
          </w:p>
        </w:tc>
      </w:tr>
      <w:tr w:rsidR="00A31490" w:rsidRPr="004E3F58" w14:paraId="52243ABE" w14:textId="77777777" w:rsidTr="00720EB3">
        <w:trPr>
          <w:trHeight w:val="300"/>
        </w:trPr>
        <w:tc>
          <w:tcPr>
            <w:tcW w:w="1767" w:type="pct"/>
            <w:tcBorders>
              <w:top w:val="nil"/>
              <w:left w:val="nil"/>
              <w:bottom w:val="nil"/>
              <w:right w:val="nil"/>
            </w:tcBorders>
            <w:shd w:val="clear" w:color="auto" w:fill="FFFFFF"/>
            <w:hideMark/>
          </w:tcPr>
          <w:p w14:paraId="1E7B82E2"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1-&lt;5yrs</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358C79C"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107,666 (21%)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FEE654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181 (23%)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7B0BBD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107,485 (21%)</w:t>
            </w:r>
            <w:r w:rsidRPr="004E3F58">
              <w:rPr>
                <w:rFonts w:ascii="Times New Roman" w:eastAsia="Times New Roman" w:hAnsi="Times New Roman" w:cs="Times New Roman"/>
                <w:color w:val="000000"/>
                <w:kern w:val="0"/>
                <w14:ligatures w14:val="none"/>
              </w:rPr>
              <w:t> </w:t>
            </w:r>
          </w:p>
        </w:tc>
      </w:tr>
      <w:tr w:rsidR="00A31490" w:rsidRPr="004E3F58" w14:paraId="2280F097" w14:textId="77777777" w:rsidTr="00720EB3">
        <w:trPr>
          <w:trHeight w:val="300"/>
        </w:trPr>
        <w:tc>
          <w:tcPr>
            <w:tcW w:w="1767" w:type="pct"/>
            <w:tcBorders>
              <w:top w:val="nil"/>
              <w:left w:val="nil"/>
              <w:bottom w:val="nil"/>
              <w:right w:val="nil"/>
            </w:tcBorders>
            <w:shd w:val="clear" w:color="auto" w:fill="FFFFFF"/>
            <w:hideMark/>
          </w:tcPr>
          <w:p w14:paraId="52EE780B"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5-&lt;10yrs</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18022D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61,533 (12%)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BC5CB6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52 (6.5%)</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E190FD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61,481 (12%)</w:t>
            </w:r>
            <w:r w:rsidRPr="004E3F58">
              <w:rPr>
                <w:rFonts w:ascii="Times New Roman" w:eastAsia="Times New Roman" w:hAnsi="Times New Roman" w:cs="Times New Roman"/>
                <w:color w:val="000000"/>
                <w:kern w:val="0"/>
                <w14:ligatures w14:val="none"/>
              </w:rPr>
              <w:t> </w:t>
            </w:r>
          </w:p>
        </w:tc>
      </w:tr>
      <w:tr w:rsidR="00A31490" w:rsidRPr="004E3F58" w14:paraId="4B151DA9" w14:textId="77777777" w:rsidTr="00720EB3">
        <w:trPr>
          <w:trHeight w:val="300"/>
        </w:trPr>
        <w:tc>
          <w:tcPr>
            <w:tcW w:w="1767" w:type="pct"/>
            <w:tcBorders>
              <w:top w:val="nil"/>
              <w:left w:val="nil"/>
              <w:bottom w:val="nil"/>
              <w:right w:val="nil"/>
            </w:tcBorders>
            <w:shd w:val="clear" w:color="auto" w:fill="FFFFFF"/>
            <w:hideMark/>
          </w:tcPr>
          <w:p w14:paraId="479A89BA"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10-&lt;15yrs</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EA2793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57,097 (11%)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A11FCB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49 (6.2%)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F19C7DB"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57,048 (11%)</w:t>
            </w:r>
            <w:r w:rsidRPr="004E3F58">
              <w:rPr>
                <w:rFonts w:ascii="Times New Roman" w:eastAsia="Times New Roman" w:hAnsi="Times New Roman" w:cs="Times New Roman"/>
                <w:color w:val="000000"/>
                <w:kern w:val="0"/>
                <w14:ligatures w14:val="none"/>
              </w:rPr>
              <w:t> </w:t>
            </w:r>
          </w:p>
        </w:tc>
      </w:tr>
      <w:tr w:rsidR="00A31490" w:rsidRPr="004E3F58" w14:paraId="5BFCC3C7" w14:textId="77777777" w:rsidTr="00720EB3">
        <w:trPr>
          <w:trHeight w:val="300"/>
        </w:trPr>
        <w:tc>
          <w:tcPr>
            <w:tcW w:w="1767" w:type="pct"/>
            <w:tcBorders>
              <w:top w:val="nil"/>
              <w:left w:val="nil"/>
              <w:bottom w:val="nil"/>
              <w:right w:val="nil"/>
            </w:tcBorders>
            <w:shd w:val="clear" w:color="auto" w:fill="FFFFFF"/>
            <w:hideMark/>
          </w:tcPr>
          <w:p w14:paraId="041FB50A"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15-&lt;21yrs</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F70EF8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64,838 (12%)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3AA24FBC"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87 (11%)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FD9A78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64,751 (12%)</w:t>
            </w:r>
            <w:r w:rsidRPr="004E3F58">
              <w:rPr>
                <w:rFonts w:ascii="Times New Roman" w:eastAsia="Times New Roman" w:hAnsi="Times New Roman" w:cs="Times New Roman"/>
                <w:color w:val="000000"/>
                <w:kern w:val="0"/>
                <w14:ligatures w14:val="none"/>
              </w:rPr>
              <w:t> </w:t>
            </w:r>
          </w:p>
        </w:tc>
      </w:tr>
      <w:tr w:rsidR="00A31490" w:rsidRPr="004E3F58" w14:paraId="2C45FFBD" w14:textId="77777777" w:rsidTr="00720EB3">
        <w:trPr>
          <w:trHeight w:val="300"/>
        </w:trPr>
        <w:tc>
          <w:tcPr>
            <w:tcW w:w="1767" w:type="pct"/>
            <w:tcBorders>
              <w:top w:val="nil"/>
              <w:left w:val="nil"/>
              <w:bottom w:val="nil"/>
              <w:right w:val="nil"/>
            </w:tcBorders>
            <w:shd w:val="clear" w:color="auto" w:fill="FFFFFF"/>
            <w:hideMark/>
          </w:tcPr>
          <w:p w14:paraId="0AEF8C20"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Race/ethnicity,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2DF718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1123F7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418F398"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r>
      <w:tr w:rsidR="00A31490" w:rsidRPr="004E3F58" w14:paraId="17EB6554" w14:textId="77777777" w:rsidTr="00720EB3">
        <w:trPr>
          <w:trHeight w:val="300"/>
        </w:trPr>
        <w:tc>
          <w:tcPr>
            <w:tcW w:w="1767" w:type="pct"/>
            <w:tcBorders>
              <w:top w:val="nil"/>
              <w:left w:val="nil"/>
              <w:bottom w:val="nil"/>
              <w:right w:val="nil"/>
            </w:tcBorders>
            <w:shd w:val="clear" w:color="auto" w:fill="FFFFFF"/>
            <w:hideMark/>
          </w:tcPr>
          <w:p w14:paraId="1470B042"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Non-Hispanic White</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226891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225,966 (43%)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5B667BF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311 (39%)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5AEA48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225,655 (43%)</w:t>
            </w:r>
            <w:r w:rsidRPr="004E3F58">
              <w:rPr>
                <w:rFonts w:ascii="Times New Roman" w:eastAsia="Times New Roman" w:hAnsi="Times New Roman" w:cs="Times New Roman"/>
                <w:color w:val="000000"/>
                <w:kern w:val="0"/>
                <w14:ligatures w14:val="none"/>
              </w:rPr>
              <w:t> </w:t>
            </w:r>
          </w:p>
        </w:tc>
      </w:tr>
      <w:tr w:rsidR="00A31490" w:rsidRPr="004E3F58" w14:paraId="45DF93EE" w14:textId="77777777" w:rsidTr="00720EB3">
        <w:trPr>
          <w:trHeight w:val="300"/>
        </w:trPr>
        <w:tc>
          <w:tcPr>
            <w:tcW w:w="1767" w:type="pct"/>
            <w:tcBorders>
              <w:top w:val="nil"/>
              <w:left w:val="nil"/>
              <w:bottom w:val="nil"/>
              <w:right w:val="nil"/>
            </w:tcBorders>
            <w:shd w:val="clear" w:color="auto" w:fill="FFFFFF"/>
            <w:hideMark/>
          </w:tcPr>
          <w:p w14:paraId="3C9B1285"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Asian</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4224B5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20,124 (3.9%)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52B105F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22 (2.8%)</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C3EF23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20,102 (3.9%)</w:t>
            </w:r>
            <w:r w:rsidRPr="004E3F58">
              <w:rPr>
                <w:rFonts w:ascii="Times New Roman" w:eastAsia="Times New Roman" w:hAnsi="Times New Roman" w:cs="Times New Roman"/>
                <w:color w:val="000000"/>
                <w:kern w:val="0"/>
                <w14:ligatures w14:val="none"/>
              </w:rPr>
              <w:t> </w:t>
            </w:r>
          </w:p>
        </w:tc>
      </w:tr>
      <w:tr w:rsidR="00A31490" w:rsidRPr="004E3F58" w14:paraId="62755758" w14:textId="77777777" w:rsidTr="00720EB3">
        <w:trPr>
          <w:trHeight w:val="300"/>
        </w:trPr>
        <w:tc>
          <w:tcPr>
            <w:tcW w:w="1767" w:type="pct"/>
            <w:tcBorders>
              <w:top w:val="nil"/>
              <w:left w:val="nil"/>
              <w:bottom w:val="nil"/>
              <w:right w:val="nil"/>
            </w:tcBorders>
            <w:shd w:val="clear" w:color="auto" w:fill="FFFFFF"/>
            <w:hideMark/>
          </w:tcPr>
          <w:p w14:paraId="2D3AEADA"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Hispanic or Latino</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8507B6C"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87,404 (17%)</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529BA9FC"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141 (18%)</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38D51AE3"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87,263 (17%)</w:t>
            </w:r>
            <w:r w:rsidRPr="004E3F58">
              <w:rPr>
                <w:rFonts w:ascii="Times New Roman" w:eastAsia="Times New Roman" w:hAnsi="Times New Roman" w:cs="Times New Roman"/>
                <w:color w:val="000000"/>
                <w:kern w:val="0"/>
                <w14:ligatures w14:val="none"/>
              </w:rPr>
              <w:t> </w:t>
            </w:r>
          </w:p>
        </w:tc>
      </w:tr>
      <w:tr w:rsidR="00A31490" w:rsidRPr="004E3F58" w14:paraId="2381267F" w14:textId="77777777" w:rsidTr="00720EB3">
        <w:trPr>
          <w:trHeight w:val="300"/>
        </w:trPr>
        <w:tc>
          <w:tcPr>
            <w:tcW w:w="1767" w:type="pct"/>
            <w:tcBorders>
              <w:top w:val="nil"/>
              <w:left w:val="nil"/>
              <w:bottom w:val="nil"/>
              <w:right w:val="nil"/>
            </w:tcBorders>
            <w:shd w:val="clear" w:color="auto" w:fill="FFFFFF"/>
            <w:hideMark/>
          </w:tcPr>
          <w:p w14:paraId="4AA4C5DA"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Multi-Racial</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E4711D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17,537 (3.4%)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784302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22 (2.8%)</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539551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17,515 (3.4%)</w:t>
            </w:r>
            <w:r w:rsidRPr="004E3F58">
              <w:rPr>
                <w:rFonts w:ascii="Times New Roman" w:eastAsia="Times New Roman" w:hAnsi="Times New Roman" w:cs="Times New Roman"/>
                <w:color w:val="000000"/>
                <w:kern w:val="0"/>
                <w14:ligatures w14:val="none"/>
              </w:rPr>
              <w:t> </w:t>
            </w:r>
          </w:p>
        </w:tc>
      </w:tr>
      <w:tr w:rsidR="00A31490" w:rsidRPr="004E3F58" w14:paraId="378C3650" w14:textId="77777777" w:rsidTr="00720EB3">
        <w:trPr>
          <w:trHeight w:val="300"/>
        </w:trPr>
        <w:tc>
          <w:tcPr>
            <w:tcW w:w="1767" w:type="pct"/>
            <w:tcBorders>
              <w:top w:val="nil"/>
              <w:left w:val="nil"/>
              <w:bottom w:val="nil"/>
              <w:right w:val="nil"/>
            </w:tcBorders>
            <w:shd w:val="clear" w:color="auto" w:fill="FFFFFF"/>
            <w:hideMark/>
          </w:tcPr>
          <w:p w14:paraId="2CAEAE41"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Non-Hispanic Black</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45FBE7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103,405 (20%)</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81AC6A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172 (22%)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644C6D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103,233 (20%)</w:t>
            </w:r>
            <w:r w:rsidRPr="004E3F58">
              <w:rPr>
                <w:rFonts w:ascii="Times New Roman" w:eastAsia="Times New Roman" w:hAnsi="Times New Roman" w:cs="Times New Roman"/>
                <w:color w:val="000000"/>
                <w:kern w:val="0"/>
                <w14:ligatures w14:val="none"/>
              </w:rPr>
              <w:t> </w:t>
            </w:r>
          </w:p>
        </w:tc>
      </w:tr>
      <w:tr w:rsidR="00A31490" w:rsidRPr="004E3F58" w14:paraId="346552D0" w14:textId="77777777" w:rsidTr="00720EB3">
        <w:trPr>
          <w:trHeight w:val="300"/>
        </w:trPr>
        <w:tc>
          <w:tcPr>
            <w:tcW w:w="1767" w:type="pct"/>
            <w:tcBorders>
              <w:top w:val="nil"/>
              <w:left w:val="nil"/>
              <w:bottom w:val="nil"/>
              <w:right w:val="nil"/>
            </w:tcBorders>
            <w:shd w:val="clear" w:color="auto" w:fill="FFFFFF"/>
            <w:hideMark/>
          </w:tcPr>
          <w:p w14:paraId="190C749B"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Other/Native Am Ind/Hawaiian</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DE2141C"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65,773 (13%)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352A39AF"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128 (16%)</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FF3BB4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65,645 (13%)</w:t>
            </w:r>
            <w:r w:rsidRPr="004E3F58">
              <w:rPr>
                <w:rFonts w:ascii="Times New Roman" w:eastAsia="Times New Roman" w:hAnsi="Times New Roman" w:cs="Times New Roman"/>
                <w:color w:val="000000"/>
                <w:kern w:val="0"/>
                <w14:ligatures w14:val="none"/>
              </w:rPr>
              <w:t> </w:t>
            </w:r>
          </w:p>
        </w:tc>
      </w:tr>
      <w:tr w:rsidR="00A31490" w:rsidRPr="004E3F58" w14:paraId="615A5F91" w14:textId="77777777" w:rsidTr="00720EB3">
        <w:trPr>
          <w:trHeight w:val="300"/>
        </w:trPr>
        <w:tc>
          <w:tcPr>
            <w:tcW w:w="1767" w:type="pct"/>
            <w:tcBorders>
              <w:top w:val="nil"/>
              <w:left w:val="nil"/>
              <w:bottom w:val="nil"/>
              <w:right w:val="nil"/>
            </w:tcBorders>
            <w:shd w:val="clear" w:color="auto" w:fill="FFFFFF"/>
            <w:hideMark/>
          </w:tcPr>
          <w:p w14:paraId="2E26C73C"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English not primary language,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0B6223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60,815 (12%)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64A59AB"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114 (14%)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D5E9A8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60,701 (12%)</w:t>
            </w:r>
            <w:r w:rsidRPr="004E3F58">
              <w:rPr>
                <w:rFonts w:ascii="Times New Roman" w:eastAsia="Times New Roman" w:hAnsi="Times New Roman" w:cs="Times New Roman"/>
                <w:color w:val="000000"/>
                <w:kern w:val="0"/>
                <w14:ligatures w14:val="none"/>
              </w:rPr>
              <w:t> </w:t>
            </w:r>
          </w:p>
        </w:tc>
      </w:tr>
      <w:tr w:rsidR="00A31490" w:rsidRPr="004E3F58" w14:paraId="708F60E2" w14:textId="77777777" w:rsidTr="00720EB3">
        <w:trPr>
          <w:trHeight w:val="300"/>
        </w:trPr>
        <w:tc>
          <w:tcPr>
            <w:tcW w:w="1767" w:type="pct"/>
            <w:tcBorders>
              <w:top w:val="nil"/>
              <w:left w:val="nil"/>
              <w:bottom w:val="nil"/>
              <w:right w:val="nil"/>
            </w:tcBorders>
            <w:shd w:val="clear" w:color="auto" w:fill="FFFFFF"/>
            <w:hideMark/>
          </w:tcPr>
          <w:p w14:paraId="63111EB5"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lastRenderedPageBreak/>
              <w:t>Male sex,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2D3E83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281,967 (54%)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36802D0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416 (52%)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E4BE4A4"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281,551 (54%)</w:t>
            </w:r>
            <w:r w:rsidRPr="004E3F58">
              <w:rPr>
                <w:rFonts w:ascii="Times New Roman" w:eastAsia="Times New Roman" w:hAnsi="Times New Roman" w:cs="Times New Roman"/>
                <w:color w:val="000000"/>
                <w:kern w:val="0"/>
                <w14:ligatures w14:val="none"/>
              </w:rPr>
              <w:t> </w:t>
            </w:r>
          </w:p>
        </w:tc>
      </w:tr>
      <w:tr w:rsidR="00A31490" w:rsidRPr="004E3F58" w14:paraId="39730557" w14:textId="77777777" w:rsidTr="00720EB3">
        <w:trPr>
          <w:trHeight w:val="300"/>
        </w:trPr>
        <w:tc>
          <w:tcPr>
            <w:tcW w:w="1767" w:type="pct"/>
            <w:tcBorders>
              <w:top w:val="nil"/>
              <w:left w:val="nil"/>
              <w:bottom w:val="nil"/>
              <w:right w:val="nil"/>
            </w:tcBorders>
            <w:shd w:val="clear" w:color="auto" w:fill="FFFFFF"/>
            <w:hideMark/>
          </w:tcPr>
          <w:p w14:paraId="4784C14D"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ICU-level of care: Cardiovascular,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AF882E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110,924 (21%)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3AC2F99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230 (29%)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4EED51F"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110,694 (21%)</w:t>
            </w:r>
            <w:r w:rsidRPr="004E3F58">
              <w:rPr>
                <w:rFonts w:ascii="Times New Roman" w:eastAsia="Times New Roman" w:hAnsi="Times New Roman" w:cs="Times New Roman"/>
                <w:color w:val="000000"/>
                <w:kern w:val="0"/>
                <w14:ligatures w14:val="none"/>
              </w:rPr>
              <w:t> </w:t>
            </w:r>
          </w:p>
        </w:tc>
      </w:tr>
      <w:tr w:rsidR="00A31490" w:rsidRPr="004E3F58" w14:paraId="637C6993" w14:textId="77777777" w:rsidTr="00720EB3">
        <w:trPr>
          <w:trHeight w:val="300"/>
        </w:trPr>
        <w:tc>
          <w:tcPr>
            <w:tcW w:w="1767" w:type="pct"/>
            <w:tcBorders>
              <w:top w:val="nil"/>
              <w:left w:val="nil"/>
              <w:bottom w:val="nil"/>
              <w:right w:val="nil"/>
            </w:tcBorders>
            <w:shd w:val="clear" w:color="auto" w:fill="FFFFFF"/>
            <w:hideMark/>
          </w:tcPr>
          <w:p w14:paraId="0CA0B6D8"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ICU-level of care: Respiratory,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C9346F3"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201,711 (39%)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915A0E3"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401 (50%)</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1DC9D85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201,310 (39%)</w:t>
            </w:r>
            <w:r w:rsidRPr="004E3F58">
              <w:rPr>
                <w:rFonts w:ascii="Times New Roman" w:eastAsia="Times New Roman" w:hAnsi="Times New Roman" w:cs="Times New Roman"/>
                <w:color w:val="000000"/>
                <w:kern w:val="0"/>
                <w14:ligatures w14:val="none"/>
              </w:rPr>
              <w:t> </w:t>
            </w:r>
          </w:p>
        </w:tc>
      </w:tr>
      <w:tr w:rsidR="00A31490" w:rsidRPr="004E3F58" w14:paraId="3799AF8E" w14:textId="77777777" w:rsidTr="00720EB3">
        <w:trPr>
          <w:trHeight w:val="300"/>
        </w:trPr>
        <w:tc>
          <w:tcPr>
            <w:tcW w:w="1767" w:type="pct"/>
            <w:tcBorders>
              <w:top w:val="nil"/>
              <w:left w:val="nil"/>
              <w:bottom w:val="nil"/>
              <w:right w:val="nil"/>
            </w:tcBorders>
            <w:shd w:val="clear" w:color="auto" w:fill="FFFFFF"/>
            <w:hideMark/>
          </w:tcPr>
          <w:p w14:paraId="36EB178D"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ICU-level of care: Renal replacement therapy,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73F34C5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3,996 (0.8%)</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57C3C64C"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5 (0.6%)</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C9B29A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3,991 (0.8%)</w:t>
            </w:r>
            <w:r w:rsidRPr="004E3F58">
              <w:rPr>
                <w:rFonts w:ascii="Times New Roman" w:eastAsia="Times New Roman" w:hAnsi="Times New Roman" w:cs="Times New Roman"/>
                <w:color w:val="000000"/>
                <w:kern w:val="0"/>
                <w14:ligatures w14:val="none"/>
              </w:rPr>
              <w:t> </w:t>
            </w:r>
          </w:p>
        </w:tc>
      </w:tr>
      <w:tr w:rsidR="00A31490" w:rsidRPr="004E3F58" w14:paraId="2714B2C5" w14:textId="77777777" w:rsidTr="00720EB3">
        <w:trPr>
          <w:trHeight w:val="300"/>
        </w:trPr>
        <w:tc>
          <w:tcPr>
            <w:tcW w:w="1767" w:type="pct"/>
            <w:tcBorders>
              <w:top w:val="nil"/>
              <w:left w:val="nil"/>
              <w:bottom w:val="nil"/>
              <w:right w:val="nil"/>
            </w:tcBorders>
            <w:shd w:val="clear" w:color="auto" w:fill="FFFFFF"/>
            <w:hideMark/>
          </w:tcPr>
          <w:p w14:paraId="1DF0A3CB"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ICU-level of care: Hematologic interventions,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33C867FB"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1,601 (0.3%)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A49DBBB"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 (0.1%)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E7F5CB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1,600 (0.3%)</w:t>
            </w:r>
            <w:r w:rsidRPr="004E3F58">
              <w:rPr>
                <w:rFonts w:ascii="Times New Roman" w:eastAsia="Times New Roman" w:hAnsi="Times New Roman" w:cs="Times New Roman"/>
                <w:color w:val="000000"/>
                <w:kern w:val="0"/>
                <w14:ligatures w14:val="none"/>
              </w:rPr>
              <w:t> </w:t>
            </w:r>
          </w:p>
        </w:tc>
      </w:tr>
      <w:tr w:rsidR="00A31490" w:rsidRPr="004E3F58" w14:paraId="7D3BABB9" w14:textId="77777777" w:rsidTr="00720EB3">
        <w:trPr>
          <w:trHeight w:val="300"/>
        </w:trPr>
        <w:tc>
          <w:tcPr>
            <w:tcW w:w="1767" w:type="pct"/>
            <w:tcBorders>
              <w:top w:val="nil"/>
              <w:left w:val="nil"/>
              <w:bottom w:val="nil"/>
              <w:right w:val="nil"/>
            </w:tcBorders>
            <w:shd w:val="clear" w:color="auto" w:fill="FFFFFF"/>
            <w:hideMark/>
          </w:tcPr>
          <w:p w14:paraId="601B04C2"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ICU-level of care: Neurologic,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792747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3,095 (0.6%)</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188B125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 (0.1%)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A4A3E1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3,094 (0.6%)</w:t>
            </w:r>
            <w:r w:rsidRPr="004E3F58">
              <w:rPr>
                <w:rFonts w:ascii="Times New Roman" w:eastAsia="Times New Roman" w:hAnsi="Times New Roman" w:cs="Times New Roman"/>
                <w:color w:val="000000"/>
                <w:kern w:val="0"/>
                <w14:ligatures w14:val="none"/>
              </w:rPr>
              <w:t> </w:t>
            </w:r>
          </w:p>
        </w:tc>
      </w:tr>
      <w:tr w:rsidR="00A31490" w:rsidRPr="004E3F58" w14:paraId="056D70BF" w14:textId="77777777" w:rsidTr="00720EB3">
        <w:trPr>
          <w:trHeight w:val="300"/>
        </w:trPr>
        <w:tc>
          <w:tcPr>
            <w:tcW w:w="1767" w:type="pct"/>
            <w:tcBorders>
              <w:top w:val="nil"/>
              <w:left w:val="nil"/>
              <w:bottom w:val="nil"/>
              <w:right w:val="nil"/>
            </w:tcBorders>
            <w:shd w:val="clear" w:color="auto" w:fill="FFFFFF"/>
            <w:hideMark/>
          </w:tcPr>
          <w:p w14:paraId="7537D615"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Number of organs requiring ICU-level of care,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7A1CE9D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24329C8"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5A6A75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14:ligatures w14:val="none"/>
              </w:rPr>
              <w:t> </w:t>
            </w:r>
          </w:p>
        </w:tc>
      </w:tr>
      <w:tr w:rsidR="00A31490" w:rsidRPr="004E3F58" w14:paraId="7DAB026E" w14:textId="77777777" w:rsidTr="00720EB3">
        <w:trPr>
          <w:trHeight w:val="300"/>
        </w:trPr>
        <w:tc>
          <w:tcPr>
            <w:tcW w:w="1767" w:type="pct"/>
            <w:tcBorders>
              <w:top w:val="nil"/>
              <w:left w:val="nil"/>
              <w:bottom w:val="nil"/>
              <w:right w:val="nil"/>
            </w:tcBorders>
            <w:shd w:val="clear" w:color="auto" w:fill="FFFFFF"/>
            <w:hideMark/>
          </w:tcPr>
          <w:p w14:paraId="528B0A34"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0</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3B135D4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286,826 (55%)</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0EE7EA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342 (43%)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87EA5CB"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286,484 (55%)</w:t>
            </w:r>
            <w:r w:rsidRPr="004E3F58">
              <w:rPr>
                <w:rFonts w:ascii="Times New Roman" w:eastAsia="Times New Roman" w:hAnsi="Times New Roman" w:cs="Times New Roman"/>
                <w:color w:val="000000"/>
                <w:kern w:val="0"/>
                <w14:ligatures w14:val="none"/>
              </w:rPr>
              <w:t> </w:t>
            </w:r>
          </w:p>
        </w:tc>
      </w:tr>
      <w:tr w:rsidR="00A31490" w:rsidRPr="004E3F58" w14:paraId="517A5F65" w14:textId="77777777" w:rsidTr="00720EB3">
        <w:trPr>
          <w:trHeight w:val="300"/>
        </w:trPr>
        <w:tc>
          <w:tcPr>
            <w:tcW w:w="1767" w:type="pct"/>
            <w:tcBorders>
              <w:top w:val="nil"/>
              <w:left w:val="nil"/>
              <w:bottom w:val="nil"/>
              <w:right w:val="nil"/>
            </w:tcBorders>
            <w:shd w:val="clear" w:color="auto" w:fill="FFFFFF"/>
            <w:hideMark/>
          </w:tcPr>
          <w:p w14:paraId="2489442D"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10942E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147,567 (28%)</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1B582F2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272 (34%)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115841F"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147,295 (28%)</w:t>
            </w:r>
            <w:r w:rsidRPr="004E3F58">
              <w:rPr>
                <w:rFonts w:ascii="Times New Roman" w:eastAsia="Times New Roman" w:hAnsi="Times New Roman" w:cs="Times New Roman"/>
                <w:color w:val="000000"/>
                <w:kern w:val="0"/>
                <w14:ligatures w14:val="none"/>
              </w:rPr>
              <w:t> </w:t>
            </w:r>
          </w:p>
        </w:tc>
      </w:tr>
      <w:tr w:rsidR="00A31490" w:rsidRPr="004E3F58" w14:paraId="2CDCDFAF" w14:textId="77777777" w:rsidTr="00720EB3">
        <w:trPr>
          <w:trHeight w:val="300"/>
        </w:trPr>
        <w:tc>
          <w:tcPr>
            <w:tcW w:w="1767" w:type="pct"/>
            <w:tcBorders>
              <w:top w:val="nil"/>
              <w:left w:val="nil"/>
              <w:bottom w:val="nil"/>
              <w:right w:val="nil"/>
            </w:tcBorders>
            <w:shd w:val="clear" w:color="auto" w:fill="FFFFFF"/>
            <w:hideMark/>
          </w:tcPr>
          <w:p w14:paraId="5EAA8021"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E02550B"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83,703 (16%)</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A8565C8"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180 (23%)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A9E7AE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83,523 (16%)</w:t>
            </w:r>
            <w:r w:rsidRPr="004E3F58">
              <w:rPr>
                <w:rFonts w:ascii="Times New Roman" w:eastAsia="Times New Roman" w:hAnsi="Times New Roman" w:cs="Times New Roman"/>
                <w:color w:val="000000"/>
                <w:kern w:val="0"/>
                <w14:ligatures w14:val="none"/>
              </w:rPr>
              <w:t> </w:t>
            </w:r>
          </w:p>
        </w:tc>
      </w:tr>
      <w:tr w:rsidR="00A31490" w:rsidRPr="004E3F58" w14:paraId="31717520" w14:textId="77777777" w:rsidTr="00720EB3">
        <w:trPr>
          <w:trHeight w:val="300"/>
        </w:trPr>
        <w:tc>
          <w:tcPr>
            <w:tcW w:w="1767" w:type="pct"/>
            <w:tcBorders>
              <w:top w:val="nil"/>
              <w:left w:val="nil"/>
              <w:bottom w:val="nil"/>
              <w:right w:val="nil"/>
            </w:tcBorders>
            <w:shd w:val="clear" w:color="auto" w:fill="FFFFFF"/>
            <w:hideMark/>
          </w:tcPr>
          <w:p w14:paraId="307DFD3D"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6C68DDA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2,098 (0.4%)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E0B6CD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 (0.3%)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75B379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2,096 (0.4%)</w:t>
            </w:r>
            <w:r w:rsidRPr="004E3F58">
              <w:rPr>
                <w:rFonts w:ascii="Times New Roman" w:eastAsia="Times New Roman" w:hAnsi="Times New Roman" w:cs="Times New Roman"/>
                <w:color w:val="000000"/>
                <w:kern w:val="0"/>
                <w14:ligatures w14:val="none"/>
              </w:rPr>
              <w:t> </w:t>
            </w:r>
          </w:p>
        </w:tc>
      </w:tr>
      <w:tr w:rsidR="00A31490" w:rsidRPr="004E3F58" w14:paraId="03A776CD" w14:textId="77777777" w:rsidTr="00720EB3">
        <w:trPr>
          <w:trHeight w:val="300"/>
        </w:trPr>
        <w:tc>
          <w:tcPr>
            <w:tcW w:w="1767" w:type="pct"/>
            <w:tcBorders>
              <w:top w:val="nil"/>
              <w:left w:val="nil"/>
              <w:bottom w:val="nil"/>
              <w:right w:val="nil"/>
            </w:tcBorders>
            <w:shd w:val="clear" w:color="auto" w:fill="FFFFFF"/>
            <w:hideMark/>
          </w:tcPr>
          <w:p w14:paraId="68A72676" w14:textId="77777777" w:rsidR="00A31490" w:rsidRPr="004E3F58" w:rsidRDefault="00A31490" w:rsidP="00720EB3">
            <w:pPr>
              <w:spacing w:line="480" w:lineRule="auto"/>
              <w:ind w:left="30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6F7B74E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15 (&lt;0.1%)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E409B4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0 (0%)</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3F92F40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15 (&lt;0.1%)</w:t>
            </w:r>
            <w:r w:rsidRPr="004E3F58">
              <w:rPr>
                <w:rFonts w:ascii="Times New Roman" w:eastAsia="Times New Roman" w:hAnsi="Times New Roman" w:cs="Times New Roman"/>
                <w:color w:val="000000"/>
                <w:kern w:val="0"/>
                <w14:ligatures w14:val="none"/>
              </w:rPr>
              <w:t> </w:t>
            </w:r>
          </w:p>
        </w:tc>
      </w:tr>
      <w:tr w:rsidR="00A31490" w:rsidRPr="004E3F58" w14:paraId="49708795" w14:textId="77777777" w:rsidTr="00720EB3">
        <w:trPr>
          <w:trHeight w:val="300"/>
        </w:trPr>
        <w:tc>
          <w:tcPr>
            <w:tcW w:w="1767" w:type="pct"/>
            <w:tcBorders>
              <w:top w:val="nil"/>
              <w:left w:val="nil"/>
              <w:bottom w:val="nil"/>
              <w:right w:val="nil"/>
            </w:tcBorders>
            <w:shd w:val="clear" w:color="auto" w:fill="FFFFFF"/>
            <w:hideMark/>
          </w:tcPr>
          <w:p w14:paraId="4A853EEF"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Any organ system requiring ICU-level of care,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74CC33F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233,383 (45%)</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58F235B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454 (57%)</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5F0477B0"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232,929 (45%)</w:t>
            </w:r>
            <w:r w:rsidRPr="004E3F58">
              <w:rPr>
                <w:rFonts w:ascii="Times New Roman" w:eastAsia="Times New Roman" w:hAnsi="Times New Roman" w:cs="Times New Roman"/>
                <w:color w:val="000000"/>
                <w:kern w:val="0"/>
                <w14:ligatures w14:val="none"/>
              </w:rPr>
              <w:t> </w:t>
            </w:r>
          </w:p>
        </w:tc>
      </w:tr>
      <w:tr w:rsidR="00A31490" w:rsidRPr="004E3F58" w14:paraId="52BFCEE7" w14:textId="77777777" w:rsidTr="00720EB3">
        <w:trPr>
          <w:trHeight w:val="300"/>
        </w:trPr>
        <w:tc>
          <w:tcPr>
            <w:tcW w:w="1767" w:type="pct"/>
            <w:tcBorders>
              <w:top w:val="nil"/>
              <w:left w:val="nil"/>
              <w:bottom w:val="nil"/>
              <w:right w:val="nil"/>
            </w:tcBorders>
            <w:shd w:val="clear" w:color="auto" w:fill="FFFFFF"/>
            <w:hideMark/>
          </w:tcPr>
          <w:p w14:paraId="7D0E4780"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Consecutive days requiring ICU-level of care, Median (IQR)</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7D9FAA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0 (0, 11)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0729E6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 (0, 34)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832DFC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0 (0, 11)</w:t>
            </w:r>
            <w:r w:rsidRPr="004E3F58">
              <w:rPr>
                <w:rFonts w:ascii="Times New Roman" w:eastAsia="Times New Roman" w:hAnsi="Times New Roman" w:cs="Times New Roman"/>
                <w:color w:val="000000"/>
                <w:kern w:val="0"/>
                <w14:ligatures w14:val="none"/>
              </w:rPr>
              <w:t> </w:t>
            </w:r>
          </w:p>
        </w:tc>
      </w:tr>
      <w:tr w:rsidR="00A31490" w:rsidRPr="004E3F58" w14:paraId="5889B72E" w14:textId="77777777" w:rsidTr="00720EB3">
        <w:trPr>
          <w:trHeight w:val="300"/>
        </w:trPr>
        <w:tc>
          <w:tcPr>
            <w:tcW w:w="1767" w:type="pct"/>
            <w:tcBorders>
              <w:top w:val="nil"/>
              <w:left w:val="nil"/>
              <w:bottom w:val="nil"/>
              <w:right w:val="nil"/>
            </w:tcBorders>
            <w:shd w:val="clear" w:color="auto" w:fill="FFFFFF"/>
            <w:hideMark/>
          </w:tcPr>
          <w:p w14:paraId="23714644"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lastRenderedPageBreak/>
              <w:t>Total days requiring ICU-level of care, Median (IQR)</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4BA16A1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 (0, 24)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A6F772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15 (0, 61)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139FC1C"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 (0, 24)</w:t>
            </w:r>
            <w:r w:rsidRPr="004E3F58">
              <w:rPr>
                <w:rFonts w:ascii="Times New Roman" w:eastAsia="Times New Roman" w:hAnsi="Times New Roman" w:cs="Times New Roman"/>
                <w:color w:val="000000"/>
                <w:kern w:val="0"/>
                <w14:ligatures w14:val="none"/>
              </w:rPr>
              <w:t> </w:t>
            </w:r>
          </w:p>
        </w:tc>
      </w:tr>
      <w:tr w:rsidR="00A31490" w:rsidRPr="004E3F58" w14:paraId="2237743C" w14:textId="77777777" w:rsidTr="00720EB3">
        <w:trPr>
          <w:trHeight w:val="300"/>
        </w:trPr>
        <w:tc>
          <w:tcPr>
            <w:tcW w:w="1767" w:type="pct"/>
            <w:tcBorders>
              <w:top w:val="nil"/>
              <w:left w:val="nil"/>
              <w:bottom w:val="nil"/>
              <w:right w:val="nil"/>
            </w:tcBorders>
            <w:shd w:val="clear" w:color="auto" w:fill="FFFFFF"/>
            <w:hideMark/>
          </w:tcPr>
          <w:p w14:paraId="3645470A" w14:textId="77777777" w:rsidR="00A31490" w:rsidRPr="004E3F58" w:rsidRDefault="00A31490" w:rsidP="00720EB3">
            <w:pPr>
              <w:spacing w:line="480" w:lineRule="auto"/>
              <w:ind w:right="90"/>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shd w:val="clear" w:color="auto" w:fill="E6E6E6"/>
                <w14:ligatures w14:val="none"/>
              </w:rPr>
              <w:t xml:space="preserve"> Catheter</w:t>
            </w:r>
            <w:r w:rsidRPr="004E3F58">
              <w:rPr>
                <w:rFonts w:ascii="Times New Roman" w:eastAsia="Times New Roman" w:hAnsi="Times New Roman" w:cs="Times New Roman"/>
                <w:color w:val="000000"/>
                <w:kern w:val="0"/>
                <w:shd w:val="clear" w:color="auto" w:fill="E6E6E6"/>
                <w14:ligatures w14:val="none"/>
              </w:rPr>
              <w:t xml:space="preserve"> type: Port,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1AC3109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97,974 (19%)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86149E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77 (9.7%)</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575CE7D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97,897 (19%)</w:t>
            </w:r>
            <w:r w:rsidRPr="004E3F58">
              <w:rPr>
                <w:rFonts w:ascii="Times New Roman" w:eastAsia="Times New Roman" w:hAnsi="Times New Roman" w:cs="Times New Roman"/>
                <w:color w:val="000000"/>
                <w:kern w:val="0"/>
                <w14:ligatures w14:val="none"/>
              </w:rPr>
              <w:t> </w:t>
            </w:r>
          </w:p>
        </w:tc>
      </w:tr>
      <w:tr w:rsidR="00A31490" w:rsidRPr="004E3F58" w14:paraId="0671EC1A" w14:textId="77777777" w:rsidTr="00720EB3">
        <w:trPr>
          <w:trHeight w:val="300"/>
        </w:trPr>
        <w:tc>
          <w:tcPr>
            <w:tcW w:w="1767" w:type="pct"/>
            <w:tcBorders>
              <w:top w:val="nil"/>
              <w:left w:val="nil"/>
              <w:bottom w:val="nil"/>
              <w:right w:val="nil"/>
            </w:tcBorders>
            <w:shd w:val="clear" w:color="auto" w:fill="FFFFFF"/>
            <w:hideMark/>
          </w:tcPr>
          <w:p w14:paraId="4472D3B3"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Oncology department,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43052D2"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116,042 (22%)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CE5FF2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136 (17%)</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E7981B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115,906 (22%)</w:t>
            </w:r>
            <w:r w:rsidRPr="004E3F58">
              <w:rPr>
                <w:rFonts w:ascii="Times New Roman" w:eastAsia="Times New Roman" w:hAnsi="Times New Roman" w:cs="Times New Roman"/>
                <w:color w:val="000000"/>
                <w:kern w:val="0"/>
                <w14:ligatures w14:val="none"/>
              </w:rPr>
              <w:t> </w:t>
            </w:r>
          </w:p>
        </w:tc>
      </w:tr>
      <w:tr w:rsidR="00A31490" w:rsidRPr="004E3F58" w14:paraId="0C4C41E0" w14:textId="77777777" w:rsidTr="00720EB3">
        <w:trPr>
          <w:trHeight w:val="300"/>
        </w:trPr>
        <w:tc>
          <w:tcPr>
            <w:tcW w:w="1767" w:type="pct"/>
            <w:tcBorders>
              <w:top w:val="nil"/>
              <w:left w:val="nil"/>
              <w:bottom w:val="nil"/>
              <w:right w:val="nil"/>
            </w:tcBorders>
            <w:shd w:val="clear" w:color="auto" w:fill="FFFFFF"/>
            <w:hideMark/>
          </w:tcPr>
          <w:p w14:paraId="5B7B51C6"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 xml:space="preserve">Dwell time of current central </w:t>
            </w:r>
            <w:r>
              <w:rPr>
                <w:rFonts w:ascii="Times New Roman" w:eastAsia="Times New Roman" w:hAnsi="Times New Roman" w:cs="Times New Roman"/>
                <w:color w:val="000000"/>
                <w:kern w:val="0"/>
                <w:shd w:val="clear" w:color="auto" w:fill="E6E6E6"/>
                <w14:ligatures w14:val="none"/>
              </w:rPr>
              <w:t>catheter</w:t>
            </w:r>
            <w:r w:rsidRPr="004E3F58">
              <w:rPr>
                <w:rFonts w:ascii="Times New Roman" w:eastAsia="Times New Roman" w:hAnsi="Times New Roman" w:cs="Times New Roman"/>
                <w:color w:val="000000"/>
                <w:kern w:val="0"/>
                <w:shd w:val="clear" w:color="auto" w:fill="E6E6E6"/>
                <w14:ligatures w14:val="none"/>
              </w:rPr>
              <w:t>, Median (IQR)</w:t>
            </w:r>
            <w:r w:rsidRPr="004E3F58">
              <w:rPr>
                <w:rFonts w:ascii="Times New Roman" w:eastAsia="Times New Roman" w:hAnsi="Times New Roman" w:cs="Times New Roman"/>
                <w:color w:val="000000"/>
                <w:kern w:val="0"/>
                <w:sz w:val="19"/>
                <w:szCs w:val="19"/>
                <w:shd w:val="clear" w:color="auto" w:fill="E6E6E6"/>
                <w:vertAlign w:val="superscript"/>
                <w14:ligatures w14:val="none"/>
              </w:rPr>
              <w:t>b</w:t>
            </w:r>
            <w:r w:rsidRPr="004E3F58">
              <w:rPr>
                <w:rFonts w:ascii="Times New Roman" w:eastAsia="Times New Roman" w:hAnsi="Times New Roman" w:cs="Times New Roman"/>
                <w:color w:val="000000"/>
                <w:kern w:val="0"/>
                <w:sz w:val="19"/>
                <w:szCs w:val="19"/>
                <w14:ligatures w14:val="none"/>
              </w:rPr>
              <w:t> </w:t>
            </w:r>
          </w:p>
        </w:tc>
        <w:tc>
          <w:tcPr>
            <w:tcW w:w="1074" w:type="pct"/>
            <w:tcBorders>
              <w:top w:val="nil"/>
              <w:left w:val="nil"/>
              <w:bottom w:val="nil"/>
              <w:right w:val="nil"/>
            </w:tcBorders>
            <w:shd w:val="clear" w:color="auto" w:fill="FFFFFF"/>
            <w:hideMark/>
          </w:tcPr>
          <w:p w14:paraId="24FCF8D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 (6, 63)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17E316C4"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27 (11, 71)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DED1BB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 (6, 63)</w:t>
            </w:r>
            <w:r w:rsidRPr="004E3F58">
              <w:rPr>
                <w:rFonts w:ascii="Times New Roman" w:eastAsia="Times New Roman" w:hAnsi="Times New Roman" w:cs="Times New Roman"/>
                <w:color w:val="000000"/>
                <w:kern w:val="0"/>
                <w14:ligatures w14:val="none"/>
              </w:rPr>
              <w:t> </w:t>
            </w:r>
          </w:p>
        </w:tc>
      </w:tr>
      <w:tr w:rsidR="00A31490" w:rsidRPr="004E3F58" w14:paraId="1B783751" w14:textId="77777777" w:rsidTr="00720EB3">
        <w:trPr>
          <w:trHeight w:val="300"/>
        </w:trPr>
        <w:tc>
          <w:tcPr>
            <w:tcW w:w="1767" w:type="pct"/>
            <w:tcBorders>
              <w:top w:val="nil"/>
              <w:left w:val="nil"/>
              <w:bottom w:val="nil"/>
              <w:right w:val="nil"/>
            </w:tcBorders>
            <w:shd w:val="clear" w:color="auto" w:fill="FFFFFF"/>
            <w:hideMark/>
          </w:tcPr>
          <w:p w14:paraId="6487E97E"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 xml:space="preserve">Cumulative inpatient </w:t>
            </w:r>
            <w:r>
              <w:rPr>
                <w:rFonts w:ascii="Times New Roman" w:eastAsia="Times New Roman" w:hAnsi="Times New Roman" w:cs="Times New Roman"/>
                <w:color w:val="000000"/>
                <w:kern w:val="0"/>
                <w:shd w:val="clear" w:color="auto" w:fill="E6E6E6"/>
                <w14:ligatures w14:val="none"/>
              </w:rPr>
              <w:t>catheter</w:t>
            </w:r>
            <w:r w:rsidRPr="004E3F58">
              <w:rPr>
                <w:rFonts w:ascii="Times New Roman" w:eastAsia="Times New Roman" w:hAnsi="Times New Roman" w:cs="Times New Roman"/>
                <w:color w:val="000000"/>
                <w:kern w:val="0"/>
                <w:shd w:val="clear" w:color="auto" w:fill="E6E6E6"/>
                <w14:ligatures w14:val="none"/>
              </w:rPr>
              <w:t xml:space="preserve"> days, Median (IQR)</w:t>
            </w:r>
            <w:r w:rsidRPr="004E3F58">
              <w:rPr>
                <w:rFonts w:ascii="Times New Roman" w:eastAsia="Times New Roman" w:hAnsi="Times New Roman" w:cs="Times New Roman"/>
                <w:color w:val="000000"/>
                <w:kern w:val="0"/>
                <w:sz w:val="19"/>
                <w:szCs w:val="19"/>
                <w:shd w:val="clear" w:color="auto" w:fill="E6E6E6"/>
                <w:vertAlign w:val="superscript"/>
                <w14:ligatures w14:val="none"/>
              </w:rPr>
              <w:t>b</w:t>
            </w:r>
            <w:r w:rsidRPr="004E3F58">
              <w:rPr>
                <w:rFonts w:ascii="Times New Roman" w:eastAsia="Times New Roman" w:hAnsi="Times New Roman" w:cs="Times New Roman"/>
                <w:color w:val="000000"/>
                <w:kern w:val="0"/>
                <w:sz w:val="19"/>
                <w:szCs w:val="19"/>
                <w14:ligatures w14:val="none"/>
              </w:rPr>
              <w:t> </w:t>
            </w:r>
          </w:p>
        </w:tc>
        <w:tc>
          <w:tcPr>
            <w:tcW w:w="1074" w:type="pct"/>
            <w:tcBorders>
              <w:top w:val="nil"/>
              <w:left w:val="nil"/>
              <w:bottom w:val="nil"/>
              <w:right w:val="nil"/>
            </w:tcBorders>
            <w:shd w:val="clear" w:color="auto" w:fill="FFFFFF"/>
            <w:hideMark/>
          </w:tcPr>
          <w:p w14:paraId="4D156CA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16 (5, 45)</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9F703E3"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32 (13, 91)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45CE98B"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16 (5, 45)</w:t>
            </w:r>
            <w:r w:rsidRPr="004E3F58">
              <w:rPr>
                <w:rFonts w:ascii="Times New Roman" w:eastAsia="Times New Roman" w:hAnsi="Times New Roman" w:cs="Times New Roman"/>
                <w:color w:val="000000"/>
                <w:kern w:val="0"/>
                <w14:ligatures w14:val="none"/>
              </w:rPr>
              <w:t> </w:t>
            </w:r>
          </w:p>
        </w:tc>
      </w:tr>
      <w:tr w:rsidR="00A31490" w:rsidRPr="004E3F58" w14:paraId="4C4BCE60" w14:textId="77777777" w:rsidTr="00720EB3">
        <w:trPr>
          <w:trHeight w:val="300"/>
        </w:trPr>
        <w:tc>
          <w:tcPr>
            <w:tcW w:w="1767" w:type="pct"/>
            <w:tcBorders>
              <w:top w:val="nil"/>
              <w:left w:val="nil"/>
              <w:bottom w:val="nil"/>
              <w:right w:val="nil"/>
            </w:tcBorders>
            <w:shd w:val="clear" w:color="auto" w:fill="FFFFFF"/>
            <w:hideMark/>
          </w:tcPr>
          <w:p w14:paraId="6DEECC48"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Ostomy,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7D1FC64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36,206 (7.0%)</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706E08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63 (7.9%)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DE02DD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36,143 (7.0%)</w:t>
            </w:r>
            <w:r w:rsidRPr="004E3F58">
              <w:rPr>
                <w:rFonts w:ascii="Times New Roman" w:eastAsia="Times New Roman" w:hAnsi="Times New Roman" w:cs="Times New Roman"/>
                <w:color w:val="000000"/>
                <w:kern w:val="0"/>
                <w14:ligatures w14:val="none"/>
              </w:rPr>
              <w:t> </w:t>
            </w:r>
          </w:p>
        </w:tc>
      </w:tr>
      <w:tr w:rsidR="00A31490" w:rsidRPr="004E3F58" w14:paraId="5B8A2EA1" w14:textId="77777777" w:rsidTr="00720EB3">
        <w:trPr>
          <w:trHeight w:val="300"/>
        </w:trPr>
        <w:tc>
          <w:tcPr>
            <w:tcW w:w="1767" w:type="pct"/>
            <w:tcBorders>
              <w:top w:val="nil"/>
              <w:left w:val="nil"/>
              <w:bottom w:val="nil"/>
              <w:right w:val="nil"/>
            </w:tcBorders>
            <w:shd w:val="clear" w:color="auto" w:fill="FFFFFF"/>
            <w:hideMark/>
          </w:tcPr>
          <w:p w14:paraId="13390C20"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T</w:t>
            </w:r>
            <w:r w:rsidRPr="004E3F58">
              <w:rPr>
                <w:rFonts w:ascii="Times New Roman" w:eastAsia="Times New Roman" w:hAnsi="Times New Roman" w:cs="Times New Roman"/>
                <w:color w:val="000000"/>
                <w:kern w:val="0"/>
                <w14:ligatures w14:val="none"/>
              </w:rPr>
              <w:t>PN use</w:t>
            </w:r>
            <w:r w:rsidRPr="004E3F58">
              <w:rPr>
                <w:rFonts w:ascii="Times New Roman" w:eastAsia="Times New Roman" w:hAnsi="Times New Roman" w:cs="Times New Roman"/>
                <w:color w:val="000000"/>
                <w:kern w:val="0"/>
                <w:shd w:val="clear" w:color="auto" w:fill="E6E6E6"/>
                <w14:ligatures w14:val="none"/>
              </w:rPr>
              <w:t>,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E92D38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251,653 (48%)</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31C9F32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473 (59%)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2B82FF5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251,180 (48%)</w:t>
            </w:r>
            <w:r w:rsidRPr="004E3F58">
              <w:rPr>
                <w:rFonts w:ascii="Times New Roman" w:eastAsia="Times New Roman" w:hAnsi="Times New Roman" w:cs="Times New Roman"/>
                <w:color w:val="000000"/>
                <w:kern w:val="0"/>
                <w14:ligatures w14:val="none"/>
              </w:rPr>
              <w:t> </w:t>
            </w:r>
          </w:p>
        </w:tc>
      </w:tr>
      <w:tr w:rsidR="00A31490" w:rsidRPr="004E3F58" w14:paraId="36A7D632" w14:textId="77777777" w:rsidTr="00720EB3">
        <w:trPr>
          <w:trHeight w:val="300"/>
        </w:trPr>
        <w:tc>
          <w:tcPr>
            <w:tcW w:w="1767" w:type="pct"/>
            <w:tcBorders>
              <w:top w:val="nil"/>
              <w:left w:val="nil"/>
              <w:bottom w:val="nil"/>
              <w:right w:val="nil"/>
            </w:tcBorders>
            <w:shd w:val="clear" w:color="auto" w:fill="FFFFFF"/>
            <w:hideMark/>
          </w:tcPr>
          <w:p w14:paraId="5F2BACA7"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Behavioral health condition,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298B7E8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123,900 (24%)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781BE2F"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260 (33%)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769F34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123,640 (24%)</w:t>
            </w:r>
            <w:r w:rsidRPr="004E3F58">
              <w:rPr>
                <w:rFonts w:ascii="Times New Roman" w:eastAsia="Times New Roman" w:hAnsi="Times New Roman" w:cs="Times New Roman"/>
                <w:color w:val="000000"/>
                <w:kern w:val="0"/>
                <w14:ligatures w14:val="none"/>
              </w:rPr>
              <w:t> </w:t>
            </w:r>
          </w:p>
        </w:tc>
      </w:tr>
      <w:tr w:rsidR="00A31490" w:rsidRPr="004E3F58" w14:paraId="4DF3B901" w14:textId="77777777" w:rsidTr="00720EB3">
        <w:trPr>
          <w:trHeight w:val="300"/>
        </w:trPr>
        <w:tc>
          <w:tcPr>
            <w:tcW w:w="1767" w:type="pct"/>
            <w:tcBorders>
              <w:top w:val="nil"/>
              <w:left w:val="nil"/>
              <w:bottom w:val="nil"/>
              <w:right w:val="nil"/>
            </w:tcBorders>
            <w:shd w:val="clear" w:color="auto" w:fill="FFFFFF"/>
            <w:hideMark/>
          </w:tcPr>
          <w:p w14:paraId="5FD11481"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Behavioral health safety observer,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730C789E"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8,539 (1.6%)</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07C4AD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19 (2.4%)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7B502DA3"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8,520 (1.6%)</w:t>
            </w:r>
            <w:r w:rsidRPr="004E3F58">
              <w:rPr>
                <w:rFonts w:ascii="Times New Roman" w:eastAsia="Times New Roman" w:hAnsi="Times New Roman" w:cs="Times New Roman"/>
                <w:color w:val="000000"/>
                <w:kern w:val="0"/>
                <w14:ligatures w14:val="none"/>
              </w:rPr>
              <w:t> </w:t>
            </w:r>
          </w:p>
        </w:tc>
      </w:tr>
      <w:tr w:rsidR="00A31490" w:rsidRPr="004E3F58" w14:paraId="75FA71CF" w14:textId="77777777" w:rsidTr="00720EB3">
        <w:trPr>
          <w:trHeight w:val="300"/>
        </w:trPr>
        <w:tc>
          <w:tcPr>
            <w:tcW w:w="1767" w:type="pct"/>
            <w:tcBorders>
              <w:top w:val="nil"/>
              <w:left w:val="nil"/>
              <w:bottom w:val="nil"/>
              <w:right w:val="nil"/>
            </w:tcBorders>
            <w:shd w:val="clear" w:color="auto" w:fill="FFFFFF"/>
            <w:hideMark/>
          </w:tcPr>
          <w:p w14:paraId="1A0D3FB2"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Lymphatic,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09514B7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17,374 (3.3%)</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EC89F66"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73 (9.2%)</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4197C201"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17,301 (3.3%)</w:t>
            </w:r>
            <w:r w:rsidRPr="004E3F58">
              <w:rPr>
                <w:rFonts w:ascii="Times New Roman" w:eastAsia="Times New Roman" w:hAnsi="Times New Roman" w:cs="Times New Roman"/>
                <w:color w:val="000000"/>
                <w:kern w:val="0"/>
                <w14:ligatures w14:val="none"/>
              </w:rPr>
              <w:t> </w:t>
            </w:r>
          </w:p>
        </w:tc>
      </w:tr>
      <w:tr w:rsidR="00A31490" w:rsidRPr="004E3F58" w14:paraId="2530A208" w14:textId="77777777" w:rsidTr="00720EB3">
        <w:trPr>
          <w:trHeight w:val="300"/>
        </w:trPr>
        <w:tc>
          <w:tcPr>
            <w:tcW w:w="1767" w:type="pct"/>
            <w:tcBorders>
              <w:top w:val="nil"/>
              <w:left w:val="nil"/>
              <w:bottom w:val="nil"/>
              <w:right w:val="nil"/>
            </w:tcBorders>
            <w:shd w:val="clear" w:color="auto" w:fill="FFFFFF"/>
            <w:hideMark/>
          </w:tcPr>
          <w:p w14:paraId="23ECFD0D"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Neutropenia, n (%)</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nil"/>
              <w:right w:val="nil"/>
            </w:tcBorders>
            <w:shd w:val="clear" w:color="auto" w:fill="FFFFFF"/>
            <w:hideMark/>
          </w:tcPr>
          <w:p w14:paraId="55B49019"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51,576 (9.9%)</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0B08E7A7"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86 (11%)</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nil"/>
              <w:right w:val="nil"/>
            </w:tcBorders>
            <w:shd w:val="clear" w:color="auto" w:fill="FFFFFF"/>
            <w:hideMark/>
          </w:tcPr>
          <w:p w14:paraId="6FAB999A"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51,490 (9.9%)</w:t>
            </w:r>
            <w:r w:rsidRPr="004E3F58">
              <w:rPr>
                <w:rFonts w:ascii="Times New Roman" w:eastAsia="Times New Roman" w:hAnsi="Times New Roman" w:cs="Times New Roman"/>
                <w:color w:val="000000"/>
                <w:kern w:val="0"/>
                <w14:ligatures w14:val="none"/>
              </w:rPr>
              <w:t> </w:t>
            </w:r>
          </w:p>
        </w:tc>
      </w:tr>
      <w:tr w:rsidR="00A31490" w:rsidRPr="004E3F58" w14:paraId="478480F1" w14:textId="77777777" w:rsidTr="00720EB3">
        <w:trPr>
          <w:trHeight w:val="300"/>
        </w:trPr>
        <w:tc>
          <w:tcPr>
            <w:tcW w:w="1767" w:type="pct"/>
            <w:tcBorders>
              <w:top w:val="nil"/>
              <w:left w:val="nil"/>
              <w:bottom w:val="single" w:sz="6" w:space="0" w:color="000000"/>
              <w:right w:val="nil"/>
            </w:tcBorders>
            <w:shd w:val="clear" w:color="auto" w:fill="FFFFFF"/>
            <w:hideMark/>
          </w:tcPr>
          <w:p w14:paraId="55C4D4C3" w14:textId="77777777" w:rsidR="00A31490" w:rsidRPr="004E3F58" w:rsidRDefault="00A31490" w:rsidP="00720EB3">
            <w:pPr>
              <w:spacing w:line="480" w:lineRule="auto"/>
              <w:ind w:left="90"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Hospital length of stay, Median (IQR)</w:t>
            </w:r>
            <w:r w:rsidRPr="004E3F58">
              <w:rPr>
                <w:rFonts w:ascii="Times New Roman" w:eastAsia="Times New Roman" w:hAnsi="Times New Roman" w:cs="Times New Roman"/>
                <w:color w:val="000000"/>
                <w:kern w:val="0"/>
                <w14:ligatures w14:val="none"/>
              </w:rPr>
              <w:t> </w:t>
            </w:r>
          </w:p>
        </w:tc>
        <w:tc>
          <w:tcPr>
            <w:tcW w:w="1074" w:type="pct"/>
            <w:tcBorders>
              <w:top w:val="nil"/>
              <w:left w:val="nil"/>
              <w:bottom w:val="single" w:sz="6" w:space="0" w:color="000000"/>
              <w:right w:val="nil"/>
            </w:tcBorders>
            <w:shd w:val="clear" w:color="auto" w:fill="FFFFFF"/>
            <w:hideMark/>
          </w:tcPr>
          <w:p w14:paraId="7B231E18"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 (8, 55)</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single" w:sz="6" w:space="0" w:color="000000"/>
              <w:right w:val="nil"/>
            </w:tcBorders>
            <w:shd w:val="clear" w:color="auto" w:fill="FFFFFF"/>
            <w:hideMark/>
          </w:tcPr>
          <w:p w14:paraId="0D467615"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38 (16, 104)</w:t>
            </w:r>
            <w:r w:rsidRPr="004E3F58">
              <w:rPr>
                <w:rFonts w:ascii="Times New Roman" w:eastAsia="Times New Roman" w:hAnsi="Times New Roman" w:cs="Times New Roman"/>
                <w:color w:val="000000"/>
                <w:kern w:val="0"/>
                <w14:ligatures w14:val="none"/>
              </w:rPr>
              <w:t> </w:t>
            </w:r>
          </w:p>
        </w:tc>
        <w:tc>
          <w:tcPr>
            <w:tcW w:w="1080" w:type="pct"/>
            <w:tcBorders>
              <w:top w:val="nil"/>
              <w:left w:val="nil"/>
              <w:bottom w:val="single" w:sz="6" w:space="0" w:color="000000"/>
              <w:right w:val="nil"/>
            </w:tcBorders>
            <w:shd w:val="clear" w:color="auto" w:fill="FFFFFF"/>
            <w:hideMark/>
          </w:tcPr>
          <w:p w14:paraId="632CC4BD" w14:textId="77777777" w:rsidR="00A31490" w:rsidRPr="004E3F58" w:rsidRDefault="00A31490" w:rsidP="00720EB3">
            <w:pPr>
              <w:spacing w:line="480" w:lineRule="auto"/>
              <w:ind w:left="90" w:right="90"/>
              <w:jc w:val="center"/>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hd w:val="clear" w:color="auto" w:fill="E6E6E6"/>
                <w14:ligatures w14:val="none"/>
              </w:rPr>
              <w:t>20 (8, 55)</w:t>
            </w:r>
            <w:r w:rsidRPr="004E3F58">
              <w:rPr>
                <w:rFonts w:ascii="Times New Roman" w:eastAsia="Times New Roman" w:hAnsi="Times New Roman" w:cs="Times New Roman"/>
                <w:color w:val="000000"/>
                <w:kern w:val="0"/>
                <w14:ligatures w14:val="none"/>
              </w:rPr>
              <w:t> </w:t>
            </w:r>
          </w:p>
        </w:tc>
      </w:tr>
      <w:tr w:rsidR="00A31490" w:rsidRPr="004E3F58" w14:paraId="3C9BEC08" w14:textId="77777777" w:rsidTr="00720EB3">
        <w:trPr>
          <w:trHeight w:val="300"/>
        </w:trPr>
        <w:tc>
          <w:tcPr>
            <w:tcW w:w="5000" w:type="pct"/>
            <w:gridSpan w:val="4"/>
            <w:tcBorders>
              <w:top w:val="single" w:sz="6" w:space="0" w:color="000000"/>
              <w:left w:val="nil"/>
              <w:bottom w:val="nil"/>
              <w:right w:val="nil"/>
            </w:tcBorders>
            <w:shd w:val="clear" w:color="auto" w:fill="FFFFFF"/>
            <w:vAlign w:val="center"/>
            <w:hideMark/>
          </w:tcPr>
          <w:p w14:paraId="4153882D" w14:textId="77777777" w:rsidR="00A31490" w:rsidRPr="004E3F58" w:rsidRDefault="00A31490" w:rsidP="00720EB3">
            <w:pPr>
              <w:spacing w:line="480" w:lineRule="auto"/>
              <w:ind w:right="90"/>
              <w:textAlignment w:val="baseline"/>
              <w:rPr>
                <w:rFonts w:ascii="Times New Roman" w:eastAsia="Times New Roman" w:hAnsi="Times New Roman" w:cs="Times New Roman"/>
                <w:kern w:val="0"/>
                <w14:ligatures w14:val="none"/>
              </w:rPr>
            </w:pPr>
            <w:r w:rsidRPr="004E3F58">
              <w:rPr>
                <w:rFonts w:ascii="Times New Roman" w:eastAsia="Times New Roman" w:hAnsi="Times New Roman" w:cs="Times New Roman"/>
                <w:color w:val="000000"/>
                <w:kern w:val="0"/>
                <w:sz w:val="19"/>
                <w:szCs w:val="19"/>
                <w14:ligatures w14:val="none"/>
              </w:rPr>
              <w:t> </w:t>
            </w:r>
          </w:p>
        </w:tc>
      </w:tr>
    </w:tbl>
    <w:p w14:paraId="44BAC5E6" w14:textId="77777777" w:rsidR="00A31490" w:rsidRPr="004E3F58" w:rsidRDefault="00A31490" w:rsidP="00A31490">
      <w:pPr>
        <w:spacing w:line="480" w:lineRule="auto"/>
        <w:ind w:right="90"/>
        <w:textAlignment w:val="baseline"/>
        <w:rPr>
          <w:rFonts w:ascii="Segoe UI" w:eastAsia="Times New Roman" w:hAnsi="Segoe UI" w:cs="Segoe UI"/>
          <w:kern w:val="0"/>
          <w:sz w:val="18"/>
          <w:szCs w:val="18"/>
          <w14:ligatures w14:val="none"/>
        </w:rPr>
      </w:pPr>
      <w:proofErr w:type="spellStart"/>
      <w:r w:rsidRPr="004E3F58">
        <w:rPr>
          <w:rFonts w:ascii="Times New Roman" w:eastAsia="Times New Roman" w:hAnsi="Times New Roman" w:cs="Times New Roman"/>
          <w:color w:val="000000"/>
          <w:kern w:val="0"/>
          <w:sz w:val="19"/>
          <w:szCs w:val="19"/>
          <w:vertAlign w:val="superscript"/>
          <w14:ligatures w14:val="none"/>
        </w:rPr>
        <w:t>a</w:t>
      </w:r>
      <w:r>
        <w:rPr>
          <w:rFonts w:ascii="Times New Roman" w:eastAsia="Times New Roman" w:hAnsi="Times New Roman" w:cs="Times New Roman"/>
          <w:color w:val="000000"/>
          <w:kern w:val="0"/>
          <w14:ligatures w14:val="none"/>
        </w:rPr>
        <w:t>Catheter</w:t>
      </w:r>
      <w:proofErr w:type="spellEnd"/>
      <w:r w:rsidRPr="004E3F58">
        <w:rPr>
          <w:rFonts w:ascii="Times New Roman" w:eastAsia="Times New Roman" w:hAnsi="Times New Roman" w:cs="Times New Roman"/>
          <w:color w:val="000000"/>
          <w:kern w:val="0"/>
          <w14:ligatures w14:val="none"/>
        </w:rPr>
        <w:t xml:space="preserve"> days in the 14 day window post-CLABSI were excluded from overall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days and from CLABSI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days, in alignment with the NHSN repeat infection timeframe (RIT) rule that these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days are not eligible for a new </w:t>
      </w:r>
      <w:proofErr w:type="gramStart"/>
      <w:r w:rsidRPr="004E3F58">
        <w:rPr>
          <w:rFonts w:ascii="Times New Roman" w:eastAsia="Times New Roman" w:hAnsi="Times New Roman" w:cs="Times New Roman"/>
          <w:color w:val="000000"/>
          <w:kern w:val="0"/>
          <w14:ligatures w14:val="none"/>
        </w:rPr>
        <w:t>infection</w:t>
      </w:r>
      <w:proofErr w:type="gramEnd"/>
      <w:r w:rsidRPr="004E3F58">
        <w:rPr>
          <w:rFonts w:ascii="Times New Roman" w:eastAsia="Times New Roman" w:hAnsi="Times New Roman" w:cs="Times New Roman"/>
          <w:color w:val="000000"/>
          <w:kern w:val="0"/>
          <w14:ligatures w14:val="none"/>
        </w:rPr>
        <w:t>  </w:t>
      </w:r>
    </w:p>
    <w:p w14:paraId="33A503D3" w14:textId="5896038E" w:rsidR="000D61BA" w:rsidRPr="00E65144" w:rsidRDefault="00A31490" w:rsidP="00E65144">
      <w:pPr>
        <w:spacing w:line="480" w:lineRule="auto"/>
        <w:ind w:right="90"/>
        <w:textAlignment w:val="baseline"/>
        <w:rPr>
          <w:rFonts w:ascii="Segoe UI" w:eastAsia="Times New Roman" w:hAnsi="Segoe UI" w:cs="Segoe UI"/>
          <w:kern w:val="0"/>
          <w:sz w:val="18"/>
          <w:szCs w:val="18"/>
          <w14:ligatures w14:val="none"/>
        </w:rPr>
      </w:pPr>
      <w:proofErr w:type="spellStart"/>
      <w:r w:rsidRPr="004E3F58">
        <w:rPr>
          <w:rFonts w:ascii="Times New Roman" w:eastAsia="Times New Roman" w:hAnsi="Times New Roman" w:cs="Times New Roman"/>
          <w:color w:val="000000"/>
          <w:kern w:val="0"/>
          <w:sz w:val="19"/>
          <w:szCs w:val="19"/>
          <w:vertAlign w:val="superscript"/>
          <w14:ligatures w14:val="none"/>
        </w:rPr>
        <w:t>b</w:t>
      </w:r>
      <w:r w:rsidRPr="004E3F58">
        <w:rPr>
          <w:rFonts w:ascii="Times New Roman" w:eastAsia="Times New Roman" w:hAnsi="Times New Roman" w:cs="Times New Roman"/>
          <w:color w:val="000000"/>
          <w:kern w:val="0"/>
          <w14:ligatures w14:val="none"/>
        </w:rPr>
        <w:t>For</w:t>
      </w:r>
      <w:proofErr w:type="spellEnd"/>
      <w:r w:rsidRPr="004E3F58">
        <w:rPr>
          <w:rFonts w:ascii="Times New Roman" w:eastAsia="Times New Roman" w:hAnsi="Times New Roman" w:cs="Times New Roman"/>
          <w:color w:val="000000"/>
          <w:kern w:val="0"/>
          <w14:ligatures w14:val="none"/>
        </w:rPr>
        <w:t xml:space="preserve"> each group, dwell time and cumulative inpatient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days were calculated for each </w:t>
      </w:r>
      <w:r>
        <w:rPr>
          <w:rFonts w:ascii="Times New Roman" w:eastAsia="Times New Roman" w:hAnsi="Times New Roman" w:cs="Times New Roman"/>
          <w:color w:val="000000"/>
          <w:kern w:val="0"/>
          <w14:ligatures w14:val="none"/>
        </w:rPr>
        <w:t>catheter</w:t>
      </w:r>
      <w:r w:rsidRPr="004E3F58">
        <w:rPr>
          <w:rFonts w:ascii="Times New Roman" w:eastAsia="Times New Roman" w:hAnsi="Times New Roman" w:cs="Times New Roman"/>
          <w:color w:val="000000"/>
          <w:kern w:val="0"/>
          <w14:ligatures w14:val="none"/>
        </w:rPr>
        <w:t xml:space="preserve"> day included in the group and summed, to calculate the median and IQR </w:t>
      </w:r>
      <w:proofErr w:type="gramStart"/>
      <w:r w:rsidRPr="004E3F58">
        <w:rPr>
          <w:rFonts w:ascii="Times New Roman" w:eastAsia="Times New Roman" w:hAnsi="Times New Roman" w:cs="Times New Roman"/>
          <w:color w:val="000000"/>
          <w:kern w:val="0"/>
          <w14:ligatures w14:val="none"/>
        </w:rPr>
        <w:t>values</w:t>
      </w:r>
      <w:proofErr w:type="gramEnd"/>
      <w:r w:rsidRPr="004E3F58">
        <w:rPr>
          <w:rFonts w:ascii="Times New Roman" w:eastAsia="Times New Roman" w:hAnsi="Times New Roman" w:cs="Times New Roman"/>
          <w:color w:val="000000"/>
          <w:kern w:val="0"/>
          <w14:ligatures w14:val="none"/>
        </w:rPr>
        <w:t>  </w:t>
      </w:r>
    </w:p>
    <w:sectPr w:rsidR="000D61BA" w:rsidRPr="00E65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DD2"/>
    <w:multiLevelType w:val="multilevel"/>
    <w:tmpl w:val="66E2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FC5043"/>
    <w:multiLevelType w:val="multilevel"/>
    <w:tmpl w:val="A3021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930524">
    <w:abstractNumId w:val="0"/>
  </w:num>
  <w:num w:numId="2" w16cid:durableId="1715232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90"/>
    <w:rsid w:val="000134CB"/>
    <w:rsid w:val="00025A94"/>
    <w:rsid w:val="0003121A"/>
    <w:rsid w:val="000573E1"/>
    <w:rsid w:val="00083E3D"/>
    <w:rsid w:val="000D61BA"/>
    <w:rsid w:val="000E4A36"/>
    <w:rsid w:val="00111676"/>
    <w:rsid w:val="001257B3"/>
    <w:rsid w:val="001476F8"/>
    <w:rsid w:val="00150867"/>
    <w:rsid w:val="0016658E"/>
    <w:rsid w:val="001A0026"/>
    <w:rsid w:val="001A1FF5"/>
    <w:rsid w:val="00220A69"/>
    <w:rsid w:val="00251964"/>
    <w:rsid w:val="002738E0"/>
    <w:rsid w:val="002A6715"/>
    <w:rsid w:val="00305DBA"/>
    <w:rsid w:val="003067B7"/>
    <w:rsid w:val="00342899"/>
    <w:rsid w:val="00342BAA"/>
    <w:rsid w:val="00346EAF"/>
    <w:rsid w:val="003E7951"/>
    <w:rsid w:val="0041235F"/>
    <w:rsid w:val="00412E72"/>
    <w:rsid w:val="00437E50"/>
    <w:rsid w:val="00456C5A"/>
    <w:rsid w:val="00466260"/>
    <w:rsid w:val="00476B75"/>
    <w:rsid w:val="00483AEE"/>
    <w:rsid w:val="004967F5"/>
    <w:rsid w:val="004B236A"/>
    <w:rsid w:val="004B2CC3"/>
    <w:rsid w:val="004B53DD"/>
    <w:rsid w:val="004D4B1C"/>
    <w:rsid w:val="004D6083"/>
    <w:rsid w:val="004D6871"/>
    <w:rsid w:val="00506F55"/>
    <w:rsid w:val="00560757"/>
    <w:rsid w:val="00576023"/>
    <w:rsid w:val="005977A7"/>
    <w:rsid w:val="005A1751"/>
    <w:rsid w:val="005E1BD1"/>
    <w:rsid w:val="00632F44"/>
    <w:rsid w:val="00671F5C"/>
    <w:rsid w:val="006E711D"/>
    <w:rsid w:val="0070114D"/>
    <w:rsid w:val="007437D4"/>
    <w:rsid w:val="00795091"/>
    <w:rsid w:val="00795BA0"/>
    <w:rsid w:val="007B08AE"/>
    <w:rsid w:val="007F4099"/>
    <w:rsid w:val="007F5BF4"/>
    <w:rsid w:val="007F60AB"/>
    <w:rsid w:val="0083392A"/>
    <w:rsid w:val="008A31BC"/>
    <w:rsid w:val="00901F40"/>
    <w:rsid w:val="00945E55"/>
    <w:rsid w:val="00965213"/>
    <w:rsid w:val="00980266"/>
    <w:rsid w:val="00993BFB"/>
    <w:rsid w:val="009A6C24"/>
    <w:rsid w:val="009B251A"/>
    <w:rsid w:val="009B3D82"/>
    <w:rsid w:val="009C12B4"/>
    <w:rsid w:val="009C15B4"/>
    <w:rsid w:val="00A11AB7"/>
    <w:rsid w:val="00A31490"/>
    <w:rsid w:val="00A54C6D"/>
    <w:rsid w:val="00A5762D"/>
    <w:rsid w:val="00A774E2"/>
    <w:rsid w:val="00A81FD6"/>
    <w:rsid w:val="00A92032"/>
    <w:rsid w:val="00AA0197"/>
    <w:rsid w:val="00AA0D32"/>
    <w:rsid w:val="00AB395F"/>
    <w:rsid w:val="00AD328F"/>
    <w:rsid w:val="00AE3D99"/>
    <w:rsid w:val="00B05740"/>
    <w:rsid w:val="00B54EA0"/>
    <w:rsid w:val="00BA3F69"/>
    <w:rsid w:val="00BC0E3E"/>
    <w:rsid w:val="00BC1785"/>
    <w:rsid w:val="00BD1F69"/>
    <w:rsid w:val="00C27D70"/>
    <w:rsid w:val="00CA1715"/>
    <w:rsid w:val="00CF1092"/>
    <w:rsid w:val="00D3233E"/>
    <w:rsid w:val="00D368D7"/>
    <w:rsid w:val="00D4124F"/>
    <w:rsid w:val="00D603CC"/>
    <w:rsid w:val="00D6100E"/>
    <w:rsid w:val="00DA44A2"/>
    <w:rsid w:val="00DB1BB6"/>
    <w:rsid w:val="00DB21FC"/>
    <w:rsid w:val="00DE5AC6"/>
    <w:rsid w:val="00DE7E9B"/>
    <w:rsid w:val="00E30406"/>
    <w:rsid w:val="00E36D38"/>
    <w:rsid w:val="00E620A3"/>
    <w:rsid w:val="00E65144"/>
    <w:rsid w:val="00EE0654"/>
    <w:rsid w:val="00F538E6"/>
    <w:rsid w:val="00F87AB9"/>
    <w:rsid w:val="00F938C4"/>
    <w:rsid w:val="00FD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DE46C"/>
  <w15:chartTrackingRefBased/>
  <w15:docId w15:val="{6FBC37C9-6EFA-4644-9A1C-2B477735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90"/>
  </w:style>
  <w:style w:type="paragraph" w:styleId="Heading1">
    <w:name w:val="heading 1"/>
    <w:basedOn w:val="Normal"/>
    <w:next w:val="Normal"/>
    <w:link w:val="Heading1Char"/>
    <w:uiPriority w:val="9"/>
    <w:qFormat/>
    <w:rsid w:val="00A31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4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4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4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4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490"/>
    <w:rPr>
      <w:rFonts w:eastAsiaTheme="majorEastAsia" w:cstheme="majorBidi"/>
      <w:color w:val="272727" w:themeColor="text1" w:themeTint="D8"/>
    </w:rPr>
  </w:style>
  <w:style w:type="paragraph" w:styleId="Title">
    <w:name w:val="Title"/>
    <w:basedOn w:val="Normal"/>
    <w:next w:val="Normal"/>
    <w:link w:val="TitleChar"/>
    <w:uiPriority w:val="10"/>
    <w:qFormat/>
    <w:rsid w:val="00A314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4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4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1490"/>
    <w:rPr>
      <w:i/>
      <w:iCs/>
      <w:color w:val="404040" w:themeColor="text1" w:themeTint="BF"/>
    </w:rPr>
  </w:style>
  <w:style w:type="paragraph" w:styleId="ListParagraph">
    <w:name w:val="List Paragraph"/>
    <w:basedOn w:val="Normal"/>
    <w:uiPriority w:val="34"/>
    <w:qFormat/>
    <w:rsid w:val="00A31490"/>
    <w:pPr>
      <w:ind w:left="720"/>
      <w:contextualSpacing/>
    </w:pPr>
  </w:style>
  <w:style w:type="character" w:styleId="IntenseEmphasis">
    <w:name w:val="Intense Emphasis"/>
    <w:basedOn w:val="DefaultParagraphFont"/>
    <w:uiPriority w:val="21"/>
    <w:qFormat/>
    <w:rsid w:val="00A31490"/>
    <w:rPr>
      <w:i/>
      <w:iCs/>
      <w:color w:val="0F4761" w:themeColor="accent1" w:themeShade="BF"/>
    </w:rPr>
  </w:style>
  <w:style w:type="paragraph" w:styleId="IntenseQuote">
    <w:name w:val="Intense Quote"/>
    <w:basedOn w:val="Normal"/>
    <w:next w:val="Normal"/>
    <w:link w:val="IntenseQuoteChar"/>
    <w:uiPriority w:val="30"/>
    <w:qFormat/>
    <w:rsid w:val="00A31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490"/>
    <w:rPr>
      <w:i/>
      <w:iCs/>
      <w:color w:val="0F4761" w:themeColor="accent1" w:themeShade="BF"/>
    </w:rPr>
  </w:style>
  <w:style w:type="character" w:styleId="IntenseReference">
    <w:name w:val="Intense Reference"/>
    <w:basedOn w:val="DefaultParagraphFont"/>
    <w:uiPriority w:val="32"/>
    <w:qFormat/>
    <w:rsid w:val="00A314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Srinivasan, Lakshmi</dc:creator>
  <cp:keywords/>
  <dc:description/>
  <cp:lastModifiedBy>Srinivasan, Lakshmi</cp:lastModifiedBy>
  <cp:revision>2</cp:revision>
  <dcterms:created xsi:type="dcterms:W3CDTF">2024-05-17T01:18:00Z</dcterms:created>
  <dcterms:modified xsi:type="dcterms:W3CDTF">2024-05-17T01:19:00Z</dcterms:modified>
</cp:coreProperties>
</file>