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80370" w14:textId="77777777" w:rsidR="00B3674C" w:rsidRDefault="00B3674C"/>
    <w:p w14:paraId="572C8CCD" w14:textId="77777777" w:rsidR="00427BB9" w:rsidRDefault="00427BB9"/>
    <w:p w14:paraId="6B4F64F5" w14:textId="691CF732" w:rsidR="00131DC5" w:rsidRPr="00514CEC" w:rsidRDefault="00131DC5" w:rsidP="00131D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1D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Supplemental table. </w:t>
      </w:r>
      <w:r w:rsidRPr="00131DC5">
        <w:rPr>
          <w:rFonts w:ascii="Times New Roman" w:hAnsi="Times New Roman" w:cs="Times New Roman"/>
          <w:color w:val="000000" w:themeColor="text1"/>
          <w:sz w:val="24"/>
          <w:szCs w:val="24"/>
        </w:rPr>
        <w:t>Association Between Functional Status and Environmental Contamination.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060"/>
        <w:gridCol w:w="90"/>
      </w:tblGrid>
      <w:tr w:rsidR="00131DC5" w:rsidRPr="00131DC5" w14:paraId="1CCF0500" w14:textId="77777777" w:rsidTr="00BD428B"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5FE0FFE4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AFBFE"/>
            <w:vAlign w:val="bottom"/>
          </w:tcPr>
          <w:p w14:paraId="55C5B574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31D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Environmental contamination (any one or more tested sites)</w:t>
            </w:r>
          </w:p>
        </w:tc>
      </w:tr>
      <w:tr w:rsidR="00131DC5" w:rsidRPr="00131DC5" w14:paraId="43A2CA33" w14:textId="77777777" w:rsidTr="00BD428B">
        <w:tc>
          <w:tcPr>
            <w:tcW w:w="3240" w:type="dxa"/>
            <w:tcBorders>
              <w:top w:val="single" w:sz="4" w:space="0" w:color="auto"/>
            </w:tcBorders>
          </w:tcPr>
          <w:p w14:paraId="4CFF8D04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31D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Functional status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</w:tcPr>
          <w:p w14:paraId="02D1BF41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1DC5" w:rsidRPr="00131DC5" w14:paraId="111B7596" w14:textId="77777777" w:rsidTr="00BD428B">
        <w:trPr>
          <w:gridAfter w:val="1"/>
          <w:wAfter w:w="90" w:type="dxa"/>
        </w:trPr>
        <w:tc>
          <w:tcPr>
            <w:tcW w:w="3240" w:type="dxa"/>
          </w:tcPr>
          <w:p w14:paraId="5733D919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0" w:type="dxa"/>
          </w:tcPr>
          <w:p w14:paraId="7B1C8B5D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31D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Any MDRO OR (95% CI)</w:t>
            </w:r>
          </w:p>
        </w:tc>
      </w:tr>
      <w:tr w:rsidR="00131DC5" w:rsidRPr="00131DC5" w14:paraId="01750A48" w14:textId="77777777" w:rsidTr="00BD428B">
        <w:tc>
          <w:tcPr>
            <w:tcW w:w="3240" w:type="dxa"/>
            <w:shd w:val="clear" w:color="000000" w:fill="FAFBFE"/>
            <w:vAlign w:val="center"/>
          </w:tcPr>
          <w:p w14:paraId="657AA646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31DC5">
              <w:rPr>
                <w:rFonts w:ascii="Times New Roman" w:hAnsi="Times New Roman" w:cs="Times New Roman"/>
                <w:color w:val="000000" w:themeColor="text1"/>
              </w:rPr>
              <w:t>Independent (n=298)</w:t>
            </w:r>
          </w:p>
        </w:tc>
        <w:tc>
          <w:tcPr>
            <w:tcW w:w="3150" w:type="dxa"/>
            <w:gridSpan w:val="2"/>
            <w:shd w:val="clear" w:color="000000" w:fill="FAFBFE"/>
            <w:vAlign w:val="bottom"/>
          </w:tcPr>
          <w:p w14:paraId="2D49C0C5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31DC5">
              <w:rPr>
                <w:rFonts w:ascii="Times New Roman" w:hAnsi="Times New Roman" w:cs="Times New Roman"/>
                <w:color w:val="000000" w:themeColor="text1"/>
              </w:rPr>
              <w:t>1 (Reference)</w:t>
            </w:r>
          </w:p>
        </w:tc>
      </w:tr>
      <w:tr w:rsidR="00131DC5" w:rsidRPr="00131DC5" w14:paraId="7EA7CAF2" w14:textId="77777777" w:rsidTr="00BD428B">
        <w:tc>
          <w:tcPr>
            <w:tcW w:w="3240" w:type="dxa"/>
            <w:shd w:val="clear" w:color="000000" w:fill="FAFBFE"/>
            <w:vAlign w:val="center"/>
          </w:tcPr>
          <w:p w14:paraId="02180EED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31DC5">
              <w:rPr>
                <w:rFonts w:ascii="Times New Roman" w:hAnsi="Times New Roman" w:cs="Times New Roman"/>
                <w:color w:val="000000" w:themeColor="text1"/>
              </w:rPr>
              <w:t xml:space="preserve">Moderately </w:t>
            </w:r>
            <w:proofErr w:type="gramStart"/>
            <w:r w:rsidRPr="00131DC5">
              <w:rPr>
                <w:rFonts w:ascii="Times New Roman" w:hAnsi="Times New Roman" w:cs="Times New Roman"/>
                <w:color w:val="000000" w:themeColor="text1"/>
              </w:rPr>
              <w:t>dependent  (</w:t>
            </w:r>
            <w:proofErr w:type="gramEnd"/>
            <w:r w:rsidRPr="00131DC5">
              <w:rPr>
                <w:rFonts w:ascii="Times New Roman" w:hAnsi="Times New Roman" w:cs="Times New Roman"/>
                <w:color w:val="000000" w:themeColor="text1"/>
              </w:rPr>
              <w:t>n=45)</w:t>
            </w:r>
          </w:p>
        </w:tc>
        <w:tc>
          <w:tcPr>
            <w:tcW w:w="3150" w:type="dxa"/>
            <w:gridSpan w:val="2"/>
            <w:shd w:val="clear" w:color="000000" w:fill="FAFBFE"/>
            <w:vAlign w:val="bottom"/>
          </w:tcPr>
          <w:p w14:paraId="7001585D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1DC5">
              <w:rPr>
                <w:rFonts w:ascii="Times New Roman" w:hAnsi="Times New Roman" w:cs="Times New Roman"/>
                <w:color w:val="000000" w:themeColor="text1"/>
              </w:rPr>
              <w:t>0.44  (</w:t>
            </w:r>
            <w:proofErr w:type="gramEnd"/>
            <w:r w:rsidRPr="00131DC5">
              <w:rPr>
                <w:rFonts w:ascii="Times New Roman" w:hAnsi="Times New Roman" w:cs="Times New Roman"/>
                <w:color w:val="000000" w:themeColor="text1"/>
              </w:rPr>
              <w:t>0.19 – 1.02)</w:t>
            </w:r>
          </w:p>
        </w:tc>
      </w:tr>
      <w:tr w:rsidR="00131DC5" w:rsidRPr="00131DC5" w14:paraId="3731873E" w14:textId="77777777" w:rsidTr="00BD428B">
        <w:tc>
          <w:tcPr>
            <w:tcW w:w="3240" w:type="dxa"/>
            <w:shd w:val="clear" w:color="000000" w:fill="FAFBFE"/>
            <w:vAlign w:val="center"/>
          </w:tcPr>
          <w:p w14:paraId="0621B1CF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31DC5">
              <w:rPr>
                <w:rFonts w:ascii="Times New Roman" w:hAnsi="Times New Roman" w:cs="Times New Roman"/>
                <w:color w:val="000000" w:themeColor="text1"/>
              </w:rPr>
              <w:t xml:space="preserve">Severely </w:t>
            </w:r>
            <w:proofErr w:type="gramStart"/>
            <w:r w:rsidRPr="00131DC5">
              <w:rPr>
                <w:rFonts w:ascii="Times New Roman" w:hAnsi="Times New Roman" w:cs="Times New Roman"/>
                <w:color w:val="000000" w:themeColor="text1"/>
              </w:rPr>
              <w:t>dependent  (</w:t>
            </w:r>
            <w:proofErr w:type="gramEnd"/>
            <w:r w:rsidRPr="00131DC5">
              <w:rPr>
                <w:rFonts w:ascii="Times New Roman" w:hAnsi="Times New Roman" w:cs="Times New Roman"/>
                <w:color w:val="000000" w:themeColor="text1"/>
              </w:rPr>
              <w:t>n=56)</w:t>
            </w:r>
          </w:p>
        </w:tc>
        <w:tc>
          <w:tcPr>
            <w:tcW w:w="3150" w:type="dxa"/>
            <w:gridSpan w:val="2"/>
            <w:shd w:val="clear" w:color="000000" w:fill="FAFBFE"/>
            <w:vAlign w:val="bottom"/>
          </w:tcPr>
          <w:p w14:paraId="55AF0A78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31DC5">
              <w:rPr>
                <w:rFonts w:ascii="Times New Roman" w:hAnsi="Times New Roman" w:cs="Times New Roman"/>
                <w:color w:val="000000" w:themeColor="text1"/>
              </w:rPr>
              <w:t>1.33 (0.73 – 2.42)</w:t>
            </w:r>
          </w:p>
        </w:tc>
      </w:tr>
      <w:tr w:rsidR="00131DC5" w:rsidRPr="00131DC5" w14:paraId="6BD6638D" w14:textId="77777777" w:rsidTr="00BD428B">
        <w:trPr>
          <w:gridAfter w:val="1"/>
          <w:wAfter w:w="90" w:type="dxa"/>
        </w:trPr>
        <w:tc>
          <w:tcPr>
            <w:tcW w:w="3240" w:type="dxa"/>
          </w:tcPr>
          <w:p w14:paraId="021E33B6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0" w:type="dxa"/>
          </w:tcPr>
          <w:p w14:paraId="5BB28CF4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31D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MRSA OR (95% CI)</w:t>
            </w:r>
          </w:p>
        </w:tc>
      </w:tr>
      <w:tr w:rsidR="00131DC5" w:rsidRPr="00131DC5" w14:paraId="71EB1EFA" w14:textId="77777777" w:rsidTr="00BD428B">
        <w:tc>
          <w:tcPr>
            <w:tcW w:w="3240" w:type="dxa"/>
            <w:shd w:val="clear" w:color="000000" w:fill="FAFBFE"/>
            <w:vAlign w:val="center"/>
          </w:tcPr>
          <w:p w14:paraId="1AB6132F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31DC5">
              <w:rPr>
                <w:rFonts w:ascii="Times New Roman" w:hAnsi="Times New Roman" w:cs="Times New Roman"/>
                <w:color w:val="000000" w:themeColor="text1"/>
              </w:rPr>
              <w:t>Independent (n=298)</w:t>
            </w:r>
          </w:p>
        </w:tc>
        <w:tc>
          <w:tcPr>
            <w:tcW w:w="3150" w:type="dxa"/>
            <w:gridSpan w:val="2"/>
            <w:shd w:val="clear" w:color="000000" w:fill="FAFBFE"/>
            <w:vAlign w:val="bottom"/>
          </w:tcPr>
          <w:p w14:paraId="560AA865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31DC5">
              <w:rPr>
                <w:rFonts w:ascii="Times New Roman" w:hAnsi="Times New Roman" w:cs="Times New Roman"/>
                <w:color w:val="000000" w:themeColor="text1"/>
              </w:rPr>
              <w:t>1 (Reference)</w:t>
            </w:r>
          </w:p>
        </w:tc>
      </w:tr>
      <w:tr w:rsidR="00131DC5" w:rsidRPr="00131DC5" w14:paraId="53A409B4" w14:textId="77777777" w:rsidTr="00BD428B">
        <w:tc>
          <w:tcPr>
            <w:tcW w:w="3240" w:type="dxa"/>
            <w:shd w:val="clear" w:color="000000" w:fill="FAFBFE"/>
            <w:vAlign w:val="center"/>
          </w:tcPr>
          <w:p w14:paraId="6410596D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31DC5">
              <w:rPr>
                <w:rFonts w:ascii="Times New Roman" w:hAnsi="Times New Roman" w:cs="Times New Roman"/>
                <w:color w:val="000000" w:themeColor="text1"/>
              </w:rPr>
              <w:t xml:space="preserve">Moderately </w:t>
            </w:r>
            <w:proofErr w:type="gramStart"/>
            <w:r w:rsidRPr="00131DC5">
              <w:rPr>
                <w:rFonts w:ascii="Times New Roman" w:hAnsi="Times New Roman" w:cs="Times New Roman"/>
                <w:color w:val="000000" w:themeColor="text1"/>
              </w:rPr>
              <w:t>dependent  (</w:t>
            </w:r>
            <w:proofErr w:type="gramEnd"/>
            <w:r w:rsidRPr="00131DC5">
              <w:rPr>
                <w:rFonts w:ascii="Times New Roman" w:hAnsi="Times New Roman" w:cs="Times New Roman"/>
                <w:color w:val="000000" w:themeColor="text1"/>
              </w:rPr>
              <w:t>n=45)</w:t>
            </w:r>
          </w:p>
        </w:tc>
        <w:tc>
          <w:tcPr>
            <w:tcW w:w="3150" w:type="dxa"/>
            <w:gridSpan w:val="2"/>
            <w:shd w:val="clear" w:color="000000" w:fill="FAFBFE"/>
            <w:vAlign w:val="bottom"/>
          </w:tcPr>
          <w:p w14:paraId="62438722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31DC5">
              <w:rPr>
                <w:rFonts w:ascii="Times New Roman" w:hAnsi="Times New Roman" w:cs="Times New Roman"/>
                <w:color w:val="000000" w:themeColor="text1"/>
              </w:rPr>
              <w:t>0.23 (0.04 – 2.06)</w:t>
            </w:r>
          </w:p>
        </w:tc>
      </w:tr>
      <w:tr w:rsidR="00131DC5" w:rsidRPr="00131DC5" w14:paraId="385AC76C" w14:textId="77777777" w:rsidTr="00BD428B">
        <w:tc>
          <w:tcPr>
            <w:tcW w:w="3240" w:type="dxa"/>
            <w:shd w:val="clear" w:color="000000" w:fill="FAFBFE"/>
            <w:vAlign w:val="center"/>
          </w:tcPr>
          <w:p w14:paraId="57151CE0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31DC5">
              <w:rPr>
                <w:rFonts w:ascii="Times New Roman" w:hAnsi="Times New Roman" w:cs="Times New Roman"/>
                <w:color w:val="000000" w:themeColor="text1"/>
              </w:rPr>
              <w:t xml:space="preserve">Severely </w:t>
            </w:r>
            <w:proofErr w:type="gramStart"/>
            <w:r w:rsidRPr="00131DC5">
              <w:rPr>
                <w:rFonts w:ascii="Times New Roman" w:hAnsi="Times New Roman" w:cs="Times New Roman"/>
                <w:color w:val="000000" w:themeColor="text1"/>
              </w:rPr>
              <w:t>dependent  (</w:t>
            </w:r>
            <w:proofErr w:type="gramEnd"/>
            <w:r w:rsidRPr="00131DC5">
              <w:rPr>
                <w:rFonts w:ascii="Times New Roman" w:hAnsi="Times New Roman" w:cs="Times New Roman"/>
                <w:color w:val="000000" w:themeColor="text1"/>
              </w:rPr>
              <w:t>n=56)</w:t>
            </w:r>
          </w:p>
        </w:tc>
        <w:tc>
          <w:tcPr>
            <w:tcW w:w="3150" w:type="dxa"/>
            <w:gridSpan w:val="2"/>
            <w:shd w:val="clear" w:color="000000" w:fill="FAFBFE"/>
            <w:vAlign w:val="bottom"/>
          </w:tcPr>
          <w:p w14:paraId="60019916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31DC5">
              <w:rPr>
                <w:rFonts w:ascii="Times New Roman" w:hAnsi="Times New Roman" w:cs="Times New Roman"/>
                <w:color w:val="000000" w:themeColor="text1"/>
              </w:rPr>
              <w:t>2.60** (1.16 – 5.82)</w:t>
            </w:r>
          </w:p>
        </w:tc>
      </w:tr>
      <w:tr w:rsidR="00131DC5" w:rsidRPr="00131DC5" w14:paraId="758CEBD2" w14:textId="77777777" w:rsidTr="00BD428B">
        <w:trPr>
          <w:gridAfter w:val="1"/>
          <w:wAfter w:w="90" w:type="dxa"/>
        </w:trPr>
        <w:tc>
          <w:tcPr>
            <w:tcW w:w="3240" w:type="dxa"/>
          </w:tcPr>
          <w:p w14:paraId="0DA13954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0" w:type="dxa"/>
          </w:tcPr>
          <w:p w14:paraId="7D20FCBD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31D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VRE OR (95% CI)</w:t>
            </w:r>
          </w:p>
        </w:tc>
      </w:tr>
      <w:tr w:rsidR="00131DC5" w:rsidRPr="00131DC5" w14:paraId="76C650DD" w14:textId="77777777" w:rsidTr="00BD428B">
        <w:tc>
          <w:tcPr>
            <w:tcW w:w="3240" w:type="dxa"/>
            <w:shd w:val="clear" w:color="000000" w:fill="FAFBFE"/>
            <w:vAlign w:val="center"/>
          </w:tcPr>
          <w:p w14:paraId="3A3FDF96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31DC5">
              <w:rPr>
                <w:rFonts w:ascii="Times New Roman" w:hAnsi="Times New Roman" w:cs="Times New Roman"/>
                <w:color w:val="000000" w:themeColor="text1"/>
              </w:rPr>
              <w:t>Independent (n=298)</w:t>
            </w:r>
          </w:p>
        </w:tc>
        <w:tc>
          <w:tcPr>
            <w:tcW w:w="3150" w:type="dxa"/>
            <w:gridSpan w:val="2"/>
            <w:shd w:val="clear" w:color="000000" w:fill="FAFBFE"/>
            <w:vAlign w:val="bottom"/>
          </w:tcPr>
          <w:p w14:paraId="3F71408E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31DC5">
              <w:rPr>
                <w:rFonts w:ascii="Times New Roman" w:hAnsi="Times New Roman" w:cs="Times New Roman"/>
                <w:color w:val="000000" w:themeColor="text1"/>
              </w:rPr>
              <w:t>1 (Reference)</w:t>
            </w:r>
          </w:p>
        </w:tc>
      </w:tr>
      <w:tr w:rsidR="00131DC5" w:rsidRPr="00131DC5" w14:paraId="3422EDCA" w14:textId="77777777" w:rsidTr="00BD428B">
        <w:tc>
          <w:tcPr>
            <w:tcW w:w="3240" w:type="dxa"/>
            <w:shd w:val="clear" w:color="000000" w:fill="FAFBFE"/>
            <w:vAlign w:val="center"/>
          </w:tcPr>
          <w:p w14:paraId="311920DA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31DC5">
              <w:rPr>
                <w:rFonts w:ascii="Times New Roman" w:hAnsi="Times New Roman" w:cs="Times New Roman"/>
                <w:color w:val="000000" w:themeColor="text1"/>
              </w:rPr>
              <w:t xml:space="preserve">Moderately </w:t>
            </w:r>
            <w:proofErr w:type="gramStart"/>
            <w:r w:rsidRPr="00131DC5">
              <w:rPr>
                <w:rFonts w:ascii="Times New Roman" w:hAnsi="Times New Roman" w:cs="Times New Roman"/>
                <w:color w:val="000000" w:themeColor="text1"/>
              </w:rPr>
              <w:t>dependent  (</w:t>
            </w:r>
            <w:proofErr w:type="gramEnd"/>
            <w:r w:rsidRPr="00131DC5">
              <w:rPr>
                <w:rFonts w:ascii="Times New Roman" w:hAnsi="Times New Roman" w:cs="Times New Roman"/>
                <w:color w:val="000000" w:themeColor="text1"/>
              </w:rPr>
              <w:t>n=45)</w:t>
            </w:r>
          </w:p>
        </w:tc>
        <w:tc>
          <w:tcPr>
            <w:tcW w:w="3150" w:type="dxa"/>
            <w:gridSpan w:val="2"/>
            <w:shd w:val="clear" w:color="000000" w:fill="FAFBFE"/>
            <w:vAlign w:val="bottom"/>
          </w:tcPr>
          <w:p w14:paraId="2C0E1AB2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31DC5">
              <w:rPr>
                <w:rFonts w:ascii="Times New Roman" w:hAnsi="Times New Roman" w:cs="Times New Roman"/>
                <w:color w:val="000000" w:themeColor="text1"/>
              </w:rPr>
              <w:t>1.29 (0.42 – 3.94)</w:t>
            </w:r>
          </w:p>
        </w:tc>
      </w:tr>
      <w:tr w:rsidR="00131DC5" w:rsidRPr="00131DC5" w14:paraId="33B31120" w14:textId="77777777" w:rsidTr="00BD428B">
        <w:tc>
          <w:tcPr>
            <w:tcW w:w="3240" w:type="dxa"/>
            <w:shd w:val="clear" w:color="000000" w:fill="FAFBFE"/>
            <w:vAlign w:val="center"/>
          </w:tcPr>
          <w:p w14:paraId="3B093108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31DC5">
              <w:rPr>
                <w:rFonts w:ascii="Times New Roman" w:hAnsi="Times New Roman" w:cs="Times New Roman"/>
                <w:color w:val="000000" w:themeColor="text1"/>
              </w:rPr>
              <w:t xml:space="preserve">Severely </w:t>
            </w:r>
            <w:proofErr w:type="gramStart"/>
            <w:r w:rsidRPr="00131DC5">
              <w:rPr>
                <w:rFonts w:ascii="Times New Roman" w:hAnsi="Times New Roman" w:cs="Times New Roman"/>
                <w:color w:val="000000" w:themeColor="text1"/>
              </w:rPr>
              <w:t>dependent  (</w:t>
            </w:r>
            <w:proofErr w:type="gramEnd"/>
            <w:r w:rsidRPr="00131DC5">
              <w:rPr>
                <w:rFonts w:ascii="Times New Roman" w:hAnsi="Times New Roman" w:cs="Times New Roman"/>
                <w:color w:val="000000" w:themeColor="text1"/>
              </w:rPr>
              <w:t>n=56)</w:t>
            </w:r>
          </w:p>
        </w:tc>
        <w:tc>
          <w:tcPr>
            <w:tcW w:w="3150" w:type="dxa"/>
            <w:gridSpan w:val="2"/>
            <w:shd w:val="clear" w:color="000000" w:fill="FAFBFE"/>
            <w:vAlign w:val="bottom"/>
          </w:tcPr>
          <w:p w14:paraId="6AAAC0CB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31DC5">
              <w:rPr>
                <w:rFonts w:ascii="Times New Roman" w:hAnsi="Times New Roman" w:cs="Times New Roman"/>
                <w:color w:val="000000" w:themeColor="text1"/>
              </w:rPr>
              <w:t>1.88 (0.76 – 4.67)</w:t>
            </w:r>
          </w:p>
        </w:tc>
      </w:tr>
      <w:tr w:rsidR="00131DC5" w:rsidRPr="00131DC5" w14:paraId="5393C6D4" w14:textId="77777777" w:rsidTr="00BD428B">
        <w:trPr>
          <w:gridAfter w:val="1"/>
          <w:wAfter w:w="90" w:type="dxa"/>
        </w:trPr>
        <w:tc>
          <w:tcPr>
            <w:tcW w:w="3240" w:type="dxa"/>
          </w:tcPr>
          <w:p w14:paraId="77A4C93F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0" w:type="dxa"/>
          </w:tcPr>
          <w:p w14:paraId="07C960D0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31D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RGNB OR (95% CI)</w:t>
            </w:r>
          </w:p>
        </w:tc>
      </w:tr>
      <w:tr w:rsidR="00131DC5" w:rsidRPr="00131DC5" w14:paraId="298E5BE3" w14:textId="77777777" w:rsidTr="00BD428B">
        <w:tc>
          <w:tcPr>
            <w:tcW w:w="3240" w:type="dxa"/>
            <w:shd w:val="clear" w:color="000000" w:fill="FAFBFE"/>
            <w:vAlign w:val="center"/>
          </w:tcPr>
          <w:p w14:paraId="673FA6DA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31DC5">
              <w:rPr>
                <w:rFonts w:ascii="Times New Roman" w:hAnsi="Times New Roman" w:cs="Times New Roman"/>
                <w:color w:val="000000" w:themeColor="text1"/>
              </w:rPr>
              <w:t>Independent (n=298)</w:t>
            </w:r>
          </w:p>
        </w:tc>
        <w:tc>
          <w:tcPr>
            <w:tcW w:w="3150" w:type="dxa"/>
            <w:gridSpan w:val="2"/>
            <w:shd w:val="clear" w:color="000000" w:fill="FAFBFE"/>
            <w:vAlign w:val="bottom"/>
          </w:tcPr>
          <w:p w14:paraId="0FF0F25C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31DC5">
              <w:rPr>
                <w:rFonts w:ascii="Times New Roman" w:hAnsi="Times New Roman" w:cs="Times New Roman"/>
                <w:color w:val="000000" w:themeColor="text1"/>
              </w:rPr>
              <w:t>1 (Reference)</w:t>
            </w:r>
          </w:p>
        </w:tc>
      </w:tr>
      <w:tr w:rsidR="00131DC5" w:rsidRPr="00131DC5" w14:paraId="1918E04A" w14:textId="77777777" w:rsidTr="00BD428B">
        <w:tc>
          <w:tcPr>
            <w:tcW w:w="3240" w:type="dxa"/>
            <w:tcBorders>
              <w:bottom w:val="nil"/>
            </w:tcBorders>
            <w:shd w:val="clear" w:color="000000" w:fill="FAFBFE"/>
            <w:vAlign w:val="center"/>
          </w:tcPr>
          <w:p w14:paraId="5567CA3D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31DC5">
              <w:rPr>
                <w:rFonts w:ascii="Times New Roman" w:hAnsi="Times New Roman" w:cs="Times New Roman"/>
                <w:color w:val="000000" w:themeColor="text1"/>
              </w:rPr>
              <w:t xml:space="preserve">Moderately </w:t>
            </w:r>
            <w:proofErr w:type="gramStart"/>
            <w:r w:rsidRPr="00131DC5">
              <w:rPr>
                <w:rFonts w:ascii="Times New Roman" w:hAnsi="Times New Roman" w:cs="Times New Roman"/>
                <w:color w:val="000000" w:themeColor="text1"/>
              </w:rPr>
              <w:t>dependent  (</w:t>
            </w:r>
            <w:proofErr w:type="gramEnd"/>
            <w:r w:rsidRPr="00131DC5">
              <w:rPr>
                <w:rFonts w:ascii="Times New Roman" w:hAnsi="Times New Roman" w:cs="Times New Roman"/>
                <w:color w:val="000000" w:themeColor="text1"/>
              </w:rPr>
              <w:t>n=45)</w:t>
            </w:r>
          </w:p>
        </w:tc>
        <w:tc>
          <w:tcPr>
            <w:tcW w:w="3150" w:type="dxa"/>
            <w:gridSpan w:val="2"/>
            <w:tcBorders>
              <w:bottom w:val="nil"/>
            </w:tcBorders>
            <w:shd w:val="clear" w:color="000000" w:fill="FAFBFE"/>
            <w:vAlign w:val="bottom"/>
          </w:tcPr>
          <w:p w14:paraId="09C65789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31DC5">
              <w:rPr>
                <w:rFonts w:ascii="Times New Roman" w:hAnsi="Times New Roman" w:cs="Times New Roman"/>
                <w:color w:val="000000" w:themeColor="text1"/>
              </w:rPr>
              <w:t>0.22* (0.05 – 0.96)</w:t>
            </w:r>
          </w:p>
        </w:tc>
      </w:tr>
      <w:tr w:rsidR="00131DC5" w:rsidRPr="00131DC5" w14:paraId="7EE99DFF" w14:textId="77777777" w:rsidTr="00BD428B">
        <w:tc>
          <w:tcPr>
            <w:tcW w:w="3240" w:type="dxa"/>
            <w:tcBorders>
              <w:top w:val="nil"/>
              <w:bottom w:val="single" w:sz="4" w:space="0" w:color="auto"/>
            </w:tcBorders>
            <w:shd w:val="clear" w:color="000000" w:fill="FAFBFE"/>
            <w:vAlign w:val="center"/>
          </w:tcPr>
          <w:p w14:paraId="6A612F3A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31DC5">
              <w:rPr>
                <w:rFonts w:ascii="Times New Roman" w:hAnsi="Times New Roman" w:cs="Times New Roman"/>
                <w:color w:val="000000" w:themeColor="text1"/>
              </w:rPr>
              <w:t xml:space="preserve">Severely </w:t>
            </w:r>
            <w:proofErr w:type="gramStart"/>
            <w:r w:rsidRPr="00131DC5">
              <w:rPr>
                <w:rFonts w:ascii="Times New Roman" w:hAnsi="Times New Roman" w:cs="Times New Roman"/>
                <w:color w:val="000000" w:themeColor="text1"/>
              </w:rPr>
              <w:t>dependent  (</w:t>
            </w:r>
            <w:proofErr w:type="gramEnd"/>
            <w:r w:rsidRPr="00131DC5">
              <w:rPr>
                <w:rFonts w:ascii="Times New Roman" w:hAnsi="Times New Roman" w:cs="Times New Roman"/>
                <w:color w:val="000000" w:themeColor="text1"/>
              </w:rPr>
              <w:t>n=56)</w:t>
            </w:r>
          </w:p>
        </w:tc>
        <w:tc>
          <w:tcPr>
            <w:tcW w:w="3150" w:type="dxa"/>
            <w:gridSpan w:val="2"/>
            <w:tcBorders>
              <w:top w:val="nil"/>
              <w:bottom w:val="single" w:sz="4" w:space="0" w:color="auto"/>
            </w:tcBorders>
            <w:shd w:val="clear" w:color="000000" w:fill="FAFBFE"/>
            <w:vAlign w:val="bottom"/>
          </w:tcPr>
          <w:p w14:paraId="2D5DB4B0" w14:textId="77777777" w:rsidR="00131DC5" w:rsidRPr="00131DC5" w:rsidRDefault="00131DC5" w:rsidP="00BD428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31DC5">
              <w:rPr>
                <w:rFonts w:ascii="Times New Roman" w:hAnsi="Times New Roman" w:cs="Times New Roman"/>
                <w:color w:val="000000" w:themeColor="text1"/>
              </w:rPr>
              <w:t>0.69 (0.30 – 2.06)</w:t>
            </w:r>
          </w:p>
        </w:tc>
      </w:tr>
    </w:tbl>
    <w:p w14:paraId="635F4C93" w14:textId="77777777" w:rsidR="00131DC5" w:rsidRPr="00C9519B" w:rsidRDefault="00131DC5" w:rsidP="00131DC5">
      <w:pPr>
        <w:rPr>
          <w:rFonts w:ascii="Times New Roman" w:hAnsi="Times New Roman" w:cs="Times New Roman"/>
        </w:rPr>
      </w:pPr>
    </w:p>
    <w:p w14:paraId="5A0996DE" w14:textId="77777777" w:rsidR="00131DC5" w:rsidRPr="0097333F" w:rsidRDefault="00131DC5" w:rsidP="00131DC5">
      <w:pPr>
        <w:spacing w:line="480" w:lineRule="auto"/>
        <w:rPr>
          <w:rFonts w:ascii="Times New Roman" w:hAnsi="Times New Roman" w:cs="Times New Roman"/>
        </w:rPr>
      </w:pPr>
      <w:r w:rsidRPr="0097333F">
        <w:rPr>
          <w:rFonts w:ascii="Times New Roman" w:hAnsi="Times New Roman" w:cs="Times New Roman"/>
        </w:rPr>
        <w:t xml:space="preserve">Abbreviations: MDRO, multi-drug resistant organism; RGNB, resistant gram-negative bacteria; MRSA, methicillin-resistant </w:t>
      </w:r>
      <w:r w:rsidRPr="0097333F">
        <w:rPr>
          <w:rFonts w:ascii="Times New Roman" w:hAnsi="Times New Roman" w:cs="Times New Roman"/>
          <w:i/>
          <w:iCs/>
        </w:rPr>
        <w:t>Staphylococcus aureus</w:t>
      </w:r>
      <w:r w:rsidRPr="0097333F">
        <w:rPr>
          <w:rFonts w:ascii="Times New Roman" w:hAnsi="Times New Roman" w:cs="Times New Roman"/>
        </w:rPr>
        <w:t xml:space="preserve">; VRE, vancomycin-resistant enterococci. </w:t>
      </w:r>
    </w:p>
    <w:p w14:paraId="50266076" w14:textId="3CED98F7" w:rsidR="00131DC5" w:rsidRDefault="00131DC5" w:rsidP="00131DC5">
      <w:r w:rsidRPr="00C9519B">
        <w:rPr>
          <w:rFonts w:ascii="Times New Roman" w:hAnsi="Times New Roman" w:cs="Times New Roman"/>
        </w:rPr>
        <w:t>OR: odds ratios. 95% CI: 95% confidence intervals; *p&lt;.05; **p&lt;.01.</w:t>
      </w:r>
    </w:p>
    <w:sectPr w:rsidR="00131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D3"/>
    <w:rsid w:val="00131DC5"/>
    <w:rsid w:val="001849D3"/>
    <w:rsid w:val="00427BB9"/>
    <w:rsid w:val="00514CEC"/>
    <w:rsid w:val="006345F5"/>
    <w:rsid w:val="00B3674C"/>
    <w:rsid w:val="00F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C707A"/>
  <w15:chartTrackingRefBased/>
  <w15:docId w15:val="{72A1F687-47ED-4182-A6BF-8A7F2D7D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31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1DC5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1DC5"/>
    <w:rPr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131DC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Medicine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Cassone, Marco</dc:creator>
  <cp:keywords/>
  <dc:description/>
  <cp:lastModifiedBy>Cassone, Marco</cp:lastModifiedBy>
  <cp:revision>2</cp:revision>
  <dcterms:created xsi:type="dcterms:W3CDTF">2024-02-25T23:57:00Z</dcterms:created>
  <dcterms:modified xsi:type="dcterms:W3CDTF">2024-02-25T23:57:00Z</dcterms:modified>
</cp:coreProperties>
</file>