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53" w:type="dxa"/>
        <w:tblLook w:val="04A0" w:firstRow="1" w:lastRow="0" w:firstColumn="1" w:lastColumn="0" w:noHBand="0" w:noVBand="1"/>
      </w:tblPr>
      <w:tblGrid>
        <w:gridCol w:w="3955"/>
        <w:gridCol w:w="6298"/>
      </w:tblGrid>
      <w:tr w:rsidR="00887403" w:rsidRPr="00AE473E" w14:paraId="6B6736E8" w14:textId="77777777" w:rsidTr="00CF5A1F">
        <w:trPr>
          <w:trHeight w:val="358"/>
        </w:trPr>
        <w:tc>
          <w:tcPr>
            <w:tcW w:w="10253" w:type="dxa"/>
            <w:gridSpan w:val="2"/>
          </w:tcPr>
          <w:p w14:paraId="725614C1" w14:textId="2626F4A3" w:rsidR="00887403" w:rsidRPr="00AE473E" w:rsidRDefault="00887403" w:rsidP="002F0B92">
            <w:pPr>
              <w:rPr>
                <w:rFonts w:ascii="Arial" w:hAnsi="Arial" w:cs="Arial"/>
                <w:b/>
                <w:bCs/>
                <w:sz w:val="20"/>
                <w:szCs w:val="20"/>
              </w:rPr>
            </w:pPr>
            <w:r>
              <w:rPr>
                <w:rFonts w:ascii="Arial" w:hAnsi="Arial" w:cs="Arial"/>
                <w:b/>
                <w:bCs/>
                <w:sz w:val="20"/>
                <w:szCs w:val="20"/>
              </w:rPr>
              <w:t>Table.</w:t>
            </w:r>
            <w:r w:rsidRPr="6A682866">
              <w:rPr>
                <w:rFonts w:ascii="Arial" w:hAnsi="Arial" w:cs="Arial"/>
                <w:b/>
                <w:bCs/>
                <w:sz w:val="20"/>
                <w:szCs w:val="20"/>
              </w:rPr>
              <w:t xml:space="preserve"> Healthcare Facility Stakeholders Impacted by Infection Prevention and Control (IPC) Strategies During Pandemic Response</w:t>
            </w:r>
          </w:p>
        </w:tc>
      </w:tr>
      <w:tr w:rsidR="00887403" w:rsidRPr="00AE473E" w14:paraId="3C3850DD" w14:textId="77777777" w:rsidTr="002F0B92">
        <w:trPr>
          <w:trHeight w:val="350"/>
        </w:trPr>
        <w:tc>
          <w:tcPr>
            <w:tcW w:w="3955" w:type="dxa"/>
          </w:tcPr>
          <w:p w14:paraId="71B259CA" w14:textId="77777777" w:rsidR="00887403" w:rsidRPr="00AE473E" w:rsidRDefault="00887403" w:rsidP="002F0B92">
            <w:pPr>
              <w:rPr>
                <w:rFonts w:ascii="Arial" w:hAnsi="Arial" w:cs="Arial"/>
                <w:b/>
                <w:bCs/>
                <w:sz w:val="20"/>
                <w:szCs w:val="20"/>
              </w:rPr>
            </w:pPr>
            <w:r w:rsidRPr="1C78081A">
              <w:rPr>
                <w:rFonts w:ascii="Arial" w:hAnsi="Arial" w:cs="Arial"/>
                <w:b/>
                <w:bCs/>
                <w:sz w:val="20"/>
                <w:szCs w:val="20"/>
              </w:rPr>
              <w:t>Stakeholder</w:t>
            </w:r>
          </w:p>
        </w:tc>
        <w:tc>
          <w:tcPr>
            <w:tcW w:w="6298" w:type="dxa"/>
          </w:tcPr>
          <w:p w14:paraId="622B8FCB" w14:textId="77777777" w:rsidR="00887403" w:rsidRPr="00920ED4" w:rsidRDefault="00887403" w:rsidP="002F0B92">
            <w:pPr>
              <w:rPr>
                <w:rFonts w:ascii="Arial" w:hAnsi="Arial" w:cs="Arial"/>
                <w:b/>
                <w:bCs/>
                <w:sz w:val="20"/>
                <w:szCs w:val="20"/>
              </w:rPr>
            </w:pPr>
            <w:r>
              <w:rPr>
                <w:rFonts w:ascii="Arial" w:hAnsi="Arial" w:cs="Arial"/>
                <w:b/>
                <w:bCs/>
                <w:sz w:val="20"/>
                <w:szCs w:val="20"/>
              </w:rPr>
              <w:t>Examples of IPC Impact</w:t>
            </w:r>
          </w:p>
        </w:tc>
      </w:tr>
      <w:tr w:rsidR="00887403" w:rsidRPr="00AE473E" w14:paraId="47B3083A" w14:textId="77777777" w:rsidTr="002F0B92">
        <w:trPr>
          <w:trHeight w:val="350"/>
        </w:trPr>
        <w:tc>
          <w:tcPr>
            <w:tcW w:w="3955" w:type="dxa"/>
          </w:tcPr>
          <w:p w14:paraId="5782FA43" w14:textId="77777777" w:rsidR="00887403" w:rsidRPr="00AE473E" w:rsidRDefault="00887403" w:rsidP="002F0B92">
            <w:pPr>
              <w:rPr>
                <w:rFonts w:ascii="Arial" w:hAnsi="Arial" w:cs="Arial"/>
                <w:b/>
                <w:bCs/>
                <w:sz w:val="20"/>
                <w:szCs w:val="20"/>
              </w:rPr>
            </w:pPr>
            <w:r>
              <w:rPr>
                <w:rFonts w:ascii="Arial" w:hAnsi="Arial" w:cs="Arial"/>
                <w:b/>
                <w:bCs/>
                <w:sz w:val="20"/>
                <w:szCs w:val="20"/>
              </w:rPr>
              <w:t>Clinical Personnel</w:t>
            </w:r>
          </w:p>
        </w:tc>
        <w:tc>
          <w:tcPr>
            <w:tcW w:w="6298" w:type="dxa"/>
          </w:tcPr>
          <w:p w14:paraId="56C7BD39" w14:textId="77777777" w:rsidR="00887403" w:rsidRPr="00AE473E" w:rsidRDefault="00887403" w:rsidP="002F0B92">
            <w:pPr>
              <w:rPr>
                <w:rFonts w:ascii="Arial" w:hAnsi="Arial" w:cs="Arial"/>
                <w:sz w:val="20"/>
                <w:szCs w:val="20"/>
              </w:rPr>
            </w:pPr>
            <w:r w:rsidRPr="1C78081A">
              <w:rPr>
                <w:rFonts w:ascii="Arial" w:hAnsi="Arial" w:cs="Arial"/>
                <w:sz w:val="20"/>
                <w:szCs w:val="20"/>
              </w:rPr>
              <w:t xml:space="preserve">Clinical protocols, selection and use of PPE, including reuse and extended use, work restrictions, </w:t>
            </w:r>
            <w:r>
              <w:rPr>
                <w:rFonts w:ascii="Arial" w:hAnsi="Arial" w:cs="Arial"/>
                <w:sz w:val="20"/>
                <w:szCs w:val="20"/>
              </w:rPr>
              <w:t xml:space="preserve">and </w:t>
            </w:r>
            <w:r w:rsidRPr="1C78081A">
              <w:rPr>
                <w:rFonts w:ascii="Arial" w:hAnsi="Arial" w:cs="Arial"/>
                <w:sz w:val="20"/>
                <w:szCs w:val="20"/>
              </w:rPr>
              <w:t>visitor restrictions</w:t>
            </w:r>
          </w:p>
        </w:tc>
      </w:tr>
      <w:tr w:rsidR="00887403" w:rsidRPr="00AE473E" w14:paraId="6F7BA0EF" w14:textId="77777777" w:rsidTr="002F0B92">
        <w:trPr>
          <w:trHeight w:val="350"/>
        </w:trPr>
        <w:tc>
          <w:tcPr>
            <w:tcW w:w="3955" w:type="dxa"/>
          </w:tcPr>
          <w:p w14:paraId="3A4F6EB7" w14:textId="77777777" w:rsidR="00887403" w:rsidRPr="00AE473E" w:rsidRDefault="00887403" w:rsidP="002F0B92">
            <w:pPr>
              <w:rPr>
                <w:rFonts w:ascii="Arial" w:hAnsi="Arial" w:cs="Arial"/>
                <w:b/>
                <w:bCs/>
                <w:sz w:val="20"/>
                <w:szCs w:val="20"/>
              </w:rPr>
            </w:pPr>
            <w:r>
              <w:rPr>
                <w:rFonts w:ascii="Arial" w:hAnsi="Arial" w:cs="Arial"/>
                <w:b/>
                <w:bCs/>
                <w:sz w:val="20"/>
                <w:szCs w:val="20"/>
              </w:rPr>
              <w:t>Support Personnel, including Environmental Services</w:t>
            </w:r>
          </w:p>
        </w:tc>
        <w:tc>
          <w:tcPr>
            <w:tcW w:w="6298" w:type="dxa"/>
          </w:tcPr>
          <w:p w14:paraId="14572D90" w14:textId="77777777" w:rsidR="00887403" w:rsidRPr="00AE473E" w:rsidRDefault="00887403" w:rsidP="002F0B92">
            <w:pPr>
              <w:rPr>
                <w:rFonts w:ascii="Arial" w:hAnsi="Arial" w:cs="Arial"/>
                <w:sz w:val="20"/>
                <w:szCs w:val="20"/>
              </w:rPr>
            </w:pPr>
            <w:r w:rsidRPr="2D8DD95F">
              <w:rPr>
                <w:rFonts w:ascii="Arial" w:hAnsi="Arial" w:cs="Arial"/>
                <w:sz w:val="20"/>
                <w:szCs w:val="20"/>
              </w:rPr>
              <w:t>Selection and use of PPE, including reuse and extended use, cleaning and disinfection protocols</w:t>
            </w:r>
          </w:p>
        </w:tc>
      </w:tr>
      <w:tr w:rsidR="00887403" w:rsidRPr="00AE473E" w14:paraId="1E4BD007" w14:textId="77777777" w:rsidTr="002F0B92">
        <w:trPr>
          <w:trHeight w:val="350"/>
        </w:trPr>
        <w:tc>
          <w:tcPr>
            <w:tcW w:w="3955" w:type="dxa"/>
          </w:tcPr>
          <w:p w14:paraId="74D9F6CB" w14:textId="77777777" w:rsidR="00887403" w:rsidRDefault="00887403" w:rsidP="002F0B92">
            <w:pPr>
              <w:rPr>
                <w:rFonts w:ascii="Arial" w:hAnsi="Arial" w:cs="Arial"/>
                <w:b/>
                <w:bCs/>
                <w:sz w:val="20"/>
                <w:szCs w:val="20"/>
              </w:rPr>
            </w:pPr>
            <w:r>
              <w:rPr>
                <w:rFonts w:ascii="Arial" w:hAnsi="Arial" w:cs="Arial"/>
                <w:b/>
                <w:bCs/>
                <w:sz w:val="20"/>
                <w:szCs w:val="20"/>
              </w:rPr>
              <w:t>Infection Prevention and Control staff</w:t>
            </w:r>
          </w:p>
        </w:tc>
        <w:tc>
          <w:tcPr>
            <w:tcW w:w="6298" w:type="dxa"/>
          </w:tcPr>
          <w:p w14:paraId="68DDC141" w14:textId="77777777" w:rsidR="00887403" w:rsidRDefault="00887403" w:rsidP="002F0B92">
            <w:pPr>
              <w:rPr>
                <w:rFonts w:ascii="Arial" w:hAnsi="Arial" w:cs="Arial"/>
                <w:sz w:val="20"/>
                <w:szCs w:val="20"/>
              </w:rPr>
            </w:pPr>
            <w:r w:rsidRPr="2D8DD95F">
              <w:rPr>
                <w:rFonts w:ascii="Arial" w:hAnsi="Arial" w:cs="Arial"/>
                <w:sz w:val="20"/>
                <w:szCs w:val="20"/>
              </w:rPr>
              <w:t>Increase in demand for services including education, training, exposure and contact tracing, surveillance, data management and analysis, coordination with public health</w:t>
            </w:r>
            <w:r>
              <w:rPr>
                <w:rFonts w:ascii="Arial" w:hAnsi="Arial" w:cs="Arial"/>
                <w:sz w:val="20"/>
                <w:szCs w:val="20"/>
              </w:rPr>
              <w:t xml:space="preserve"> (federal, state, local)</w:t>
            </w:r>
          </w:p>
        </w:tc>
      </w:tr>
      <w:tr w:rsidR="00887403" w:rsidRPr="00AE473E" w14:paraId="7BF1AC7B" w14:textId="77777777" w:rsidTr="002F0B92">
        <w:trPr>
          <w:trHeight w:val="350"/>
        </w:trPr>
        <w:tc>
          <w:tcPr>
            <w:tcW w:w="3955" w:type="dxa"/>
          </w:tcPr>
          <w:p w14:paraId="5D786838" w14:textId="77777777" w:rsidR="00887403" w:rsidRPr="00AE473E" w:rsidRDefault="00887403" w:rsidP="002F0B92">
            <w:pPr>
              <w:rPr>
                <w:rFonts w:ascii="Arial" w:hAnsi="Arial" w:cs="Arial"/>
                <w:b/>
                <w:bCs/>
                <w:sz w:val="20"/>
                <w:szCs w:val="20"/>
              </w:rPr>
            </w:pPr>
            <w:r>
              <w:rPr>
                <w:rFonts w:ascii="Arial" w:hAnsi="Arial" w:cs="Arial"/>
                <w:b/>
                <w:bCs/>
                <w:sz w:val="20"/>
                <w:szCs w:val="20"/>
              </w:rPr>
              <w:t>Supply Chain</w:t>
            </w:r>
          </w:p>
        </w:tc>
        <w:tc>
          <w:tcPr>
            <w:tcW w:w="6298" w:type="dxa"/>
          </w:tcPr>
          <w:p w14:paraId="6F4317B7" w14:textId="77777777" w:rsidR="00887403" w:rsidRPr="00AE473E" w:rsidRDefault="00887403" w:rsidP="002F0B92">
            <w:pPr>
              <w:rPr>
                <w:rFonts w:ascii="Arial" w:hAnsi="Arial" w:cs="Arial"/>
                <w:sz w:val="20"/>
                <w:szCs w:val="20"/>
              </w:rPr>
            </w:pPr>
            <w:r>
              <w:rPr>
                <w:rFonts w:ascii="Arial" w:hAnsi="Arial" w:cs="Arial"/>
                <w:sz w:val="20"/>
                <w:szCs w:val="20"/>
              </w:rPr>
              <w:t>Utilization of PPE, cleaning and disinfection supplies, laboratory supplies, as well shortages of single use devices requiring risk assessment to consider reuse</w:t>
            </w:r>
          </w:p>
        </w:tc>
      </w:tr>
      <w:tr w:rsidR="00887403" w:rsidRPr="00AE473E" w14:paraId="41F10049" w14:textId="77777777" w:rsidTr="002F0B92">
        <w:trPr>
          <w:trHeight w:val="350"/>
        </w:trPr>
        <w:tc>
          <w:tcPr>
            <w:tcW w:w="3955" w:type="dxa"/>
          </w:tcPr>
          <w:p w14:paraId="0172E532" w14:textId="77777777" w:rsidR="00887403" w:rsidRDefault="00887403" w:rsidP="002F0B92">
            <w:pPr>
              <w:rPr>
                <w:rFonts w:ascii="Arial" w:hAnsi="Arial" w:cs="Arial"/>
                <w:b/>
                <w:bCs/>
                <w:sz w:val="20"/>
                <w:szCs w:val="20"/>
              </w:rPr>
            </w:pPr>
            <w:r>
              <w:rPr>
                <w:rFonts w:ascii="Arial" w:hAnsi="Arial" w:cs="Arial"/>
                <w:b/>
                <w:bCs/>
                <w:sz w:val="20"/>
                <w:szCs w:val="20"/>
              </w:rPr>
              <w:t>Operations and Finance</w:t>
            </w:r>
          </w:p>
        </w:tc>
        <w:tc>
          <w:tcPr>
            <w:tcW w:w="6298" w:type="dxa"/>
          </w:tcPr>
          <w:p w14:paraId="2FCF620B" w14:textId="77777777" w:rsidR="00887403" w:rsidRPr="00AE473E" w:rsidRDefault="00887403" w:rsidP="002F0B92">
            <w:pPr>
              <w:rPr>
                <w:rFonts w:ascii="Arial" w:hAnsi="Arial" w:cs="Arial"/>
                <w:sz w:val="20"/>
                <w:szCs w:val="20"/>
              </w:rPr>
            </w:pPr>
            <w:r>
              <w:rPr>
                <w:rFonts w:ascii="Arial" w:hAnsi="Arial" w:cs="Arial"/>
                <w:sz w:val="20"/>
                <w:szCs w:val="20"/>
              </w:rPr>
              <w:t xml:space="preserve">Increase in costs to comply with IPC protocols including supplies, labor costs, increase cost of care, increase in length of stay, establishment of alternate care sites including testing and treatment, and potential decrease in revenues due to reduced demand for particular services </w:t>
            </w:r>
          </w:p>
        </w:tc>
      </w:tr>
      <w:tr w:rsidR="00887403" w:rsidRPr="00AE473E" w14:paraId="0A0705CB" w14:textId="77777777" w:rsidTr="002F0B92">
        <w:trPr>
          <w:trHeight w:val="350"/>
        </w:trPr>
        <w:tc>
          <w:tcPr>
            <w:tcW w:w="3955" w:type="dxa"/>
          </w:tcPr>
          <w:p w14:paraId="55A4D004" w14:textId="77777777" w:rsidR="00887403" w:rsidRDefault="00887403" w:rsidP="002F0B92">
            <w:pPr>
              <w:rPr>
                <w:rFonts w:ascii="Arial" w:hAnsi="Arial" w:cs="Arial"/>
                <w:b/>
                <w:bCs/>
                <w:sz w:val="20"/>
                <w:szCs w:val="20"/>
              </w:rPr>
            </w:pPr>
            <w:r>
              <w:rPr>
                <w:rFonts w:ascii="Arial" w:hAnsi="Arial" w:cs="Arial"/>
                <w:b/>
                <w:bCs/>
                <w:sz w:val="20"/>
                <w:szCs w:val="20"/>
              </w:rPr>
              <w:t>Capacity Management</w:t>
            </w:r>
          </w:p>
        </w:tc>
        <w:tc>
          <w:tcPr>
            <w:tcW w:w="6298" w:type="dxa"/>
          </w:tcPr>
          <w:p w14:paraId="2ECD035E" w14:textId="77777777" w:rsidR="00887403" w:rsidRPr="00AE473E" w:rsidRDefault="00887403" w:rsidP="002F0B92">
            <w:pPr>
              <w:rPr>
                <w:rFonts w:ascii="Arial" w:hAnsi="Arial" w:cs="Arial"/>
                <w:sz w:val="20"/>
                <w:szCs w:val="20"/>
              </w:rPr>
            </w:pPr>
            <w:r>
              <w:rPr>
                <w:rFonts w:ascii="Arial" w:hAnsi="Arial" w:cs="Arial"/>
                <w:sz w:val="20"/>
                <w:szCs w:val="20"/>
              </w:rPr>
              <w:t>Infection prevention requirements (e.g., isolation, cohorting) influence on bed availability, length of stay, patient flow</w:t>
            </w:r>
          </w:p>
        </w:tc>
      </w:tr>
      <w:tr w:rsidR="00887403" w:rsidRPr="00AE473E" w14:paraId="6F88034B" w14:textId="77777777" w:rsidTr="002F0B92">
        <w:trPr>
          <w:trHeight w:val="350"/>
        </w:trPr>
        <w:tc>
          <w:tcPr>
            <w:tcW w:w="3955" w:type="dxa"/>
          </w:tcPr>
          <w:p w14:paraId="4A75EBA7" w14:textId="77777777" w:rsidR="00887403" w:rsidRDefault="00887403" w:rsidP="002F0B92">
            <w:pPr>
              <w:rPr>
                <w:rFonts w:ascii="Arial" w:hAnsi="Arial" w:cs="Arial"/>
                <w:b/>
                <w:bCs/>
                <w:sz w:val="20"/>
                <w:szCs w:val="20"/>
              </w:rPr>
            </w:pPr>
            <w:r>
              <w:rPr>
                <w:rFonts w:ascii="Arial" w:hAnsi="Arial" w:cs="Arial"/>
                <w:b/>
                <w:bCs/>
                <w:sz w:val="20"/>
                <w:szCs w:val="20"/>
              </w:rPr>
              <w:t>Laboratory</w:t>
            </w:r>
          </w:p>
        </w:tc>
        <w:tc>
          <w:tcPr>
            <w:tcW w:w="6298" w:type="dxa"/>
          </w:tcPr>
          <w:p w14:paraId="28DE3445" w14:textId="77777777" w:rsidR="00887403" w:rsidRPr="00AE473E" w:rsidRDefault="00887403" w:rsidP="002F0B92">
            <w:pPr>
              <w:rPr>
                <w:rFonts w:ascii="Arial" w:hAnsi="Arial" w:cs="Arial"/>
                <w:sz w:val="20"/>
                <w:szCs w:val="20"/>
              </w:rPr>
            </w:pPr>
            <w:r>
              <w:rPr>
                <w:rFonts w:ascii="Arial" w:hAnsi="Arial" w:cs="Arial"/>
                <w:sz w:val="20"/>
                <w:szCs w:val="20"/>
              </w:rPr>
              <w:t>Increase in demand for screening diagnostics and incorporation of new diagnostics</w:t>
            </w:r>
          </w:p>
        </w:tc>
      </w:tr>
      <w:tr w:rsidR="00887403" w:rsidRPr="00AE473E" w14:paraId="6858245A" w14:textId="77777777" w:rsidTr="002F0B92">
        <w:trPr>
          <w:trHeight w:val="350"/>
        </w:trPr>
        <w:tc>
          <w:tcPr>
            <w:tcW w:w="3955" w:type="dxa"/>
          </w:tcPr>
          <w:p w14:paraId="4FF35858" w14:textId="77777777" w:rsidR="00887403" w:rsidRDefault="00887403" w:rsidP="002F0B92">
            <w:pPr>
              <w:rPr>
                <w:rFonts w:ascii="Arial" w:hAnsi="Arial" w:cs="Arial"/>
                <w:b/>
                <w:bCs/>
                <w:sz w:val="20"/>
                <w:szCs w:val="20"/>
              </w:rPr>
            </w:pPr>
            <w:r>
              <w:rPr>
                <w:rFonts w:ascii="Arial" w:hAnsi="Arial" w:cs="Arial"/>
                <w:b/>
                <w:bCs/>
                <w:sz w:val="20"/>
                <w:szCs w:val="20"/>
              </w:rPr>
              <w:t>Pharmacy and Therapeutics</w:t>
            </w:r>
          </w:p>
        </w:tc>
        <w:tc>
          <w:tcPr>
            <w:tcW w:w="6298" w:type="dxa"/>
          </w:tcPr>
          <w:p w14:paraId="45910ACD" w14:textId="77777777" w:rsidR="00887403" w:rsidRDefault="00887403" w:rsidP="002F0B92">
            <w:pPr>
              <w:rPr>
                <w:rFonts w:ascii="Arial" w:hAnsi="Arial" w:cs="Arial"/>
                <w:sz w:val="20"/>
                <w:szCs w:val="20"/>
              </w:rPr>
            </w:pPr>
            <w:r>
              <w:rPr>
                <w:rFonts w:ascii="Arial" w:hAnsi="Arial" w:cs="Arial"/>
                <w:sz w:val="20"/>
                <w:szCs w:val="20"/>
              </w:rPr>
              <w:t>Increase in demand for IPC input into mitigation of shortages including use of single dose preparations as multi-dose</w:t>
            </w:r>
          </w:p>
        </w:tc>
      </w:tr>
      <w:tr w:rsidR="00887403" w:rsidRPr="00AE473E" w14:paraId="683605F9" w14:textId="77777777" w:rsidTr="002F0B92">
        <w:trPr>
          <w:trHeight w:val="350"/>
        </w:trPr>
        <w:tc>
          <w:tcPr>
            <w:tcW w:w="3955" w:type="dxa"/>
          </w:tcPr>
          <w:p w14:paraId="18776E49" w14:textId="77777777" w:rsidR="00887403" w:rsidRDefault="00887403" w:rsidP="002F0B92">
            <w:pPr>
              <w:rPr>
                <w:rFonts w:ascii="Arial" w:hAnsi="Arial" w:cs="Arial"/>
                <w:b/>
                <w:bCs/>
                <w:sz w:val="20"/>
                <w:szCs w:val="20"/>
              </w:rPr>
            </w:pPr>
            <w:r w:rsidRPr="2D8DD95F">
              <w:rPr>
                <w:rFonts w:ascii="Arial" w:hAnsi="Arial" w:cs="Arial"/>
                <w:b/>
                <w:bCs/>
                <w:sz w:val="20"/>
                <w:szCs w:val="20"/>
              </w:rPr>
              <w:t>Public Affairs</w:t>
            </w:r>
          </w:p>
        </w:tc>
        <w:tc>
          <w:tcPr>
            <w:tcW w:w="6298" w:type="dxa"/>
          </w:tcPr>
          <w:p w14:paraId="38CE94FA" w14:textId="77777777" w:rsidR="00887403" w:rsidRPr="00AE473E" w:rsidRDefault="00887403" w:rsidP="002F0B92">
            <w:pPr>
              <w:rPr>
                <w:rFonts w:ascii="Arial" w:hAnsi="Arial" w:cs="Arial"/>
                <w:sz w:val="20"/>
                <w:szCs w:val="20"/>
              </w:rPr>
            </w:pPr>
            <w:r>
              <w:rPr>
                <w:rFonts w:ascii="Arial" w:hAnsi="Arial" w:cs="Arial"/>
                <w:sz w:val="20"/>
                <w:szCs w:val="20"/>
              </w:rPr>
              <w:t xml:space="preserve">Increase demand for internal and external communication </w:t>
            </w:r>
          </w:p>
        </w:tc>
      </w:tr>
      <w:tr w:rsidR="00887403" w:rsidRPr="00AE473E" w14:paraId="0C3D433D" w14:textId="77777777" w:rsidTr="002F0B92">
        <w:trPr>
          <w:trHeight w:val="350"/>
        </w:trPr>
        <w:tc>
          <w:tcPr>
            <w:tcW w:w="3955" w:type="dxa"/>
          </w:tcPr>
          <w:p w14:paraId="7B900269" w14:textId="77777777" w:rsidR="00887403" w:rsidRDefault="00887403" w:rsidP="002F0B92">
            <w:pPr>
              <w:rPr>
                <w:rFonts w:ascii="Arial" w:hAnsi="Arial" w:cs="Arial"/>
                <w:b/>
                <w:bCs/>
                <w:sz w:val="20"/>
                <w:szCs w:val="20"/>
              </w:rPr>
            </w:pPr>
            <w:r>
              <w:rPr>
                <w:rFonts w:ascii="Arial" w:hAnsi="Arial" w:cs="Arial"/>
                <w:b/>
                <w:bCs/>
                <w:sz w:val="20"/>
                <w:szCs w:val="20"/>
              </w:rPr>
              <w:t>Occupational Health</w:t>
            </w:r>
          </w:p>
        </w:tc>
        <w:tc>
          <w:tcPr>
            <w:tcW w:w="6298" w:type="dxa"/>
          </w:tcPr>
          <w:p w14:paraId="5EB977FE" w14:textId="77777777" w:rsidR="00887403" w:rsidRPr="00AE473E" w:rsidRDefault="00887403" w:rsidP="002F0B92">
            <w:pPr>
              <w:rPr>
                <w:rFonts w:ascii="Arial" w:hAnsi="Arial" w:cs="Arial"/>
                <w:sz w:val="20"/>
                <w:szCs w:val="20"/>
              </w:rPr>
            </w:pPr>
            <w:r w:rsidRPr="2D8DD95F">
              <w:rPr>
                <w:rFonts w:ascii="Arial" w:hAnsi="Arial" w:cs="Arial"/>
                <w:sz w:val="20"/>
                <w:szCs w:val="20"/>
              </w:rPr>
              <w:t>Return to work protocols resulting in increase</w:t>
            </w:r>
            <w:r>
              <w:rPr>
                <w:rFonts w:ascii="Arial" w:hAnsi="Arial" w:cs="Arial"/>
                <w:sz w:val="20"/>
                <w:szCs w:val="20"/>
              </w:rPr>
              <w:t>d</w:t>
            </w:r>
            <w:r w:rsidRPr="2D8DD95F">
              <w:rPr>
                <w:rFonts w:ascii="Arial" w:hAnsi="Arial" w:cs="Arial"/>
                <w:sz w:val="20"/>
                <w:szCs w:val="20"/>
              </w:rPr>
              <w:t xml:space="preserve"> demand in occupational health support of HCP</w:t>
            </w:r>
            <w:r>
              <w:rPr>
                <w:rFonts w:ascii="Arial" w:hAnsi="Arial" w:cs="Arial"/>
                <w:sz w:val="20"/>
                <w:szCs w:val="20"/>
              </w:rPr>
              <w:t>, including, when required by regulators, testing of asymptomatic HCP</w:t>
            </w:r>
          </w:p>
        </w:tc>
      </w:tr>
      <w:tr w:rsidR="00887403" w:rsidRPr="00AE473E" w14:paraId="791A8EAD" w14:textId="77777777" w:rsidTr="002F0B92">
        <w:trPr>
          <w:trHeight w:val="350"/>
        </w:trPr>
        <w:tc>
          <w:tcPr>
            <w:tcW w:w="3955" w:type="dxa"/>
          </w:tcPr>
          <w:p w14:paraId="25492738" w14:textId="77777777" w:rsidR="00887403" w:rsidRDefault="00887403" w:rsidP="002F0B92">
            <w:pPr>
              <w:rPr>
                <w:rFonts w:ascii="Arial" w:hAnsi="Arial" w:cs="Arial"/>
                <w:b/>
                <w:bCs/>
                <w:sz w:val="20"/>
                <w:szCs w:val="20"/>
              </w:rPr>
            </w:pPr>
            <w:r>
              <w:rPr>
                <w:rFonts w:ascii="Arial" w:hAnsi="Arial" w:cs="Arial"/>
                <w:b/>
                <w:bCs/>
                <w:sz w:val="20"/>
                <w:szCs w:val="20"/>
              </w:rPr>
              <w:t>Quality and Safety</w:t>
            </w:r>
          </w:p>
        </w:tc>
        <w:tc>
          <w:tcPr>
            <w:tcW w:w="6298" w:type="dxa"/>
          </w:tcPr>
          <w:p w14:paraId="027261B2" w14:textId="77777777" w:rsidR="00887403" w:rsidRPr="00AE473E" w:rsidRDefault="00887403" w:rsidP="002F0B92">
            <w:pPr>
              <w:rPr>
                <w:rFonts w:ascii="Arial" w:hAnsi="Arial" w:cs="Arial"/>
                <w:sz w:val="20"/>
                <w:szCs w:val="20"/>
              </w:rPr>
            </w:pPr>
            <w:r>
              <w:rPr>
                <w:rFonts w:ascii="Arial" w:hAnsi="Arial" w:cs="Arial"/>
                <w:sz w:val="20"/>
                <w:szCs w:val="20"/>
              </w:rPr>
              <w:t>Increase in need for response to safety events and monitoring for possible adverse impact of IPC protocols</w:t>
            </w:r>
          </w:p>
        </w:tc>
      </w:tr>
      <w:tr w:rsidR="00887403" w:rsidRPr="00AE473E" w14:paraId="3A0C6E78" w14:textId="77777777" w:rsidTr="002F0B92">
        <w:trPr>
          <w:trHeight w:val="350"/>
        </w:trPr>
        <w:tc>
          <w:tcPr>
            <w:tcW w:w="3955" w:type="dxa"/>
          </w:tcPr>
          <w:p w14:paraId="0AE078B7" w14:textId="77777777" w:rsidR="00887403" w:rsidRDefault="00887403" w:rsidP="002F0B92">
            <w:pPr>
              <w:rPr>
                <w:rFonts w:ascii="Arial" w:hAnsi="Arial" w:cs="Arial"/>
                <w:b/>
                <w:bCs/>
                <w:sz w:val="20"/>
                <w:szCs w:val="20"/>
              </w:rPr>
            </w:pPr>
            <w:r>
              <w:rPr>
                <w:rFonts w:ascii="Arial" w:hAnsi="Arial" w:cs="Arial"/>
                <w:b/>
                <w:bCs/>
                <w:sz w:val="20"/>
                <w:szCs w:val="20"/>
              </w:rPr>
              <w:t>Electronic Health Record/Informatics personnel</w:t>
            </w:r>
          </w:p>
        </w:tc>
        <w:tc>
          <w:tcPr>
            <w:tcW w:w="6298" w:type="dxa"/>
          </w:tcPr>
          <w:p w14:paraId="6083C43E" w14:textId="77777777" w:rsidR="00887403" w:rsidRDefault="00887403" w:rsidP="002F0B92">
            <w:pPr>
              <w:rPr>
                <w:rFonts w:ascii="Arial" w:hAnsi="Arial" w:cs="Arial"/>
                <w:sz w:val="20"/>
                <w:szCs w:val="20"/>
              </w:rPr>
            </w:pPr>
            <w:r>
              <w:rPr>
                <w:rFonts w:ascii="Arial" w:hAnsi="Arial" w:cs="Arial"/>
                <w:sz w:val="20"/>
                <w:szCs w:val="20"/>
              </w:rPr>
              <w:t>Increase in demand for modifications to EHR to support workflows including diagnostics, isolation, de-isolation, patient counseling, surveillance, data analysis</w:t>
            </w:r>
          </w:p>
        </w:tc>
      </w:tr>
      <w:tr w:rsidR="00887403" w14:paraId="58499CA3" w14:textId="77777777" w:rsidTr="00CF5A1F">
        <w:trPr>
          <w:trHeight w:val="275"/>
        </w:trPr>
        <w:tc>
          <w:tcPr>
            <w:tcW w:w="10253" w:type="dxa"/>
            <w:gridSpan w:val="2"/>
          </w:tcPr>
          <w:p w14:paraId="09F6B34F" w14:textId="77777777" w:rsidR="00887403" w:rsidRDefault="00887403" w:rsidP="002F0B92">
            <w:pPr>
              <w:rPr>
                <w:rFonts w:ascii="Arial" w:hAnsi="Arial" w:cs="Arial"/>
                <w:b/>
                <w:bCs/>
                <w:sz w:val="20"/>
                <w:szCs w:val="20"/>
                <w:highlight w:val="yellow"/>
              </w:rPr>
            </w:pPr>
            <w:r>
              <w:rPr>
                <w:rFonts w:ascii="Arial" w:hAnsi="Arial" w:cs="Arial"/>
                <w:sz w:val="20"/>
                <w:szCs w:val="20"/>
              </w:rPr>
              <w:t>EHR, electronic health record; PPE: personal protective equipment; IPC: Infection Prevention and Control</w:t>
            </w:r>
            <w:r w:rsidRPr="5CB06B78">
              <w:rPr>
                <w:rFonts w:ascii="Arial" w:hAnsi="Arial" w:cs="Arial"/>
                <w:sz w:val="20"/>
                <w:szCs w:val="20"/>
              </w:rPr>
              <w:t xml:space="preserve"> </w:t>
            </w:r>
          </w:p>
        </w:tc>
      </w:tr>
    </w:tbl>
    <w:p w14:paraId="4F9668A2" w14:textId="77777777" w:rsidR="004A08DD" w:rsidRDefault="004A08DD"/>
    <w:sectPr w:rsidR="004A08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1421" w14:textId="77777777" w:rsidR="00887403" w:rsidRDefault="00887403" w:rsidP="00887403">
      <w:r>
        <w:separator/>
      </w:r>
    </w:p>
  </w:endnote>
  <w:endnote w:type="continuationSeparator" w:id="0">
    <w:p w14:paraId="3735B606" w14:textId="77777777" w:rsidR="00887403" w:rsidRDefault="00887403" w:rsidP="0088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4395" w14:textId="77777777" w:rsidR="00887403" w:rsidRDefault="00887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0293" w14:textId="77777777" w:rsidR="00887403" w:rsidRDefault="00887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7F39" w14:textId="77777777" w:rsidR="00887403" w:rsidRDefault="0088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A0CD" w14:textId="77777777" w:rsidR="00887403" w:rsidRDefault="00887403" w:rsidP="00887403">
      <w:r>
        <w:separator/>
      </w:r>
    </w:p>
  </w:footnote>
  <w:footnote w:type="continuationSeparator" w:id="0">
    <w:p w14:paraId="25379BAA" w14:textId="77777777" w:rsidR="00887403" w:rsidRDefault="00887403" w:rsidP="00887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5899" w14:textId="77777777" w:rsidR="00887403" w:rsidRDefault="00887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45CA" w14:textId="21FACB58" w:rsidR="00887403" w:rsidRPr="00887403" w:rsidRDefault="00887403">
    <w:pPr>
      <w:pStyle w:val="Header"/>
      <w:rPr>
        <w:rFonts w:ascii="Arial" w:hAnsi="Arial" w:cs="Arial"/>
        <w:sz w:val="20"/>
        <w:szCs w:val="20"/>
      </w:rPr>
    </w:pPr>
    <w:r w:rsidRPr="00887403">
      <w:rPr>
        <w:rFonts w:ascii="Arial" w:hAnsi="Arial" w:cs="Arial"/>
        <w:sz w:val="20"/>
        <w:szCs w:val="20"/>
      </w:rPr>
      <w:t>Shenoy et al</w:t>
    </w:r>
    <w:r w:rsidRPr="00887403">
      <w:rPr>
        <w:rFonts w:ascii="Arial" w:hAnsi="Arial" w:cs="Arial"/>
        <w:sz w:val="20"/>
        <w:szCs w:val="20"/>
      </w:rPr>
      <w:tab/>
    </w:r>
    <w:r w:rsidR="00943557">
      <w:rPr>
        <w:rFonts w:ascii="Arial" w:hAnsi="Arial" w:cs="Arial"/>
        <w:sz w:val="20"/>
        <w:szCs w:val="20"/>
      </w:rPr>
      <w:t>ICHE 44674</w:t>
    </w:r>
    <w:r w:rsidRPr="00887403">
      <w:rPr>
        <w:rFonts w:ascii="Arial" w:hAnsi="Arial" w:cs="Arial"/>
        <w:sz w:val="20"/>
        <w:szCs w:val="20"/>
      </w:rPr>
      <w:tab/>
      <w:t>Supplement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A54E" w14:textId="77777777" w:rsidR="00887403" w:rsidRDefault="00887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03"/>
    <w:rsid w:val="002F0B92"/>
    <w:rsid w:val="004A08DD"/>
    <w:rsid w:val="007A02B2"/>
    <w:rsid w:val="00887403"/>
    <w:rsid w:val="00943557"/>
    <w:rsid w:val="00F2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F91F"/>
  <w15:chartTrackingRefBased/>
  <w15:docId w15:val="{FBA084F4-D35B-41A8-B624-E51398A1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4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403"/>
    <w:pPr>
      <w:tabs>
        <w:tab w:val="center" w:pos="4680"/>
        <w:tab w:val="right" w:pos="9360"/>
      </w:tabs>
    </w:pPr>
  </w:style>
  <w:style w:type="character" w:customStyle="1" w:styleId="HeaderChar">
    <w:name w:val="Header Char"/>
    <w:basedOn w:val="DefaultParagraphFont"/>
    <w:link w:val="Header"/>
    <w:uiPriority w:val="99"/>
    <w:rsid w:val="008874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7403"/>
    <w:pPr>
      <w:tabs>
        <w:tab w:val="center" w:pos="4680"/>
        <w:tab w:val="right" w:pos="9360"/>
      </w:tabs>
    </w:pPr>
  </w:style>
  <w:style w:type="character" w:customStyle="1" w:styleId="FooterChar">
    <w:name w:val="Footer Char"/>
    <w:basedOn w:val="DefaultParagraphFont"/>
    <w:link w:val="Footer"/>
    <w:uiPriority w:val="99"/>
    <w:rsid w:val="008874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 Shenoy, MD, PhD MGH</dc:creator>
  <cp:keywords/>
  <dc:description/>
  <cp:lastModifiedBy>Erica S. Shenoy, MD, PhD MGH</cp:lastModifiedBy>
  <cp:revision>3</cp:revision>
  <dcterms:created xsi:type="dcterms:W3CDTF">2024-02-16T13:37:00Z</dcterms:created>
  <dcterms:modified xsi:type="dcterms:W3CDTF">2024-02-20T19:55:00Z</dcterms:modified>
</cp:coreProperties>
</file>