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95B19" w14:textId="690B7E73" w:rsidR="0000362D" w:rsidRDefault="00F8602E">
      <w:pPr>
        <w:rPr>
          <w:rFonts w:ascii="Times New Roman" w:hAnsi="Times New Roman" w:cs="Times New Roman"/>
          <w:b/>
          <w:sz w:val="24"/>
          <w:szCs w:val="24"/>
        </w:rPr>
      </w:pPr>
      <w:r w:rsidRPr="00B81566">
        <w:rPr>
          <w:rFonts w:ascii="Times New Roman" w:hAnsi="Times New Roman" w:cs="Times New Roman"/>
          <w:b/>
          <w:sz w:val="24"/>
          <w:szCs w:val="24"/>
        </w:rPr>
        <w:t xml:space="preserve">Appendix A.  </w:t>
      </w:r>
      <w:r w:rsidR="00B81566" w:rsidRPr="00B81566">
        <w:rPr>
          <w:rFonts w:ascii="Times New Roman" w:hAnsi="Times New Roman" w:cs="Times New Roman"/>
          <w:b/>
          <w:sz w:val="24"/>
          <w:szCs w:val="24"/>
        </w:rPr>
        <w:t xml:space="preserve">Definitions of predictors of </w:t>
      </w:r>
      <w:r w:rsidR="00B81566" w:rsidRPr="00B81566">
        <w:rPr>
          <w:rFonts w:ascii="Times New Roman" w:hAnsi="Times New Roman" w:cs="Times New Roman"/>
          <w:b/>
          <w:bCs/>
          <w:sz w:val="24"/>
          <w:szCs w:val="24"/>
        </w:rPr>
        <w:t xml:space="preserve">SARS-CoV-2 transmission among consecutive exposures of residents of congregate living settings (CLS).  </w:t>
      </w:r>
      <w:r w:rsidR="00B81566" w:rsidRPr="00B81566">
        <w:rPr>
          <w:rFonts w:ascii="Times New Roman" w:hAnsi="Times New Roman" w:cs="Times New Roman"/>
          <w:b/>
          <w:sz w:val="24"/>
          <w:szCs w:val="24"/>
        </w:rPr>
        <w:t xml:space="preserve"> </w:t>
      </w:r>
    </w:p>
    <w:p w14:paraId="0F0E8FDA" w14:textId="77777777" w:rsidR="00B81566" w:rsidRPr="00B81566" w:rsidRDefault="00B81566">
      <w:pPr>
        <w:rPr>
          <w:rFonts w:ascii="Times New Roman" w:hAnsi="Times New Roman" w:cs="Times New Roman"/>
          <w:b/>
          <w:sz w:val="24"/>
          <w:szCs w:val="24"/>
        </w:rPr>
      </w:pPr>
    </w:p>
    <w:tbl>
      <w:tblPr>
        <w:tblW w:w="0" w:type="auto"/>
        <w:tblCellMar>
          <w:left w:w="0" w:type="dxa"/>
          <w:right w:w="0" w:type="dxa"/>
        </w:tblCellMar>
        <w:tblLook w:val="04A0" w:firstRow="1" w:lastRow="0" w:firstColumn="1" w:lastColumn="0" w:noHBand="0" w:noVBand="1"/>
      </w:tblPr>
      <w:tblGrid>
        <w:gridCol w:w="1336"/>
        <w:gridCol w:w="4465"/>
        <w:gridCol w:w="1323"/>
        <w:gridCol w:w="2236"/>
      </w:tblGrid>
      <w:tr w:rsidR="00647040" w:rsidRPr="00D73250" w14:paraId="6045B446" w14:textId="77777777" w:rsidTr="00F25D37">
        <w:tc>
          <w:tcPr>
            <w:tcW w:w="1276" w:type="dxa"/>
            <w:tcBorders>
              <w:top w:val="single" w:sz="4" w:space="0" w:color="auto"/>
              <w:bottom w:val="single" w:sz="4" w:space="0" w:color="auto"/>
            </w:tcBorders>
            <w:shd w:val="clear" w:color="auto" w:fill="F2F2F2" w:themeFill="background1" w:themeFillShade="F2"/>
            <w:tcMar>
              <w:top w:w="0" w:type="dxa"/>
              <w:left w:w="108" w:type="dxa"/>
              <w:bottom w:w="0" w:type="dxa"/>
              <w:right w:w="108" w:type="dxa"/>
            </w:tcMar>
            <w:hideMark/>
          </w:tcPr>
          <w:p w14:paraId="02A882B0" w14:textId="77777777" w:rsidR="00647040" w:rsidRPr="00D73250" w:rsidRDefault="00647040">
            <w:pPr>
              <w:rPr>
                <w:rFonts w:ascii="Times New Roman" w:hAnsi="Times New Roman" w:cs="Times New Roman"/>
                <w:b/>
                <w:bCs/>
                <w:sz w:val="24"/>
                <w:szCs w:val="24"/>
              </w:rPr>
            </w:pPr>
            <w:r w:rsidRPr="00D73250">
              <w:rPr>
                <w:rFonts w:ascii="Times New Roman" w:hAnsi="Times New Roman" w:cs="Times New Roman"/>
                <w:b/>
                <w:bCs/>
                <w:sz w:val="24"/>
                <w:szCs w:val="24"/>
              </w:rPr>
              <w:t>Variable name</w:t>
            </w:r>
          </w:p>
        </w:tc>
        <w:tc>
          <w:tcPr>
            <w:tcW w:w="4510" w:type="dxa"/>
            <w:tcBorders>
              <w:top w:val="single" w:sz="4" w:space="0" w:color="auto"/>
              <w:bottom w:val="single" w:sz="4" w:space="0" w:color="auto"/>
            </w:tcBorders>
            <w:shd w:val="clear" w:color="auto" w:fill="F2F2F2" w:themeFill="background1" w:themeFillShade="F2"/>
            <w:tcMar>
              <w:top w:w="0" w:type="dxa"/>
              <w:left w:w="108" w:type="dxa"/>
              <w:bottom w:w="0" w:type="dxa"/>
              <w:right w:w="108" w:type="dxa"/>
            </w:tcMar>
            <w:hideMark/>
          </w:tcPr>
          <w:p w14:paraId="15AA3AAF" w14:textId="77777777" w:rsidR="00647040" w:rsidRPr="00D73250" w:rsidRDefault="00647040">
            <w:pPr>
              <w:rPr>
                <w:rFonts w:ascii="Times New Roman" w:hAnsi="Times New Roman" w:cs="Times New Roman"/>
                <w:b/>
                <w:bCs/>
                <w:sz w:val="24"/>
                <w:szCs w:val="24"/>
              </w:rPr>
            </w:pPr>
            <w:r w:rsidRPr="00D73250">
              <w:rPr>
                <w:rFonts w:ascii="Times New Roman" w:hAnsi="Times New Roman" w:cs="Times New Roman"/>
                <w:b/>
                <w:bCs/>
                <w:sz w:val="24"/>
                <w:szCs w:val="24"/>
              </w:rPr>
              <w:t>Description/definition</w:t>
            </w:r>
          </w:p>
        </w:tc>
        <w:tc>
          <w:tcPr>
            <w:tcW w:w="1323" w:type="dxa"/>
            <w:tcBorders>
              <w:top w:val="single" w:sz="4" w:space="0" w:color="auto"/>
              <w:bottom w:val="single" w:sz="4" w:space="0" w:color="auto"/>
            </w:tcBorders>
            <w:shd w:val="clear" w:color="auto" w:fill="F2F2F2" w:themeFill="background1" w:themeFillShade="F2"/>
            <w:tcMar>
              <w:top w:w="0" w:type="dxa"/>
              <w:left w:w="108" w:type="dxa"/>
              <w:bottom w:w="0" w:type="dxa"/>
              <w:right w:w="108" w:type="dxa"/>
            </w:tcMar>
            <w:hideMark/>
          </w:tcPr>
          <w:p w14:paraId="3E9A0D84" w14:textId="77777777" w:rsidR="00647040" w:rsidRPr="00D73250" w:rsidRDefault="00647040">
            <w:pPr>
              <w:rPr>
                <w:rFonts w:ascii="Times New Roman" w:hAnsi="Times New Roman" w:cs="Times New Roman"/>
                <w:b/>
                <w:bCs/>
                <w:sz w:val="24"/>
                <w:szCs w:val="24"/>
              </w:rPr>
            </w:pPr>
            <w:r w:rsidRPr="00D73250">
              <w:rPr>
                <w:rFonts w:ascii="Times New Roman" w:hAnsi="Times New Roman" w:cs="Times New Roman"/>
                <w:b/>
                <w:bCs/>
                <w:sz w:val="24"/>
                <w:szCs w:val="24"/>
              </w:rPr>
              <w:t>Type</w:t>
            </w:r>
          </w:p>
        </w:tc>
        <w:tc>
          <w:tcPr>
            <w:tcW w:w="2251" w:type="dxa"/>
            <w:tcBorders>
              <w:top w:val="single" w:sz="4" w:space="0" w:color="auto"/>
              <w:bottom w:val="single" w:sz="4" w:space="0" w:color="auto"/>
            </w:tcBorders>
            <w:shd w:val="clear" w:color="auto" w:fill="F2F2F2" w:themeFill="background1" w:themeFillShade="F2"/>
            <w:tcMar>
              <w:top w:w="0" w:type="dxa"/>
              <w:left w:w="108" w:type="dxa"/>
              <w:bottom w:w="0" w:type="dxa"/>
              <w:right w:w="108" w:type="dxa"/>
            </w:tcMar>
            <w:hideMark/>
          </w:tcPr>
          <w:p w14:paraId="37054570" w14:textId="77777777" w:rsidR="00647040" w:rsidRPr="00D73250" w:rsidRDefault="00647040">
            <w:pPr>
              <w:rPr>
                <w:rFonts w:ascii="Times New Roman" w:hAnsi="Times New Roman" w:cs="Times New Roman"/>
                <w:b/>
                <w:bCs/>
                <w:sz w:val="24"/>
                <w:szCs w:val="24"/>
              </w:rPr>
            </w:pPr>
            <w:r w:rsidRPr="00D73250">
              <w:rPr>
                <w:rFonts w:ascii="Times New Roman" w:hAnsi="Times New Roman" w:cs="Times New Roman"/>
                <w:b/>
                <w:bCs/>
                <w:sz w:val="24"/>
                <w:szCs w:val="24"/>
              </w:rPr>
              <w:t>Values</w:t>
            </w:r>
          </w:p>
        </w:tc>
      </w:tr>
      <w:tr w:rsidR="00647040" w:rsidRPr="00D73250" w14:paraId="5FBE122D" w14:textId="77777777" w:rsidTr="00F25D37">
        <w:tc>
          <w:tcPr>
            <w:tcW w:w="1276" w:type="dxa"/>
            <w:tcBorders>
              <w:top w:val="single" w:sz="4" w:space="0" w:color="auto"/>
              <w:bottom w:val="single" w:sz="4" w:space="0" w:color="auto"/>
            </w:tcBorders>
            <w:tcMar>
              <w:top w:w="0" w:type="dxa"/>
              <w:left w:w="108" w:type="dxa"/>
              <w:bottom w:w="0" w:type="dxa"/>
              <w:right w:w="108" w:type="dxa"/>
            </w:tcMar>
            <w:hideMark/>
          </w:tcPr>
          <w:p w14:paraId="6D21D26B" w14:textId="77777777" w:rsidR="00647040" w:rsidRPr="00D73250" w:rsidRDefault="00647040">
            <w:pPr>
              <w:rPr>
                <w:rFonts w:ascii="Times New Roman" w:hAnsi="Times New Roman" w:cs="Times New Roman"/>
                <w:sz w:val="24"/>
                <w:szCs w:val="24"/>
              </w:rPr>
            </w:pPr>
            <w:r w:rsidRPr="00D73250">
              <w:rPr>
                <w:rFonts w:ascii="Times New Roman" w:hAnsi="Times New Roman" w:cs="Times New Roman"/>
                <w:sz w:val="24"/>
                <w:szCs w:val="24"/>
              </w:rPr>
              <w:t>Type of CLS</w:t>
            </w:r>
          </w:p>
        </w:tc>
        <w:tc>
          <w:tcPr>
            <w:tcW w:w="4510" w:type="dxa"/>
            <w:tcBorders>
              <w:top w:val="single" w:sz="4" w:space="0" w:color="auto"/>
              <w:bottom w:val="single" w:sz="4" w:space="0" w:color="auto"/>
            </w:tcBorders>
            <w:tcMar>
              <w:top w:w="0" w:type="dxa"/>
              <w:left w:w="108" w:type="dxa"/>
              <w:bottom w:w="0" w:type="dxa"/>
              <w:right w:w="108" w:type="dxa"/>
            </w:tcMar>
            <w:hideMark/>
          </w:tcPr>
          <w:p w14:paraId="45924FC7" w14:textId="21681CB3" w:rsidR="00647040" w:rsidRPr="00D73250" w:rsidRDefault="00647040">
            <w:pPr>
              <w:rPr>
                <w:rFonts w:ascii="Times New Roman" w:hAnsi="Times New Roman" w:cs="Times New Roman"/>
                <w:sz w:val="24"/>
                <w:szCs w:val="24"/>
              </w:rPr>
            </w:pPr>
            <w:r w:rsidRPr="00D73250">
              <w:rPr>
                <w:rFonts w:ascii="Times New Roman" w:hAnsi="Times New Roman" w:cs="Times New Roman"/>
                <w:sz w:val="24"/>
                <w:szCs w:val="24"/>
              </w:rPr>
              <w:t>Type of CLS in which exposure occurred</w:t>
            </w:r>
            <w:r w:rsidR="00D73250">
              <w:rPr>
                <w:rFonts w:ascii="Times New Roman" w:hAnsi="Times New Roman" w:cs="Times New Roman"/>
                <w:sz w:val="24"/>
                <w:szCs w:val="24"/>
              </w:rPr>
              <w:t>.</w:t>
            </w:r>
          </w:p>
        </w:tc>
        <w:tc>
          <w:tcPr>
            <w:tcW w:w="1323" w:type="dxa"/>
            <w:tcBorders>
              <w:top w:val="single" w:sz="4" w:space="0" w:color="auto"/>
              <w:bottom w:val="single" w:sz="4" w:space="0" w:color="auto"/>
            </w:tcBorders>
            <w:tcMar>
              <w:top w:w="0" w:type="dxa"/>
              <w:left w:w="108" w:type="dxa"/>
              <w:bottom w:w="0" w:type="dxa"/>
              <w:right w:w="108" w:type="dxa"/>
            </w:tcMar>
            <w:hideMark/>
          </w:tcPr>
          <w:p w14:paraId="190B5758" w14:textId="77777777" w:rsidR="00647040" w:rsidRPr="00D73250" w:rsidRDefault="00647040">
            <w:pPr>
              <w:rPr>
                <w:rFonts w:ascii="Times New Roman" w:hAnsi="Times New Roman" w:cs="Times New Roman"/>
                <w:sz w:val="24"/>
                <w:szCs w:val="24"/>
              </w:rPr>
            </w:pPr>
            <w:r w:rsidRPr="00D73250">
              <w:rPr>
                <w:rFonts w:ascii="Times New Roman" w:hAnsi="Times New Roman" w:cs="Times New Roman"/>
                <w:sz w:val="24"/>
                <w:szCs w:val="24"/>
              </w:rPr>
              <w:t>Categorical</w:t>
            </w:r>
          </w:p>
        </w:tc>
        <w:tc>
          <w:tcPr>
            <w:tcW w:w="2251" w:type="dxa"/>
            <w:tcBorders>
              <w:top w:val="single" w:sz="4" w:space="0" w:color="auto"/>
              <w:bottom w:val="single" w:sz="4" w:space="0" w:color="auto"/>
            </w:tcBorders>
            <w:tcMar>
              <w:top w:w="0" w:type="dxa"/>
              <w:left w:w="108" w:type="dxa"/>
              <w:bottom w:w="0" w:type="dxa"/>
              <w:right w:w="108" w:type="dxa"/>
            </w:tcMar>
            <w:hideMark/>
          </w:tcPr>
          <w:p w14:paraId="63227A79" w14:textId="77777777" w:rsidR="00647040" w:rsidRPr="00D73250" w:rsidRDefault="00647040">
            <w:pPr>
              <w:rPr>
                <w:rFonts w:ascii="Times New Roman" w:hAnsi="Times New Roman" w:cs="Times New Roman"/>
                <w:sz w:val="24"/>
                <w:szCs w:val="24"/>
              </w:rPr>
            </w:pPr>
            <w:r w:rsidRPr="00D73250">
              <w:rPr>
                <w:rFonts w:ascii="Times New Roman" w:hAnsi="Times New Roman" w:cs="Times New Roman"/>
                <w:sz w:val="24"/>
                <w:szCs w:val="24"/>
              </w:rPr>
              <w:t>Nursing home</w:t>
            </w:r>
          </w:p>
          <w:p w14:paraId="3CC153F1" w14:textId="77777777" w:rsidR="00647040" w:rsidRPr="00D73250" w:rsidRDefault="00647040">
            <w:pPr>
              <w:rPr>
                <w:rFonts w:ascii="Times New Roman" w:hAnsi="Times New Roman" w:cs="Times New Roman"/>
                <w:sz w:val="24"/>
                <w:szCs w:val="24"/>
              </w:rPr>
            </w:pPr>
            <w:r w:rsidRPr="00D73250">
              <w:rPr>
                <w:rFonts w:ascii="Times New Roman" w:hAnsi="Times New Roman" w:cs="Times New Roman"/>
                <w:sz w:val="24"/>
                <w:szCs w:val="24"/>
              </w:rPr>
              <w:t>Independent living facility</w:t>
            </w:r>
          </w:p>
        </w:tc>
      </w:tr>
      <w:tr w:rsidR="00647040" w:rsidRPr="00D73250" w14:paraId="19D2E6EA" w14:textId="77777777" w:rsidTr="00F25D37">
        <w:tc>
          <w:tcPr>
            <w:tcW w:w="1276" w:type="dxa"/>
            <w:tcBorders>
              <w:top w:val="single" w:sz="4" w:space="0" w:color="auto"/>
              <w:bottom w:val="single" w:sz="4" w:space="0" w:color="auto"/>
            </w:tcBorders>
            <w:tcMar>
              <w:top w:w="0" w:type="dxa"/>
              <w:left w:w="108" w:type="dxa"/>
              <w:bottom w:w="0" w:type="dxa"/>
              <w:right w:w="108" w:type="dxa"/>
            </w:tcMar>
            <w:hideMark/>
          </w:tcPr>
          <w:p w14:paraId="19CC2915" w14:textId="77777777" w:rsidR="00647040" w:rsidRPr="00D73250" w:rsidRDefault="00647040">
            <w:pPr>
              <w:rPr>
                <w:rFonts w:ascii="Times New Roman" w:hAnsi="Times New Roman" w:cs="Times New Roman"/>
                <w:sz w:val="24"/>
                <w:szCs w:val="24"/>
              </w:rPr>
            </w:pPr>
            <w:r w:rsidRPr="00D73250">
              <w:rPr>
                <w:rFonts w:ascii="Times New Roman" w:hAnsi="Times New Roman" w:cs="Times New Roman"/>
                <w:sz w:val="24"/>
                <w:szCs w:val="24"/>
              </w:rPr>
              <w:t>Memory care unit</w:t>
            </w:r>
          </w:p>
        </w:tc>
        <w:tc>
          <w:tcPr>
            <w:tcW w:w="4510" w:type="dxa"/>
            <w:tcBorders>
              <w:top w:val="single" w:sz="4" w:space="0" w:color="auto"/>
              <w:bottom w:val="single" w:sz="4" w:space="0" w:color="auto"/>
            </w:tcBorders>
            <w:tcMar>
              <w:top w:w="0" w:type="dxa"/>
              <w:left w:w="108" w:type="dxa"/>
              <w:bottom w:w="0" w:type="dxa"/>
              <w:right w:w="108" w:type="dxa"/>
            </w:tcMar>
            <w:hideMark/>
          </w:tcPr>
          <w:p w14:paraId="4850D136" w14:textId="3221BEDE" w:rsidR="00647040" w:rsidRPr="00D73250" w:rsidRDefault="00647040" w:rsidP="001412B9">
            <w:pPr>
              <w:rPr>
                <w:rFonts w:ascii="Times New Roman" w:hAnsi="Times New Roman" w:cs="Times New Roman"/>
                <w:sz w:val="24"/>
                <w:szCs w:val="24"/>
              </w:rPr>
            </w:pPr>
            <w:r w:rsidRPr="00D73250">
              <w:rPr>
                <w:rFonts w:ascii="Times New Roman" w:hAnsi="Times New Roman" w:cs="Times New Roman"/>
                <w:sz w:val="24"/>
                <w:szCs w:val="24"/>
              </w:rPr>
              <w:t xml:space="preserve">Whether exposure occurred on a memory care unit, defined as </w:t>
            </w:r>
            <w:r w:rsidR="00857448" w:rsidRPr="00D73250">
              <w:rPr>
                <w:rFonts w:ascii="Times New Roman" w:hAnsi="Times New Roman" w:cs="Times New Roman"/>
                <w:sz w:val="24"/>
                <w:szCs w:val="24"/>
              </w:rPr>
              <w:t>unit</w:t>
            </w:r>
            <w:r w:rsidR="001412B9" w:rsidRPr="00D73250">
              <w:rPr>
                <w:rFonts w:ascii="Times New Roman" w:hAnsi="Times New Roman" w:cs="Times New Roman"/>
                <w:sz w:val="24"/>
                <w:szCs w:val="24"/>
              </w:rPr>
              <w:t xml:space="preserve"> </w:t>
            </w:r>
            <w:r w:rsidR="00857448" w:rsidRPr="00D73250">
              <w:rPr>
                <w:rFonts w:ascii="Times New Roman" w:hAnsi="Times New Roman" w:cs="Times New Roman"/>
                <w:sz w:val="24"/>
                <w:szCs w:val="24"/>
              </w:rPr>
              <w:t xml:space="preserve">dedicated to </w:t>
            </w:r>
            <w:r w:rsidRPr="00D73250">
              <w:rPr>
                <w:rFonts w:ascii="Times New Roman" w:hAnsi="Times New Roman" w:cs="Times New Roman"/>
                <w:sz w:val="24"/>
                <w:szCs w:val="24"/>
              </w:rPr>
              <w:t>providing care for residents with dementia</w:t>
            </w:r>
            <w:r w:rsidR="00D73250">
              <w:rPr>
                <w:rFonts w:ascii="Times New Roman" w:hAnsi="Times New Roman" w:cs="Times New Roman"/>
                <w:sz w:val="24"/>
                <w:szCs w:val="24"/>
              </w:rPr>
              <w:t>.</w:t>
            </w:r>
            <w:r w:rsidRPr="00D73250">
              <w:rPr>
                <w:rFonts w:ascii="Times New Roman" w:hAnsi="Times New Roman" w:cs="Times New Roman"/>
                <w:sz w:val="24"/>
                <w:szCs w:val="24"/>
              </w:rPr>
              <w:t xml:space="preserve"> </w:t>
            </w:r>
          </w:p>
        </w:tc>
        <w:tc>
          <w:tcPr>
            <w:tcW w:w="1323" w:type="dxa"/>
            <w:tcBorders>
              <w:top w:val="single" w:sz="4" w:space="0" w:color="auto"/>
              <w:bottom w:val="single" w:sz="4" w:space="0" w:color="auto"/>
            </w:tcBorders>
            <w:tcMar>
              <w:top w:w="0" w:type="dxa"/>
              <w:left w:w="108" w:type="dxa"/>
              <w:bottom w:w="0" w:type="dxa"/>
              <w:right w:w="108" w:type="dxa"/>
            </w:tcMar>
            <w:hideMark/>
          </w:tcPr>
          <w:p w14:paraId="5F76E280" w14:textId="77777777" w:rsidR="00647040" w:rsidRPr="00D73250" w:rsidRDefault="00647040">
            <w:pPr>
              <w:rPr>
                <w:rFonts w:ascii="Times New Roman" w:hAnsi="Times New Roman" w:cs="Times New Roman"/>
                <w:sz w:val="24"/>
                <w:szCs w:val="24"/>
              </w:rPr>
            </w:pPr>
            <w:r w:rsidRPr="00D73250">
              <w:rPr>
                <w:rFonts w:ascii="Times New Roman" w:hAnsi="Times New Roman" w:cs="Times New Roman"/>
                <w:sz w:val="24"/>
                <w:szCs w:val="24"/>
              </w:rPr>
              <w:t>Categorical</w:t>
            </w:r>
          </w:p>
        </w:tc>
        <w:tc>
          <w:tcPr>
            <w:tcW w:w="2251" w:type="dxa"/>
            <w:tcBorders>
              <w:top w:val="single" w:sz="4" w:space="0" w:color="auto"/>
              <w:bottom w:val="single" w:sz="4" w:space="0" w:color="auto"/>
            </w:tcBorders>
            <w:tcMar>
              <w:top w:w="0" w:type="dxa"/>
              <w:left w:w="108" w:type="dxa"/>
              <w:bottom w:w="0" w:type="dxa"/>
              <w:right w:w="108" w:type="dxa"/>
            </w:tcMar>
            <w:hideMark/>
          </w:tcPr>
          <w:p w14:paraId="6EDC3931" w14:textId="77777777" w:rsidR="00647040" w:rsidRPr="00D73250" w:rsidRDefault="00647040">
            <w:pPr>
              <w:rPr>
                <w:rFonts w:ascii="Times New Roman" w:hAnsi="Times New Roman" w:cs="Times New Roman"/>
                <w:sz w:val="24"/>
                <w:szCs w:val="24"/>
              </w:rPr>
            </w:pPr>
            <w:r w:rsidRPr="00D73250">
              <w:rPr>
                <w:rFonts w:ascii="Times New Roman" w:hAnsi="Times New Roman" w:cs="Times New Roman"/>
                <w:sz w:val="24"/>
                <w:szCs w:val="24"/>
              </w:rPr>
              <w:t>Yes</w:t>
            </w:r>
          </w:p>
          <w:p w14:paraId="118AEDD6" w14:textId="77777777" w:rsidR="00647040" w:rsidRPr="00D73250" w:rsidRDefault="00647040">
            <w:pPr>
              <w:rPr>
                <w:rFonts w:ascii="Times New Roman" w:hAnsi="Times New Roman" w:cs="Times New Roman"/>
                <w:sz w:val="24"/>
                <w:szCs w:val="24"/>
              </w:rPr>
            </w:pPr>
            <w:r w:rsidRPr="00D73250">
              <w:rPr>
                <w:rFonts w:ascii="Times New Roman" w:hAnsi="Times New Roman" w:cs="Times New Roman"/>
                <w:sz w:val="24"/>
                <w:szCs w:val="24"/>
              </w:rPr>
              <w:t>No</w:t>
            </w:r>
          </w:p>
        </w:tc>
      </w:tr>
      <w:tr w:rsidR="00647040" w:rsidRPr="00D73250" w14:paraId="6C06BD2A" w14:textId="77777777" w:rsidTr="00F25D37">
        <w:tc>
          <w:tcPr>
            <w:tcW w:w="1276" w:type="dxa"/>
            <w:tcBorders>
              <w:top w:val="single" w:sz="4" w:space="0" w:color="auto"/>
              <w:bottom w:val="single" w:sz="4" w:space="0" w:color="auto"/>
            </w:tcBorders>
            <w:tcMar>
              <w:top w:w="0" w:type="dxa"/>
              <w:left w:w="108" w:type="dxa"/>
              <w:bottom w:w="0" w:type="dxa"/>
              <w:right w:w="108" w:type="dxa"/>
            </w:tcMar>
            <w:hideMark/>
          </w:tcPr>
          <w:p w14:paraId="4AF14D03" w14:textId="77777777" w:rsidR="00647040" w:rsidRPr="00D73250" w:rsidRDefault="00647040">
            <w:pPr>
              <w:rPr>
                <w:rFonts w:ascii="Times New Roman" w:hAnsi="Times New Roman" w:cs="Times New Roman"/>
                <w:sz w:val="24"/>
                <w:szCs w:val="24"/>
              </w:rPr>
            </w:pPr>
            <w:r w:rsidRPr="00D73250">
              <w:rPr>
                <w:rFonts w:ascii="Times New Roman" w:hAnsi="Times New Roman" w:cs="Times New Roman"/>
                <w:sz w:val="24"/>
                <w:szCs w:val="24"/>
              </w:rPr>
              <w:t>Location of exposure</w:t>
            </w:r>
          </w:p>
        </w:tc>
        <w:tc>
          <w:tcPr>
            <w:tcW w:w="4510" w:type="dxa"/>
            <w:tcBorders>
              <w:top w:val="single" w:sz="4" w:space="0" w:color="auto"/>
              <w:bottom w:val="single" w:sz="4" w:space="0" w:color="auto"/>
            </w:tcBorders>
            <w:tcMar>
              <w:top w:w="0" w:type="dxa"/>
              <w:left w:w="108" w:type="dxa"/>
              <w:bottom w:w="0" w:type="dxa"/>
              <w:right w:w="108" w:type="dxa"/>
            </w:tcMar>
            <w:hideMark/>
          </w:tcPr>
          <w:p w14:paraId="26245A29" w14:textId="53A41B32" w:rsidR="00647040" w:rsidRPr="00D73250" w:rsidRDefault="00647040">
            <w:pPr>
              <w:rPr>
                <w:rFonts w:ascii="Times New Roman" w:hAnsi="Times New Roman" w:cs="Times New Roman"/>
                <w:sz w:val="24"/>
                <w:szCs w:val="24"/>
              </w:rPr>
            </w:pPr>
            <w:r w:rsidRPr="00D73250">
              <w:rPr>
                <w:rFonts w:ascii="Times New Roman" w:hAnsi="Times New Roman" w:cs="Times New Roman"/>
                <w:sz w:val="24"/>
                <w:szCs w:val="24"/>
              </w:rPr>
              <w:t>Location in which exposure occurred</w:t>
            </w:r>
            <w:r w:rsidR="001412B9" w:rsidRPr="00D73250">
              <w:rPr>
                <w:rFonts w:ascii="Times New Roman" w:hAnsi="Times New Roman" w:cs="Times New Roman"/>
                <w:sz w:val="24"/>
                <w:szCs w:val="24"/>
              </w:rPr>
              <w:t xml:space="preserve"> (or majority of cumulative exposure)</w:t>
            </w:r>
            <w:r w:rsidR="00D73250">
              <w:rPr>
                <w:rFonts w:ascii="Times New Roman" w:hAnsi="Times New Roman" w:cs="Times New Roman"/>
                <w:sz w:val="24"/>
                <w:szCs w:val="24"/>
              </w:rPr>
              <w:t>.</w:t>
            </w:r>
          </w:p>
        </w:tc>
        <w:tc>
          <w:tcPr>
            <w:tcW w:w="1323" w:type="dxa"/>
            <w:tcBorders>
              <w:top w:val="single" w:sz="4" w:space="0" w:color="auto"/>
              <w:bottom w:val="single" w:sz="4" w:space="0" w:color="auto"/>
            </w:tcBorders>
            <w:tcMar>
              <w:top w:w="0" w:type="dxa"/>
              <w:left w:w="108" w:type="dxa"/>
              <w:bottom w:w="0" w:type="dxa"/>
              <w:right w:w="108" w:type="dxa"/>
            </w:tcMar>
            <w:hideMark/>
          </w:tcPr>
          <w:p w14:paraId="5BA3AA37" w14:textId="77777777" w:rsidR="00647040" w:rsidRPr="00D73250" w:rsidRDefault="00647040">
            <w:pPr>
              <w:rPr>
                <w:rFonts w:ascii="Times New Roman" w:hAnsi="Times New Roman" w:cs="Times New Roman"/>
                <w:sz w:val="24"/>
                <w:szCs w:val="24"/>
              </w:rPr>
            </w:pPr>
            <w:r w:rsidRPr="00D73250">
              <w:rPr>
                <w:rFonts w:ascii="Times New Roman" w:hAnsi="Times New Roman" w:cs="Times New Roman"/>
                <w:sz w:val="24"/>
                <w:szCs w:val="24"/>
              </w:rPr>
              <w:t>Categorical</w:t>
            </w:r>
          </w:p>
        </w:tc>
        <w:tc>
          <w:tcPr>
            <w:tcW w:w="2251" w:type="dxa"/>
            <w:tcBorders>
              <w:top w:val="single" w:sz="4" w:space="0" w:color="auto"/>
              <w:bottom w:val="single" w:sz="4" w:space="0" w:color="auto"/>
            </w:tcBorders>
            <w:tcMar>
              <w:top w:w="0" w:type="dxa"/>
              <w:left w:w="108" w:type="dxa"/>
              <w:bottom w:w="0" w:type="dxa"/>
              <w:right w:w="108" w:type="dxa"/>
            </w:tcMar>
            <w:hideMark/>
          </w:tcPr>
          <w:p w14:paraId="30C5D939" w14:textId="77777777" w:rsidR="00647040" w:rsidRPr="00D73250" w:rsidRDefault="00647040">
            <w:pPr>
              <w:rPr>
                <w:rFonts w:ascii="Times New Roman" w:hAnsi="Times New Roman" w:cs="Times New Roman"/>
                <w:sz w:val="24"/>
                <w:szCs w:val="24"/>
              </w:rPr>
            </w:pPr>
            <w:r w:rsidRPr="00D73250">
              <w:rPr>
                <w:rFonts w:ascii="Times New Roman" w:hAnsi="Times New Roman" w:cs="Times New Roman"/>
                <w:sz w:val="24"/>
                <w:szCs w:val="24"/>
              </w:rPr>
              <w:t>Private room (</w:t>
            </w:r>
            <w:r w:rsidR="008558F1" w:rsidRPr="00D73250">
              <w:rPr>
                <w:rFonts w:ascii="Times New Roman" w:hAnsi="Times New Roman" w:cs="Times New Roman"/>
                <w:sz w:val="24"/>
                <w:szCs w:val="24"/>
              </w:rPr>
              <w:t xml:space="preserve">with </w:t>
            </w:r>
            <w:r w:rsidR="00857448" w:rsidRPr="00D73250">
              <w:rPr>
                <w:rFonts w:ascii="Times New Roman" w:hAnsi="Times New Roman" w:cs="Times New Roman"/>
                <w:sz w:val="24"/>
                <w:szCs w:val="24"/>
              </w:rPr>
              <w:t>private</w:t>
            </w:r>
            <w:r w:rsidRPr="00D73250">
              <w:rPr>
                <w:rFonts w:ascii="Times New Roman" w:hAnsi="Times New Roman" w:cs="Times New Roman"/>
                <w:sz w:val="24"/>
                <w:szCs w:val="24"/>
              </w:rPr>
              <w:t xml:space="preserve"> bathroom)</w:t>
            </w:r>
          </w:p>
          <w:p w14:paraId="312B1FFF" w14:textId="77777777" w:rsidR="00647040" w:rsidRPr="00D73250" w:rsidRDefault="00647040">
            <w:pPr>
              <w:rPr>
                <w:rFonts w:ascii="Times New Roman" w:hAnsi="Times New Roman" w:cs="Times New Roman"/>
                <w:sz w:val="24"/>
                <w:szCs w:val="24"/>
              </w:rPr>
            </w:pPr>
            <w:r w:rsidRPr="00D73250">
              <w:rPr>
                <w:rFonts w:ascii="Times New Roman" w:hAnsi="Times New Roman" w:cs="Times New Roman"/>
                <w:sz w:val="24"/>
                <w:szCs w:val="24"/>
              </w:rPr>
              <w:t>Shared room (shared bathroom between 2-3 residents)</w:t>
            </w:r>
          </w:p>
          <w:p w14:paraId="5E774DA1" w14:textId="77777777" w:rsidR="00647040" w:rsidRPr="00D73250" w:rsidRDefault="00647040">
            <w:pPr>
              <w:rPr>
                <w:rFonts w:ascii="Times New Roman" w:hAnsi="Times New Roman" w:cs="Times New Roman"/>
                <w:sz w:val="24"/>
                <w:szCs w:val="24"/>
              </w:rPr>
            </w:pPr>
            <w:r w:rsidRPr="00D73250">
              <w:rPr>
                <w:rFonts w:ascii="Times New Roman" w:hAnsi="Times New Roman" w:cs="Times New Roman"/>
                <w:sz w:val="24"/>
                <w:szCs w:val="24"/>
              </w:rPr>
              <w:t>Jack and Jill room (shared bathroom only</w:t>
            </w:r>
            <w:r w:rsidR="00857448" w:rsidRPr="00D73250">
              <w:rPr>
                <w:rFonts w:ascii="Times New Roman" w:hAnsi="Times New Roman" w:cs="Times New Roman"/>
                <w:sz w:val="24"/>
                <w:szCs w:val="24"/>
              </w:rPr>
              <w:t>,</w:t>
            </w:r>
            <w:r w:rsidRPr="00D73250">
              <w:rPr>
                <w:rFonts w:ascii="Times New Roman" w:hAnsi="Times New Roman" w:cs="Times New Roman"/>
                <w:sz w:val="24"/>
                <w:szCs w:val="24"/>
              </w:rPr>
              <w:t xml:space="preserve"> between two </w:t>
            </w:r>
            <w:r w:rsidR="00857448" w:rsidRPr="00D73250">
              <w:rPr>
                <w:rFonts w:ascii="Times New Roman" w:hAnsi="Times New Roman" w:cs="Times New Roman"/>
                <w:sz w:val="24"/>
                <w:szCs w:val="24"/>
              </w:rPr>
              <w:t xml:space="preserve">adjoining </w:t>
            </w:r>
            <w:r w:rsidRPr="00D73250">
              <w:rPr>
                <w:rFonts w:ascii="Times New Roman" w:hAnsi="Times New Roman" w:cs="Times New Roman"/>
                <w:sz w:val="24"/>
                <w:szCs w:val="24"/>
              </w:rPr>
              <w:t>resident</w:t>
            </w:r>
            <w:r w:rsidR="00857448" w:rsidRPr="00D73250">
              <w:rPr>
                <w:rFonts w:ascii="Times New Roman" w:hAnsi="Times New Roman" w:cs="Times New Roman"/>
                <w:sz w:val="24"/>
                <w:szCs w:val="24"/>
              </w:rPr>
              <w:t xml:space="preserve"> rooms</w:t>
            </w:r>
            <w:r w:rsidRPr="00D73250">
              <w:rPr>
                <w:rFonts w:ascii="Times New Roman" w:hAnsi="Times New Roman" w:cs="Times New Roman"/>
                <w:sz w:val="24"/>
                <w:szCs w:val="24"/>
              </w:rPr>
              <w:t>)</w:t>
            </w:r>
          </w:p>
          <w:p w14:paraId="21EA0B15" w14:textId="77777777" w:rsidR="00647040" w:rsidRPr="00D73250" w:rsidRDefault="00647040">
            <w:pPr>
              <w:rPr>
                <w:rFonts w:ascii="Times New Roman" w:hAnsi="Times New Roman" w:cs="Times New Roman"/>
                <w:sz w:val="24"/>
                <w:szCs w:val="24"/>
              </w:rPr>
            </w:pPr>
            <w:r w:rsidRPr="00D73250">
              <w:rPr>
                <w:rFonts w:ascii="Times New Roman" w:hAnsi="Times New Roman" w:cs="Times New Roman"/>
                <w:sz w:val="24"/>
                <w:szCs w:val="24"/>
              </w:rPr>
              <w:t>Common room (</w:t>
            </w:r>
            <w:r w:rsidR="00857448" w:rsidRPr="00D73250">
              <w:rPr>
                <w:rFonts w:ascii="Times New Roman" w:hAnsi="Times New Roman" w:cs="Times New Roman"/>
                <w:sz w:val="24"/>
                <w:szCs w:val="24"/>
              </w:rPr>
              <w:t>includes activity area, library, c</w:t>
            </w:r>
            <w:r w:rsidR="008558F1" w:rsidRPr="00D73250">
              <w:rPr>
                <w:rFonts w:ascii="Times New Roman" w:hAnsi="Times New Roman" w:cs="Times New Roman"/>
                <w:sz w:val="24"/>
                <w:szCs w:val="24"/>
              </w:rPr>
              <w:t>hapel</w:t>
            </w:r>
            <w:r w:rsidR="00857448" w:rsidRPr="00D73250">
              <w:rPr>
                <w:rFonts w:ascii="Times New Roman" w:hAnsi="Times New Roman" w:cs="Times New Roman"/>
                <w:sz w:val="24"/>
                <w:szCs w:val="24"/>
              </w:rPr>
              <w:t xml:space="preserve"> and other common spaces</w:t>
            </w:r>
            <w:r w:rsidRPr="00D73250">
              <w:rPr>
                <w:rFonts w:ascii="Times New Roman" w:hAnsi="Times New Roman" w:cs="Times New Roman"/>
                <w:sz w:val="24"/>
                <w:szCs w:val="24"/>
              </w:rPr>
              <w:t>)</w:t>
            </w:r>
          </w:p>
          <w:p w14:paraId="2AB7E631" w14:textId="77777777" w:rsidR="00647040" w:rsidRPr="00D73250" w:rsidRDefault="00647040" w:rsidP="008558F1">
            <w:pPr>
              <w:rPr>
                <w:rFonts w:ascii="Times New Roman" w:hAnsi="Times New Roman" w:cs="Times New Roman"/>
                <w:sz w:val="24"/>
                <w:szCs w:val="24"/>
              </w:rPr>
            </w:pPr>
            <w:r w:rsidRPr="00D73250">
              <w:rPr>
                <w:rFonts w:ascii="Times New Roman" w:hAnsi="Times New Roman" w:cs="Times New Roman"/>
                <w:sz w:val="24"/>
                <w:szCs w:val="24"/>
              </w:rPr>
              <w:t>Dining room (</w:t>
            </w:r>
            <w:r w:rsidR="00857448" w:rsidRPr="00D73250">
              <w:rPr>
                <w:rFonts w:ascii="Times New Roman" w:hAnsi="Times New Roman" w:cs="Times New Roman"/>
                <w:sz w:val="24"/>
                <w:szCs w:val="24"/>
              </w:rPr>
              <w:t>for resident dining</w:t>
            </w:r>
            <w:r w:rsidR="008558F1" w:rsidRPr="00D73250">
              <w:rPr>
                <w:rFonts w:ascii="Times New Roman" w:hAnsi="Times New Roman" w:cs="Times New Roman"/>
                <w:sz w:val="24"/>
                <w:szCs w:val="24"/>
              </w:rPr>
              <w:t xml:space="preserve"> only</w:t>
            </w:r>
            <w:r w:rsidRPr="00D73250">
              <w:rPr>
                <w:rFonts w:ascii="Times New Roman" w:hAnsi="Times New Roman" w:cs="Times New Roman"/>
                <w:sz w:val="24"/>
                <w:szCs w:val="24"/>
              </w:rPr>
              <w:t>)</w:t>
            </w:r>
          </w:p>
        </w:tc>
      </w:tr>
      <w:tr w:rsidR="008558F1" w:rsidRPr="00D73250" w14:paraId="1D5BF168" w14:textId="77777777" w:rsidTr="00F25D37">
        <w:tc>
          <w:tcPr>
            <w:tcW w:w="1276" w:type="dxa"/>
            <w:tcBorders>
              <w:top w:val="single" w:sz="4" w:space="0" w:color="auto"/>
              <w:bottom w:val="single" w:sz="4" w:space="0" w:color="auto"/>
            </w:tcBorders>
            <w:tcMar>
              <w:top w:w="0" w:type="dxa"/>
              <w:left w:w="108" w:type="dxa"/>
              <w:bottom w:w="0" w:type="dxa"/>
              <w:right w:w="108" w:type="dxa"/>
            </w:tcMar>
          </w:tcPr>
          <w:p w14:paraId="5993EC84" w14:textId="77777777" w:rsidR="008558F1" w:rsidRPr="00D73250" w:rsidRDefault="008558F1" w:rsidP="008558F1">
            <w:pPr>
              <w:rPr>
                <w:rFonts w:ascii="Times New Roman" w:hAnsi="Times New Roman" w:cs="Times New Roman"/>
                <w:sz w:val="24"/>
                <w:szCs w:val="24"/>
              </w:rPr>
            </w:pPr>
            <w:r w:rsidRPr="00D73250">
              <w:rPr>
                <w:rFonts w:ascii="Times New Roman" w:hAnsi="Times New Roman" w:cs="Times New Roman"/>
                <w:sz w:val="24"/>
                <w:szCs w:val="24"/>
              </w:rPr>
              <w:t>Occurrence of outbreak on unit</w:t>
            </w:r>
          </w:p>
        </w:tc>
        <w:tc>
          <w:tcPr>
            <w:tcW w:w="4510" w:type="dxa"/>
            <w:tcBorders>
              <w:top w:val="single" w:sz="4" w:space="0" w:color="auto"/>
              <w:bottom w:val="single" w:sz="4" w:space="0" w:color="auto"/>
            </w:tcBorders>
            <w:tcMar>
              <w:top w:w="0" w:type="dxa"/>
              <w:left w:w="108" w:type="dxa"/>
              <w:bottom w:w="0" w:type="dxa"/>
              <w:right w:w="108" w:type="dxa"/>
            </w:tcMar>
          </w:tcPr>
          <w:p w14:paraId="79C4239C" w14:textId="3DC4C4A5" w:rsidR="00F25D37" w:rsidRDefault="00857448" w:rsidP="001412B9">
            <w:pPr>
              <w:rPr>
                <w:rFonts w:ascii="Times New Roman" w:hAnsi="Times New Roman" w:cs="Times New Roman"/>
                <w:sz w:val="24"/>
                <w:szCs w:val="24"/>
              </w:rPr>
            </w:pPr>
            <w:r w:rsidRPr="00D73250">
              <w:rPr>
                <w:rFonts w:ascii="Times New Roman" w:hAnsi="Times New Roman" w:cs="Times New Roman"/>
                <w:sz w:val="24"/>
                <w:szCs w:val="24"/>
              </w:rPr>
              <w:t xml:space="preserve">Whether </w:t>
            </w:r>
            <w:r w:rsidR="001412B9" w:rsidRPr="00D73250">
              <w:rPr>
                <w:rFonts w:ascii="Times New Roman" w:hAnsi="Times New Roman" w:cs="Times New Roman"/>
                <w:sz w:val="24"/>
                <w:szCs w:val="24"/>
              </w:rPr>
              <w:t xml:space="preserve">active </w:t>
            </w:r>
            <w:r w:rsidRPr="00D73250">
              <w:rPr>
                <w:rFonts w:ascii="Times New Roman" w:hAnsi="Times New Roman" w:cs="Times New Roman"/>
                <w:sz w:val="24"/>
                <w:szCs w:val="24"/>
              </w:rPr>
              <w:t xml:space="preserve">COVID-19 </w:t>
            </w:r>
            <w:r w:rsidR="008558F1" w:rsidRPr="00D73250">
              <w:rPr>
                <w:rFonts w:ascii="Times New Roman" w:hAnsi="Times New Roman" w:cs="Times New Roman"/>
                <w:sz w:val="24"/>
                <w:szCs w:val="24"/>
              </w:rPr>
              <w:t>outbreak</w:t>
            </w:r>
            <w:r w:rsidRPr="00D73250">
              <w:rPr>
                <w:rFonts w:ascii="Times New Roman" w:hAnsi="Times New Roman" w:cs="Times New Roman"/>
                <w:sz w:val="24"/>
                <w:szCs w:val="24"/>
              </w:rPr>
              <w:t xml:space="preserve"> </w:t>
            </w:r>
            <w:r w:rsidR="00F70352">
              <w:rPr>
                <w:rFonts w:ascii="Times New Roman" w:hAnsi="Times New Roman" w:cs="Times New Roman"/>
                <w:sz w:val="24"/>
                <w:szCs w:val="24"/>
              </w:rPr>
              <w:t xml:space="preserve">was </w:t>
            </w:r>
            <w:r w:rsidR="001412B9" w:rsidRPr="00D73250">
              <w:rPr>
                <w:rFonts w:ascii="Times New Roman" w:hAnsi="Times New Roman" w:cs="Times New Roman"/>
                <w:sz w:val="24"/>
                <w:szCs w:val="24"/>
              </w:rPr>
              <w:t>present</w:t>
            </w:r>
            <w:r w:rsidRPr="00D73250">
              <w:rPr>
                <w:rFonts w:ascii="Times New Roman" w:hAnsi="Times New Roman" w:cs="Times New Roman"/>
                <w:sz w:val="24"/>
                <w:szCs w:val="24"/>
              </w:rPr>
              <w:t xml:space="preserve"> on unit at time of exposure</w:t>
            </w:r>
            <w:r w:rsidR="00D73250">
              <w:rPr>
                <w:rFonts w:ascii="Times New Roman" w:hAnsi="Times New Roman" w:cs="Times New Roman"/>
                <w:sz w:val="24"/>
                <w:szCs w:val="24"/>
              </w:rPr>
              <w:t>.</w:t>
            </w:r>
            <w:r w:rsidR="008558F1" w:rsidRPr="00D73250">
              <w:rPr>
                <w:rFonts w:ascii="Times New Roman" w:hAnsi="Times New Roman" w:cs="Times New Roman"/>
                <w:sz w:val="24"/>
                <w:szCs w:val="24"/>
              </w:rPr>
              <w:t xml:space="preserve"> </w:t>
            </w:r>
          </w:p>
          <w:p w14:paraId="621D0DE6" w14:textId="77777777" w:rsidR="00F25D37" w:rsidRDefault="00F25D37" w:rsidP="001412B9">
            <w:pPr>
              <w:rPr>
                <w:rFonts w:ascii="Times New Roman" w:hAnsi="Times New Roman" w:cs="Times New Roman"/>
                <w:sz w:val="24"/>
                <w:szCs w:val="24"/>
              </w:rPr>
            </w:pPr>
          </w:p>
          <w:p w14:paraId="3152C400" w14:textId="77777777" w:rsidR="00F25D37" w:rsidRDefault="00F25D37" w:rsidP="001412B9">
            <w:pPr>
              <w:rPr>
                <w:rFonts w:ascii="Times New Roman" w:hAnsi="Times New Roman" w:cs="Times New Roman"/>
                <w:sz w:val="24"/>
                <w:szCs w:val="24"/>
              </w:rPr>
            </w:pPr>
          </w:p>
          <w:p w14:paraId="1AE57253" w14:textId="3A3BB793" w:rsidR="00F25D37" w:rsidRPr="00D73250" w:rsidRDefault="00F25D37" w:rsidP="001412B9">
            <w:pPr>
              <w:rPr>
                <w:rFonts w:ascii="Times New Roman" w:hAnsi="Times New Roman" w:cs="Times New Roman"/>
                <w:sz w:val="24"/>
                <w:szCs w:val="24"/>
              </w:rPr>
            </w:pPr>
          </w:p>
        </w:tc>
        <w:tc>
          <w:tcPr>
            <w:tcW w:w="1323" w:type="dxa"/>
            <w:tcBorders>
              <w:top w:val="single" w:sz="4" w:space="0" w:color="auto"/>
              <w:bottom w:val="single" w:sz="4" w:space="0" w:color="auto"/>
            </w:tcBorders>
            <w:tcMar>
              <w:top w:w="0" w:type="dxa"/>
              <w:left w:w="108" w:type="dxa"/>
              <w:bottom w:w="0" w:type="dxa"/>
              <w:right w:w="108" w:type="dxa"/>
            </w:tcMar>
          </w:tcPr>
          <w:p w14:paraId="6F5FA2FB" w14:textId="77777777" w:rsidR="008558F1" w:rsidRPr="00D73250" w:rsidRDefault="008558F1" w:rsidP="008558F1">
            <w:pPr>
              <w:rPr>
                <w:rFonts w:ascii="Times New Roman" w:hAnsi="Times New Roman" w:cs="Times New Roman"/>
                <w:sz w:val="24"/>
                <w:szCs w:val="24"/>
              </w:rPr>
            </w:pPr>
            <w:r w:rsidRPr="00D73250">
              <w:rPr>
                <w:rFonts w:ascii="Times New Roman" w:hAnsi="Times New Roman" w:cs="Times New Roman"/>
                <w:sz w:val="24"/>
                <w:szCs w:val="24"/>
              </w:rPr>
              <w:t>Categorical</w:t>
            </w:r>
          </w:p>
        </w:tc>
        <w:tc>
          <w:tcPr>
            <w:tcW w:w="2251" w:type="dxa"/>
            <w:tcBorders>
              <w:top w:val="single" w:sz="4" w:space="0" w:color="auto"/>
              <w:bottom w:val="single" w:sz="4" w:space="0" w:color="auto"/>
            </w:tcBorders>
            <w:tcMar>
              <w:top w:w="0" w:type="dxa"/>
              <w:left w:w="108" w:type="dxa"/>
              <w:bottom w:w="0" w:type="dxa"/>
              <w:right w:w="108" w:type="dxa"/>
            </w:tcMar>
          </w:tcPr>
          <w:p w14:paraId="42FC664D" w14:textId="77777777" w:rsidR="008558F1" w:rsidRPr="00D73250" w:rsidRDefault="008558F1" w:rsidP="008558F1">
            <w:pPr>
              <w:rPr>
                <w:rFonts w:ascii="Times New Roman" w:hAnsi="Times New Roman" w:cs="Times New Roman"/>
                <w:sz w:val="24"/>
                <w:szCs w:val="24"/>
              </w:rPr>
            </w:pPr>
            <w:r w:rsidRPr="00D73250">
              <w:rPr>
                <w:rFonts w:ascii="Times New Roman" w:hAnsi="Times New Roman" w:cs="Times New Roman"/>
                <w:sz w:val="24"/>
                <w:szCs w:val="24"/>
              </w:rPr>
              <w:t>Yes</w:t>
            </w:r>
          </w:p>
          <w:p w14:paraId="67ED8032" w14:textId="77777777" w:rsidR="008558F1" w:rsidRPr="00D73250" w:rsidRDefault="008558F1" w:rsidP="008558F1">
            <w:pPr>
              <w:rPr>
                <w:rFonts w:ascii="Times New Roman" w:hAnsi="Times New Roman" w:cs="Times New Roman"/>
                <w:sz w:val="24"/>
                <w:szCs w:val="24"/>
              </w:rPr>
            </w:pPr>
            <w:r w:rsidRPr="00D73250">
              <w:rPr>
                <w:rFonts w:ascii="Times New Roman" w:hAnsi="Times New Roman" w:cs="Times New Roman"/>
                <w:sz w:val="24"/>
                <w:szCs w:val="24"/>
              </w:rPr>
              <w:t>No</w:t>
            </w:r>
          </w:p>
        </w:tc>
      </w:tr>
      <w:tr w:rsidR="008558F1" w:rsidRPr="00D73250" w14:paraId="4BB50C47" w14:textId="77777777" w:rsidTr="00F25D37">
        <w:tc>
          <w:tcPr>
            <w:tcW w:w="1276" w:type="dxa"/>
            <w:tcBorders>
              <w:top w:val="single" w:sz="4" w:space="0" w:color="auto"/>
              <w:bottom w:val="single" w:sz="4" w:space="0" w:color="auto"/>
            </w:tcBorders>
            <w:tcMar>
              <w:top w:w="0" w:type="dxa"/>
              <w:left w:w="108" w:type="dxa"/>
              <w:bottom w:w="0" w:type="dxa"/>
              <w:right w:w="108" w:type="dxa"/>
            </w:tcMar>
          </w:tcPr>
          <w:p w14:paraId="6B48E431" w14:textId="77777777" w:rsidR="008558F1" w:rsidRPr="00D73250" w:rsidRDefault="008558F1" w:rsidP="008558F1">
            <w:pPr>
              <w:rPr>
                <w:rFonts w:ascii="Times New Roman" w:hAnsi="Times New Roman" w:cs="Times New Roman"/>
                <w:sz w:val="24"/>
                <w:szCs w:val="24"/>
              </w:rPr>
            </w:pPr>
            <w:r w:rsidRPr="00D73250">
              <w:rPr>
                <w:rFonts w:ascii="Times New Roman" w:hAnsi="Times New Roman" w:cs="Times New Roman"/>
                <w:sz w:val="24"/>
                <w:szCs w:val="24"/>
              </w:rPr>
              <w:lastRenderedPageBreak/>
              <w:t>Cumulative duration</w:t>
            </w:r>
          </w:p>
        </w:tc>
        <w:tc>
          <w:tcPr>
            <w:tcW w:w="4510" w:type="dxa"/>
            <w:tcBorders>
              <w:top w:val="single" w:sz="4" w:space="0" w:color="auto"/>
              <w:bottom w:val="single" w:sz="4" w:space="0" w:color="auto"/>
            </w:tcBorders>
            <w:tcMar>
              <w:top w:w="0" w:type="dxa"/>
              <w:left w:w="108" w:type="dxa"/>
              <w:bottom w:w="0" w:type="dxa"/>
              <w:right w:w="108" w:type="dxa"/>
            </w:tcMar>
          </w:tcPr>
          <w:p w14:paraId="66671B97" w14:textId="0C71BE3F" w:rsidR="00D73250" w:rsidRPr="00D73250" w:rsidRDefault="008558F1" w:rsidP="00D73250">
            <w:pPr>
              <w:rPr>
                <w:rFonts w:ascii="Times New Roman" w:hAnsi="Times New Roman" w:cs="Times New Roman"/>
                <w:sz w:val="24"/>
                <w:szCs w:val="24"/>
              </w:rPr>
            </w:pPr>
            <w:r w:rsidRPr="00D73250">
              <w:rPr>
                <w:rFonts w:ascii="Times New Roman" w:hAnsi="Times New Roman" w:cs="Times New Roman"/>
                <w:sz w:val="24"/>
                <w:szCs w:val="24"/>
              </w:rPr>
              <w:t>Duration of exposure</w:t>
            </w:r>
            <w:r w:rsidR="00F70352">
              <w:rPr>
                <w:rFonts w:ascii="Times New Roman" w:hAnsi="Times New Roman" w:cs="Times New Roman"/>
                <w:sz w:val="24"/>
                <w:szCs w:val="24"/>
              </w:rPr>
              <w:t>,</w:t>
            </w:r>
            <w:r w:rsidR="00D73250">
              <w:rPr>
                <w:rFonts w:ascii="Times New Roman" w:hAnsi="Times New Roman" w:cs="Times New Roman"/>
                <w:sz w:val="24"/>
                <w:szCs w:val="24"/>
              </w:rPr>
              <w:t xml:space="preserve"> including sum of time spent </w:t>
            </w:r>
            <w:r w:rsidR="00D73250" w:rsidRPr="006D2E7E">
              <w:rPr>
                <w:rFonts w:ascii="Times New Roman" w:hAnsi="Times New Roman" w:cs="Times New Roman"/>
                <w:color w:val="000000"/>
                <w:sz w:val="24"/>
                <w:szCs w:val="24"/>
                <w:shd w:val="clear" w:color="auto" w:fill="FFFFFF"/>
              </w:rPr>
              <w:t xml:space="preserve">with source at close proximity (within 6-feet) within 48-hours of onset of infection </w:t>
            </w:r>
            <w:r w:rsidR="00D73250">
              <w:rPr>
                <w:rFonts w:ascii="Times New Roman" w:hAnsi="Times New Roman" w:cs="Times New Roman"/>
                <w:color w:val="000000"/>
                <w:sz w:val="24"/>
                <w:szCs w:val="24"/>
                <w:shd w:val="clear" w:color="auto" w:fill="FFFFFF"/>
              </w:rPr>
              <w:t>(</w:t>
            </w:r>
            <w:r w:rsidR="00D73250">
              <w:rPr>
                <w:rFonts w:ascii="Times New Roman" w:hAnsi="Times New Roman" w:cs="Times New Roman"/>
                <w:bCs/>
                <w:sz w:val="24"/>
                <w:szCs w:val="24"/>
              </w:rPr>
              <w:t xml:space="preserve">symptom onset or test positivity, whichever was first) </w:t>
            </w:r>
            <w:r w:rsidR="00D73250">
              <w:rPr>
                <w:rFonts w:ascii="Times New Roman" w:hAnsi="Times New Roman" w:cs="Times New Roman"/>
                <w:color w:val="000000"/>
                <w:sz w:val="24"/>
                <w:szCs w:val="24"/>
                <w:shd w:val="clear" w:color="auto" w:fill="FFFFFF"/>
              </w:rPr>
              <w:t xml:space="preserve">and </w:t>
            </w:r>
            <w:r w:rsidR="00D73250" w:rsidRPr="006D2E7E">
              <w:rPr>
                <w:rFonts w:ascii="Times New Roman" w:hAnsi="Times New Roman" w:cs="Times New Roman"/>
                <w:color w:val="000000"/>
                <w:sz w:val="24"/>
                <w:szCs w:val="24"/>
                <w:shd w:val="clear" w:color="auto" w:fill="FFFFFF"/>
              </w:rPr>
              <w:t xml:space="preserve">up to 10-days following.  </w:t>
            </w:r>
          </w:p>
        </w:tc>
        <w:tc>
          <w:tcPr>
            <w:tcW w:w="1323" w:type="dxa"/>
            <w:tcBorders>
              <w:top w:val="single" w:sz="4" w:space="0" w:color="auto"/>
              <w:bottom w:val="single" w:sz="4" w:space="0" w:color="auto"/>
            </w:tcBorders>
            <w:tcMar>
              <w:top w:w="0" w:type="dxa"/>
              <w:left w:w="108" w:type="dxa"/>
              <w:bottom w:w="0" w:type="dxa"/>
              <w:right w:w="108" w:type="dxa"/>
            </w:tcMar>
          </w:tcPr>
          <w:p w14:paraId="1C9A705C" w14:textId="77777777" w:rsidR="008558F1" w:rsidRPr="00D73250" w:rsidRDefault="008558F1" w:rsidP="008558F1">
            <w:pPr>
              <w:rPr>
                <w:rFonts w:ascii="Times New Roman" w:hAnsi="Times New Roman" w:cs="Times New Roman"/>
                <w:sz w:val="24"/>
                <w:szCs w:val="24"/>
              </w:rPr>
            </w:pPr>
            <w:r w:rsidRPr="00D73250">
              <w:rPr>
                <w:rFonts w:ascii="Times New Roman" w:hAnsi="Times New Roman" w:cs="Times New Roman"/>
                <w:sz w:val="24"/>
                <w:szCs w:val="24"/>
              </w:rPr>
              <w:t>Categorical</w:t>
            </w:r>
          </w:p>
        </w:tc>
        <w:tc>
          <w:tcPr>
            <w:tcW w:w="2251" w:type="dxa"/>
            <w:tcBorders>
              <w:top w:val="single" w:sz="4" w:space="0" w:color="auto"/>
              <w:bottom w:val="single" w:sz="4" w:space="0" w:color="auto"/>
            </w:tcBorders>
            <w:tcMar>
              <w:top w:w="0" w:type="dxa"/>
              <w:left w:w="108" w:type="dxa"/>
              <w:bottom w:w="0" w:type="dxa"/>
              <w:right w:w="108" w:type="dxa"/>
            </w:tcMar>
          </w:tcPr>
          <w:p w14:paraId="6BD5409A" w14:textId="77777777" w:rsidR="008558F1" w:rsidRPr="00D73250" w:rsidRDefault="008558F1" w:rsidP="008558F1">
            <w:pPr>
              <w:rPr>
                <w:rFonts w:ascii="Times New Roman" w:hAnsi="Times New Roman" w:cs="Times New Roman"/>
                <w:sz w:val="24"/>
                <w:szCs w:val="24"/>
              </w:rPr>
            </w:pPr>
            <w:r w:rsidRPr="00D73250">
              <w:rPr>
                <w:rFonts w:ascii="Times New Roman" w:hAnsi="Times New Roman" w:cs="Times New Roman"/>
                <w:sz w:val="24"/>
                <w:szCs w:val="24"/>
              </w:rPr>
              <w:t>Less than 15 minutes</w:t>
            </w:r>
          </w:p>
          <w:p w14:paraId="6F1C4336" w14:textId="77777777" w:rsidR="008558F1" w:rsidRPr="00D73250" w:rsidRDefault="008558F1" w:rsidP="008558F1">
            <w:pPr>
              <w:rPr>
                <w:rFonts w:ascii="Times New Roman" w:hAnsi="Times New Roman" w:cs="Times New Roman"/>
                <w:sz w:val="24"/>
                <w:szCs w:val="24"/>
              </w:rPr>
            </w:pPr>
            <w:r w:rsidRPr="00D73250">
              <w:rPr>
                <w:rFonts w:ascii="Times New Roman" w:hAnsi="Times New Roman" w:cs="Times New Roman"/>
                <w:sz w:val="24"/>
                <w:szCs w:val="24"/>
              </w:rPr>
              <w:t>15 minutes to 1 hour</w:t>
            </w:r>
          </w:p>
          <w:p w14:paraId="2A4B64C8" w14:textId="77777777" w:rsidR="008558F1" w:rsidRPr="00D73250" w:rsidRDefault="008558F1" w:rsidP="008558F1">
            <w:pPr>
              <w:rPr>
                <w:rFonts w:ascii="Times New Roman" w:hAnsi="Times New Roman" w:cs="Times New Roman"/>
                <w:sz w:val="24"/>
                <w:szCs w:val="24"/>
              </w:rPr>
            </w:pPr>
            <w:r w:rsidRPr="00D73250">
              <w:rPr>
                <w:rFonts w:ascii="Times New Roman" w:hAnsi="Times New Roman" w:cs="Times New Roman"/>
                <w:sz w:val="24"/>
                <w:szCs w:val="24"/>
              </w:rPr>
              <w:t>1 to 2 hours</w:t>
            </w:r>
          </w:p>
          <w:p w14:paraId="2966115E" w14:textId="77777777" w:rsidR="008558F1" w:rsidRPr="00D73250" w:rsidRDefault="008558F1" w:rsidP="008558F1">
            <w:pPr>
              <w:rPr>
                <w:rFonts w:ascii="Times New Roman" w:hAnsi="Times New Roman" w:cs="Times New Roman"/>
                <w:sz w:val="24"/>
                <w:szCs w:val="24"/>
              </w:rPr>
            </w:pPr>
            <w:r w:rsidRPr="00D73250">
              <w:rPr>
                <w:rFonts w:ascii="Times New Roman" w:hAnsi="Times New Roman" w:cs="Times New Roman"/>
                <w:sz w:val="24"/>
                <w:szCs w:val="24"/>
              </w:rPr>
              <w:t>More than 2 hours</w:t>
            </w:r>
          </w:p>
        </w:tc>
      </w:tr>
      <w:tr w:rsidR="008558F1" w:rsidRPr="00D73250" w14:paraId="214D14CF" w14:textId="77777777" w:rsidTr="00F25D37">
        <w:tc>
          <w:tcPr>
            <w:tcW w:w="1276" w:type="dxa"/>
            <w:tcBorders>
              <w:top w:val="single" w:sz="4" w:space="0" w:color="auto"/>
              <w:bottom w:val="single" w:sz="4" w:space="0" w:color="auto"/>
            </w:tcBorders>
            <w:tcMar>
              <w:top w:w="0" w:type="dxa"/>
              <w:left w:w="108" w:type="dxa"/>
              <w:bottom w:w="0" w:type="dxa"/>
              <w:right w:w="108" w:type="dxa"/>
            </w:tcMar>
            <w:hideMark/>
          </w:tcPr>
          <w:p w14:paraId="7BA4E46B" w14:textId="04B5F84A" w:rsidR="008558F1" w:rsidRPr="00D73250" w:rsidRDefault="008558F1" w:rsidP="008558F1">
            <w:pPr>
              <w:rPr>
                <w:rFonts w:ascii="Times New Roman" w:hAnsi="Times New Roman" w:cs="Times New Roman"/>
                <w:sz w:val="24"/>
                <w:szCs w:val="24"/>
              </w:rPr>
            </w:pPr>
            <w:r w:rsidRPr="00D73250">
              <w:rPr>
                <w:rFonts w:ascii="Times New Roman" w:hAnsi="Times New Roman" w:cs="Times New Roman"/>
                <w:sz w:val="24"/>
                <w:szCs w:val="24"/>
              </w:rPr>
              <w:t>Ventilation</w:t>
            </w:r>
            <w:r w:rsidR="008E36AC" w:rsidRPr="00D73250">
              <w:rPr>
                <w:rFonts w:ascii="Times New Roman" w:hAnsi="Times New Roman" w:cs="Times New Roman"/>
                <w:sz w:val="24"/>
                <w:szCs w:val="24"/>
              </w:rPr>
              <w:t xml:space="preserve"> – total </w:t>
            </w:r>
            <w:r w:rsidR="00D73250">
              <w:rPr>
                <w:rFonts w:ascii="Times New Roman" w:hAnsi="Times New Roman" w:cs="Times New Roman"/>
                <w:sz w:val="24"/>
                <w:szCs w:val="24"/>
              </w:rPr>
              <w:t>ACH</w:t>
            </w:r>
          </w:p>
        </w:tc>
        <w:tc>
          <w:tcPr>
            <w:tcW w:w="4510" w:type="dxa"/>
            <w:tcBorders>
              <w:top w:val="single" w:sz="4" w:space="0" w:color="auto"/>
              <w:bottom w:val="single" w:sz="4" w:space="0" w:color="auto"/>
            </w:tcBorders>
            <w:tcMar>
              <w:top w:w="0" w:type="dxa"/>
              <w:left w:w="108" w:type="dxa"/>
              <w:bottom w:w="0" w:type="dxa"/>
              <w:right w:w="108" w:type="dxa"/>
            </w:tcMar>
            <w:hideMark/>
          </w:tcPr>
          <w:p w14:paraId="3069977A" w14:textId="3B8D7CA0" w:rsidR="008E36AC" w:rsidRPr="00A16485" w:rsidRDefault="008558F1" w:rsidP="00A16485">
            <w:pPr>
              <w:rPr>
                <w:rFonts w:ascii="Times New Roman" w:hAnsi="Times New Roman" w:cs="Times New Roman"/>
                <w:sz w:val="24"/>
                <w:szCs w:val="24"/>
                <w:lang w:val="en-CA"/>
              </w:rPr>
            </w:pPr>
            <w:r w:rsidRPr="00D73250">
              <w:rPr>
                <w:rFonts w:ascii="Times New Roman" w:hAnsi="Times New Roman" w:cs="Times New Roman"/>
                <w:sz w:val="24"/>
                <w:szCs w:val="24"/>
              </w:rPr>
              <w:t xml:space="preserve">Estimated </w:t>
            </w:r>
            <w:r w:rsidR="00D73250">
              <w:rPr>
                <w:rFonts w:ascii="Times New Roman" w:hAnsi="Times New Roman" w:cs="Times New Roman"/>
                <w:sz w:val="24"/>
                <w:szCs w:val="24"/>
              </w:rPr>
              <w:t>ACH</w:t>
            </w:r>
            <w:r w:rsidRPr="00D73250">
              <w:rPr>
                <w:rFonts w:ascii="Times New Roman" w:hAnsi="Times New Roman" w:cs="Times New Roman"/>
                <w:sz w:val="24"/>
                <w:szCs w:val="24"/>
              </w:rPr>
              <w:t xml:space="preserve"> of loca</w:t>
            </w:r>
            <w:r w:rsidR="008C3691" w:rsidRPr="00D73250">
              <w:rPr>
                <w:rFonts w:ascii="Times New Roman" w:hAnsi="Times New Roman" w:cs="Times New Roman"/>
                <w:sz w:val="24"/>
                <w:szCs w:val="24"/>
              </w:rPr>
              <w:t xml:space="preserve">tion in which exposure occurred. </w:t>
            </w:r>
            <w:r w:rsidR="00D73250">
              <w:rPr>
                <w:rFonts w:ascii="Times New Roman" w:hAnsi="Times New Roman" w:cs="Times New Roman"/>
                <w:sz w:val="24"/>
                <w:szCs w:val="24"/>
              </w:rPr>
              <w:t xml:space="preserve">All room sizes within a CLS where exposures occurred were tested </w:t>
            </w:r>
            <w:r w:rsidR="006F78DD" w:rsidRPr="00D73250">
              <w:rPr>
                <w:rFonts w:ascii="Times New Roman" w:hAnsi="Times New Roman" w:cs="Times New Roman"/>
                <w:sz w:val="24"/>
                <w:szCs w:val="24"/>
              </w:rPr>
              <w:t xml:space="preserve">with 2 instruments: 1) direct air volume readings at the ceiling terminal using a Balometer </w:t>
            </w:r>
            <w:r w:rsidR="00F70352">
              <w:rPr>
                <w:rFonts w:ascii="Times New Roman" w:hAnsi="Times New Roman" w:cs="Times New Roman"/>
                <w:sz w:val="24"/>
                <w:szCs w:val="24"/>
              </w:rPr>
              <w:t xml:space="preserve">capture hood </w:t>
            </w:r>
            <w:r w:rsidR="006F78DD" w:rsidRPr="00D73250">
              <w:rPr>
                <w:rFonts w:ascii="Times New Roman" w:eastAsia="Times New Roman" w:hAnsi="Times New Roman" w:cs="Times New Roman"/>
                <w:sz w:val="24"/>
                <w:szCs w:val="24"/>
              </w:rPr>
              <w:t>(</w:t>
            </w:r>
            <w:r w:rsidR="00F70352">
              <w:rPr>
                <w:rFonts w:ascii="Times New Roman" w:eastAsia="Times New Roman" w:hAnsi="Times New Roman" w:cs="Times New Roman"/>
                <w:sz w:val="24"/>
                <w:szCs w:val="24"/>
              </w:rPr>
              <w:t>d</w:t>
            </w:r>
            <w:r w:rsidR="006F78DD" w:rsidRPr="00D73250">
              <w:rPr>
                <w:rFonts w:ascii="Times New Roman" w:eastAsia="Times New Roman" w:hAnsi="Times New Roman" w:cs="Times New Roman"/>
                <w:sz w:val="24"/>
                <w:szCs w:val="24"/>
              </w:rPr>
              <w:t xml:space="preserve">igital micromanometer with a flow hood kit), and 2) </w:t>
            </w:r>
            <w:r w:rsidR="00F70352">
              <w:rPr>
                <w:rFonts w:ascii="Times New Roman" w:eastAsia="Times New Roman" w:hAnsi="Times New Roman" w:cs="Times New Roman"/>
                <w:sz w:val="24"/>
                <w:szCs w:val="24"/>
              </w:rPr>
              <w:t>d</w:t>
            </w:r>
            <w:r w:rsidR="006F78DD" w:rsidRPr="00D73250">
              <w:rPr>
                <w:rFonts w:ascii="Times New Roman" w:eastAsia="Times New Roman" w:hAnsi="Times New Roman" w:cs="Times New Roman"/>
                <w:sz w:val="24"/>
                <w:szCs w:val="24"/>
              </w:rPr>
              <w:t>igital vane anemometer used for velocity readings at grille</w:t>
            </w:r>
            <w:r w:rsidR="00F70352">
              <w:rPr>
                <w:rFonts w:ascii="Times New Roman" w:eastAsia="Times New Roman" w:hAnsi="Times New Roman" w:cs="Times New Roman"/>
                <w:sz w:val="24"/>
                <w:szCs w:val="24"/>
              </w:rPr>
              <w:t>-</w:t>
            </w:r>
            <w:r w:rsidR="006F78DD" w:rsidRPr="00D73250">
              <w:rPr>
                <w:rFonts w:ascii="Times New Roman" w:eastAsia="Times New Roman" w:hAnsi="Times New Roman" w:cs="Times New Roman"/>
                <w:sz w:val="24"/>
                <w:szCs w:val="24"/>
              </w:rPr>
              <w:t xml:space="preserve">type terminals with air volume conversion from a K factor.  </w:t>
            </w:r>
            <w:r w:rsidR="00D73250">
              <w:rPr>
                <w:rFonts w:ascii="Times New Roman" w:eastAsia="Times New Roman" w:hAnsi="Times New Roman" w:cs="Times New Roman"/>
                <w:sz w:val="24"/>
                <w:szCs w:val="24"/>
              </w:rPr>
              <w:t>F</w:t>
            </w:r>
            <w:r w:rsidR="006F78DD" w:rsidRPr="00D73250">
              <w:rPr>
                <w:rFonts w:ascii="Times New Roman" w:hAnsi="Times New Roman" w:cs="Times New Roman"/>
                <w:sz w:val="24"/>
                <w:szCs w:val="24"/>
              </w:rPr>
              <w:t>an level</w:t>
            </w:r>
            <w:r w:rsidR="008C3691" w:rsidRPr="00D73250">
              <w:rPr>
                <w:rFonts w:ascii="Times New Roman" w:hAnsi="Times New Roman" w:cs="Times New Roman"/>
                <w:sz w:val="24"/>
                <w:szCs w:val="24"/>
              </w:rPr>
              <w:t xml:space="preserve"> measurements (OSA ACH) were taken from d</w:t>
            </w:r>
            <w:r w:rsidR="006F78DD" w:rsidRPr="00D73250">
              <w:rPr>
                <w:rFonts w:ascii="Times New Roman" w:hAnsi="Times New Roman" w:cs="Times New Roman"/>
                <w:sz w:val="24"/>
                <w:szCs w:val="24"/>
              </w:rPr>
              <w:t>uct</w:t>
            </w:r>
            <w:r w:rsidR="00F70352">
              <w:rPr>
                <w:rFonts w:ascii="Times New Roman" w:hAnsi="Times New Roman" w:cs="Times New Roman"/>
                <w:sz w:val="24"/>
                <w:szCs w:val="24"/>
              </w:rPr>
              <w:t>s</w:t>
            </w:r>
            <w:r w:rsidR="006F78DD" w:rsidRPr="00D73250">
              <w:rPr>
                <w:rFonts w:ascii="Times New Roman" w:hAnsi="Times New Roman" w:cs="Times New Roman"/>
                <w:sz w:val="24"/>
                <w:szCs w:val="24"/>
              </w:rPr>
              <w:t xml:space="preserve"> traversing the supply, return </w:t>
            </w:r>
            <w:r w:rsidR="00D73250">
              <w:rPr>
                <w:rFonts w:ascii="Times New Roman" w:hAnsi="Times New Roman" w:cs="Times New Roman"/>
                <w:sz w:val="24"/>
                <w:szCs w:val="24"/>
              </w:rPr>
              <w:t>and</w:t>
            </w:r>
            <w:r w:rsidR="006F78DD" w:rsidRPr="00D73250">
              <w:rPr>
                <w:rFonts w:ascii="Times New Roman" w:hAnsi="Times New Roman" w:cs="Times New Roman"/>
                <w:sz w:val="24"/>
                <w:szCs w:val="24"/>
              </w:rPr>
              <w:t xml:space="preserve"> exhaust airstreams using a </w:t>
            </w:r>
            <w:r w:rsidR="00D73250">
              <w:rPr>
                <w:rFonts w:ascii="Times New Roman" w:hAnsi="Times New Roman" w:cs="Times New Roman"/>
                <w:sz w:val="24"/>
                <w:szCs w:val="24"/>
              </w:rPr>
              <w:t>d</w:t>
            </w:r>
            <w:r w:rsidR="006F78DD" w:rsidRPr="00D73250">
              <w:rPr>
                <w:rFonts w:ascii="Times New Roman" w:hAnsi="Times New Roman" w:cs="Times New Roman"/>
                <w:sz w:val="24"/>
                <w:szCs w:val="24"/>
              </w:rPr>
              <w:t>igital microm</w:t>
            </w:r>
            <w:r w:rsidR="008C3691" w:rsidRPr="00D73250">
              <w:rPr>
                <w:rFonts w:ascii="Times New Roman" w:hAnsi="Times New Roman" w:cs="Times New Roman"/>
                <w:sz w:val="24"/>
                <w:szCs w:val="24"/>
              </w:rPr>
              <w:t>anometer and</w:t>
            </w:r>
            <w:r w:rsidR="006F78DD" w:rsidRPr="00D73250">
              <w:rPr>
                <w:rFonts w:ascii="Times New Roman" w:hAnsi="Times New Roman" w:cs="Times New Roman"/>
                <w:sz w:val="24"/>
                <w:szCs w:val="24"/>
              </w:rPr>
              <w:t xml:space="preserve"> pitot tube. The difference in airflow between </w:t>
            </w:r>
            <w:r w:rsidR="00F70352">
              <w:rPr>
                <w:rFonts w:ascii="Times New Roman" w:hAnsi="Times New Roman" w:cs="Times New Roman"/>
                <w:sz w:val="24"/>
                <w:szCs w:val="24"/>
              </w:rPr>
              <w:t>s</w:t>
            </w:r>
            <w:r w:rsidR="006F78DD" w:rsidRPr="00D73250">
              <w:rPr>
                <w:rFonts w:ascii="Times New Roman" w:hAnsi="Times New Roman" w:cs="Times New Roman"/>
                <w:sz w:val="24"/>
                <w:szCs w:val="24"/>
              </w:rPr>
              <w:t>upply and return</w:t>
            </w:r>
            <w:r w:rsidR="00F70352">
              <w:rPr>
                <w:rFonts w:ascii="Times New Roman" w:hAnsi="Times New Roman" w:cs="Times New Roman"/>
                <w:sz w:val="24"/>
                <w:szCs w:val="24"/>
              </w:rPr>
              <w:t xml:space="preserve"> airstreams</w:t>
            </w:r>
            <w:r w:rsidR="006F78DD" w:rsidRPr="00D73250">
              <w:rPr>
                <w:rFonts w:ascii="Times New Roman" w:hAnsi="Times New Roman" w:cs="Times New Roman"/>
                <w:sz w:val="24"/>
                <w:szCs w:val="24"/>
              </w:rPr>
              <w:t xml:space="preserve"> </w:t>
            </w:r>
            <w:r w:rsidR="008C3691" w:rsidRPr="00D73250">
              <w:rPr>
                <w:rFonts w:ascii="Times New Roman" w:hAnsi="Times New Roman" w:cs="Times New Roman"/>
                <w:sz w:val="24"/>
                <w:szCs w:val="24"/>
              </w:rPr>
              <w:t>was assumed to equal the OSA volume.</w:t>
            </w:r>
          </w:p>
        </w:tc>
        <w:tc>
          <w:tcPr>
            <w:tcW w:w="1323" w:type="dxa"/>
            <w:tcBorders>
              <w:top w:val="single" w:sz="4" w:space="0" w:color="auto"/>
              <w:bottom w:val="single" w:sz="4" w:space="0" w:color="auto"/>
            </w:tcBorders>
            <w:tcMar>
              <w:top w:w="0" w:type="dxa"/>
              <w:left w:w="108" w:type="dxa"/>
              <w:bottom w:w="0" w:type="dxa"/>
              <w:right w:w="108" w:type="dxa"/>
            </w:tcMar>
            <w:hideMark/>
          </w:tcPr>
          <w:p w14:paraId="5DE4E8C7" w14:textId="77777777" w:rsidR="008558F1" w:rsidRPr="00D73250" w:rsidRDefault="008558F1" w:rsidP="008558F1">
            <w:pPr>
              <w:rPr>
                <w:rFonts w:ascii="Times New Roman" w:hAnsi="Times New Roman" w:cs="Times New Roman"/>
                <w:sz w:val="24"/>
                <w:szCs w:val="24"/>
              </w:rPr>
            </w:pPr>
            <w:r w:rsidRPr="00D73250">
              <w:rPr>
                <w:rFonts w:ascii="Times New Roman" w:hAnsi="Times New Roman" w:cs="Times New Roman"/>
                <w:sz w:val="24"/>
                <w:szCs w:val="24"/>
              </w:rPr>
              <w:t>Continuous</w:t>
            </w:r>
          </w:p>
        </w:tc>
        <w:tc>
          <w:tcPr>
            <w:tcW w:w="2251" w:type="dxa"/>
            <w:tcBorders>
              <w:top w:val="single" w:sz="4" w:space="0" w:color="auto"/>
              <w:bottom w:val="single" w:sz="4" w:space="0" w:color="auto"/>
            </w:tcBorders>
            <w:tcMar>
              <w:top w:w="0" w:type="dxa"/>
              <w:left w:w="108" w:type="dxa"/>
              <w:bottom w:w="0" w:type="dxa"/>
              <w:right w:w="108" w:type="dxa"/>
            </w:tcMar>
            <w:hideMark/>
          </w:tcPr>
          <w:p w14:paraId="31C302BF" w14:textId="3DF2DCD1" w:rsidR="008558F1" w:rsidRPr="00D73250" w:rsidRDefault="008558F1" w:rsidP="008558F1">
            <w:pPr>
              <w:rPr>
                <w:rFonts w:ascii="Times New Roman" w:hAnsi="Times New Roman" w:cs="Times New Roman"/>
                <w:sz w:val="24"/>
                <w:szCs w:val="24"/>
              </w:rPr>
            </w:pPr>
            <w:r w:rsidRPr="00D73250">
              <w:rPr>
                <w:rFonts w:ascii="Times New Roman" w:hAnsi="Times New Roman" w:cs="Times New Roman"/>
                <w:sz w:val="24"/>
                <w:szCs w:val="24"/>
              </w:rPr>
              <w:t xml:space="preserve">Total </w:t>
            </w:r>
            <w:r w:rsidR="00F70352">
              <w:rPr>
                <w:rFonts w:ascii="Times New Roman" w:hAnsi="Times New Roman" w:cs="Times New Roman"/>
                <w:sz w:val="24"/>
                <w:szCs w:val="24"/>
              </w:rPr>
              <w:t>ACH</w:t>
            </w:r>
          </w:p>
        </w:tc>
      </w:tr>
      <w:tr w:rsidR="008E36AC" w:rsidRPr="00D73250" w14:paraId="1CB69D6E" w14:textId="77777777" w:rsidTr="00F25D37">
        <w:tc>
          <w:tcPr>
            <w:tcW w:w="1276" w:type="dxa"/>
            <w:tcBorders>
              <w:top w:val="single" w:sz="4" w:space="0" w:color="auto"/>
              <w:bottom w:val="single" w:sz="4" w:space="0" w:color="auto"/>
            </w:tcBorders>
            <w:tcMar>
              <w:top w:w="0" w:type="dxa"/>
              <w:left w:w="108" w:type="dxa"/>
              <w:bottom w:w="0" w:type="dxa"/>
              <w:right w:w="108" w:type="dxa"/>
            </w:tcMar>
          </w:tcPr>
          <w:p w14:paraId="2523FE40" w14:textId="0CE2836C" w:rsidR="008E36AC" w:rsidRPr="00D73250" w:rsidRDefault="008E36AC" w:rsidP="008E36AC">
            <w:pPr>
              <w:rPr>
                <w:rFonts w:ascii="Times New Roman" w:hAnsi="Times New Roman" w:cs="Times New Roman"/>
                <w:sz w:val="24"/>
                <w:szCs w:val="24"/>
              </w:rPr>
            </w:pPr>
            <w:r w:rsidRPr="00D73250">
              <w:rPr>
                <w:rFonts w:ascii="Times New Roman" w:hAnsi="Times New Roman" w:cs="Times New Roman"/>
                <w:sz w:val="24"/>
                <w:szCs w:val="24"/>
              </w:rPr>
              <w:t xml:space="preserve">Ventilation – fresh </w:t>
            </w:r>
            <w:r w:rsidR="00D73250">
              <w:rPr>
                <w:rFonts w:ascii="Times New Roman" w:hAnsi="Times New Roman" w:cs="Times New Roman"/>
                <w:sz w:val="24"/>
                <w:szCs w:val="24"/>
              </w:rPr>
              <w:t>ACH</w:t>
            </w:r>
          </w:p>
        </w:tc>
        <w:tc>
          <w:tcPr>
            <w:tcW w:w="4510" w:type="dxa"/>
            <w:tcBorders>
              <w:top w:val="single" w:sz="4" w:space="0" w:color="auto"/>
              <w:bottom w:val="single" w:sz="4" w:space="0" w:color="auto"/>
            </w:tcBorders>
            <w:tcMar>
              <w:top w:w="0" w:type="dxa"/>
              <w:left w:w="108" w:type="dxa"/>
              <w:bottom w:w="0" w:type="dxa"/>
              <w:right w:w="108" w:type="dxa"/>
            </w:tcMar>
          </w:tcPr>
          <w:p w14:paraId="70DDA7CD" w14:textId="0CC5AD77" w:rsidR="00231C69" w:rsidRPr="00A16485" w:rsidRDefault="008E36AC" w:rsidP="0006650D">
            <w:pPr>
              <w:rPr>
                <w:rFonts w:ascii="Times New Roman" w:hAnsi="Times New Roman" w:cs="Times New Roman"/>
                <w:sz w:val="24"/>
                <w:szCs w:val="24"/>
              </w:rPr>
            </w:pPr>
            <w:r w:rsidRPr="00D73250">
              <w:rPr>
                <w:rFonts w:ascii="Times New Roman" w:hAnsi="Times New Roman" w:cs="Times New Roman"/>
                <w:sz w:val="24"/>
                <w:szCs w:val="24"/>
              </w:rPr>
              <w:t xml:space="preserve">Estimated fresh </w:t>
            </w:r>
            <w:r w:rsidR="00F70352">
              <w:rPr>
                <w:rFonts w:ascii="Times New Roman" w:hAnsi="Times New Roman" w:cs="Times New Roman"/>
                <w:sz w:val="24"/>
                <w:szCs w:val="24"/>
              </w:rPr>
              <w:t>ACH</w:t>
            </w:r>
            <w:r w:rsidRPr="00D73250">
              <w:rPr>
                <w:rFonts w:ascii="Times New Roman" w:hAnsi="Times New Roman" w:cs="Times New Roman"/>
                <w:sz w:val="24"/>
                <w:szCs w:val="24"/>
              </w:rPr>
              <w:t xml:space="preserve"> of location in which exposure occurred</w:t>
            </w:r>
            <w:r w:rsidR="008C3691" w:rsidRPr="00D73250">
              <w:rPr>
                <w:rFonts w:ascii="Times New Roman" w:hAnsi="Times New Roman" w:cs="Times New Roman"/>
                <w:sz w:val="24"/>
                <w:szCs w:val="24"/>
              </w:rPr>
              <w:t xml:space="preserve">. To determine percentage of </w:t>
            </w:r>
            <w:r w:rsidR="00831302">
              <w:rPr>
                <w:rFonts w:ascii="Times New Roman" w:hAnsi="Times New Roman" w:cs="Times New Roman"/>
                <w:sz w:val="24"/>
                <w:szCs w:val="24"/>
              </w:rPr>
              <w:t xml:space="preserve">OSA </w:t>
            </w:r>
            <w:r w:rsidR="008C3691" w:rsidRPr="00D73250">
              <w:rPr>
                <w:rFonts w:ascii="Times New Roman" w:hAnsi="Times New Roman" w:cs="Times New Roman"/>
                <w:sz w:val="24"/>
                <w:szCs w:val="24"/>
              </w:rPr>
              <w:t xml:space="preserve">at the fan level, a physical inspection of the unit </w:t>
            </w:r>
            <w:r w:rsidR="00F70352">
              <w:rPr>
                <w:rFonts w:ascii="Times New Roman" w:hAnsi="Times New Roman" w:cs="Times New Roman"/>
                <w:sz w:val="24"/>
                <w:szCs w:val="24"/>
              </w:rPr>
              <w:t>was</w:t>
            </w:r>
            <w:r w:rsidR="00F70352" w:rsidRPr="00D73250">
              <w:rPr>
                <w:rFonts w:ascii="Times New Roman" w:hAnsi="Times New Roman" w:cs="Times New Roman"/>
                <w:sz w:val="24"/>
                <w:szCs w:val="24"/>
              </w:rPr>
              <w:t xml:space="preserve"> </w:t>
            </w:r>
            <w:r w:rsidR="008C3691" w:rsidRPr="00D73250">
              <w:rPr>
                <w:rFonts w:ascii="Times New Roman" w:hAnsi="Times New Roman" w:cs="Times New Roman"/>
                <w:sz w:val="24"/>
                <w:szCs w:val="24"/>
              </w:rPr>
              <w:t xml:space="preserve">required </w:t>
            </w:r>
            <w:r w:rsidR="0006650D" w:rsidRPr="00D73250">
              <w:rPr>
                <w:rFonts w:ascii="Times New Roman" w:hAnsi="Times New Roman" w:cs="Times New Roman"/>
                <w:sz w:val="24"/>
                <w:szCs w:val="24"/>
              </w:rPr>
              <w:t>including:</w:t>
            </w:r>
            <w:r w:rsidR="008C3691" w:rsidRPr="00D73250">
              <w:rPr>
                <w:rFonts w:ascii="Times New Roman" w:hAnsi="Times New Roman" w:cs="Times New Roman"/>
                <w:sz w:val="24"/>
                <w:szCs w:val="24"/>
              </w:rPr>
              <w:t xml:space="preserve"> 1) </w:t>
            </w:r>
            <w:r w:rsidR="00F70352">
              <w:rPr>
                <w:rFonts w:ascii="Times New Roman" w:eastAsia="Times New Roman" w:hAnsi="Times New Roman" w:cs="Times New Roman"/>
                <w:sz w:val="24"/>
                <w:szCs w:val="24"/>
                <w:lang w:val="en-CA"/>
              </w:rPr>
              <w:t>d</w:t>
            </w:r>
            <w:r w:rsidR="008C3691" w:rsidRPr="00D73250">
              <w:rPr>
                <w:rFonts w:ascii="Times New Roman" w:eastAsia="Times New Roman" w:hAnsi="Times New Roman" w:cs="Times New Roman"/>
                <w:sz w:val="24"/>
                <w:szCs w:val="24"/>
                <w:lang w:val="en-CA"/>
              </w:rPr>
              <w:t xml:space="preserve">ucted system types: a) </w:t>
            </w:r>
            <w:r w:rsidR="00F70352">
              <w:rPr>
                <w:rFonts w:ascii="Times New Roman" w:eastAsia="Times New Roman" w:hAnsi="Times New Roman" w:cs="Times New Roman"/>
                <w:sz w:val="24"/>
                <w:szCs w:val="24"/>
                <w:lang w:val="en-CA"/>
              </w:rPr>
              <w:t>m</w:t>
            </w:r>
            <w:r w:rsidR="008C3691" w:rsidRPr="00D73250">
              <w:rPr>
                <w:rFonts w:ascii="Times New Roman" w:eastAsia="Times New Roman" w:hAnsi="Times New Roman" w:cs="Times New Roman"/>
                <w:sz w:val="24"/>
                <w:szCs w:val="24"/>
                <w:lang w:val="en-CA"/>
              </w:rPr>
              <w:t>ixed air draw through</w:t>
            </w:r>
            <w:r w:rsidR="00F70352">
              <w:rPr>
                <w:rFonts w:ascii="Times New Roman" w:eastAsia="Times New Roman" w:hAnsi="Times New Roman" w:cs="Times New Roman"/>
                <w:sz w:val="24"/>
                <w:szCs w:val="24"/>
                <w:lang w:val="en-CA"/>
              </w:rPr>
              <w:t xml:space="preserve"> or </w:t>
            </w:r>
            <w:r w:rsidR="008C3691" w:rsidRPr="00D73250">
              <w:rPr>
                <w:rFonts w:ascii="Times New Roman" w:eastAsia="Times New Roman" w:hAnsi="Times New Roman" w:cs="Times New Roman"/>
                <w:sz w:val="24"/>
                <w:szCs w:val="24"/>
                <w:lang w:val="en-CA"/>
              </w:rPr>
              <w:t xml:space="preserve">b) mixed air with assisted power exhaust or return fan; 2) </w:t>
            </w:r>
            <w:r w:rsidR="008C3691" w:rsidRPr="00D73250">
              <w:rPr>
                <w:rFonts w:ascii="Times New Roman" w:eastAsia="Times New Roman" w:hAnsi="Times New Roman" w:cs="Times New Roman"/>
                <w:sz w:val="24"/>
                <w:szCs w:val="24"/>
              </w:rPr>
              <w:t>OSA duct present, unobstructed and intake reasonably distanced from external contaminant sources</w:t>
            </w:r>
            <w:r w:rsidR="00A16485">
              <w:rPr>
                <w:rFonts w:ascii="Times New Roman" w:eastAsia="Times New Roman" w:hAnsi="Times New Roman" w:cs="Times New Roman"/>
                <w:sz w:val="24"/>
                <w:szCs w:val="24"/>
              </w:rPr>
              <w:t xml:space="preserve"> (e</w:t>
            </w:r>
            <w:r w:rsidR="00333BEF">
              <w:rPr>
                <w:rFonts w:ascii="Times New Roman" w:eastAsia="Times New Roman" w:hAnsi="Times New Roman" w:cs="Times New Roman"/>
                <w:sz w:val="24"/>
                <w:szCs w:val="24"/>
              </w:rPr>
              <w:t>.</w:t>
            </w:r>
            <w:r w:rsidR="00A16485">
              <w:rPr>
                <w:rFonts w:ascii="Times New Roman" w:eastAsia="Times New Roman" w:hAnsi="Times New Roman" w:cs="Times New Roman"/>
                <w:sz w:val="24"/>
                <w:szCs w:val="24"/>
              </w:rPr>
              <w:t>g</w:t>
            </w:r>
            <w:r w:rsidR="00333BEF">
              <w:rPr>
                <w:rFonts w:ascii="Times New Roman" w:eastAsia="Times New Roman" w:hAnsi="Times New Roman" w:cs="Times New Roman"/>
                <w:sz w:val="24"/>
                <w:szCs w:val="24"/>
              </w:rPr>
              <w:t>.,</w:t>
            </w:r>
            <w:r w:rsidR="00A16485">
              <w:rPr>
                <w:rFonts w:ascii="Times New Roman" w:eastAsia="Times New Roman" w:hAnsi="Times New Roman" w:cs="Times New Roman"/>
                <w:sz w:val="24"/>
                <w:szCs w:val="24"/>
              </w:rPr>
              <w:t xml:space="preserve"> s</w:t>
            </w:r>
            <w:r w:rsidR="008C3691" w:rsidRPr="00D73250">
              <w:rPr>
                <w:rFonts w:ascii="Times New Roman" w:eastAsia="Times New Roman" w:hAnsi="Times New Roman" w:cs="Times New Roman"/>
                <w:sz w:val="24"/>
                <w:szCs w:val="24"/>
              </w:rPr>
              <w:t xml:space="preserve">anitary </w:t>
            </w:r>
            <w:r w:rsidR="00A16485">
              <w:rPr>
                <w:rFonts w:ascii="Times New Roman" w:eastAsia="Times New Roman" w:hAnsi="Times New Roman" w:cs="Times New Roman"/>
                <w:sz w:val="24"/>
                <w:szCs w:val="24"/>
              </w:rPr>
              <w:t xml:space="preserve">or </w:t>
            </w:r>
            <w:r w:rsidR="008C3691" w:rsidRPr="00D73250">
              <w:rPr>
                <w:rFonts w:ascii="Times New Roman" w:eastAsia="Times New Roman" w:hAnsi="Times New Roman" w:cs="Times New Roman"/>
                <w:sz w:val="24"/>
                <w:szCs w:val="24"/>
              </w:rPr>
              <w:t>fumehood discharge vents</w:t>
            </w:r>
            <w:r w:rsidR="00F70352">
              <w:rPr>
                <w:rFonts w:ascii="Times New Roman" w:eastAsia="Times New Roman" w:hAnsi="Times New Roman" w:cs="Times New Roman"/>
                <w:sz w:val="24"/>
                <w:szCs w:val="24"/>
              </w:rPr>
              <w:t>;</w:t>
            </w:r>
            <w:r w:rsidR="008C3691" w:rsidRPr="00D73250">
              <w:rPr>
                <w:rFonts w:ascii="Times New Roman" w:eastAsia="Times New Roman" w:hAnsi="Times New Roman" w:cs="Times New Roman"/>
                <w:sz w:val="24"/>
                <w:szCs w:val="24"/>
              </w:rPr>
              <w:t xml:space="preserve"> 3) OSA plenum is negatively pressurized to induce OSA into the distribution system</w:t>
            </w:r>
            <w:r w:rsidR="00333BEF">
              <w:rPr>
                <w:rFonts w:ascii="Times New Roman" w:eastAsia="Times New Roman" w:hAnsi="Times New Roman" w:cs="Times New Roman"/>
                <w:sz w:val="24"/>
                <w:szCs w:val="24"/>
              </w:rPr>
              <w:t>, c</w:t>
            </w:r>
            <w:r w:rsidR="008C3691" w:rsidRPr="00D73250">
              <w:rPr>
                <w:rFonts w:ascii="Times New Roman" w:eastAsia="Times New Roman" w:hAnsi="Times New Roman" w:cs="Times New Roman"/>
                <w:sz w:val="24"/>
                <w:szCs w:val="24"/>
              </w:rPr>
              <w:t xml:space="preserve">onfirmed by pressure test </w:t>
            </w:r>
            <w:r w:rsidR="00333BEF">
              <w:rPr>
                <w:rFonts w:ascii="Times New Roman" w:eastAsia="Times New Roman" w:hAnsi="Times New Roman" w:cs="Times New Roman"/>
                <w:sz w:val="24"/>
                <w:szCs w:val="24"/>
              </w:rPr>
              <w:t>in</w:t>
            </w:r>
            <w:r w:rsidR="00333BEF" w:rsidRPr="00D73250">
              <w:rPr>
                <w:rFonts w:ascii="Times New Roman" w:eastAsia="Times New Roman" w:hAnsi="Times New Roman" w:cs="Times New Roman"/>
                <w:sz w:val="24"/>
                <w:szCs w:val="24"/>
              </w:rPr>
              <w:t xml:space="preserve"> </w:t>
            </w:r>
            <w:r w:rsidR="008C3691" w:rsidRPr="00D73250">
              <w:rPr>
                <w:rFonts w:ascii="Times New Roman" w:eastAsia="Times New Roman" w:hAnsi="Times New Roman" w:cs="Times New Roman"/>
                <w:sz w:val="24"/>
                <w:szCs w:val="24"/>
              </w:rPr>
              <w:t xml:space="preserve">unit mixed air plenum. </w:t>
            </w:r>
            <w:r w:rsidR="008C3691" w:rsidRPr="00D73250">
              <w:rPr>
                <w:rFonts w:ascii="Times New Roman" w:hAnsi="Times New Roman" w:cs="Times New Roman"/>
                <w:sz w:val="24"/>
                <w:szCs w:val="24"/>
              </w:rPr>
              <w:t>In some cases, the fan equipment serving the space was not known or access to that equipment was not available</w:t>
            </w:r>
            <w:r w:rsidR="00333BEF">
              <w:rPr>
                <w:rFonts w:ascii="Times New Roman" w:hAnsi="Times New Roman" w:cs="Times New Roman"/>
                <w:sz w:val="24"/>
                <w:szCs w:val="24"/>
              </w:rPr>
              <w:t xml:space="preserve">, </w:t>
            </w:r>
            <w:r w:rsidR="00A16485">
              <w:rPr>
                <w:rFonts w:ascii="Times New Roman" w:hAnsi="Times New Roman" w:cs="Times New Roman"/>
                <w:sz w:val="24"/>
                <w:szCs w:val="24"/>
              </w:rPr>
              <w:t xml:space="preserve">which resulted in </w:t>
            </w:r>
            <w:r w:rsidR="00333BEF">
              <w:rPr>
                <w:rFonts w:ascii="Times New Roman" w:hAnsi="Times New Roman" w:cs="Times New Roman"/>
                <w:sz w:val="24"/>
                <w:szCs w:val="24"/>
              </w:rPr>
              <w:t>in</w:t>
            </w:r>
            <w:r w:rsidR="00A16485">
              <w:rPr>
                <w:rFonts w:ascii="Times New Roman" w:hAnsi="Times New Roman" w:cs="Times New Roman"/>
                <w:sz w:val="24"/>
                <w:szCs w:val="24"/>
              </w:rPr>
              <w:t>ability to measure fresh ACH</w:t>
            </w:r>
            <w:r w:rsidR="008C3691" w:rsidRPr="00D73250">
              <w:rPr>
                <w:rFonts w:ascii="Times New Roman" w:hAnsi="Times New Roman" w:cs="Times New Roman"/>
                <w:sz w:val="24"/>
                <w:szCs w:val="24"/>
              </w:rPr>
              <w:t xml:space="preserve">. </w:t>
            </w:r>
          </w:p>
        </w:tc>
        <w:tc>
          <w:tcPr>
            <w:tcW w:w="1323" w:type="dxa"/>
            <w:tcBorders>
              <w:top w:val="single" w:sz="4" w:space="0" w:color="auto"/>
              <w:bottom w:val="single" w:sz="4" w:space="0" w:color="auto"/>
            </w:tcBorders>
            <w:tcMar>
              <w:top w:w="0" w:type="dxa"/>
              <w:left w:w="108" w:type="dxa"/>
              <w:bottom w:w="0" w:type="dxa"/>
              <w:right w:w="108" w:type="dxa"/>
            </w:tcMar>
          </w:tcPr>
          <w:p w14:paraId="027B596A" w14:textId="77777777" w:rsidR="008E36AC" w:rsidRPr="00D73250" w:rsidRDefault="008E36AC" w:rsidP="008558F1">
            <w:pPr>
              <w:rPr>
                <w:rFonts w:ascii="Times New Roman" w:hAnsi="Times New Roman" w:cs="Times New Roman"/>
                <w:sz w:val="24"/>
                <w:szCs w:val="24"/>
              </w:rPr>
            </w:pPr>
            <w:r w:rsidRPr="00D73250">
              <w:rPr>
                <w:rFonts w:ascii="Times New Roman" w:hAnsi="Times New Roman" w:cs="Times New Roman"/>
                <w:sz w:val="24"/>
                <w:szCs w:val="24"/>
              </w:rPr>
              <w:t>Continuous</w:t>
            </w:r>
          </w:p>
        </w:tc>
        <w:tc>
          <w:tcPr>
            <w:tcW w:w="2251" w:type="dxa"/>
            <w:tcBorders>
              <w:top w:val="single" w:sz="4" w:space="0" w:color="auto"/>
              <w:bottom w:val="single" w:sz="4" w:space="0" w:color="auto"/>
            </w:tcBorders>
            <w:tcMar>
              <w:top w:w="0" w:type="dxa"/>
              <w:left w:w="108" w:type="dxa"/>
              <w:bottom w:w="0" w:type="dxa"/>
              <w:right w:w="108" w:type="dxa"/>
            </w:tcMar>
          </w:tcPr>
          <w:p w14:paraId="5121E763" w14:textId="169C623C" w:rsidR="008E36AC" w:rsidRPr="00D73250" w:rsidRDefault="008E36AC" w:rsidP="008558F1">
            <w:pPr>
              <w:rPr>
                <w:rFonts w:ascii="Times New Roman" w:hAnsi="Times New Roman" w:cs="Times New Roman"/>
                <w:sz w:val="24"/>
                <w:szCs w:val="24"/>
                <w:lang w:val="en-CA"/>
              </w:rPr>
            </w:pPr>
            <w:r w:rsidRPr="00D73250">
              <w:rPr>
                <w:rFonts w:ascii="Times New Roman" w:hAnsi="Times New Roman" w:cs="Times New Roman"/>
                <w:sz w:val="24"/>
                <w:szCs w:val="24"/>
              </w:rPr>
              <w:t xml:space="preserve">Fresh </w:t>
            </w:r>
            <w:r w:rsidR="00F70352">
              <w:rPr>
                <w:rFonts w:ascii="Times New Roman" w:hAnsi="Times New Roman" w:cs="Times New Roman"/>
                <w:sz w:val="24"/>
                <w:szCs w:val="24"/>
              </w:rPr>
              <w:t>ACH</w:t>
            </w:r>
          </w:p>
        </w:tc>
      </w:tr>
      <w:tr w:rsidR="008558F1" w:rsidRPr="00D73250" w14:paraId="52DF6D46" w14:textId="77777777" w:rsidTr="00F25D37">
        <w:tc>
          <w:tcPr>
            <w:tcW w:w="1276" w:type="dxa"/>
            <w:tcBorders>
              <w:top w:val="single" w:sz="4" w:space="0" w:color="auto"/>
              <w:bottom w:val="single" w:sz="4" w:space="0" w:color="auto"/>
            </w:tcBorders>
            <w:tcMar>
              <w:top w:w="0" w:type="dxa"/>
              <w:left w:w="108" w:type="dxa"/>
              <w:bottom w:w="0" w:type="dxa"/>
              <w:right w:w="108" w:type="dxa"/>
            </w:tcMar>
          </w:tcPr>
          <w:p w14:paraId="24C254FD" w14:textId="77777777" w:rsidR="008558F1" w:rsidRPr="00D73250" w:rsidRDefault="008558F1" w:rsidP="008558F1">
            <w:pPr>
              <w:rPr>
                <w:rFonts w:ascii="Times New Roman" w:hAnsi="Times New Roman" w:cs="Times New Roman"/>
                <w:sz w:val="24"/>
                <w:szCs w:val="24"/>
              </w:rPr>
            </w:pPr>
            <w:r w:rsidRPr="00D73250">
              <w:rPr>
                <w:rFonts w:ascii="Times New Roman" w:hAnsi="Times New Roman" w:cs="Times New Roman"/>
                <w:sz w:val="24"/>
                <w:szCs w:val="24"/>
              </w:rPr>
              <w:lastRenderedPageBreak/>
              <w:t>Humidity</w:t>
            </w:r>
          </w:p>
        </w:tc>
        <w:tc>
          <w:tcPr>
            <w:tcW w:w="4510" w:type="dxa"/>
            <w:tcBorders>
              <w:top w:val="single" w:sz="4" w:space="0" w:color="auto"/>
              <w:bottom w:val="single" w:sz="4" w:space="0" w:color="auto"/>
            </w:tcBorders>
            <w:tcMar>
              <w:top w:w="0" w:type="dxa"/>
              <w:left w:w="108" w:type="dxa"/>
              <w:bottom w:w="0" w:type="dxa"/>
              <w:right w:w="108" w:type="dxa"/>
            </w:tcMar>
          </w:tcPr>
          <w:p w14:paraId="00592528" w14:textId="6BF30556" w:rsidR="00BC1AC4" w:rsidRPr="00D73250" w:rsidRDefault="00BC1AC4" w:rsidP="00B163B2">
            <w:pPr>
              <w:rPr>
                <w:rFonts w:ascii="Times New Roman" w:hAnsi="Times New Roman" w:cs="Times New Roman"/>
                <w:sz w:val="24"/>
                <w:szCs w:val="24"/>
                <w:lang w:val="en-CA"/>
              </w:rPr>
            </w:pPr>
            <w:r w:rsidRPr="00D73250">
              <w:rPr>
                <w:rFonts w:ascii="Times New Roman" w:hAnsi="Times New Roman" w:cs="Times New Roman"/>
                <w:sz w:val="24"/>
                <w:szCs w:val="24"/>
              </w:rPr>
              <w:t xml:space="preserve">Estimated </w:t>
            </w:r>
            <w:r w:rsidR="00333BEF">
              <w:rPr>
                <w:rFonts w:ascii="Times New Roman" w:hAnsi="Times New Roman" w:cs="Times New Roman"/>
                <w:sz w:val="24"/>
                <w:szCs w:val="24"/>
              </w:rPr>
              <w:t>relative</w:t>
            </w:r>
            <w:r w:rsidRPr="00D73250">
              <w:rPr>
                <w:rFonts w:ascii="Times New Roman" w:hAnsi="Times New Roman" w:cs="Times New Roman"/>
                <w:sz w:val="24"/>
                <w:szCs w:val="24"/>
              </w:rPr>
              <w:t xml:space="preserve"> humidity of loca</w:t>
            </w:r>
            <w:r w:rsidR="008E36AC" w:rsidRPr="00D73250">
              <w:rPr>
                <w:rFonts w:ascii="Times New Roman" w:hAnsi="Times New Roman" w:cs="Times New Roman"/>
                <w:sz w:val="24"/>
                <w:szCs w:val="24"/>
              </w:rPr>
              <w:t>tion in which exposure occurred</w:t>
            </w:r>
            <w:r w:rsidR="00231C69">
              <w:rPr>
                <w:rFonts w:ascii="Times New Roman" w:hAnsi="Times New Roman" w:cs="Times New Roman"/>
                <w:sz w:val="24"/>
                <w:szCs w:val="24"/>
              </w:rPr>
              <w:t xml:space="preserve">. </w:t>
            </w:r>
            <w:r w:rsidRPr="00D73250">
              <w:rPr>
                <w:rFonts w:ascii="Times New Roman" w:hAnsi="Times New Roman" w:cs="Times New Roman"/>
                <w:sz w:val="24"/>
                <w:szCs w:val="24"/>
                <w:lang w:val="en-CA"/>
              </w:rPr>
              <w:t>Indoor Air Quality Meter (</w:t>
            </w:r>
            <w:r w:rsidR="00B163B2">
              <w:rPr>
                <w:rFonts w:ascii="Times New Roman" w:hAnsi="Times New Roman" w:cs="Times New Roman"/>
                <w:sz w:val="24"/>
                <w:szCs w:val="24"/>
                <w:lang w:val="en-CA"/>
              </w:rPr>
              <w:t xml:space="preserve">TSI probe, </w:t>
            </w:r>
            <w:r w:rsidRPr="00D73250">
              <w:rPr>
                <w:rFonts w:ascii="Times New Roman" w:hAnsi="Times New Roman" w:cs="Times New Roman"/>
                <w:sz w:val="24"/>
                <w:szCs w:val="24"/>
                <w:lang w:val="en-CA"/>
              </w:rPr>
              <w:t>IAQ-Calc Meter 7545) was used to measure relative hum</w:t>
            </w:r>
            <w:r w:rsidR="006F78DD" w:rsidRPr="00D73250">
              <w:rPr>
                <w:rFonts w:ascii="Times New Roman" w:hAnsi="Times New Roman" w:cs="Times New Roman"/>
                <w:sz w:val="24"/>
                <w:szCs w:val="24"/>
                <w:lang w:val="en-CA"/>
              </w:rPr>
              <w:t>idity</w:t>
            </w:r>
            <w:r w:rsidR="00333BEF">
              <w:rPr>
                <w:rFonts w:ascii="Times New Roman" w:hAnsi="Times New Roman" w:cs="Times New Roman"/>
                <w:sz w:val="24"/>
                <w:szCs w:val="24"/>
                <w:lang w:val="en-CA"/>
              </w:rPr>
              <w:t>.</w:t>
            </w:r>
          </w:p>
        </w:tc>
        <w:tc>
          <w:tcPr>
            <w:tcW w:w="1323" w:type="dxa"/>
            <w:tcBorders>
              <w:top w:val="single" w:sz="4" w:space="0" w:color="auto"/>
              <w:bottom w:val="single" w:sz="4" w:space="0" w:color="auto"/>
            </w:tcBorders>
            <w:tcMar>
              <w:top w:w="0" w:type="dxa"/>
              <w:left w:w="108" w:type="dxa"/>
              <w:bottom w:w="0" w:type="dxa"/>
              <w:right w:w="108" w:type="dxa"/>
            </w:tcMar>
          </w:tcPr>
          <w:p w14:paraId="76F3330A" w14:textId="77777777" w:rsidR="008558F1" w:rsidRPr="00D73250" w:rsidRDefault="008558F1" w:rsidP="008558F1">
            <w:pPr>
              <w:rPr>
                <w:rFonts w:ascii="Times New Roman" w:hAnsi="Times New Roman" w:cs="Times New Roman"/>
                <w:sz w:val="24"/>
                <w:szCs w:val="24"/>
              </w:rPr>
            </w:pPr>
            <w:r w:rsidRPr="00D73250">
              <w:rPr>
                <w:rFonts w:ascii="Times New Roman" w:hAnsi="Times New Roman" w:cs="Times New Roman"/>
                <w:sz w:val="24"/>
                <w:szCs w:val="24"/>
              </w:rPr>
              <w:t>Categorical</w:t>
            </w:r>
          </w:p>
        </w:tc>
        <w:tc>
          <w:tcPr>
            <w:tcW w:w="2251" w:type="dxa"/>
            <w:tcBorders>
              <w:top w:val="single" w:sz="4" w:space="0" w:color="auto"/>
              <w:bottom w:val="single" w:sz="4" w:space="0" w:color="auto"/>
            </w:tcBorders>
            <w:tcMar>
              <w:top w:w="0" w:type="dxa"/>
              <w:left w:w="108" w:type="dxa"/>
              <w:bottom w:w="0" w:type="dxa"/>
              <w:right w:w="108" w:type="dxa"/>
            </w:tcMar>
          </w:tcPr>
          <w:p w14:paraId="6AF9F9B9" w14:textId="77777777" w:rsidR="00BC1AC4" w:rsidRPr="00D73250" w:rsidRDefault="00BC1AC4" w:rsidP="008558F1">
            <w:pPr>
              <w:rPr>
                <w:rFonts w:ascii="Times New Roman" w:hAnsi="Times New Roman" w:cs="Times New Roman"/>
                <w:sz w:val="24"/>
                <w:szCs w:val="24"/>
                <w:lang w:val="en-CA"/>
              </w:rPr>
            </w:pPr>
            <w:r w:rsidRPr="00D73250">
              <w:rPr>
                <w:rFonts w:ascii="Times New Roman" w:hAnsi="Times New Roman" w:cs="Times New Roman"/>
                <w:sz w:val="24"/>
                <w:szCs w:val="24"/>
                <w:lang w:val="en-CA"/>
              </w:rPr>
              <w:t xml:space="preserve">Below acceptable </w:t>
            </w:r>
            <w:r w:rsidR="00DE7687" w:rsidRPr="00D73250">
              <w:rPr>
                <w:rFonts w:ascii="Times New Roman" w:hAnsi="Times New Roman" w:cs="Times New Roman"/>
                <w:sz w:val="24"/>
                <w:szCs w:val="24"/>
                <w:lang w:val="en-CA"/>
              </w:rPr>
              <w:t>(</w:t>
            </w:r>
            <w:r w:rsidRPr="00D73250">
              <w:rPr>
                <w:rFonts w:ascii="Times New Roman" w:hAnsi="Times New Roman" w:cs="Times New Roman"/>
                <w:sz w:val="24"/>
                <w:szCs w:val="24"/>
                <w:lang w:val="en-CA"/>
              </w:rPr>
              <w:t>less than 30%</w:t>
            </w:r>
            <w:r w:rsidR="00DE7687" w:rsidRPr="00D73250">
              <w:rPr>
                <w:rFonts w:ascii="Times New Roman" w:hAnsi="Times New Roman" w:cs="Times New Roman"/>
                <w:sz w:val="24"/>
                <w:szCs w:val="24"/>
                <w:lang w:val="en-CA"/>
              </w:rPr>
              <w:t>)</w:t>
            </w:r>
          </w:p>
          <w:p w14:paraId="12EE166F" w14:textId="77777777" w:rsidR="008558F1" w:rsidRPr="00D73250" w:rsidRDefault="008558F1" w:rsidP="00DE7687">
            <w:pPr>
              <w:rPr>
                <w:rFonts w:ascii="Times New Roman" w:hAnsi="Times New Roman" w:cs="Times New Roman"/>
                <w:sz w:val="24"/>
                <w:szCs w:val="24"/>
              </w:rPr>
            </w:pPr>
            <w:r w:rsidRPr="00D73250">
              <w:rPr>
                <w:rFonts w:ascii="Times New Roman" w:hAnsi="Times New Roman" w:cs="Times New Roman"/>
                <w:sz w:val="24"/>
                <w:szCs w:val="24"/>
                <w:lang w:val="en-CA"/>
              </w:rPr>
              <w:t>Acceptable</w:t>
            </w:r>
            <w:r w:rsidR="00BC1AC4" w:rsidRPr="00D73250">
              <w:rPr>
                <w:rFonts w:ascii="Times New Roman" w:hAnsi="Times New Roman" w:cs="Times New Roman"/>
                <w:sz w:val="24"/>
                <w:szCs w:val="24"/>
                <w:lang w:val="en-CA"/>
              </w:rPr>
              <w:t xml:space="preserve"> </w:t>
            </w:r>
            <w:r w:rsidR="00DE7687" w:rsidRPr="00D73250">
              <w:rPr>
                <w:rFonts w:ascii="Times New Roman" w:hAnsi="Times New Roman" w:cs="Times New Roman"/>
                <w:sz w:val="24"/>
                <w:szCs w:val="24"/>
                <w:lang w:val="en-CA"/>
              </w:rPr>
              <w:t>(</w:t>
            </w:r>
            <w:r w:rsidR="00BC1AC4" w:rsidRPr="00D73250">
              <w:rPr>
                <w:rFonts w:ascii="Times New Roman" w:hAnsi="Times New Roman" w:cs="Times New Roman"/>
                <w:sz w:val="24"/>
                <w:szCs w:val="24"/>
                <w:lang w:val="en-CA"/>
              </w:rPr>
              <w:t>30-60%</w:t>
            </w:r>
            <w:r w:rsidR="00DE7687" w:rsidRPr="00D73250">
              <w:rPr>
                <w:rFonts w:ascii="Times New Roman" w:hAnsi="Times New Roman" w:cs="Times New Roman"/>
                <w:sz w:val="24"/>
                <w:szCs w:val="24"/>
                <w:lang w:val="en-CA"/>
              </w:rPr>
              <w:t>)</w:t>
            </w:r>
          </w:p>
        </w:tc>
      </w:tr>
      <w:tr w:rsidR="008558F1" w:rsidRPr="00D73250" w14:paraId="5BA11727" w14:textId="77777777" w:rsidTr="00F25D37">
        <w:tc>
          <w:tcPr>
            <w:tcW w:w="1276" w:type="dxa"/>
            <w:tcBorders>
              <w:top w:val="single" w:sz="4" w:space="0" w:color="auto"/>
              <w:bottom w:val="single" w:sz="4" w:space="0" w:color="auto"/>
            </w:tcBorders>
            <w:tcMar>
              <w:top w:w="0" w:type="dxa"/>
              <w:left w:w="108" w:type="dxa"/>
              <w:bottom w:w="0" w:type="dxa"/>
              <w:right w:w="108" w:type="dxa"/>
            </w:tcMar>
          </w:tcPr>
          <w:p w14:paraId="6070052C" w14:textId="77777777" w:rsidR="008558F1" w:rsidRPr="00D73250" w:rsidRDefault="00BC1AC4" w:rsidP="008558F1">
            <w:pPr>
              <w:rPr>
                <w:rFonts w:ascii="Times New Roman" w:hAnsi="Times New Roman" w:cs="Times New Roman"/>
                <w:sz w:val="24"/>
                <w:szCs w:val="24"/>
              </w:rPr>
            </w:pPr>
            <w:r w:rsidRPr="00D73250">
              <w:rPr>
                <w:rFonts w:ascii="Times New Roman" w:hAnsi="Times New Roman" w:cs="Times New Roman"/>
                <w:sz w:val="24"/>
                <w:szCs w:val="24"/>
              </w:rPr>
              <w:t>Room size</w:t>
            </w:r>
          </w:p>
        </w:tc>
        <w:tc>
          <w:tcPr>
            <w:tcW w:w="4510" w:type="dxa"/>
            <w:tcBorders>
              <w:top w:val="single" w:sz="4" w:space="0" w:color="auto"/>
              <w:bottom w:val="single" w:sz="4" w:space="0" w:color="auto"/>
            </w:tcBorders>
            <w:tcMar>
              <w:top w:w="0" w:type="dxa"/>
              <w:left w:w="108" w:type="dxa"/>
              <w:bottom w:w="0" w:type="dxa"/>
              <w:right w:w="108" w:type="dxa"/>
            </w:tcMar>
          </w:tcPr>
          <w:p w14:paraId="1D436ADE" w14:textId="77777777" w:rsidR="00236E97" w:rsidRDefault="00921A59" w:rsidP="004B3A54">
            <w:pPr>
              <w:rPr>
                <w:rFonts w:ascii="Times New Roman" w:hAnsi="Times New Roman" w:cs="Times New Roman"/>
                <w:sz w:val="24"/>
                <w:szCs w:val="24"/>
              </w:rPr>
            </w:pPr>
            <w:r w:rsidRPr="00D73250">
              <w:rPr>
                <w:rFonts w:ascii="Times New Roman" w:hAnsi="Times New Roman" w:cs="Times New Roman"/>
                <w:sz w:val="24"/>
                <w:szCs w:val="24"/>
              </w:rPr>
              <w:t xml:space="preserve">Volume of </w:t>
            </w:r>
            <w:r w:rsidR="00831302">
              <w:rPr>
                <w:rFonts w:ascii="Times New Roman" w:hAnsi="Times New Roman" w:cs="Times New Roman"/>
                <w:sz w:val="24"/>
                <w:szCs w:val="24"/>
              </w:rPr>
              <w:t xml:space="preserve">location </w:t>
            </w:r>
            <w:r w:rsidR="00333BEF">
              <w:rPr>
                <w:rFonts w:ascii="Times New Roman" w:hAnsi="Times New Roman" w:cs="Times New Roman"/>
                <w:sz w:val="24"/>
                <w:szCs w:val="24"/>
              </w:rPr>
              <w:t xml:space="preserve">in which </w:t>
            </w:r>
            <w:r w:rsidR="008E36AC" w:rsidRPr="00D73250">
              <w:rPr>
                <w:rFonts w:ascii="Times New Roman" w:hAnsi="Times New Roman" w:cs="Times New Roman"/>
                <w:sz w:val="24"/>
                <w:szCs w:val="24"/>
              </w:rPr>
              <w:t>exposure</w:t>
            </w:r>
            <w:r w:rsidRPr="00D73250">
              <w:rPr>
                <w:rFonts w:ascii="Times New Roman" w:hAnsi="Times New Roman" w:cs="Times New Roman"/>
                <w:sz w:val="24"/>
                <w:szCs w:val="24"/>
              </w:rPr>
              <w:t xml:space="preserve"> occurred.</w:t>
            </w:r>
            <w:r w:rsidR="00831302">
              <w:rPr>
                <w:rFonts w:ascii="Times New Roman" w:hAnsi="Times New Roman" w:cs="Times New Roman"/>
                <w:sz w:val="24"/>
                <w:szCs w:val="24"/>
              </w:rPr>
              <w:t xml:space="preserve"> T</w:t>
            </w:r>
            <w:r w:rsidR="00D73250" w:rsidRPr="00D73250">
              <w:rPr>
                <w:rFonts w:ascii="Times New Roman" w:hAnsi="Times New Roman" w:cs="Times New Roman"/>
                <w:sz w:val="24"/>
                <w:szCs w:val="24"/>
              </w:rPr>
              <w:t>he volume of every room in each facility with a known exposure was measured using a laser measuring tool. Rooms were further categorized as small, medium</w:t>
            </w:r>
            <w:r w:rsidR="00333BEF">
              <w:rPr>
                <w:rFonts w:ascii="Times New Roman" w:hAnsi="Times New Roman" w:cs="Times New Roman"/>
                <w:sz w:val="24"/>
                <w:szCs w:val="24"/>
              </w:rPr>
              <w:t xml:space="preserve"> or </w:t>
            </w:r>
            <w:r w:rsidR="00D73250" w:rsidRPr="00D73250">
              <w:rPr>
                <w:rFonts w:ascii="Times New Roman" w:hAnsi="Times New Roman" w:cs="Times New Roman"/>
                <w:sz w:val="24"/>
                <w:szCs w:val="24"/>
              </w:rPr>
              <w:t>large, based on size distribution of resident rooms and common rooms within each facility.</w:t>
            </w:r>
            <w:r w:rsidR="00831302">
              <w:rPr>
                <w:rFonts w:ascii="Times New Roman" w:hAnsi="Times New Roman" w:cs="Times New Roman"/>
                <w:sz w:val="24"/>
                <w:szCs w:val="24"/>
              </w:rPr>
              <w:t xml:space="preserve">  Medium rooms were defined as volumes falling between the smallest and largest rooms for that facility</w:t>
            </w:r>
            <w:r w:rsidR="004B3A54">
              <w:rPr>
                <w:rFonts w:ascii="Times New Roman" w:hAnsi="Times New Roman" w:cs="Times New Roman"/>
                <w:sz w:val="24"/>
                <w:szCs w:val="24"/>
              </w:rPr>
              <w:t xml:space="preserve"> based on histogram of room volume distribution</w:t>
            </w:r>
            <w:r w:rsidR="00831302">
              <w:rPr>
                <w:rFonts w:ascii="Times New Roman" w:hAnsi="Times New Roman" w:cs="Times New Roman"/>
                <w:sz w:val="24"/>
                <w:szCs w:val="24"/>
              </w:rPr>
              <w:t>.</w:t>
            </w:r>
            <w:r w:rsidR="00236E97">
              <w:rPr>
                <w:rFonts w:ascii="Times New Roman" w:hAnsi="Times New Roman" w:cs="Times New Roman"/>
                <w:sz w:val="24"/>
                <w:szCs w:val="24"/>
              </w:rPr>
              <w:t xml:space="preserve">  </w:t>
            </w:r>
          </w:p>
          <w:p w14:paraId="492D4596" w14:textId="77777777" w:rsidR="00236E97" w:rsidRDefault="00236E97" w:rsidP="004B3A54">
            <w:pPr>
              <w:rPr>
                <w:rFonts w:ascii="Times New Roman" w:hAnsi="Times New Roman" w:cs="Times New Roman"/>
                <w:sz w:val="24"/>
                <w:szCs w:val="24"/>
              </w:rPr>
            </w:pPr>
          </w:p>
          <w:p w14:paraId="356B8CC7" w14:textId="43450067" w:rsidR="004B3A54" w:rsidRPr="00236E97" w:rsidRDefault="00236E97" w:rsidP="004B3A54">
            <w:pPr>
              <w:rPr>
                <w:rFonts w:ascii="Times New Roman" w:hAnsi="Times New Roman" w:cs="Times New Roman"/>
                <w:sz w:val="24"/>
                <w:szCs w:val="24"/>
              </w:rPr>
            </w:pPr>
            <w:bookmarkStart w:id="0" w:name="_GoBack"/>
            <w:r w:rsidRPr="00236E97">
              <w:rPr>
                <w:rFonts w:ascii="Times New Roman" w:hAnsi="Times New Roman" w:cs="Times New Roman"/>
                <w:sz w:val="24"/>
                <w:szCs w:val="24"/>
              </w:rPr>
              <w:t>The following distribution of room volumes were obtained by room type.</w:t>
            </w:r>
          </w:p>
          <w:tbl>
            <w:tblPr>
              <w:tblW w:w="0" w:type="auto"/>
              <w:tblCellMar>
                <w:left w:w="0" w:type="dxa"/>
                <w:right w:w="0" w:type="dxa"/>
              </w:tblCellMar>
              <w:tblLook w:val="04A0" w:firstRow="1" w:lastRow="0" w:firstColumn="1" w:lastColumn="0" w:noHBand="0" w:noVBand="1"/>
            </w:tblPr>
            <w:tblGrid>
              <w:gridCol w:w="1402"/>
              <w:gridCol w:w="1348"/>
              <w:gridCol w:w="234"/>
              <w:gridCol w:w="1265"/>
            </w:tblGrid>
            <w:tr w:rsidR="00236E97" w:rsidRPr="00236E97" w14:paraId="1823A139" w14:textId="77777777" w:rsidTr="00A71026">
              <w:tc>
                <w:tcPr>
                  <w:tcW w:w="3116" w:type="dxa"/>
                  <w:vMerge w:val="restart"/>
                  <w:tcBorders>
                    <w:top w:val="single" w:sz="8" w:space="0" w:color="7F7F7F"/>
                    <w:left w:val="nil"/>
                    <w:bottom w:val="single" w:sz="8" w:space="0" w:color="7F7F7F"/>
                    <w:right w:val="nil"/>
                  </w:tcBorders>
                  <w:tcMar>
                    <w:top w:w="0" w:type="dxa"/>
                    <w:left w:w="108" w:type="dxa"/>
                    <w:bottom w:w="0" w:type="dxa"/>
                    <w:right w:w="108" w:type="dxa"/>
                  </w:tcMar>
                  <w:hideMark/>
                </w:tcPr>
                <w:p w14:paraId="2C6D3572" w14:textId="77777777" w:rsidR="00236E97" w:rsidRPr="00236E97" w:rsidRDefault="00236E97" w:rsidP="00236E97">
                  <w:pPr>
                    <w:rPr>
                      <w:rFonts w:ascii="Times New Roman" w:hAnsi="Times New Roman" w:cs="Times New Roman"/>
                      <w:bCs/>
                      <w:sz w:val="24"/>
                      <w:szCs w:val="24"/>
                    </w:rPr>
                  </w:pPr>
                  <w:r w:rsidRPr="00236E97">
                    <w:rPr>
                      <w:rFonts w:ascii="Times New Roman" w:hAnsi="Times New Roman" w:cs="Times New Roman"/>
                      <w:bCs/>
                      <w:sz w:val="24"/>
                      <w:szCs w:val="24"/>
                    </w:rPr>
                    <w:t>Room size in ft</w:t>
                  </w:r>
                  <w:r w:rsidRPr="00236E97">
                    <w:rPr>
                      <w:rFonts w:ascii="Times New Roman" w:hAnsi="Times New Roman" w:cs="Times New Roman"/>
                      <w:bCs/>
                      <w:sz w:val="24"/>
                      <w:szCs w:val="24"/>
                      <w:vertAlign w:val="superscript"/>
                    </w:rPr>
                    <w:t>3</w:t>
                  </w:r>
                </w:p>
              </w:tc>
              <w:tc>
                <w:tcPr>
                  <w:tcW w:w="1924" w:type="dxa"/>
                  <w:tcBorders>
                    <w:top w:val="single" w:sz="8" w:space="0" w:color="7F7F7F"/>
                    <w:left w:val="nil"/>
                    <w:bottom w:val="single" w:sz="8" w:space="0" w:color="7F7F7F"/>
                    <w:right w:val="nil"/>
                  </w:tcBorders>
                  <w:tcMar>
                    <w:top w:w="0" w:type="dxa"/>
                    <w:left w:w="108" w:type="dxa"/>
                    <w:bottom w:w="0" w:type="dxa"/>
                    <w:right w:w="108" w:type="dxa"/>
                  </w:tcMar>
                  <w:hideMark/>
                </w:tcPr>
                <w:p w14:paraId="74A8290F" w14:textId="52A42D14" w:rsidR="00236E97" w:rsidRPr="00236E97" w:rsidRDefault="00236E97" w:rsidP="00236E97">
                  <w:pPr>
                    <w:rPr>
                      <w:rFonts w:ascii="Times New Roman" w:hAnsi="Times New Roman" w:cs="Times New Roman"/>
                      <w:bCs/>
                      <w:sz w:val="24"/>
                      <w:szCs w:val="24"/>
                    </w:rPr>
                  </w:pPr>
                  <w:r w:rsidRPr="00236E97">
                    <w:rPr>
                      <w:rFonts w:ascii="Times New Roman" w:hAnsi="Times New Roman" w:cs="Times New Roman"/>
                      <w:bCs/>
                      <w:sz w:val="24"/>
                      <w:szCs w:val="24"/>
                    </w:rPr>
                    <w:t>Common area</w:t>
                  </w:r>
                  <w:r w:rsidRPr="00236E97">
                    <w:rPr>
                      <w:rFonts w:ascii="Times New Roman" w:hAnsi="Times New Roman" w:cs="Times New Roman"/>
                      <w:bCs/>
                      <w:sz w:val="24"/>
                      <w:szCs w:val="24"/>
                    </w:rPr>
                    <w:t xml:space="preserve"> or dining room</w:t>
                  </w:r>
                </w:p>
              </w:tc>
              <w:tc>
                <w:tcPr>
                  <w:tcW w:w="270" w:type="dxa"/>
                  <w:tcBorders>
                    <w:top w:val="single" w:sz="8" w:space="0" w:color="7F7F7F"/>
                    <w:left w:val="nil"/>
                    <w:bottom w:val="nil"/>
                    <w:right w:val="nil"/>
                  </w:tcBorders>
                  <w:tcMar>
                    <w:top w:w="0" w:type="dxa"/>
                    <w:left w:w="108" w:type="dxa"/>
                    <w:bottom w:w="0" w:type="dxa"/>
                    <w:right w:w="108" w:type="dxa"/>
                  </w:tcMar>
                </w:tcPr>
                <w:p w14:paraId="723C0BB3" w14:textId="77777777" w:rsidR="00236E97" w:rsidRPr="00236E97" w:rsidRDefault="00236E97" w:rsidP="00236E97">
                  <w:pPr>
                    <w:rPr>
                      <w:rFonts w:ascii="Times New Roman" w:hAnsi="Times New Roman" w:cs="Times New Roman"/>
                      <w:bCs/>
                      <w:sz w:val="24"/>
                      <w:szCs w:val="24"/>
                    </w:rPr>
                  </w:pPr>
                </w:p>
              </w:tc>
              <w:tc>
                <w:tcPr>
                  <w:tcW w:w="1890" w:type="dxa"/>
                  <w:tcBorders>
                    <w:top w:val="single" w:sz="8" w:space="0" w:color="7F7F7F"/>
                    <w:left w:val="nil"/>
                    <w:bottom w:val="single" w:sz="8" w:space="0" w:color="7F7F7F"/>
                    <w:right w:val="nil"/>
                  </w:tcBorders>
                  <w:tcMar>
                    <w:top w:w="0" w:type="dxa"/>
                    <w:left w:w="108" w:type="dxa"/>
                    <w:bottom w:w="0" w:type="dxa"/>
                    <w:right w:w="108" w:type="dxa"/>
                  </w:tcMar>
                  <w:hideMark/>
                </w:tcPr>
                <w:p w14:paraId="0499B78F" w14:textId="77777777" w:rsidR="00236E97" w:rsidRPr="00236E97" w:rsidRDefault="00236E97" w:rsidP="00236E97">
                  <w:pPr>
                    <w:rPr>
                      <w:rFonts w:ascii="Times New Roman" w:hAnsi="Times New Roman" w:cs="Times New Roman"/>
                      <w:bCs/>
                      <w:sz w:val="24"/>
                      <w:szCs w:val="24"/>
                    </w:rPr>
                  </w:pPr>
                  <w:r w:rsidRPr="00236E97">
                    <w:rPr>
                      <w:rFonts w:ascii="Times New Roman" w:hAnsi="Times New Roman" w:cs="Times New Roman"/>
                      <w:bCs/>
                      <w:sz w:val="24"/>
                      <w:szCs w:val="24"/>
                    </w:rPr>
                    <w:t>Resident room</w:t>
                  </w:r>
                </w:p>
              </w:tc>
            </w:tr>
            <w:tr w:rsidR="00236E97" w:rsidRPr="00236E97" w14:paraId="75DA8C00" w14:textId="77777777" w:rsidTr="00A71026">
              <w:tc>
                <w:tcPr>
                  <w:tcW w:w="0" w:type="auto"/>
                  <w:vMerge/>
                  <w:tcBorders>
                    <w:top w:val="single" w:sz="8" w:space="0" w:color="7F7F7F"/>
                    <w:left w:val="nil"/>
                    <w:bottom w:val="single" w:sz="8" w:space="0" w:color="7F7F7F"/>
                    <w:right w:val="nil"/>
                  </w:tcBorders>
                  <w:vAlign w:val="center"/>
                  <w:hideMark/>
                </w:tcPr>
                <w:p w14:paraId="29ECCAFF" w14:textId="77777777" w:rsidR="00236E97" w:rsidRPr="00236E97" w:rsidRDefault="00236E97" w:rsidP="00236E97">
                  <w:pPr>
                    <w:rPr>
                      <w:rFonts w:ascii="Times New Roman" w:hAnsi="Times New Roman" w:cs="Times New Roman"/>
                      <w:bCs/>
                      <w:sz w:val="24"/>
                      <w:szCs w:val="24"/>
                    </w:rPr>
                  </w:pPr>
                </w:p>
              </w:tc>
              <w:tc>
                <w:tcPr>
                  <w:tcW w:w="1924" w:type="dxa"/>
                  <w:tcBorders>
                    <w:top w:val="nil"/>
                    <w:left w:val="nil"/>
                    <w:bottom w:val="single" w:sz="8" w:space="0" w:color="7F7F7F"/>
                    <w:right w:val="nil"/>
                  </w:tcBorders>
                  <w:tcMar>
                    <w:top w:w="0" w:type="dxa"/>
                    <w:left w:w="108" w:type="dxa"/>
                    <w:bottom w:w="0" w:type="dxa"/>
                    <w:right w:w="108" w:type="dxa"/>
                  </w:tcMar>
                  <w:hideMark/>
                </w:tcPr>
                <w:p w14:paraId="7C345074" w14:textId="77777777" w:rsidR="00236E97" w:rsidRPr="00236E97" w:rsidRDefault="00236E97" w:rsidP="00236E97">
                  <w:pPr>
                    <w:rPr>
                      <w:rFonts w:ascii="Times New Roman" w:hAnsi="Times New Roman" w:cs="Times New Roman"/>
                      <w:bCs/>
                      <w:sz w:val="24"/>
                      <w:szCs w:val="24"/>
                    </w:rPr>
                  </w:pPr>
                  <w:r w:rsidRPr="00236E97">
                    <w:rPr>
                      <w:rFonts w:ascii="Times New Roman" w:hAnsi="Times New Roman" w:cs="Times New Roman"/>
                      <w:bCs/>
                      <w:sz w:val="24"/>
                      <w:szCs w:val="24"/>
                    </w:rPr>
                    <w:t>Median (IQR)</w:t>
                  </w:r>
                </w:p>
              </w:tc>
              <w:tc>
                <w:tcPr>
                  <w:tcW w:w="270" w:type="dxa"/>
                  <w:tcBorders>
                    <w:top w:val="nil"/>
                    <w:left w:val="nil"/>
                    <w:bottom w:val="single" w:sz="8" w:space="0" w:color="7F7F7F"/>
                    <w:right w:val="nil"/>
                  </w:tcBorders>
                  <w:tcMar>
                    <w:top w:w="0" w:type="dxa"/>
                    <w:left w:w="108" w:type="dxa"/>
                    <w:bottom w:w="0" w:type="dxa"/>
                    <w:right w:w="108" w:type="dxa"/>
                  </w:tcMar>
                </w:tcPr>
                <w:p w14:paraId="7DFF7EB4" w14:textId="77777777" w:rsidR="00236E97" w:rsidRPr="00236E97" w:rsidRDefault="00236E97" w:rsidP="00236E97">
                  <w:pPr>
                    <w:rPr>
                      <w:rFonts w:ascii="Times New Roman" w:hAnsi="Times New Roman" w:cs="Times New Roman"/>
                      <w:bCs/>
                      <w:sz w:val="24"/>
                      <w:szCs w:val="24"/>
                    </w:rPr>
                  </w:pPr>
                </w:p>
              </w:tc>
              <w:tc>
                <w:tcPr>
                  <w:tcW w:w="1890" w:type="dxa"/>
                  <w:tcBorders>
                    <w:top w:val="nil"/>
                    <w:left w:val="nil"/>
                    <w:bottom w:val="single" w:sz="8" w:space="0" w:color="7F7F7F"/>
                    <w:right w:val="nil"/>
                  </w:tcBorders>
                  <w:tcMar>
                    <w:top w:w="0" w:type="dxa"/>
                    <w:left w:w="108" w:type="dxa"/>
                    <w:bottom w:w="0" w:type="dxa"/>
                    <w:right w:w="108" w:type="dxa"/>
                  </w:tcMar>
                  <w:hideMark/>
                </w:tcPr>
                <w:p w14:paraId="4DACB64D" w14:textId="77777777" w:rsidR="00236E97" w:rsidRPr="00236E97" w:rsidRDefault="00236E97" w:rsidP="00236E97">
                  <w:pPr>
                    <w:rPr>
                      <w:rFonts w:ascii="Times New Roman" w:hAnsi="Times New Roman" w:cs="Times New Roman"/>
                      <w:bCs/>
                      <w:sz w:val="24"/>
                      <w:szCs w:val="24"/>
                    </w:rPr>
                  </w:pPr>
                  <w:r w:rsidRPr="00236E97">
                    <w:rPr>
                      <w:rFonts w:ascii="Times New Roman" w:hAnsi="Times New Roman" w:cs="Times New Roman"/>
                      <w:bCs/>
                      <w:sz w:val="24"/>
                      <w:szCs w:val="24"/>
                    </w:rPr>
                    <w:t>Median (IQR)</w:t>
                  </w:r>
                </w:p>
              </w:tc>
            </w:tr>
            <w:tr w:rsidR="00236E97" w:rsidRPr="00236E97" w14:paraId="78470E3F" w14:textId="77777777" w:rsidTr="00A71026">
              <w:tc>
                <w:tcPr>
                  <w:tcW w:w="3116" w:type="dxa"/>
                  <w:tcMar>
                    <w:top w:w="0" w:type="dxa"/>
                    <w:left w:w="108" w:type="dxa"/>
                    <w:bottom w:w="0" w:type="dxa"/>
                    <w:right w:w="108" w:type="dxa"/>
                  </w:tcMar>
                  <w:hideMark/>
                </w:tcPr>
                <w:p w14:paraId="5C39C8A5" w14:textId="77777777" w:rsidR="00236E97" w:rsidRPr="00236E97" w:rsidRDefault="00236E97" w:rsidP="00236E97">
                  <w:pPr>
                    <w:rPr>
                      <w:rFonts w:ascii="Times New Roman" w:hAnsi="Times New Roman" w:cs="Times New Roman"/>
                      <w:bCs/>
                      <w:sz w:val="24"/>
                      <w:szCs w:val="24"/>
                    </w:rPr>
                  </w:pPr>
                  <w:r w:rsidRPr="00236E97">
                    <w:rPr>
                      <w:rFonts w:ascii="Times New Roman" w:hAnsi="Times New Roman" w:cs="Times New Roman"/>
                      <w:bCs/>
                      <w:sz w:val="24"/>
                      <w:szCs w:val="24"/>
                    </w:rPr>
                    <w:t xml:space="preserve">Small </w:t>
                  </w:r>
                </w:p>
              </w:tc>
              <w:tc>
                <w:tcPr>
                  <w:tcW w:w="1924" w:type="dxa"/>
                  <w:tcMar>
                    <w:top w:w="0" w:type="dxa"/>
                    <w:left w:w="108" w:type="dxa"/>
                    <w:bottom w:w="0" w:type="dxa"/>
                    <w:right w:w="108" w:type="dxa"/>
                  </w:tcMar>
                  <w:hideMark/>
                </w:tcPr>
                <w:p w14:paraId="2FD34A78" w14:textId="77777777" w:rsidR="00236E97" w:rsidRPr="00236E97" w:rsidRDefault="00236E97" w:rsidP="00236E97">
                  <w:pPr>
                    <w:rPr>
                      <w:rFonts w:ascii="Times New Roman" w:hAnsi="Times New Roman" w:cs="Times New Roman"/>
                      <w:sz w:val="24"/>
                      <w:szCs w:val="24"/>
                    </w:rPr>
                  </w:pPr>
                  <w:r w:rsidRPr="00236E97">
                    <w:rPr>
                      <w:rFonts w:ascii="Times New Roman" w:hAnsi="Times New Roman" w:cs="Times New Roman"/>
                      <w:sz w:val="24"/>
                      <w:szCs w:val="24"/>
                    </w:rPr>
                    <w:t>6658.9 (9368.5)</w:t>
                  </w:r>
                </w:p>
              </w:tc>
              <w:tc>
                <w:tcPr>
                  <w:tcW w:w="270" w:type="dxa"/>
                  <w:tcMar>
                    <w:top w:w="0" w:type="dxa"/>
                    <w:left w:w="108" w:type="dxa"/>
                    <w:bottom w:w="0" w:type="dxa"/>
                    <w:right w:w="108" w:type="dxa"/>
                  </w:tcMar>
                </w:tcPr>
                <w:p w14:paraId="57DC9FFB" w14:textId="77777777" w:rsidR="00236E97" w:rsidRPr="00236E97" w:rsidRDefault="00236E97" w:rsidP="00236E97">
                  <w:pPr>
                    <w:rPr>
                      <w:rFonts w:ascii="Times New Roman" w:hAnsi="Times New Roman" w:cs="Times New Roman"/>
                      <w:sz w:val="24"/>
                      <w:szCs w:val="24"/>
                    </w:rPr>
                  </w:pPr>
                </w:p>
              </w:tc>
              <w:tc>
                <w:tcPr>
                  <w:tcW w:w="1890" w:type="dxa"/>
                  <w:tcMar>
                    <w:top w:w="0" w:type="dxa"/>
                    <w:left w:w="108" w:type="dxa"/>
                    <w:bottom w:w="0" w:type="dxa"/>
                    <w:right w:w="108" w:type="dxa"/>
                  </w:tcMar>
                  <w:hideMark/>
                </w:tcPr>
                <w:p w14:paraId="45F2377A" w14:textId="77777777" w:rsidR="00236E97" w:rsidRPr="00236E97" w:rsidRDefault="00236E97" w:rsidP="00236E97">
                  <w:pPr>
                    <w:rPr>
                      <w:rFonts w:ascii="Times New Roman" w:hAnsi="Times New Roman" w:cs="Times New Roman"/>
                      <w:sz w:val="24"/>
                      <w:szCs w:val="24"/>
                    </w:rPr>
                  </w:pPr>
                  <w:r w:rsidRPr="00236E97">
                    <w:rPr>
                      <w:rFonts w:ascii="Times New Roman" w:hAnsi="Times New Roman" w:cs="Times New Roman"/>
                      <w:sz w:val="24"/>
                      <w:szCs w:val="24"/>
                    </w:rPr>
                    <w:t>1782.9 (548.1)</w:t>
                  </w:r>
                </w:p>
              </w:tc>
            </w:tr>
            <w:tr w:rsidR="00236E97" w:rsidRPr="00236E97" w14:paraId="67485DC8" w14:textId="77777777" w:rsidTr="00A71026">
              <w:tc>
                <w:tcPr>
                  <w:tcW w:w="3116" w:type="dxa"/>
                  <w:tcMar>
                    <w:top w:w="0" w:type="dxa"/>
                    <w:left w:w="108" w:type="dxa"/>
                    <w:bottom w:w="0" w:type="dxa"/>
                    <w:right w:w="108" w:type="dxa"/>
                  </w:tcMar>
                  <w:hideMark/>
                </w:tcPr>
                <w:p w14:paraId="58FA794D" w14:textId="77777777" w:rsidR="00236E97" w:rsidRPr="00236E97" w:rsidRDefault="00236E97" w:rsidP="00236E97">
                  <w:pPr>
                    <w:rPr>
                      <w:rFonts w:ascii="Times New Roman" w:hAnsi="Times New Roman" w:cs="Times New Roman"/>
                      <w:bCs/>
                      <w:sz w:val="24"/>
                      <w:szCs w:val="24"/>
                    </w:rPr>
                  </w:pPr>
                  <w:r w:rsidRPr="00236E97">
                    <w:rPr>
                      <w:rFonts w:ascii="Times New Roman" w:hAnsi="Times New Roman" w:cs="Times New Roman"/>
                      <w:bCs/>
                      <w:sz w:val="24"/>
                      <w:szCs w:val="24"/>
                    </w:rPr>
                    <w:t>Media</w:t>
                  </w:r>
                </w:p>
              </w:tc>
              <w:tc>
                <w:tcPr>
                  <w:tcW w:w="1924" w:type="dxa"/>
                  <w:tcMar>
                    <w:top w:w="0" w:type="dxa"/>
                    <w:left w:w="108" w:type="dxa"/>
                    <w:bottom w:w="0" w:type="dxa"/>
                    <w:right w:w="108" w:type="dxa"/>
                  </w:tcMar>
                  <w:hideMark/>
                </w:tcPr>
                <w:p w14:paraId="1C0C66E7" w14:textId="77777777" w:rsidR="00236E97" w:rsidRPr="00236E97" w:rsidRDefault="00236E97" w:rsidP="00236E97">
                  <w:pPr>
                    <w:rPr>
                      <w:rFonts w:ascii="Times New Roman" w:hAnsi="Times New Roman" w:cs="Times New Roman"/>
                      <w:sz w:val="24"/>
                      <w:szCs w:val="24"/>
                    </w:rPr>
                  </w:pPr>
                  <w:r w:rsidRPr="00236E97">
                    <w:rPr>
                      <w:rFonts w:ascii="Times New Roman" w:hAnsi="Times New Roman" w:cs="Times New Roman"/>
                      <w:sz w:val="24"/>
                      <w:szCs w:val="24"/>
                    </w:rPr>
                    <w:t>10965.2 (7837.5)</w:t>
                  </w:r>
                </w:p>
              </w:tc>
              <w:tc>
                <w:tcPr>
                  <w:tcW w:w="270" w:type="dxa"/>
                  <w:tcMar>
                    <w:top w:w="0" w:type="dxa"/>
                    <w:left w:w="108" w:type="dxa"/>
                    <w:bottom w:w="0" w:type="dxa"/>
                    <w:right w:w="108" w:type="dxa"/>
                  </w:tcMar>
                </w:tcPr>
                <w:p w14:paraId="22D45CEC" w14:textId="77777777" w:rsidR="00236E97" w:rsidRPr="00236E97" w:rsidRDefault="00236E97" w:rsidP="00236E97">
                  <w:pPr>
                    <w:rPr>
                      <w:rFonts w:ascii="Times New Roman" w:hAnsi="Times New Roman" w:cs="Times New Roman"/>
                      <w:sz w:val="24"/>
                      <w:szCs w:val="24"/>
                    </w:rPr>
                  </w:pPr>
                </w:p>
              </w:tc>
              <w:tc>
                <w:tcPr>
                  <w:tcW w:w="1890" w:type="dxa"/>
                  <w:tcMar>
                    <w:top w:w="0" w:type="dxa"/>
                    <w:left w:w="108" w:type="dxa"/>
                    <w:bottom w:w="0" w:type="dxa"/>
                    <w:right w:w="108" w:type="dxa"/>
                  </w:tcMar>
                  <w:hideMark/>
                </w:tcPr>
                <w:p w14:paraId="47FD9BA1" w14:textId="77777777" w:rsidR="00236E97" w:rsidRPr="00236E97" w:rsidRDefault="00236E97" w:rsidP="00236E97">
                  <w:pPr>
                    <w:rPr>
                      <w:rFonts w:ascii="Times New Roman" w:hAnsi="Times New Roman" w:cs="Times New Roman"/>
                      <w:sz w:val="24"/>
                      <w:szCs w:val="24"/>
                    </w:rPr>
                  </w:pPr>
                  <w:r w:rsidRPr="00236E97">
                    <w:rPr>
                      <w:rFonts w:ascii="Times New Roman" w:hAnsi="Times New Roman" w:cs="Times New Roman"/>
                      <w:sz w:val="24"/>
                      <w:szCs w:val="24"/>
                    </w:rPr>
                    <w:t>2598.2 (946.4)</w:t>
                  </w:r>
                </w:p>
              </w:tc>
            </w:tr>
            <w:tr w:rsidR="00236E97" w:rsidRPr="00236E97" w14:paraId="7146E13A" w14:textId="77777777" w:rsidTr="00A71026">
              <w:tc>
                <w:tcPr>
                  <w:tcW w:w="3116" w:type="dxa"/>
                  <w:tcBorders>
                    <w:top w:val="nil"/>
                    <w:left w:val="nil"/>
                    <w:bottom w:val="single" w:sz="8" w:space="0" w:color="7F7F7F"/>
                    <w:right w:val="nil"/>
                  </w:tcBorders>
                  <w:tcMar>
                    <w:top w:w="0" w:type="dxa"/>
                    <w:left w:w="108" w:type="dxa"/>
                    <w:bottom w:w="0" w:type="dxa"/>
                    <w:right w:w="108" w:type="dxa"/>
                  </w:tcMar>
                  <w:hideMark/>
                </w:tcPr>
                <w:p w14:paraId="5E42A9E1" w14:textId="77777777" w:rsidR="00236E97" w:rsidRPr="00236E97" w:rsidRDefault="00236E97" w:rsidP="00236E97">
                  <w:pPr>
                    <w:rPr>
                      <w:rFonts w:ascii="Times New Roman" w:hAnsi="Times New Roman" w:cs="Times New Roman"/>
                      <w:bCs/>
                      <w:sz w:val="24"/>
                      <w:szCs w:val="24"/>
                    </w:rPr>
                  </w:pPr>
                  <w:r w:rsidRPr="00236E97">
                    <w:rPr>
                      <w:rFonts w:ascii="Times New Roman" w:hAnsi="Times New Roman" w:cs="Times New Roman"/>
                      <w:bCs/>
                      <w:sz w:val="24"/>
                      <w:szCs w:val="24"/>
                    </w:rPr>
                    <w:t>Large</w:t>
                  </w:r>
                </w:p>
              </w:tc>
              <w:tc>
                <w:tcPr>
                  <w:tcW w:w="1924" w:type="dxa"/>
                  <w:tcBorders>
                    <w:top w:val="nil"/>
                    <w:left w:val="nil"/>
                    <w:bottom w:val="single" w:sz="8" w:space="0" w:color="7F7F7F"/>
                    <w:right w:val="nil"/>
                  </w:tcBorders>
                  <w:tcMar>
                    <w:top w:w="0" w:type="dxa"/>
                    <w:left w:w="108" w:type="dxa"/>
                    <w:bottom w:w="0" w:type="dxa"/>
                    <w:right w:w="108" w:type="dxa"/>
                  </w:tcMar>
                  <w:hideMark/>
                </w:tcPr>
                <w:p w14:paraId="3E7C0FFA" w14:textId="77777777" w:rsidR="00236E97" w:rsidRPr="00236E97" w:rsidRDefault="00236E97" w:rsidP="00236E97">
                  <w:pPr>
                    <w:rPr>
                      <w:rFonts w:ascii="Times New Roman" w:hAnsi="Times New Roman" w:cs="Times New Roman"/>
                      <w:sz w:val="24"/>
                      <w:szCs w:val="24"/>
                    </w:rPr>
                  </w:pPr>
                  <w:r w:rsidRPr="00236E97">
                    <w:rPr>
                      <w:rFonts w:ascii="Times New Roman" w:hAnsi="Times New Roman" w:cs="Times New Roman"/>
                      <w:sz w:val="24"/>
                      <w:szCs w:val="24"/>
                    </w:rPr>
                    <w:t>15426.2 (16365.2)</w:t>
                  </w:r>
                </w:p>
              </w:tc>
              <w:tc>
                <w:tcPr>
                  <w:tcW w:w="270" w:type="dxa"/>
                  <w:tcBorders>
                    <w:top w:val="nil"/>
                    <w:left w:val="nil"/>
                    <w:bottom w:val="single" w:sz="8" w:space="0" w:color="7F7F7F"/>
                    <w:right w:val="nil"/>
                  </w:tcBorders>
                  <w:tcMar>
                    <w:top w:w="0" w:type="dxa"/>
                    <w:left w:w="108" w:type="dxa"/>
                    <w:bottom w:w="0" w:type="dxa"/>
                    <w:right w:w="108" w:type="dxa"/>
                  </w:tcMar>
                </w:tcPr>
                <w:p w14:paraId="387DD199" w14:textId="77777777" w:rsidR="00236E97" w:rsidRPr="00236E97" w:rsidRDefault="00236E97" w:rsidP="00236E97">
                  <w:pPr>
                    <w:rPr>
                      <w:rFonts w:ascii="Times New Roman" w:hAnsi="Times New Roman" w:cs="Times New Roman"/>
                      <w:sz w:val="24"/>
                      <w:szCs w:val="24"/>
                    </w:rPr>
                  </w:pPr>
                </w:p>
              </w:tc>
              <w:tc>
                <w:tcPr>
                  <w:tcW w:w="1890" w:type="dxa"/>
                  <w:tcBorders>
                    <w:top w:val="nil"/>
                    <w:left w:val="nil"/>
                    <w:bottom w:val="single" w:sz="8" w:space="0" w:color="7F7F7F"/>
                    <w:right w:val="nil"/>
                  </w:tcBorders>
                  <w:tcMar>
                    <w:top w:w="0" w:type="dxa"/>
                    <w:left w:w="108" w:type="dxa"/>
                    <w:bottom w:w="0" w:type="dxa"/>
                    <w:right w:w="108" w:type="dxa"/>
                  </w:tcMar>
                  <w:hideMark/>
                </w:tcPr>
                <w:p w14:paraId="4DDEA403" w14:textId="77777777" w:rsidR="00236E97" w:rsidRPr="00236E97" w:rsidRDefault="00236E97" w:rsidP="00236E97">
                  <w:pPr>
                    <w:rPr>
                      <w:rFonts w:ascii="Times New Roman" w:hAnsi="Times New Roman" w:cs="Times New Roman"/>
                      <w:sz w:val="24"/>
                      <w:szCs w:val="24"/>
                    </w:rPr>
                  </w:pPr>
                  <w:r w:rsidRPr="00236E97">
                    <w:rPr>
                      <w:rFonts w:ascii="Times New Roman" w:hAnsi="Times New Roman" w:cs="Times New Roman"/>
                      <w:sz w:val="24"/>
                      <w:szCs w:val="24"/>
                    </w:rPr>
                    <w:t>3743.4 (1522.6)</w:t>
                  </w:r>
                </w:p>
              </w:tc>
            </w:tr>
            <w:bookmarkEnd w:id="0"/>
          </w:tbl>
          <w:p w14:paraId="24FCF58D" w14:textId="77777777" w:rsidR="00236E97" w:rsidRDefault="00236E97" w:rsidP="004B3A54">
            <w:pPr>
              <w:rPr>
                <w:rFonts w:ascii="Times New Roman" w:hAnsi="Times New Roman" w:cs="Times New Roman"/>
                <w:sz w:val="24"/>
                <w:szCs w:val="24"/>
              </w:rPr>
            </w:pPr>
          </w:p>
          <w:p w14:paraId="742068F5" w14:textId="77777777" w:rsidR="00236E97" w:rsidRDefault="00236E97" w:rsidP="004B3A54">
            <w:pPr>
              <w:rPr>
                <w:rFonts w:ascii="Times New Roman" w:hAnsi="Times New Roman" w:cs="Times New Roman"/>
                <w:sz w:val="24"/>
                <w:szCs w:val="24"/>
              </w:rPr>
            </w:pPr>
          </w:p>
          <w:p w14:paraId="7C9A5DEA" w14:textId="77777777" w:rsidR="00236E97" w:rsidRDefault="00236E97" w:rsidP="004B3A54">
            <w:pPr>
              <w:rPr>
                <w:rFonts w:ascii="Times New Roman" w:hAnsi="Times New Roman" w:cs="Times New Roman"/>
                <w:sz w:val="24"/>
                <w:szCs w:val="24"/>
              </w:rPr>
            </w:pPr>
          </w:p>
          <w:p w14:paraId="41CDF20E" w14:textId="1A845264" w:rsidR="00236E97" w:rsidRPr="00D73250" w:rsidRDefault="00236E97" w:rsidP="004B3A54">
            <w:pPr>
              <w:rPr>
                <w:rFonts w:ascii="Times New Roman" w:hAnsi="Times New Roman" w:cs="Times New Roman"/>
                <w:sz w:val="24"/>
                <w:szCs w:val="24"/>
              </w:rPr>
            </w:pPr>
          </w:p>
        </w:tc>
        <w:tc>
          <w:tcPr>
            <w:tcW w:w="1323" w:type="dxa"/>
            <w:tcBorders>
              <w:top w:val="single" w:sz="4" w:space="0" w:color="auto"/>
              <w:bottom w:val="single" w:sz="4" w:space="0" w:color="auto"/>
            </w:tcBorders>
            <w:tcMar>
              <w:top w:w="0" w:type="dxa"/>
              <w:left w:w="108" w:type="dxa"/>
              <w:bottom w:w="0" w:type="dxa"/>
              <w:right w:w="108" w:type="dxa"/>
            </w:tcMar>
          </w:tcPr>
          <w:p w14:paraId="14CBDBA7" w14:textId="77777777" w:rsidR="008558F1" w:rsidRPr="00D73250" w:rsidRDefault="00BC1AC4" w:rsidP="008558F1">
            <w:pPr>
              <w:rPr>
                <w:rFonts w:ascii="Times New Roman" w:hAnsi="Times New Roman" w:cs="Times New Roman"/>
                <w:sz w:val="24"/>
                <w:szCs w:val="24"/>
              </w:rPr>
            </w:pPr>
            <w:r w:rsidRPr="00D73250">
              <w:rPr>
                <w:rFonts w:ascii="Times New Roman" w:hAnsi="Times New Roman" w:cs="Times New Roman"/>
                <w:sz w:val="24"/>
                <w:szCs w:val="24"/>
              </w:rPr>
              <w:t>Categorical</w:t>
            </w:r>
          </w:p>
        </w:tc>
        <w:tc>
          <w:tcPr>
            <w:tcW w:w="2251" w:type="dxa"/>
            <w:tcBorders>
              <w:top w:val="single" w:sz="4" w:space="0" w:color="auto"/>
              <w:bottom w:val="single" w:sz="4" w:space="0" w:color="auto"/>
            </w:tcBorders>
            <w:tcMar>
              <w:top w:w="0" w:type="dxa"/>
              <w:left w:w="108" w:type="dxa"/>
              <w:bottom w:w="0" w:type="dxa"/>
              <w:right w:w="108" w:type="dxa"/>
            </w:tcMar>
          </w:tcPr>
          <w:p w14:paraId="6BB663F7" w14:textId="77777777" w:rsidR="008558F1" w:rsidRPr="00D73250" w:rsidRDefault="00BC1AC4" w:rsidP="008558F1">
            <w:pPr>
              <w:rPr>
                <w:rFonts w:ascii="Times New Roman" w:hAnsi="Times New Roman" w:cs="Times New Roman"/>
                <w:sz w:val="24"/>
                <w:szCs w:val="24"/>
              </w:rPr>
            </w:pPr>
            <w:r w:rsidRPr="00D73250">
              <w:rPr>
                <w:rFonts w:ascii="Times New Roman" w:hAnsi="Times New Roman" w:cs="Times New Roman"/>
                <w:sz w:val="24"/>
                <w:szCs w:val="24"/>
              </w:rPr>
              <w:t>Small</w:t>
            </w:r>
          </w:p>
          <w:p w14:paraId="4F25F3D0" w14:textId="77777777" w:rsidR="00BC1AC4" w:rsidRPr="00D73250" w:rsidRDefault="00BC1AC4" w:rsidP="008558F1">
            <w:pPr>
              <w:rPr>
                <w:rFonts w:ascii="Times New Roman" w:hAnsi="Times New Roman" w:cs="Times New Roman"/>
                <w:sz w:val="24"/>
                <w:szCs w:val="24"/>
              </w:rPr>
            </w:pPr>
            <w:r w:rsidRPr="00D73250">
              <w:rPr>
                <w:rFonts w:ascii="Times New Roman" w:hAnsi="Times New Roman" w:cs="Times New Roman"/>
                <w:sz w:val="24"/>
                <w:szCs w:val="24"/>
              </w:rPr>
              <w:t>Medium</w:t>
            </w:r>
          </w:p>
          <w:p w14:paraId="7E0760C7" w14:textId="77777777" w:rsidR="00BC1AC4" w:rsidRPr="00D73250" w:rsidRDefault="00BC1AC4" w:rsidP="008558F1">
            <w:pPr>
              <w:rPr>
                <w:rFonts w:ascii="Times New Roman" w:hAnsi="Times New Roman" w:cs="Times New Roman"/>
                <w:sz w:val="24"/>
                <w:szCs w:val="24"/>
              </w:rPr>
            </w:pPr>
            <w:r w:rsidRPr="00D73250">
              <w:rPr>
                <w:rFonts w:ascii="Times New Roman" w:hAnsi="Times New Roman" w:cs="Times New Roman"/>
                <w:sz w:val="24"/>
                <w:szCs w:val="24"/>
              </w:rPr>
              <w:t>Large</w:t>
            </w:r>
          </w:p>
          <w:p w14:paraId="7C18B9E9" w14:textId="09AB3AE0" w:rsidR="008E36AC" w:rsidRPr="00D73250" w:rsidRDefault="008E36AC" w:rsidP="008558F1">
            <w:pPr>
              <w:rPr>
                <w:rFonts w:ascii="Times New Roman" w:hAnsi="Times New Roman" w:cs="Times New Roman"/>
                <w:sz w:val="24"/>
                <w:szCs w:val="24"/>
              </w:rPr>
            </w:pPr>
          </w:p>
        </w:tc>
      </w:tr>
      <w:tr w:rsidR="008558F1" w:rsidRPr="00D73250" w14:paraId="1BAD3005" w14:textId="77777777" w:rsidTr="00F25D37">
        <w:tc>
          <w:tcPr>
            <w:tcW w:w="1276" w:type="dxa"/>
            <w:tcBorders>
              <w:top w:val="single" w:sz="4" w:space="0" w:color="auto"/>
              <w:bottom w:val="single" w:sz="4" w:space="0" w:color="auto"/>
            </w:tcBorders>
            <w:tcMar>
              <w:top w:w="0" w:type="dxa"/>
              <w:left w:w="108" w:type="dxa"/>
              <w:bottom w:w="0" w:type="dxa"/>
              <w:right w:w="108" w:type="dxa"/>
            </w:tcMar>
          </w:tcPr>
          <w:p w14:paraId="4E022894" w14:textId="77777777" w:rsidR="008558F1" w:rsidRPr="00D73250" w:rsidRDefault="00BC1AC4" w:rsidP="008558F1">
            <w:pPr>
              <w:rPr>
                <w:rFonts w:ascii="Times New Roman" w:hAnsi="Times New Roman" w:cs="Times New Roman"/>
                <w:sz w:val="24"/>
                <w:szCs w:val="24"/>
              </w:rPr>
            </w:pPr>
            <w:r w:rsidRPr="00D73250">
              <w:rPr>
                <w:rFonts w:ascii="Times New Roman" w:hAnsi="Times New Roman" w:cs="Times New Roman"/>
                <w:sz w:val="24"/>
                <w:szCs w:val="24"/>
              </w:rPr>
              <w:lastRenderedPageBreak/>
              <w:t>Type of source</w:t>
            </w:r>
          </w:p>
        </w:tc>
        <w:tc>
          <w:tcPr>
            <w:tcW w:w="4510" w:type="dxa"/>
            <w:tcBorders>
              <w:top w:val="single" w:sz="4" w:space="0" w:color="auto"/>
              <w:bottom w:val="single" w:sz="4" w:space="0" w:color="auto"/>
            </w:tcBorders>
            <w:tcMar>
              <w:top w:w="0" w:type="dxa"/>
              <w:left w:w="108" w:type="dxa"/>
              <w:bottom w:w="0" w:type="dxa"/>
              <w:right w:w="108" w:type="dxa"/>
            </w:tcMar>
          </w:tcPr>
          <w:p w14:paraId="43DBA7CE" w14:textId="13C77228" w:rsidR="008558F1" w:rsidRPr="00D73250" w:rsidRDefault="00BC1AC4" w:rsidP="008558F1">
            <w:pPr>
              <w:rPr>
                <w:rFonts w:ascii="Times New Roman" w:hAnsi="Times New Roman" w:cs="Times New Roman"/>
                <w:sz w:val="24"/>
                <w:szCs w:val="24"/>
              </w:rPr>
            </w:pPr>
            <w:r w:rsidRPr="00D73250">
              <w:rPr>
                <w:rFonts w:ascii="Times New Roman" w:hAnsi="Times New Roman" w:cs="Times New Roman"/>
                <w:sz w:val="24"/>
                <w:szCs w:val="24"/>
              </w:rPr>
              <w:t xml:space="preserve">Type of source </w:t>
            </w:r>
            <w:r w:rsidR="00831302">
              <w:rPr>
                <w:rFonts w:ascii="Times New Roman" w:hAnsi="Times New Roman" w:cs="Times New Roman"/>
                <w:sz w:val="24"/>
                <w:szCs w:val="24"/>
              </w:rPr>
              <w:t xml:space="preserve">involved in exposure.  </w:t>
            </w:r>
            <w:r w:rsidR="00115B74">
              <w:rPr>
                <w:rFonts w:ascii="Times New Roman" w:hAnsi="Times New Roman" w:cs="Times New Roman"/>
                <w:sz w:val="24"/>
                <w:szCs w:val="24"/>
              </w:rPr>
              <w:t xml:space="preserve">Resident </w:t>
            </w:r>
            <w:r w:rsidR="00A16485">
              <w:rPr>
                <w:rFonts w:ascii="Times New Roman" w:hAnsi="Times New Roman" w:cs="Times New Roman"/>
                <w:sz w:val="24"/>
                <w:szCs w:val="24"/>
              </w:rPr>
              <w:t xml:space="preserve">sources </w:t>
            </w:r>
            <w:r w:rsidR="00115B74">
              <w:rPr>
                <w:rFonts w:ascii="Times New Roman" w:hAnsi="Times New Roman" w:cs="Times New Roman"/>
                <w:sz w:val="24"/>
                <w:szCs w:val="24"/>
              </w:rPr>
              <w:t>include</w:t>
            </w:r>
            <w:r w:rsidR="00A16485">
              <w:rPr>
                <w:rFonts w:ascii="Times New Roman" w:hAnsi="Times New Roman" w:cs="Times New Roman"/>
                <w:sz w:val="24"/>
                <w:szCs w:val="24"/>
              </w:rPr>
              <w:t>d</w:t>
            </w:r>
            <w:r w:rsidR="00115B74">
              <w:rPr>
                <w:rFonts w:ascii="Times New Roman" w:hAnsi="Times New Roman" w:cs="Times New Roman"/>
                <w:sz w:val="24"/>
                <w:szCs w:val="24"/>
              </w:rPr>
              <w:t xml:space="preserve"> roommates, tablemates, activity partners and wandering residents in close proximity. </w:t>
            </w:r>
            <w:r w:rsidR="00A16485">
              <w:rPr>
                <w:rFonts w:ascii="Times New Roman" w:hAnsi="Times New Roman" w:cs="Times New Roman"/>
                <w:sz w:val="24"/>
                <w:szCs w:val="24"/>
              </w:rPr>
              <w:t>Healthcare workers and caregivers were grouped together given that both provide</w:t>
            </w:r>
            <w:r w:rsidR="00333BEF">
              <w:rPr>
                <w:rFonts w:ascii="Times New Roman" w:hAnsi="Times New Roman" w:cs="Times New Roman"/>
                <w:sz w:val="24"/>
                <w:szCs w:val="24"/>
              </w:rPr>
              <w:t xml:space="preserve"> </w:t>
            </w:r>
            <w:r w:rsidR="00A16485">
              <w:rPr>
                <w:rFonts w:ascii="Times New Roman" w:hAnsi="Times New Roman" w:cs="Times New Roman"/>
                <w:sz w:val="24"/>
                <w:szCs w:val="24"/>
              </w:rPr>
              <w:t>care</w:t>
            </w:r>
            <w:r w:rsidR="00B9604F">
              <w:rPr>
                <w:rFonts w:ascii="Times New Roman" w:hAnsi="Times New Roman" w:cs="Times New Roman"/>
                <w:sz w:val="24"/>
                <w:szCs w:val="24"/>
              </w:rPr>
              <w:t xml:space="preserve"> to residents</w:t>
            </w:r>
            <w:r w:rsidR="00A16485">
              <w:rPr>
                <w:rFonts w:ascii="Times New Roman" w:hAnsi="Times New Roman" w:cs="Times New Roman"/>
                <w:sz w:val="24"/>
                <w:szCs w:val="24"/>
              </w:rPr>
              <w:t xml:space="preserve">. Visitors included those spending time with </w:t>
            </w:r>
            <w:r w:rsidR="00333BEF">
              <w:rPr>
                <w:rFonts w:ascii="Times New Roman" w:hAnsi="Times New Roman" w:cs="Times New Roman"/>
                <w:sz w:val="24"/>
                <w:szCs w:val="24"/>
              </w:rPr>
              <w:t xml:space="preserve">a </w:t>
            </w:r>
            <w:r w:rsidR="00A16485">
              <w:rPr>
                <w:rFonts w:ascii="Times New Roman" w:hAnsi="Times New Roman" w:cs="Times New Roman"/>
                <w:sz w:val="24"/>
                <w:szCs w:val="24"/>
              </w:rPr>
              <w:t>resident for social reasons and not considered caregivers. Others included all other sources not included in the above</w:t>
            </w:r>
            <w:r w:rsidR="00333BEF">
              <w:rPr>
                <w:rFonts w:ascii="Times New Roman" w:hAnsi="Times New Roman" w:cs="Times New Roman"/>
                <w:sz w:val="24"/>
                <w:szCs w:val="24"/>
              </w:rPr>
              <w:t>,</w:t>
            </w:r>
            <w:r w:rsidR="00A16485">
              <w:rPr>
                <w:rFonts w:ascii="Times New Roman" w:hAnsi="Times New Roman" w:cs="Times New Roman"/>
                <w:sz w:val="24"/>
                <w:szCs w:val="24"/>
              </w:rPr>
              <w:t xml:space="preserve"> including those providing services to the home from the community.  </w:t>
            </w:r>
          </w:p>
        </w:tc>
        <w:tc>
          <w:tcPr>
            <w:tcW w:w="1323" w:type="dxa"/>
            <w:tcBorders>
              <w:top w:val="single" w:sz="4" w:space="0" w:color="auto"/>
              <w:bottom w:val="single" w:sz="4" w:space="0" w:color="auto"/>
            </w:tcBorders>
            <w:tcMar>
              <w:top w:w="0" w:type="dxa"/>
              <w:left w:w="108" w:type="dxa"/>
              <w:bottom w:w="0" w:type="dxa"/>
              <w:right w:w="108" w:type="dxa"/>
            </w:tcMar>
          </w:tcPr>
          <w:p w14:paraId="5CC17535" w14:textId="77777777" w:rsidR="008558F1" w:rsidRPr="00D73250" w:rsidRDefault="00BC1AC4" w:rsidP="008558F1">
            <w:pPr>
              <w:rPr>
                <w:rFonts w:ascii="Times New Roman" w:hAnsi="Times New Roman" w:cs="Times New Roman"/>
                <w:sz w:val="24"/>
                <w:szCs w:val="24"/>
              </w:rPr>
            </w:pPr>
            <w:r w:rsidRPr="00D73250">
              <w:rPr>
                <w:rFonts w:ascii="Times New Roman" w:hAnsi="Times New Roman" w:cs="Times New Roman"/>
                <w:sz w:val="24"/>
                <w:szCs w:val="24"/>
              </w:rPr>
              <w:t>Categorical</w:t>
            </w:r>
          </w:p>
        </w:tc>
        <w:tc>
          <w:tcPr>
            <w:tcW w:w="2251" w:type="dxa"/>
            <w:tcBorders>
              <w:top w:val="single" w:sz="4" w:space="0" w:color="auto"/>
              <w:bottom w:val="single" w:sz="4" w:space="0" w:color="auto"/>
            </w:tcBorders>
            <w:tcMar>
              <w:top w:w="0" w:type="dxa"/>
              <w:left w:w="108" w:type="dxa"/>
              <w:bottom w:w="0" w:type="dxa"/>
              <w:right w:w="108" w:type="dxa"/>
            </w:tcMar>
          </w:tcPr>
          <w:p w14:paraId="04BA5743" w14:textId="5BFDF59B" w:rsidR="008558F1" w:rsidRPr="00D73250" w:rsidRDefault="00BC1AC4" w:rsidP="008558F1">
            <w:pPr>
              <w:rPr>
                <w:rFonts w:ascii="Times New Roman" w:hAnsi="Times New Roman" w:cs="Times New Roman"/>
                <w:sz w:val="24"/>
                <w:szCs w:val="24"/>
              </w:rPr>
            </w:pPr>
            <w:r w:rsidRPr="00D73250">
              <w:rPr>
                <w:rFonts w:ascii="Times New Roman" w:hAnsi="Times New Roman" w:cs="Times New Roman"/>
                <w:sz w:val="24"/>
                <w:szCs w:val="24"/>
              </w:rPr>
              <w:t xml:space="preserve">Resident </w:t>
            </w:r>
          </w:p>
          <w:p w14:paraId="7BB2531E" w14:textId="77777777" w:rsidR="00BC1AC4" w:rsidRPr="00D73250" w:rsidRDefault="00BC1AC4" w:rsidP="008558F1">
            <w:pPr>
              <w:rPr>
                <w:rFonts w:ascii="Times New Roman" w:hAnsi="Times New Roman" w:cs="Times New Roman"/>
                <w:sz w:val="24"/>
                <w:szCs w:val="24"/>
              </w:rPr>
            </w:pPr>
            <w:r w:rsidRPr="00D73250">
              <w:rPr>
                <w:rFonts w:ascii="Times New Roman" w:hAnsi="Times New Roman" w:cs="Times New Roman"/>
                <w:sz w:val="24"/>
                <w:szCs w:val="24"/>
              </w:rPr>
              <w:t xml:space="preserve">Healthcare worker/Caregiver </w:t>
            </w:r>
          </w:p>
          <w:p w14:paraId="032BA56E" w14:textId="77777777" w:rsidR="00BC1AC4" w:rsidRPr="00D73250" w:rsidRDefault="00BC1AC4" w:rsidP="008558F1">
            <w:pPr>
              <w:rPr>
                <w:rFonts w:ascii="Times New Roman" w:hAnsi="Times New Roman" w:cs="Times New Roman"/>
                <w:sz w:val="24"/>
                <w:szCs w:val="24"/>
              </w:rPr>
            </w:pPr>
            <w:r w:rsidRPr="00D73250">
              <w:rPr>
                <w:rFonts w:ascii="Times New Roman" w:hAnsi="Times New Roman" w:cs="Times New Roman"/>
                <w:sz w:val="24"/>
                <w:szCs w:val="24"/>
              </w:rPr>
              <w:t>Visitor</w:t>
            </w:r>
          </w:p>
          <w:p w14:paraId="3C76266E" w14:textId="7A0E500D" w:rsidR="00BC1AC4" w:rsidRPr="00D73250" w:rsidRDefault="00BC1AC4" w:rsidP="008558F1">
            <w:pPr>
              <w:rPr>
                <w:rFonts w:ascii="Times New Roman" w:hAnsi="Times New Roman" w:cs="Times New Roman"/>
                <w:sz w:val="24"/>
                <w:szCs w:val="24"/>
              </w:rPr>
            </w:pPr>
            <w:r w:rsidRPr="00D73250">
              <w:rPr>
                <w:rFonts w:ascii="Times New Roman" w:hAnsi="Times New Roman" w:cs="Times New Roman"/>
                <w:sz w:val="24"/>
                <w:szCs w:val="24"/>
              </w:rPr>
              <w:t>Others</w:t>
            </w:r>
            <w:r w:rsidR="00197B05" w:rsidRPr="00D73250">
              <w:rPr>
                <w:rFonts w:ascii="Times New Roman" w:hAnsi="Times New Roman" w:cs="Times New Roman"/>
                <w:sz w:val="24"/>
                <w:szCs w:val="24"/>
              </w:rPr>
              <w:t xml:space="preserve"> </w:t>
            </w:r>
          </w:p>
        </w:tc>
      </w:tr>
      <w:tr w:rsidR="00BC1AC4" w:rsidRPr="00D73250" w14:paraId="2D8DEA1C" w14:textId="77777777" w:rsidTr="00F25D37">
        <w:tc>
          <w:tcPr>
            <w:tcW w:w="1276" w:type="dxa"/>
            <w:tcBorders>
              <w:top w:val="single" w:sz="4" w:space="0" w:color="auto"/>
              <w:bottom w:val="single" w:sz="4" w:space="0" w:color="auto"/>
            </w:tcBorders>
            <w:tcMar>
              <w:top w:w="0" w:type="dxa"/>
              <w:left w:w="108" w:type="dxa"/>
              <w:bottom w:w="0" w:type="dxa"/>
              <w:right w:w="108" w:type="dxa"/>
            </w:tcMar>
          </w:tcPr>
          <w:p w14:paraId="5E17E311" w14:textId="77777777" w:rsidR="00BC1AC4" w:rsidRPr="00D73250" w:rsidRDefault="00197B05" w:rsidP="008558F1">
            <w:pPr>
              <w:rPr>
                <w:rFonts w:ascii="Times New Roman" w:hAnsi="Times New Roman" w:cs="Times New Roman"/>
                <w:sz w:val="24"/>
                <w:szCs w:val="24"/>
              </w:rPr>
            </w:pPr>
            <w:r w:rsidRPr="00D73250">
              <w:rPr>
                <w:rFonts w:ascii="Times New Roman" w:hAnsi="Times New Roman" w:cs="Times New Roman"/>
                <w:sz w:val="24"/>
                <w:szCs w:val="24"/>
              </w:rPr>
              <w:t>Symptom status</w:t>
            </w:r>
          </w:p>
        </w:tc>
        <w:tc>
          <w:tcPr>
            <w:tcW w:w="4510" w:type="dxa"/>
            <w:tcBorders>
              <w:top w:val="single" w:sz="4" w:space="0" w:color="auto"/>
              <w:bottom w:val="single" w:sz="4" w:space="0" w:color="auto"/>
            </w:tcBorders>
            <w:tcMar>
              <w:top w:w="0" w:type="dxa"/>
              <w:left w:w="108" w:type="dxa"/>
              <w:bottom w:w="0" w:type="dxa"/>
              <w:right w:w="108" w:type="dxa"/>
            </w:tcMar>
          </w:tcPr>
          <w:p w14:paraId="556EE64E" w14:textId="0C2BA212" w:rsidR="00F25D37" w:rsidRPr="00D73250" w:rsidRDefault="00333BEF" w:rsidP="00333BEF">
            <w:pPr>
              <w:rPr>
                <w:rFonts w:ascii="Times New Roman" w:hAnsi="Times New Roman" w:cs="Times New Roman"/>
                <w:sz w:val="24"/>
                <w:szCs w:val="24"/>
              </w:rPr>
            </w:pPr>
            <w:r>
              <w:rPr>
                <w:rFonts w:ascii="Times New Roman" w:hAnsi="Times New Roman" w:cs="Times New Roman"/>
                <w:sz w:val="24"/>
                <w:szCs w:val="24"/>
              </w:rPr>
              <w:t>Whether source was symptomatic at time of exposure.</w:t>
            </w:r>
            <w:r w:rsidR="002D737C">
              <w:rPr>
                <w:rFonts w:ascii="Times New Roman" w:hAnsi="Times New Roman" w:cs="Times New Roman"/>
                <w:sz w:val="24"/>
                <w:szCs w:val="24"/>
              </w:rPr>
              <w:t xml:space="preserve"> </w:t>
            </w:r>
            <w:r>
              <w:rPr>
                <w:rFonts w:ascii="Times New Roman" w:hAnsi="Times New Roman" w:cs="Times New Roman"/>
                <w:sz w:val="24"/>
                <w:szCs w:val="24"/>
              </w:rPr>
              <w:t>Asymptomatic source was defined as asymptomatic at time of exposure and did not develop symptoms within 48-hours</w:t>
            </w:r>
            <w:r w:rsidR="00B9604F">
              <w:rPr>
                <w:rFonts w:ascii="Times New Roman" w:hAnsi="Times New Roman" w:cs="Times New Roman"/>
                <w:sz w:val="24"/>
                <w:szCs w:val="24"/>
              </w:rPr>
              <w:t xml:space="preserve"> afterward</w:t>
            </w:r>
            <w:r>
              <w:rPr>
                <w:rFonts w:ascii="Times New Roman" w:hAnsi="Times New Roman" w:cs="Times New Roman"/>
                <w:sz w:val="24"/>
                <w:szCs w:val="24"/>
              </w:rPr>
              <w:t xml:space="preserve">. </w:t>
            </w:r>
            <w:r w:rsidR="002D737C">
              <w:rPr>
                <w:rFonts w:ascii="Times New Roman" w:hAnsi="Times New Roman" w:cs="Times New Roman"/>
                <w:bCs/>
                <w:sz w:val="24"/>
                <w:szCs w:val="24"/>
              </w:rPr>
              <w:t>P</w:t>
            </w:r>
            <w:r w:rsidR="002D737C" w:rsidRPr="006D2E7E">
              <w:rPr>
                <w:rFonts w:ascii="Times New Roman" w:hAnsi="Times New Roman" w:cs="Times New Roman"/>
                <w:bCs/>
                <w:sz w:val="24"/>
                <w:szCs w:val="24"/>
              </w:rPr>
              <w:t>re-symptomatic source</w:t>
            </w:r>
            <w:r w:rsidR="002D737C">
              <w:rPr>
                <w:rFonts w:ascii="Times New Roman" w:hAnsi="Times New Roman" w:cs="Times New Roman"/>
                <w:bCs/>
                <w:sz w:val="24"/>
                <w:szCs w:val="24"/>
              </w:rPr>
              <w:t xml:space="preserve"> was defined as </w:t>
            </w:r>
            <w:r w:rsidR="002D737C" w:rsidRPr="006D2E7E">
              <w:rPr>
                <w:rFonts w:ascii="Times New Roman" w:hAnsi="Times New Roman" w:cs="Times New Roman"/>
                <w:bCs/>
                <w:sz w:val="24"/>
                <w:szCs w:val="24"/>
              </w:rPr>
              <w:t>asymptomatic at time of exposure and develop</w:t>
            </w:r>
            <w:r w:rsidR="00B9604F">
              <w:rPr>
                <w:rFonts w:ascii="Times New Roman" w:hAnsi="Times New Roman" w:cs="Times New Roman"/>
                <w:bCs/>
                <w:sz w:val="24"/>
                <w:szCs w:val="24"/>
              </w:rPr>
              <w:t>ed</w:t>
            </w:r>
            <w:r w:rsidR="002D737C" w:rsidRPr="006D2E7E">
              <w:rPr>
                <w:rFonts w:ascii="Times New Roman" w:hAnsi="Times New Roman" w:cs="Times New Roman"/>
                <w:bCs/>
                <w:sz w:val="24"/>
                <w:szCs w:val="24"/>
              </w:rPr>
              <w:t xml:space="preserve"> symptoms within 48-hours</w:t>
            </w:r>
            <w:r w:rsidR="00B9604F">
              <w:rPr>
                <w:rFonts w:ascii="Times New Roman" w:hAnsi="Times New Roman" w:cs="Times New Roman"/>
                <w:bCs/>
                <w:sz w:val="24"/>
                <w:szCs w:val="24"/>
              </w:rPr>
              <w:t xml:space="preserve"> afterward</w:t>
            </w:r>
            <w:r w:rsidR="002D737C" w:rsidRPr="006D2E7E">
              <w:rPr>
                <w:rFonts w:ascii="Times New Roman" w:hAnsi="Times New Roman" w:cs="Times New Roman"/>
                <w:bCs/>
                <w:sz w:val="24"/>
                <w:szCs w:val="24"/>
              </w:rPr>
              <w:t xml:space="preserve">. </w:t>
            </w:r>
            <w:r>
              <w:rPr>
                <w:rFonts w:ascii="Times New Roman" w:hAnsi="Times New Roman" w:cs="Times New Roman"/>
                <w:bCs/>
                <w:sz w:val="24"/>
                <w:szCs w:val="24"/>
              </w:rPr>
              <w:t>Symptomatic source was defined as having symptoms of COVID-19 infection at time of exposure.</w:t>
            </w:r>
          </w:p>
        </w:tc>
        <w:tc>
          <w:tcPr>
            <w:tcW w:w="1323" w:type="dxa"/>
            <w:tcBorders>
              <w:top w:val="single" w:sz="4" w:space="0" w:color="auto"/>
              <w:bottom w:val="single" w:sz="4" w:space="0" w:color="auto"/>
            </w:tcBorders>
            <w:tcMar>
              <w:top w:w="0" w:type="dxa"/>
              <w:left w:w="108" w:type="dxa"/>
              <w:bottom w:w="0" w:type="dxa"/>
              <w:right w:w="108" w:type="dxa"/>
            </w:tcMar>
          </w:tcPr>
          <w:p w14:paraId="1A862417" w14:textId="77777777" w:rsidR="00BC1AC4" w:rsidRPr="00D73250" w:rsidRDefault="00197B05" w:rsidP="008558F1">
            <w:pPr>
              <w:rPr>
                <w:rFonts w:ascii="Times New Roman" w:hAnsi="Times New Roman" w:cs="Times New Roman"/>
                <w:sz w:val="24"/>
                <w:szCs w:val="24"/>
              </w:rPr>
            </w:pPr>
            <w:r w:rsidRPr="00D73250">
              <w:rPr>
                <w:rFonts w:ascii="Times New Roman" w:hAnsi="Times New Roman" w:cs="Times New Roman"/>
                <w:sz w:val="24"/>
                <w:szCs w:val="24"/>
              </w:rPr>
              <w:t>Categorical</w:t>
            </w:r>
          </w:p>
        </w:tc>
        <w:tc>
          <w:tcPr>
            <w:tcW w:w="2251" w:type="dxa"/>
            <w:tcBorders>
              <w:top w:val="single" w:sz="4" w:space="0" w:color="auto"/>
              <w:bottom w:val="single" w:sz="4" w:space="0" w:color="auto"/>
            </w:tcBorders>
            <w:tcMar>
              <w:top w:w="0" w:type="dxa"/>
              <w:left w:w="108" w:type="dxa"/>
              <w:bottom w:w="0" w:type="dxa"/>
              <w:right w:w="108" w:type="dxa"/>
            </w:tcMar>
          </w:tcPr>
          <w:p w14:paraId="27235375" w14:textId="52E73B3C" w:rsidR="00BC1AC4" w:rsidRPr="00D73250" w:rsidRDefault="00197B05" w:rsidP="008558F1">
            <w:pPr>
              <w:rPr>
                <w:rFonts w:ascii="Times New Roman" w:hAnsi="Times New Roman" w:cs="Times New Roman"/>
                <w:sz w:val="24"/>
                <w:szCs w:val="24"/>
              </w:rPr>
            </w:pPr>
            <w:r w:rsidRPr="00D73250">
              <w:rPr>
                <w:rFonts w:ascii="Times New Roman" w:hAnsi="Times New Roman" w:cs="Times New Roman"/>
                <w:sz w:val="24"/>
                <w:szCs w:val="24"/>
              </w:rPr>
              <w:t xml:space="preserve">Asymptomatic </w:t>
            </w:r>
          </w:p>
          <w:p w14:paraId="114585D3" w14:textId="0BD85314" w:rsidR="00197B05" w:rsidRPr="00D73250" w:rsidRDefault="00197B05" w:rsidP="008558F1">
            <w:pPr>
              <w:rPr>
                <w:rFonts w:ascii="Times New Roman" w:hAnsi="Times New Roman" w:cs="Times New Roman"/>
                <w:sz w:val="24"/>
                <w:szCs w:val="24"/>
              </w:rPr>
            </w:pPr>
            <w:r w:rsidRPr="00D73250">
              <w:rPr>
                <w:rFonts w:ascii="Times New Roman" w:hAnsi="Times New Roman" w:cs="Times New Roman"/>
                <w:sz w:val="24"/>
                <w:szCs w:val="24"/>
              </w:rPr>
              <w:t xml:space="preserve">Pre-symptomatic </w:t>
            </w:r>
          </w:p>
          <w:p w14:paraId="332BACB8" w14:textId="0C5A0D48" w:rsidR="00197B05" w:rsidRPr="00D73250" w:rsidRDefault="00197B05" w:rsidP="00197B05">
            <w:pPr>
              <w:rPr>
                <w:rFonts w:ascii="Times New Roman" w:hAnsi="Times New Roman" w:cs="Times New Roman"/>
                <w:sz w:val="24"/>
                <w:szCs w:val="24"/>
              </w:rPr>
            </w:pPr>
            <w:r w:rsidRPr="00D73250">
              <w:rPr>
                <w:rFonts w:ascii="Times New Roman" w:hAnsi="Times New Roman" w:cs="Times New Roman"/>
                <w:sz w:val="24"/>
                <w:szCs w:val="24"/>
              </w:rPr>
              <w:t xml:space="preserve">Symptomatic </w:t>
            </w:r>
          </w:p>
        </w:tc>
      </w:tr>
      <w:tr w:rsidR="00BC1AC4" w:rsidRPr="00D73250" w14:paraId="65323445" w14:textId="77777777" w:rsidTr="00F25D37">
        <w:tc>
          <w:tcPr>
            <w:tcW w:w="1276" w:type="dxa"/>
            <w:tcBorders>
              <w:top w:val="single" w:sz="4" w:space="0" w:color="auto"/>
              <w:bottom w:val="single" w:sz="4" w:space="0" w:color="auto"/>
            </w:tcBorders>
            <w:tcMar>
              <w:top w:w="0" w:type="dxa"/>
              <w:left w:w="108" w:type="dxa"/>
              <w:bottom w:w="0" w:type="dxa"/>
              <w:right w:w="108" w:type="dxa"/>
            </w:tcMar>
          </w:tcPr>
          <w:p w14:paraId="385AF0CA" w14:textId="77777777" w:rsidR="00BC1AC4" w:rsidRPr="00D73250" w:rsidRDefault="00197B05" w:rsidP="008558F1">
            <w:pPr>
              <w:rPr>
                <w:rFonts w:ascii="Times New Roman" w:hAnsi="Times New Roman" w:cs="Times New Roman"/>
                <w:sz w:val="24"/>
                <w:szCs w:val="24"/>
              </w:rPr>
            </w:pPr>
            <w:r w:rsidRPr="00D73250">
              <w:rPr>
                <w:rFonts w:ascii="Times New Roman" w:hAnsi="Times New Roman" w:cs="Times New Roman"/>
                <w:sz w:val="24"/>
                <w:szCs w:val="24"/>
              </w:rPr>
              <w:t>Day from onset of infection</w:t>
            </w:r>
          </w:p>
        </w:tc>
        <w:tc>
          <w:tcPr>
            <w:tcW w:w="4510" w:type="dxa"/>
            <w:tcBorders>
              <w:top w:val="single" w:sz="4" w:space="0" w:color="auto"/>
              <w:bottom w:val="single" w:sz="4" w:space="0" w:color="auto"/>
            </w:tcBorders>
            <w:tcMar>
              <w:top w:w="0" w:type="dxa"/>
              <w:left w:w="108" w:type="dxa"/>
              <w:bottom w:w="0" w:type="dxa"/>
              <w:right w:w="108" w:type="dxa"/>
            </w:tcMar>
          </w:tcPr>
          <w:p w14:paraId="13D44D34" w14:textId="5E070FB5" w:rsidR="00BC1AC4" w:rsidRPr="00D73250" w:rsidRDefault="00333BEF" w:rsidP="008558F1">
            <w:pPr>
              <w:rPr>
                <w:rFonts w:ascii="Times New Roman" w:hAnsi="Times New Roman" w:cs="Times New Roman"/>
                <w:sz w:val="24"/>
                <w:szCs w:val="24"/>
              </w:rPr>
            </w:pPr>
            <w:r>
              <w:rPr>
                <w:rFonts w:ascii="Times New Roman" w:hAnsi="Times New Roman" w:cs="Times New Roman"/>
                <w:sz w:val="24"/>
                <w:szCs w:val="24"/>
              </w:rPr>
              <w:t>S</w:t>
            </w:r>
            <w:r w:rsidR="002D737C">
              <w:rPr>
                <w:rFonts w:ascii="Times New Roman" w:hAnsi="Times New Roman" w:cs="Times New Roman"/>
                <w:sz w:val="24"/>
                <w:szCs w:val="24"/>
              </w:rPr>
              <w:t>ource’s duration of infection at time of exposure</w:t>
            </w:r>
            <w:r>
              <w:rPr>
                <w:rFonts w:ascii="Times New Roman" w:hAnsi="Times New Roman" w:cs="Times New Roman"/>
                <w:sz w:val="24"/>
                <w:szCs w:val="24"/>
              </w:rPr>
              <w:t>,</w:t>
            </w:r>
            <w:r w:rsidR="002D737C">
              <w:rPr>
                <w:rFonts w:ascii="Times New Roman" w:hAnsi="Times New Roman" w:cs="Times New Roman"/>
                <w:sz w:val="24"/>
                <w:szCs w:val="24"/>
              </w:rPr>
              <w:t xml:space="preserve"> defined as n</w:t>
            </w:r>
            <w:r w:rsidR="00197B05" w:rsidRPr="00D73250">
              <w:rPr>
                <w:rFonts w:ascii="Times New Roman" w:hAnsi="Times New Roman" w:cs="Times New Roman"/>
                <w:sz w:val="24"/>
                <w:szCs w:val="24"/>
              </w:rPr>
              <w:t xml:space="preserve">umber of </w:t>
            </w:r>
            <w:r w:rsidR="002D737C">
              <w:rPr>
                <w:rFonts w:ascii="Times New Roman" w:hAnsi="Times New Roman" w:cs="Times New Roman"/>
                <w:sz w:val="24"/>
                <w:szCs w:val="24"/>
              </w:rPr>
              <w:t xml:space="preserve">calendar </w:t>
            </w:r>
            <w:r w:rsidR="00197B05" w:rsidRPr="00D73250">
              <w:rPr>
                <w:rFonts w:ascii="Times New Roman" w:hAnsi="Times New Roman" w:cs="Times New Roman"/>
                <w:sz w:val="24"/>
                <w:szCs w:val="24"/>
              </w:rPr>
              <w:t>day</w:t>
            </w:r>
            <w:r w:rsidR="002D737C">
              <w:rPr>
                <w:rFonts w:ascii="Times New Roman" w:hAnsi="Times New Roman" w:cs="Times New Roman"/>
                <w:sz w:val="24"/>
                <w:szCs w:val="24"/>
              </w:rPr>
              <w:t>s</w:t>
            </w:r>
            <w:r w:rsidR="00197B05" w:rsidRPr="00D73250">
              <w:rPr>
                <w:rFonts w:ascii="Times New Roman" w:hAnsi="Times New Roman" w:cs="Times New Roman"/>
                <w:sz w:val="24"/>
                <w:szCs w:val="24"/>
              </w:rPr>
              <w:t xml:space="preserve"> from onset of infection</w:t>
            </w:r>
            <w:r w:rsidR="002D737C">
              <w:rPr>
                <w:rFonts w:ascii="Times New Roman" w:hAnsi="Times New Roman" w:cs="Times New Roman"/>
                <w:sz w:val="24"/>
                <w:szCs w:val="24"/>
              </w:rPr>
              <w:t xml:space="preserve"> (</w:t>
            </w:r>
            <w:r w:rsidR="002D737C">
              <w:rPr>
                <w:rFonts w:ascii="Times New Roman" w:hAnsi="Times New Roman" w:cs="Times New Roman"/>
                <w:bCs/>
                <w:sz w:val="24"/>
                <w:szCs w:val="24"/>
              </w:rPr>
              <w:t>symptom onset or test positivity, whichever was first).</w:t>
            </w:r>
          </w:p>
        </w:tc>
        <w:tc>
          <w:tcPr>
            <w:tcW w:w="1323" w:type="dxa"/>
            <w:tcBorders>
              <w:top w:val="single" w:sz="4" w:space="0" w:color="auto"/>
              <w:bottom w:val="single" w:sz="4" w:space="0" w:color="auto"/>
            </w:tcBorders>
            <w:tcMar>
              <w:top w:w="0" w:type="dxa"/>
              <w:left w:w="108" w:type="dxa"/>
              <w:bottom w:w="0" w:type="dxa"/>
              <w:right w:w="108" w:type="dxa"/>
            </w:tcMar>
          </w:tcPr>
          <w:p w14:paraId="52A272DF" w14:textId="77777777" w:rsidR="00BC1AC4" w:rsidRPr="00D73250" w:rsidRDefault="00197B05" w:rsidP="008558F1">
            <w:pPr>
              <w:rPr>
                <w:rFonts w:ascii="Times New Roman" w:hAnsi="Times New Roman" w:cs="Times New Roman"/>
                <w:sz w:val="24"/>
                <w:szCs w:val="24"/>
              </w:rPr>
            </w:pPr>
            <w:r w:rsidRPr="00D73250">
              <w:rPr>
                <w:rFonts w:ascii="Times New Roman" w:hAnsi="Times New Roman" w:cs="Times New Roman"/>
                <w:sz w:val="24"/>
                <w:szCs w:val="24"/>
              </w:rPr>
              <w:t>Categorical</w:t>
            </w:r>
          </w:p>
        </w:tc>
        <w:tc>
          <w:tcPr>
            <w:tcW w:w="2251" w:type="dxa"/>
            <w:tcBorders>
              <w:top w:val="single" w:sz="4" w:space="0" w:color="auto"/>
              <w:bottom w:val="single" w:sz="4" w:space="0" w:color="auto"/>
            </w:tcBorders>
            <w:tcMar>
              <w:top w:w="0" w:type="dxa"/>
              <w:left w:w="108" w:type="dxa"/>
              <w:bottom w:w="0" w:type="dxa"/>
              <w:right w:w="108" w:type="dxa"/>
            </w:tcMar>
          </w:tcPr>
          <w:p w14:paraId="3D1DAA95" w14:textId="77777777" w:rsidR="00197B05" w:rsidRPr="00D73250" w:rsidRDefault="00197B05" w:rsidP="008558F1">
            <w:pPr>
              <w:rPr>
                <w:rFonts w:ascii="Times New Roman" w:hAnsi="Times New Roman" w:cs="Times New Roman"/>
                <w:sz w:val="24"/>
                <w:szCs w:val="24"/>
              </w:rPr>
            </w:pPr>
            <w:r w:rsidRPr="00D73250">
              <w:rPr>
                <w:rFonts w:ascii="Times New Roman" w:hAnsi="Times New Roman" w:cs="Times New Roman"/>
                <w:sz w:val="24"/>
                <w:szCs w:val="24"/>
              </w:rPr>
              <w:t>Less than 1 day</w:t>
            </w:r>
          </w:p>
          <w:p w14:paraId="3625DA3D" w14:textId="4301D0E3" w:rsidR="00BC1AC4" w:rsidRPr="00D73250" w:rsidRDefault="002D737C" w:rsidP="008558F1">
            <w:pPr>
              <w:rPr>
                <w:rFonts w:ascii="Times New Roman" w:hAnsi="Times New Roman" w:cs="Times New Roman"/>
                <w:sz w:val="24"/>
                <w:szCs w:val="24"/>
              </w:rPr>
            </w:pPr>
            <w:r>
              <w:rPr>
                <w:rFonts w:ascii="Times New Roman" w:hAnsi="Times New Roman" w:cs="Times New Roman"/>
                <w:sz w:val="24"/>
                <w:szCs w:val="24"/>
              </w:rPr>
              <w:t>Equal or greater than</w:t>
            </w:r>
            <w:r w:rsidR="00197B05" w:rsidRPr="00D73250">
              <w:rPr>
                <w:rFonts w:ascii="Times New Roman" w:hAnsi="Times New Roman" w:cs="Times New Roman"/>
                <w:sz w:val="24"/>
                <w:szCs w:val="24"/>
              </w:rPr>
              <w:t xml:space="preserve"> 1 day</w:t>
            </w:r>
          </w:p>
        </w:tc>
      </w:tr>
      <w:tr w:rsidR="00BC1AC4" w:rsidRPr="00D73250" w14:paraId="2C58810D" w14:textId="77777777" w:rsidTr="00F25D37">
        <w:tc>
          <w:tcPr>
            <w:tcW w:w="1276" w:type="dxa"/>
            <w:tcBorders>
              <w:top w:val="single" w:sz="4" w:space="0" w:color="auto"/>
              <w:bottom w:val="single" w:sz="4" w:space="0" w:color="auto"/>
            </w:tcBorders>
            <w:tcMar>
              <w:top w:w="0" w:type="dxa"/>
              <w:left w:w="108" w:type="dxa"/>
              <w:bottom w:w="0" w:type="dxa"/>
              <w:right w:w="108" w:type="dxa"/>
            </w:tcMar>
          </w:tcPr>
          <w:p w14:paraId="520C1A4D" w14:textId="77777777" w:rsidR="00BC1AC4" w:rsidRPr="00D73250" w:rsidRDefault="00197B05" w:rsidP="008558F1">
            <w:pPr>
              <w:rPr>
                <w:rFonts w:ascii="Times New Roman" w:hAnsi="Times New Roman" w:cs="Times New Roman"/>
                <w:sz w:val="24"/>
                <w:szCs w:val="24"/>
              </w:rPr>
            </w:pPr>
            <w:r w:rsidRPr="00D73250">
              <w:rPr>
                <w:rFonts w:ascii="Times New Roman" w:hAnsi="Times New Roman" w:cs="Times New Roman"/>
                <w:sz w:val="24"/>
                <w:szCs w:val="24"/>
              </w:rPr>
              <w:t>Cycle threshold</w:t>
            </w:r>
          </w:p>
        </w:tc>
        <w:tc>
          <w:tcPr>
            <w:tcW w:w="4510" w:type="dxa"/>
            <w:tcBorders>
              <w:top w:val="single" w:sz="4" w:space="0" w:color="auto"/>
              <w:bottom w:val="single" w:sz="4" w:space="0" w:color="auto"/>
            </w:tcBorders>
            <w:tcMar>
              <w:top w:w="0" w:type="dxa"/>
              <w:left w:w="108" w:type="dxa"/>
              <w:bottom w:w="0" w:type="dxa"/>
              <w:right w:w="108" w:type="dxa"/>
            </w:tcMar>
          </w:tcPr>
          <w:p w14:paraId="51A60728" w14:textId="3EE7DA25" w:rsidR="002D737C" w:rsidRPr="00D73250" w:rsidRDefault="002D737C" w:rsidP="00123185">
            <w:pPr>
              <w:rPr>
                <w:rFonts w:ascii="Times New Roman" w:hAnsi="Times New Roman" w:cs="Times New Roman"/>
                <w:sz w:val="24"/>
                <w:szCs w:val="24"/>
              </w:rPr>
            </w:pPr>
            <w:r>
              <w:rPr>
                <w:rFonts w:ascii="Times New Roman" w:hAnsi="Times New Roman" w:cs="Times New Roman"/>
                <w:sz w:val="24"/>
                <w:szCs w:val="24"/>
              </w:rPr>
              <w:t xml:space="preserve">Cycle threshold is the </w:t>
            </w:r>
            <w:r w:rsidR="00197B05" w:rsidRPr="00D73250">
              <w:rPr>
                <w:rFonts w:ascii="Times New Roman" w:hAnsi="Times New Roman" w:cs="Times New Roman"/>
                <w:sz w:val="24"/>
                <w:szCs w:val="24"/>
              </w:rPr>
              <w:t xml:space="preserve">number of </w:t>
            </w:r>
            <w:r w:rsidR="00543A7C">
              <w:rPr>
                <w:rFonts w:ascii="Times New Roman" w:hAnsi="Times New Roman" w:cs="Times New Roman"/>
                <w:sz w:val="24"/>
                <w:szCs w:val="24"/>
              </w:rPr>
              <w:t xml:space="preserve">test </w:t>
            </w:r>
            <w:r w:rsidR="00197B05" w:rsidRPr="00D73250">
              <w:rPr>
                <w:rFonts w:ascii="Times New Roman" w:hAnsi="Times New Roman" w:cs="Times New Roman"/>
                <w:sz w:val="24"/>
                <w:szCs w:val="24"/>
              </w:rPr>
              <w:t xml:space="preserve">cycles required </w:t>
            </w:r>
            <w:r w:rsidR="00123185">
              <w:rPr>
                <w:rFonts w:ascii="Times New Roman" w:hAnsi="Times New Roman" w:cs="Times New Roman"/>
                <w:sz w:val="24"/>
                <w:szCs w:val="24"/>
              </w:rPr>
              <w:t>to detect SARS-CoV-2</w:t>
            </w:r>
            <w:r w:rsidR="00333BEF">
              <w:rPr>
                <w:rFonts w:ascii="Times New Roman" w:hAnsi="Times New Roman" w:cs="Times New Roman"/>
                <w:sz w:val="24"/>
                <w:szCs w:val="24"/>
              </w:rPr>
              <w:t xml:space="preserve"> gene targets on PCR</w:t>
            </w:r>
            <w:r w:rsidR="00123185">
              <w:rPr>
                <w:rFonts w:ascii="Times New Roman" w:hAnsi="Times New Roman" w:cs="Times New Roman"/>
                <w:sz w:val="24"/>
                <w:szCs w:val="24"/>
              </w:rPr>
              <w:t>. This result was routinely available for sources tested on</w:t>
            </w:r>
            <w:r w:rsidR="00543A7C">
              <w:rPr>
                <w:rFonts w:ascii="Times New Roman" w:hAnsi="Times New Roman" w:cs="Times New Roman"/>
                <w:sz w:val="24"/>
                <w:szCs w:val="24"/>
              </w:rPr>
              <w:t>-</w:t>
            </w:r>
            <w:r w:rsidR="00123185">
              <w:rPr>
                <w:rFonts w:ascii="Times New Roman" w:hAnsi="Times New Roman" w:cs="Times New Roman"/>
                <w:sz w:val="24"/>
                <w:szCs w:val="24"/>
              </w:rPr>
              <w:t>site, but otherwise not available for sources tested elsewhere.</w:t>
            </w:r>
          </w:p>
        </w:tc>
        <w:tc>
          <w:tcPr>
            <w:tcW w:w="1323" w:type="dxa"/>
            <w:tcBorders>
              <w:top w:val="single" w:sz="4" w:space="0" w:color="auto"/>
              <w:bottom w:val="single" w:sz="4" w:space="0" w:color="auto"/>
            </w:tcBorders>
            <w:tcMar>
              <w:top w:w="0" w:type="dxa"/>
              <w:left w:w="108" w:type="dxa"/>
              <w:bottom w:w="0" w:type="dxa"/>
              <w:right w:w="108" w:type="dxa"/>
            </w:tcMar>
          </w:tcPr>
          <w:p w14:paraId="696D72BA" w14:textId="77777777" w:rsidR="00BC1AC4" w:rsidRPr="00D73250" w:rsidRDefault="00197B05" w:rsidP="008558F1">
            <w:pPr>
              <w:rPr>
                <w:rFonts w:ascii="Times New Roman" w:hAnsi="Times New Roman" w:cs="Times New Roman"/>
                <w:sz w:val="24"/>
                <w:szCs w:val="24"/>
              </w:rPr>
            </w:pPr>
            <w:r w:rsidRPr="00D73250">
              <w:rPr>
                <w:rFonts w:ascii="Times New Roman" w:hAnsi="Times New Roman" w:cs="Times New Roman"/>
                <w:sz w:val="24"/>
                <w:szCs w:val="24"/>
              </w:rPr>
              <w:t>Continuous</w:t>
            </w:r>
          </w:p>
        </w:tc>
        <w:tc>
          <w:tcPr>
            <w:tcW w:w="2251" w:type="dxa"/>
            <w:tcBorders>
              <w:top w:val="single" w:sz="4" w:space="0" w:color="auto"/>
              <w:bottom w:val="single" w:sz="4" w:space="0" w:color="auto"/>
            </w:tcBorders>
            <w:tcMar>
              <w:top w:w="0" w:type="dxa"/>
              <w:left w:w="108" w:type="dxa"/>
              <w:bottom w:w="0" w:type="dxa"/>
              <w:right w:w="108" w:type="dxa"/>
            </w:tcMar>
          </w:tcPr>
          <w:p w14:paraId="26D74AAC" w14:textId="21000FEB" w:rsidR="00BC1AC4" w:rsidRPr="00D73250" w:rsidRDefault="00C63970" w:rsidP="008558F1">
            <w:pPr>
              <w:rPr>
                <w:rFonts w:ascii="Times New Roman" w:hAnsi="Times New Roman" w:cs="Times New Roman"/>
                <w:sz w:val="24"/>
                <w:szCs w:val="24"/>
              </w:rPr>
            </w:pPr>
            <w:r w:rsidRPr="00D73250">
              <w:rPr>
                <w:rFonts w:ascii="Times New Roman" w:hAnsi="Times New Roman" w:cs="Times New Roman"/>
                <w:sz w:val="24"/>
                <w:szCs w:val="24"/>
              </w:rPr>
              <w:t>C</w:t>
            </w:r>
            <w:r w:rsidR="002D737C">
              <w:rPr>
                <w:rFonts w:ascii="Times New Roman" w:hAnsi="Times New Roman" w:cs="Times New Roman"/>
                <w:sz w:val="24"/>
                <w:szCs w:val="24"/>
              </w:rPr>
              <w:t xml:space="preserve">ycle threshold </w:t>
            </w:r>
            <w:r w:rsidRPr="00D73250">
              <w:rPr>
                <w:rFonts w:ascii="Times New Roman" w:hAnsi="Times New Roman" w:cs="Times New Roman"/>
                <w:sz w:val="24"/>
                <w:szCs w:val="24"/>
              </w:rPr>
              <w:t>value</w:t>
            </w:r>
          </w:p>
        </w:tc>
      </w:tr>
      <w:tr w:rsidR="00BC1AC4" w:rsidRPr="00D73250" w14:paraId="226CD34E" w14:textId="77777777" w:rsidTr="00F25D37">
        <w:tc>
          <w:tcPr>
            <w:tcW w:w="1276" w:type="dxa"/>
            <w:tcBorders>
              <w:top w:val="single" w:sz="4" w:space="0" w:color="auto"/>
              <w:bottom w:val="single" w:sz="4" w:space="0" w:color="auto"/>
            </w:tcBorders>
            <w:tcMar>
              <w:top w:w="0" w:type="dxa"/>
              <w:left w:w="108" w:type="dxa"/>
              <w:bottom w:w="0" w:type="dxa"/>
              <w:right w:w="108" w:type="dxa"/>
            </w:tcMar>
          </w:tcPr>
          <w:p w14:paraId="5A5B9E05" w14:textId="61EE74C2" w:rsidR="00BC1AC4" w:rsidRPr="00D73250" w:rsidRDefault="00333BEF" w:rsidP="008558F1">
            <w:pPr>
              <w:rPr>
                <w:rFonts w:ascii="Times New Roman" w:hAnsi="Times New Roman" w:cs="Times New Roman"/>
                <w:sz w:val="24"/>
                <w:szCs w:val="24"/>
              </w:rPr>
            </w:pPr>
            <w:r>
              <w:rPr>
                <w:rFonts w:ascii="Times New Roman" w:hAnsi="Times New Roman" w:cs="Times New Roman"/>
                <w:sz w:val="24"/>
                <w:szCs w:val="24"/>
              </w:rPr>
              <w:t xml:space="preserve">RAT </w:t>
            </w:r>
            <w:r w:rsidR="00123185">
              <w:rPr>
                <w:rFonts w:ascii="Times New Roman" w:hAnsi="Times New Roman" w:cs="Times New Roman"/>
                <w:sz w:val="24"/>
                <w:szCs w:val="24"/>
              </w:rPr>
              <w:t>positivity</w:t>
            </w:r>
          </w:p>
        </w:tc>
        <w:tc>
          <w:tcPr>
            <w:tcW w:w="4510" w:type="dxa"/>
            <w:tcBorders>
              <w:top w:val="single" w:sz="4" w:space="0" w:color="auto"/>
              <w:bottom w:val="single" w:sz="4" w:space="0" w:color="auto"/>
            </w:tcBorders>
            <w:tcMar>
              <w:top w:w="0" w:type="dxa"/>
              <w:left w:w="108" w:type="dxa"/>
              <w:bottom w:w="0" w:type="dxa"/>
              <w:right w:w="108" w:type="dxa"/>
            </w:tcMar>
          </w:tcPr>
          <w:p w14:paraId="70104BC6" w14:textId="3917BA70" w:rsidR="00C63970" w:rsidRPr="00D73250" w:rsidRDefault="00C63970" w:rsidP="00C63970">
            <w:pPr>
              <w:rPr>
                <w:rFonts w:ascii="Times New Roman" w:hAnsi="Times New Roman" w:cs="Times New Roman"/>
                <w:sz w:val="24"/>
                <w:szCs w:val="24"/>
              </w:rPr>
            </w:pPr>
            <w:r w:rsidRPr="00D73250">
              <w:rPr>
                <w:rFonts w:ascii="Times New Roman" w:hAnsi="Times New Roman" w:cs="Times New Roman"/>
                <w:sz w:val="24"/>
                <w:szCs w:val="24"/>
              </w:rPr>
              <w:t xml:space="preserve">Whether </w:t>
            </w:r>
            <w:r w:rsidR="00123185">
              <w:rPr>
                <w:rFonts w:ascii="Times New Roman" w:hAnsi="Times New Roman" w:cs="Times New Roman"/>
                <w:sz w:val="24"/>
                <w:szCs w:val="24"/>
              </w:rPr>
              <w:t xml:space="preserve">source </w:t>
            </w:r>
            <w:r w:rsidR="00333BEF">
              <w:rPr>
                <w:rFonts w:ascii="Times New Roman" w:hAnsi="Times New Roman" w:cs="Times New Roman"/>
                <w:sz w:val="24"/>
                <w:szCs w:val="24"/>
              </w:rPr>
              <w:t>RAT</w:t>
            </w:r>
            <w:r w:rsidR="00123185">
              <w:rPr>
                <w:rFonts w:ascii="Times New Roman" w:hAnsi="Times New Roman" w:cs="Times New Roman"/>
                <w:sz w:val="24"/>
                <w:szCs w:val="24"/>
              </w:rPr>
              <w:t xml:space="preserve"> </w:t>
            </w:r>
            <w:r w:rsidRPr="00D73250">
              <w:rPr>
                <w:rFonts w:ascii="Times New Roman" w:hAnsi="Times New Roman" w:cs="Times New Roman"/>
                <w:sz w:val="24"/>
                <w:szCs w:val="24"/>
              </w:rPr>
              <w:t>was</w:t>
            </w:r>
            <w:r w:rsidR="00123185">
              <w:rPr>
                <w:rFonts w:ascii="Times New Roman" w:hAnsi="Times New Roman" w:cs="Times New Roman"/>
                <w:sz w:val="24"/>
                <w:szCs w:val="24"/>
              </w:rPr>
              <w:t xml:space="preserve"> positive</w:t>
            </w:r>
            <w:r w:rsidRPr="00D73250">
              <w:rPr>
                <w:rFonts w:ascii="Times New Roman" w:hAnsi="Times New Roman" w:cs="Times New Roman"/>
                <w:sz w:val="24"/>
                <w:szCs w:val="24"/>
              </w:rPr>
              <w:t xml:space="preserve"> </w:t>
            </w:r>
            <w:r w:rsidR="00123185">
              <w:rPr>
                <w:rFonts w:ascii="Times New Roman" w:hAnsi="Times New Roman" w:cs="Times New Roman"/>
                <w:sz w:val="24"/>
                <w:szCs w:val="24"/>
              </w:rPr>
              <w:t xml:space="preserve">(if </w:t>
            </w:r>
            <w:r w:rsidRPr="00D73250">
              <w:rPr>
                <w:rFonts w:ascii="Times New Roman" w:hAnsi="Times New Roman" w:cs="Times New Roman"/>
                <w:sz w:val="24"/>
                <w:szCs w:val="24"/>
              </w:rPr>
              <w:t>collected</w:t>
            </w:r>
            <w:r w:rsidR="00123185">
              <w:rPr>
                <w:rFonts w:ascii="Times New Roman" w:hAnsi="Times New Roman" w:cs="Times New Roman"/>
                <w:sz w:val="24"/>
                <w:szCs w:val="24"/>
              </w:rPr>
              <w:t xml:space="preserve">). RATs were widely available during the study period and used to supplement PCR testing in some CLS, but their use was not universal. </w:t>
            </w:r>
          </w:p>
        </w:tc>
        <w:tc>
          <w:tcPr>
            <w:tcW w:w="1323" w:type="dxa"/>
            <w:tcBorders>
              <w:top w:val="single" w:sz="4" w:space="0" w:color="auto"/>
              <w:bottom w:val="single" w:sz="4" w:space="0" w:color="auto"/>
            </w:tcBorders>
            <w:tcMar>
              <w:top w:w="0" w:type="dxa"/>
              <w:left w:w="108" w:type="dxa"/>
              <w:bottom w:w="0" w:type="dxa"/>
              <w:right w:w="108" w:type="dxa"/>
            </w:tcMar>
          </w:tcPr>
          <w:p w14:paraId="3C37CC30" w14:textId="77777777" w:rsidR="00BC1AC4" w:rsidRPr="00D73250" w:rsidRDefault="00C63970" w:rsidP="008558F1">
            <w:pPr>
              <w:rPr>
                <w:rFonts w:ascii="Times New Roman" w:hAnsi="Times New Roman" w:cs="Times New Roman"/>
                <w:sz w:val="24"/>
                <w:szCs w:val="24"/>
              </w:rPr>
            </w:pPr>
            <w:r w:rsidRPr="00D73250">
              <w:rPr>
                <w:rFonts w:ascii="Times New Roman" w:hAnsi="Times New Roman" w:cs="Times New Roman"/>
                <w:sz w:val="24"/>
                <w:szCs w:val="24"/>
              </w:rPr>
              <w:t>Categorical</w:t>
            </w:r>
          </w:p>
        </w:tc>
        <w:tc>
          <w:tcPr>
            <w:tcW w:w="2251" w:type="dxa"/>
            <w:tcBorders>
              <w:top w:val="single" w:sz="4" w:space="0" w:color="auto"/>
              <w:bottom w:val="single" w:sz="4" w:space="0" w:color="auto"/>
            </w:tcBorders>
            <w:tcMar>
              <w:top w:w="0" w:type="dxa"/>
              <w:left w:w="108" w:type="dxa"/>
              <w:bottom w:w="0" w:type="dxa"/>
              <w:right w:w="108" w:type="dxa"/>
            </w:tcMar>
          </w:tcPr>
          <w:p w14:paraId="43A11E96" w14:textId="77777777" w:rsidR="00BC1AC4" w:rsidRPr="00D73250" w:rsidRDefault="00C63970" w:rsidP="008558F1">
            <w:pPr>
              <w:rPr>
                <w:rFonts w:ascii="Times New Roman" w:hAnsi="Times New Roman" w:cs="Times New Roman"/>
                <w:sz w:val="24"/>
                <w:szCs w:val="24"/>
              </w:rPr>
            </w:pPr>
            <w:r w:rsidRPr="00D73250">
              <w:rPr>
                <w:rFonts w:ascii="Times New Roman" w:hAnsi="Times New Roman" w:cs="Times New Roman"/>
                <w:sz w:val="24"/>
                <w:szCs w:val="24"/>
              </w:rPr>
              <w:t>Yes</w:t>
            </w:r>
          </w:p>
          <w:p w14:paraId="171F2F78" w14:textId="77777777" w:rsidR="00C63970" w:rsidRPr="00D73250" w:rsidRDefault="00C63970" w:rsidP="008558F1">
            <w:pPr>
              <w:rPr>
                <w:rFonts w:ascii="Times New Roman" w:hAnsi="Times New Roman" w:cs="Times New Roman"/>
                <w:sz w:val="24"/>
                <w:szCs w:val="24"/>
              </w:rPr>
            </w:pPr>
            <w:r w:rsidRPr="00D73250">
              <w:rPr>
                <w:rFonts w:ascii="Times New Roman" w:hAnsi="Times New Roman" w:cs="Times New Roman"/>
                <w:sz w:val="24"/>
                <w:szCs w:val="24"/>
              </w:rPr>
              <w:t>No/unknown</w:t>
            </w:r>
          </w:p>
        </w:tc>
      </w:tr>
      <w:tr w:rsidR="00BC1AC4" w:rsidRPr="00D73250" w14:paraId="17D50333" w14:textId="77777777" w:rsidTr="00F25D37">
        <w:tc>
          <w:tcPr>
            <w:tcW w:w="1276" w:type="dxa"/>
            <w:tcBorders>
              <w:top w:val="single" w:sz="4" w:space="0" w:color="auto"/>
              <w:bottom w:val="single" w:sz="4" w:space="0" w:color="auto"/>
            </w:tcBorders>
            <w:tcMar>
              <w:top w:w="0" w:type="dxa"/>
              <w:left w:w="108" w:type="dxa"/>
              <w:bottom w:w="0" w:type="dxa"/>
              <w:right w:w="108" w:type="dxa"/>
            </w:tcMar>
          </w:tcPr>
          <w:p w14:paraId="43F32077" w14:textId="77777777" w:rsidR="00BC1AC4" w:rsidRPr="00D73250" w:rsidRDefault="00C63970" w:rsidP="008558F1">
            <w:pPr>
              <w:rPr>
                <w:rFonts w:ascii="Times New Roman" w:hAnsi="Times New Roman" w:cs="Times New Roman"/>
                <w:sz w:val="24"/>
                <w:szCs w:val="24"/>
              </w:rPr>
            </w:pPr>
            <w:r w:rsidRPr="00D73250">
              <w:rPr>
                <w:rFonts w:ascii="Times New Roman" w:hAnsi="Times New Roman" w:cs="Times New Roman"/>
                <w:sz w:val="24"/>
                <w:szCs w:val="24"/>
              </w:rPr>
              <w:lastRenderedPageBreak/>
              <w:t>Exposed resident level of care</w:t>
            </w:r>
          </w:p>
        </w:tc>
        <w:tc>
          <w:tcPr>
            <w:tcW w:w="4510" w:type="dxa"/>
            <w:tcBorders>
              <w:top w:val="single" w:sz="4" w:space="0" w:color="auto"/>
              <w:bottom w:val="single" w:sz="4" w:space="0" w:color="auto"/>
            </w:tcBorders>
            <w:tcMar>
              <w:top w:w="0" w:type="dxa"/>
              <w:left w:w="108" w:type="dxa"/>
              <w:bottom w:w="0" w:type="dxa"/>
              <w:right w:w="108" w:type="dxa"/>
            </w:tcMar>
          </w:tcPr>
          <w:p w14:paraId="613159DC" w14:textId="3FBED9E8" w:rsidR="00BC1AC4" w:rsidRPr="00D73250" w:rsidRDefault="00123185" w:rsidP="0004654E">
            <w:pPr>
              <w:rPr>
                <w:rFonts w:ascii="Times New Roman" w:hAnsi="Times New Roman" w:cs="Times New Roman"/>
                <w:sz w:val="24"/>
                <w:szCs w:val="24"/>
              </w:rPr>
            </w:pPr>
            <w:r>
              <w:rPr>
                <w:rFonts w:ascii="Times New Roman" w:hAnsi="Times New Roman" w:cs="Times New Roman"/>
                <w:sz w:val="24"/>
                <w:szCs w:val="24"/>
              </w:rPr>
              <w:t>Exposed r</w:t>
            </w:r>
            <w:r w:rsidR="0004654E" w:rsidRPr="00D73250">
              <w:rPr>
                <w:rFonts w:ascii="Times New Roman" w:hAnsi="Times New Roman" w:cs="Times New Roman"/>
                <w:sz w:val="24"/>
                <w:szCs w:val="24"/>
              </w:rPr>
              <w:t>esident</w:t>
            </w:r>
            <w:r w:rsidR="00333BEF">
              <w:rPr>
                <w:rFonts w:ascii="Times New Roman" w:hAnsi="Times New Roman" w:cs="Times New Roman"/>
                <w:sz w:val="24"/>
                <w:szCs w:val="24"/>
              </w:rPr>
              <w:t>’s</w:t>
            </w:r>
            <w:r w:rsidR="0004654E" w:rsidRPr="00D73250">
              <w:rPr>
                <w:rFonts w:ascii="Times New Roman" w:hAnsi="Times New Roman" w:cs="Times New Roman"/>
                <w:sz w:val="24"/>
                <w:szCs w:val="24"/>
              </w:rPr>
              <w:t xml:space="preserve"> level of care</w:t>
            </w:r>
            <w:r w:rsidR="00C63970" w:rsidRPr="00D73250">
              <w:rPr>
                <w:rFonts w:ascii="Times New Roman" w:hAnsi="Times New Roman" w:cs="Times New Roman"/>
                <w:sz w:val="24"/>
                <w:szCs w:val="24"/>
              </w:rPr>
              <w:t xml:space="preserve"> </w:t>
            </w:r>
            <w:r>
              <w:rPr>
                <w:rFonts w:ascii="Times New Roman" w:hAnsi="Times New Roman" w:cs="Times New Roman"/>
                <w:sz w:val="24"/>
                <w:szCs w:val="24"/>
              </w:rPr>
              <w:t>as reported by CLS.</w:t>
            </w:r>
            <w:r w:rsidR="00647B61">
              <w:rPr>
                <w:rFonts w:ascii="Times New Roman" w:hAnsi="Times New Roman" w:cs="Times New Roman"/>
                <w:sz w:val="24"/>
                <w:szCs w:val="24"/>
              </w:rPr>
              <w:t xml:space="preserve"> Independent residents were defined as residents needing no support with activities of daily living. Residents requiring moderate assistance were defined as those requiring increased care while remaining ambulatory (with or without assistance). Residents limited to bed and generally requiring full care were categorized as bedbound.   </w:t>
            </w:r>
          </w:p>
        </w:tc>
        <w:tc>
          <w:tcPr>
            <w:tcW w:w="1323" w:type="dxa"/>
            <w:tcBorders>
              <w:top w:val="single" w:sz="4" w:space="0" w:color="auto"/>
              <w:bottom w:val="single" w:sz="4" w:space="0" w:color="auto"/>
            </w:tcBorders>
            <w:tcMar>
              <w:top w:w="0" w:type="dxa"/>
              <w:left w:w="108" w:type="dxa"/>
              <w:bottom w:w="0" w:type="dxa"/>
              <w:right w:w="108" w:type="dxa"/>
            </w:tcMar>
          </w:tcPr>
          <w:p w14:paraId="3D512497" w14:textId="77777777" w:rsidR="00BC1AC4" w:rsidRPr="00D73250" w:rsidRDefault="00C63970" w:rsidP="008558F1">
            <w:pPr>
              <w:rPr>
                <w:rFonts w:ascii="Times New Roman" w:hAnsi="Times New Roman" w:cs="Times New Roman"/>
                <w:sz w:val="24"/>
                <w:szCs w:val="24"/>
              </w:rPr>
            </w:pPr>
            <w:r w:rsidRPr="00D73250">
              <w:rPr>
                <w:rFonts w:ascii="Times New Roman" w:hAnsi="Times New Roman" w:cs="Times New Roman"/>
                <w:sz w:val="24"/>
                <w:szCs w:val="24"/>
              </w:rPr>
              <w:t>Categorical</w:t>
            </w:r>
          </w:p>
        </w:tc>
        <w:tc>
          <w:tcPr>
            <w:tcW w:w="2251" w:type="dxa"/>
            <w:tcBorders>
              <w:top w:val="single" w:sz="4" w:space="0" w:color="auto"/>
              <w:bottom w:val="single" w:sz="4" w:space="0" w:color="auto"/>
            </w:tcBorders>
            <w:tcMar>
              <w:top w:w="0" w:type="dxa"/>
              <w:left w:w="108" w:type="dxa"/>
              <w:bottom w:w="0" w:type="dxa"/>
              <w:right w:w="108" w:type="dxa"/>
            </w:tcMar>
          </w:tcPr>
          <w:p w14:paraId="6CF57C42" w14:textId="7444763A" w:rsidR="00BC1AC4" w:rsidRPr="00D73250" w:rsidRDefault="0004654E" w:rsidP="008558F1">
            <w:pPr>
              <w:rPr>
                <w:rFonts w:ascii="Times New Roman" w:hAnsi="Times New Roman" w:cs="Times New Roman"/>
                <w:sz w:val="24"/>
                <w:szCs w:val="24"/>
              </w:rPr>
            </w:pPr>
            <w:r w:rsidRPr="00D73250">
              <w:rPr>
                <w:rFonts w:ascii="Times New Roman" w:hAnsi="Times New Roman" w:cs="Times New Roman"/>
                <w:sz w:val="24"/>
                <w:szCs w:val="24"/>
              </w:rPr>
              <w:t xml:space="preserve">Independent </w:t>
            </w:r>
          </w:p>
          <w:p w14:paraId="20ACF427" w14:textId="0178804B" w:rsidR="0004654E" w:rsidRPr="00D73250" w:rsidRDefault="0004654E" w:rsidP="008558F1">
            <w:pPr>
              <w:rPr>
                <w:rFonts w:ascii="Times New Roman" w:hAnsi="Times New Roman" w:cs="Times New Roman"/>
                <w:sz w:val="24"/>
                <w:szCs w:val="24"/>
              </w:rPr>
            </w:pPr>
            <w:r w:rsidRPr="00D73250">
              <w:rPr>
                <w:rFonts w:ascii="Times New Roman" w:hAnsi="Times New Roman" w:cs="Times New Roman"/>
                <w:sz w:val="24"/>
                <w:szCs w:val="24"/>
              </w:rPr>
              <w:t xml:space="preserve">Minimal to moderate assistance </w:t>
            </w:r>
          </w:p>
          <w:p w14:paraId="261F3F88" w14:textId="06DE5C0C" w:rsidR="0004654E" w:rsidRPr="00D73250" w:rsidRDefault="0004654E" w:rsidP="008558F1">
            <w:pPr>
              <w:rPr>
                <w:rFonts w:ascii="Times New Roman" w:hAnsi="Times New Roman" w:cs="Times New Roman"/>
                <w:sz w:val="24"/>
                <w:szCs w:val="24"/>
              </w:rPr>
            </w:pPr>
            <w:r w:rsidRPr="00D73250">
              <w:rPr>
                <w:rFonts w:ascii="Times New Roman" w:hAnsi="Times New Roman" w:cs="Times New Roman"/>
                <w:sz w:val="24"/>
                <w:szCs w:val="24"/>
              </w:rPr>
              <w:t xml:space="preserve">Bedbound </w:t>
            </w:r>
          </w:p>
        </w:tc>
      </w:tr>
      <w:tr w:rsidR="0004654E" w:rsidRPr="00D73250" w14:paraId="02AE34A5" w14:textId="77777777" w:rsidTr="00F25D37">
        <w:tc>
          <w:tcPr>
            <w:tcW w:w="1276" w:type="dxa"/>
            <w:tcBorders>
              <w:top w:val="single" w:sz="4" w:space="0" w:color="auto"/>
              <w:bottom w:val="single" w:sz="4" w:space="0" w:color="auto"/>
            </w:tcBorders>
            <w:tcMar>
              <w:top w:w="0" w:type="dxa"/>
              <w:left w:w="108" w:type="dxa"/>
              <w:bottom w:w="0" w:type="dxa"/>
              <w:right w:w="108" w:type="dxa"/>
            </w:tcMar>
          </w:tcPr>
          <w:p w14:paraId="61E8773E" w14:textId="77777777" w:rsidR="0004654E" w:rsidRPr="00D73250" w:rsidRDefault="0004654E" w:rsidP="008558F1">
            <w:pPr>
              <w:rPr>
                <w:rFonts w:ascii="Times New Roman" w:hAnsi="Times New Roman" w:cs="Times New Roman"/>
                <w:sz w:val="24"/>
                <w:szCs w:val="24"/>
              </w:rPr>
            </w:pPr>
            <w:r w:rsidRPr="00D73250">
              <w:rPr>
                <w:rFonts w:ascii="Times New Roman" w:hAnsi="Times New Roman" w:cs="Times New Roman"/>
                <w:sz w:val="24"/>
                <w:szCs w:val="24"/>
              </w:rPr>
              <w:t>Exposed resident vaccination within 3-months</w:t>
            </w:r>
          </w:p>
        </w:tc>
        <w:tc>
          <w:tcPr>
            <w:tcW w:w="4510" w:type="dxa"/>
            <w:tcBorders>
              <w:top w:val="single" w:sz="4" w:space="0" w:color="auto"/>
              <w:bottom w:val="single" w:sz="4" w:space="0" w:color="auto"/>
            </w:tcBorders>
            <w:tcMar>
              <w:top w:w="0" w:type="dxa"/>
              <w:left w:w="108" w:type="dxa"/>
              <w:bottom w:w="0" w:type="dxa"/>
              <w:right w:w="108" w:type="dxa"/>
            </w:tcMar>
          </w:tcPr>
          <w:p w14:paraId="2E337CD0" w14:textId="17BA77EB" w:rsidR="0004654E" w:rsidRPr="00D73250" w:rsidRDefault="0004654E" w:rsidP="0004654E">
            <w:pPr>
              <w:rPr>
                <w:rFonts w:ascii="Times New Roman" w:hAnsi="Times New Roman" w:cs="Times New Roman"/>
                <w:sz w:val="24"/>
                <w:szCs w:val="24"/>
              </w:rPr>
            </w:pPr>
            <w:r w:rsidRPr="00D73250">
              <w:rPr>
                <w:rFonts w:ascii="Times New Roman" w:hAnsi="Times New Roman" w:cs="Times New Roman"/>
                <w:sz w:val="24"/>
                <w:szCs w:val="24"/>
              </w:rPr>
              <w:t>Whether exposed resident</w:t>
            </w:r>
            <w:r w:rsidR="00647B61">
              <w:rPr>
                <w:rFonts w:ascii="Times New Roman" w:hAnsi="Times New Roman" w:cs="Times New Roman"/>
                <w:sz w:val="24"/>
                <w:szCs w:val="24"/>
              </w:rPr>
              <w:t xml:space="preserve"> received COVID-19 </w:t>
            </w:r>
            <w:r w:rsidRPr="00D73250">
              <w:rPr>
                <w:rFonts w:ascii="Times New Roman" w:hAnsi="Times New Roman" w:cs="Times New Roman"/>
                <w:sz w:val="24"/>
                <w:szCs w:val="24"/>
              </w:rPr>
              <w:t>vaccinat</w:t>
            </w:r>
            <w:r w:rsidR="00647B61">
              <w:rPr>
                <w:rFonts w:ascii="Times New Roman" w:hAnsi="Times New Roman" w:cs="Times New Roman"/>
                <w:sz w:val="24"/>
                <w:szCs w:val="24"/>
              </w:rPr>
              <w:t>ion</w:t>
            </w:r>
            <w:r w:rsidRPr="00D73250">
              <w:rPr>
                <w:rFonts w:ascii="Times New Roman" w:hAnsi="Times New Roman" w:cs="Times New Roman"/>
                <w:sz w:val="24"/>
                <w:szCs w:val="24"/>
              </w:rPr>
              <w:t xml:space="preserve"> within 3-months </w:t>
            </w:r>
            <w:r w:rsidR="00647B61">
              <w:rPr>
                <w:rFonts w:ascii="Times New Roman" w:hAnsi="Times New Roman" w:cs="Times New Roman"/>
                <w:sz w:val="24"/>
                <w:szCs w:val="24"/>
              </w:rPr>
              <w:t>of exposure.</w:t>
            </w:r>
            <w:r w:rsidRPr="00D73250">
              <w:rPr>
                <w:rFonts w:ascii="Times New Roman" w:hAnsi="Times New Roman" w:cs="Times New Roman"/>
                <w:sz w:val="24"/>
                <w:szCs w:val="24"/>
              </w:rPr>
              <w:t xml:space="preserve"> </w:t>
            </w:r>
          </w:p>
        </w:tc>
        <w:tc>
          <w:tcPr>
            <w:tcW w:w="1323" w:type="dxa"/>
            <w:tcBorders>
              <w:top w:val="single" w:sz="4" w:space="0" w:color="auto"/>
              <w:bottom w:val="single" w:sz="4" w:space="0" w:color="auto"/>
            </w:tcBorders>
            <w:tcMar>
              <w:top w:w="0" w:type="dxa"/>
              <w:left w:w="108" w:type="dxa"/>
              <w:bottom w:w="0" w:type="dxa"/>
              <w:right w:w="108" w:type="dxa"/>
            </w:tcMar>
          </w:tcPr>
          <w:p w14:paraId="0847F1A3" w14:textId="77777777" w:rsidR="0004654E" w:rsidRPr="00D73250" w:rsidRDefault="0004654E" w:rsidP="008558F1">
            <w:pPr>
              <w:rPr>
                <w:rFonts w:ascii="Times New Roman" w:hAnsi="Times New Roman" w:cs="Times New Roman"/>
                <w:sz w:val="24"/>
                <w:szCs w:val="24"/>
              </w:rPr>
            </w:pPr>
            <w:r w:rsidRPr="00D73250">
              <w:rPr>
                <w:rFonts w:ascii="Times New Roman" w:hAnsi="Times New Roman" w:cs="Times New Roman"/>
                <w:sz w:val="24"/>
                <w:szCs w:val="24"/>
              </w:rPr>
              <w:t>Categorical</w:t>
            </w:r>
          </w:p>
        </w:tc>
        <w:tc>
          <w:tcPr>
            <w:tcW w:w="2251" w:type="dxa"/>
            <w:tcBorders>
              <w:top w:val="single" w:sz="4" w:space="0" w:color="auto"/>
              <w:bottom w:val="single" w:sz="4" w:space="0" w:color="auto"/>
            </w:tcBorders>
            <w:tcMar>
              <w:top w:w="0" w:type="dxa"/>
              <w:left w:w="108" w:type="dxa"/>
              <w:bottom w:w="0" w:type="dxa"/>
              <w:right w:w="108" w:type="dxa"/>
            </w:tcMar>
          </w:tcPr>
          <w:p w14:paraId="4B0DA4EC" w14:textId="77777777" w:rsidR="0004654E" w:rsidRPr="00D73250" w:rsidRDefault="0004654E" w:rsidP="008558F1">
            <w:pPr>
              <w:rPr>
                <w:rFonts w:ascii="Times New Roman" w:hAnsi="Times New Roman" w:cs="Times New Roman"/>
                <w:sz w:val="24"/>
                <w:szCs w:val="24"/>
              </w:rPr>
            </w:pPr>
            <w:r w:rsidRPr="00D73250">
              <w:rPr>
                <w:rFonts w:ascii="Times New Roman" w:hAnsi="Times New Roman" w:cs="Times New Roman"/>
                <w:sz w:val="24"/>
                <w:szCs w:val="24"/>
              </w:rPr>
              <w:t>Yes</w:t>
            </w:r>
          </w:p>
          <w:p w14:paraId="657CE01A" w14:textId="77777777" w:rsidR="0004654E" w:rsidRPr="00D73250" w:rsidRDefault="0004654E" w:rsidP="008558F1">
            <w:pPr>
              <w:rPr>
                <w:rFonts w:ascii="Times New Roman" w:hAnsi="Times New Roman" w:cs="Times New Roman"/>
                <w:sz w:val="24"/>
                <w:szCs w:val="24"/>
              </w:rPr>
            </w:pPr>
            <w:r w:rsidRPr="00D73250">
              <w:rPr>
                <w:rFonts w:ascii="Times New Roman" w:hAnsi="Times New Roman" w:cs="Times New Roman"/>
                <w:sz w:val="24"/>
                <w:szCs w:val="24"/>
              </w:rPr>
              <w:t>No</w:t>
            </w:r>
          </w:p>
        </w:tc>
      </w:tr>
      <w:tr w:rsidR="0004654E" w:rsidRPr="00D73250" w14:paraId="5316D0D9" w14:textId="77777777" w:rsidTr="00F25D37">
        <w:tc>
          <w:tcPr>
            <w:tcW w:w="1276" w:type="dxa"/>
            <w:tcBorders>
              <w:top w:val="single" w:sz="4" w:space="0" w:color="auto"/>
              <w:bottom w:val="single" w:sz="4" w:space="0" w:color="auto"/>
            </w:tcBorders>
            <w:tcMar>
              <w:top w:w="0" w:type="dxa"/>
              <w:left w:w="108" w:type="dxa"/>
              <w:bottom w:w="0" w:type="dxa"/>
              <w:right w:w="108" w:type="dxa"/>
            </w:tcMar>
          </w:tcPr>
          <w:p w14:paraId="70264055" w14:textId="77777777" w:rsidR="0004654E" w:rsidRPr="00D73250" w:rsidRDefault="0004654E" w:rsidP="0004654E">
            <w:pPr>
              <w:rPr>
                <w:rFonts w:ascii="Times New Roman" w:hAnsi="Times New Roman" w:cs="Times New Roman"/>
                <w:sz w:val="24"/>
                <w:szCs w:val="24"/>
              </w:rPr>
            </w:pPr>
            <w:r w:rsidRPr="00D73250">
              <w:rPr>
                <w:rFonts w:ascii="Times New Roman" w:hAnsi="Times New Roman" w:cs="Times New Roman"/>
                <w:sz w:val="24"/>
                <w:szCs w:val="24"/>
              </w:rPr>
              <w:t>Occurrence of secondary exposure</w:t>
            </w:r>
          </w:p>
        </w:tc>
        <w:tc>
          <w:tcPr>
            <w:tcW w:w="4510" w:type="dxa"/>
            <w:tcBorders>
              <w:top w:val="single" w:sz="4" w:space="0" w:color="auto"/>
              <w:bottom w:val="single" w:sz="4" w:space="0" w:color="auto"/>
            </w:tcBorders>
            <w:tcMar>
              <w:top w:w="0" w:type="dxa"/>
              <w:left w:w="108" w:type="dxa"/>
              <w:bottom w:w="0" w:type="dxa"/>
              <w:right w:w="108" w:type="dxa"/>
            </w:tcMar>
          </w:tcPr>
          <w:p w14:paraId="067EE509" w14:textId="2EF24C38" w:rsidR="0004654E" w:rsidRPr="00D73250" w:rsidRDefault="0004654E" w:rsidP="00333BEF">
            <w:pPr>
              <w:rPr>
                <w:rFonts w:ascii="Times New Roman" w:hAnsi="Times New Roman" w:cs="Times New Roman"/>
                <w:sz w:val="24"/>
                <w:szCs w:val="24"/>
              </w:rPr>
            </w:pPr>
            <w:r w:rsidRPr="00D73250">
              <w:rPr>
                <w:rFonts w:ascii="Times New Roman" w:hAnsi="Times New Roman" w:cs="Times New Roman"/>
                <w:sz w:val="24"/>
                <w:szCs w:val="24"/>
              </w:rPr>
              <w:t xml:space="preserve">Whether </w:t>
            </w:r>
            <w:r w:rsidR="00333BEF">
              <w:rPr>
                <w:rFonts w:ascii="Times New Roman" w:hAnsi="Times New Roman" w:cs="Times New Roman"/>
                <w:sz w:val="24"/>
                <w:szCs w:val="24"/>
              </w:rPr>
              <w:t>exposed resident was involved in secondary exposure with &gt;1 other resident</w:t>
            </w:r>
            <w:r w:rsidR="00543A7C">
              <w:rPr>
                <w:rFonts w:ascii="Times New Roman" w:hAnsi="Times New Roman" w:cs="Times New Roman"/>
                <w:sz w:val="24"/>
                <w:szCs w:val="24"/>
              </w:rPr>
              <w:t>(</w:t>
            </w:r>
            <w:r w:rsidR="00333BEF">
              <w:rPr>
                <w:rFonts w:ascii="Times New Roman" w:hAnsi="Times New Roman" w:cs="Times New Roman"/>
                <w:sz w:val="24"/>
                <w:szCs w:val="24"/>
              </w:rPr>
              <w:t>s</w:t>
            </w:r>
            <w:r w:rsidR="00543A7C">
              <w:rPr>
                <w:rFonts w:ascii="Times New Roman" w:hAnsi="Times New Roman" w:cs="Times New Roman"/>
                <w:sz w:val="24"/>
                <w:szCs w:val="24"/>
              </w:rPr>
              <w:t>)</w:t>
            </w:r>
            <w:r w:rsidR="00333BEF">
              <w:rPr>
                <w:rFonts w:ascii="Times New Roman" w:hAnsi="Times New Roman" w:cs="Times New Roman"/>
                <w:sz w:val="24"/>
                <w:szCs w:val="24"/>
              </w:rPr>
              <w:t xml:space="preserve"> </w:t>
            </w:r>
            <w:r w:rsidR="00647B61">
              <w:rPr>
                <w:rFonts w:ascii="Times New Roman" w:hAnsi="Times New Roman" w:cs="Times New Roman"/>
                <w:sz w:val="24"/>
                <w:szCs w:val="24"/>
              </w:rPr>
              <w:t>within their incubation period (defined as 2-5 days).</w:t>
            </w:r>
          </w:p>
        </w:tc>
        <w:tc>
          <w:tcPr>
            <w:tcW w:w="1323" w:type="dxa"/>
            <w:tcBorders>
              <w:top w:val="single" w:sz="4" w:space="0" w:color="auto"/>
              <w:bottom w:val="single" w:sz="4" w:space="0" w:color="auto"/>
            </w:tcBorders>
            <w:tcMar>
              <w:top w:w="0" w:type="dxa"/>
              <w:left w:w="108" w:type="dxa"/>
              <w:bottom w:w="0" w:type="dxa"/>
              <w:right w:w="108" w:type="dxa"/>
            </w:tcMar>
          </w:tcPr>
          <w:p w14:paraId="4D2540E4" w14:textId="77777777" w:rsidR="0004654E" w:rsidRPr="00D73250" w:rsidRDefault="0004654E" w:rsidP="0004654E">
            <w:pPr>
              <w:rPr>
                <w:rFonts w:ascii="Times New Roman" w:hAnsi="Times New Roman" w:cs="Times New Roman"/>
                <w:sz w:val="24"/>
                <w:szCs w:val="24"/>
              </w:rPr>
            </w:pPr>
            <w:r w:rsidRPr="00D73250">
              <w:rPr>
                <w:rFonts w:ascii="Times New Roman" w:hAnsi="Times New Roman" w:cs="Times New Roman"/>
                <w:sz w:val="24"/>
                <w:szCs w:val="24"/>
              </w:rPr>
              <w:t>Categorical</w:t>
            </w:r>
          </w:p>
        </w:tc>
        <w:tc>
          <w:tcPr>
            <w:tcW w:w="2251" w:type="dxa"/>
            <w:tcBorders>
              <w:top w:val="single" w:sz="4" w:space="0" w:color="auto"/>
              <w:bottom w:val="single" w:sz="4" w:space="0" w:color="auto"/>
            </w:tcBorders>
            <w:tcMar>
              <w:top w:w="0" w:type="dxa"/>
              <w:left w:w="108" w:type="dxa"/>
              <w:bottom w:w="0" w:type="dxa"/>
              <w:right w:w="108" w:type="dxa"/>
            </w:tcMar>
          </w:tcPr>
          <w:p w14:paraId="293754A1" w14:textId="77777777" w:rsidR="0004654E" w:rsidRPr="00D73250" w:rsidRDefault="0004654E" w:rsidP="0004654E">
            <w:pPr>
              <w:rPr>
                <w:rFonts w:ascii="Times New Roman" w:hAnsi="Times New Roman" w:cs="Times New Roman"/>
                <w:sz w:val="24"/>
                <w:szCs w:val="24"/>
              </w:rPr>
            </w:pPr>
            <w:r w:rsidRPr="00D73250">
              <w:rPr>
                <w:rFonts w:ascii="Times New Roman" w:hAnsi="Times New Roman" w:cs="Times New Roman"/>
                <w:sz w:val="24"/>
                <w:szCs w:val="24"/>
              </w:rPr>
              <w:t>Yes</w:t>
            </w:r>
          </w:p>
          <w:p w14:paraId="4AB66A3F" w14:textId="77777777" w:rsidR="0004654E" w:rsidRPr="00D73250" w:rsidRDefault="0004654E" w:rsidP="0004654E">
            <w:pPr>
              <w:rPr>
                <w:rFonts w:ascii="Times New Roman" w:hAnsi="Times New Roman" w:cs="Times New Roman"/>
                <w:sz w:val="24"/>
                <w:szCs w:val="24"/>
              </w:rPr>
            </w:pPr>
            <w:r w:rsidRPr="00D73250">
              <w:rPr>
                <w:rFonts w:ascii="Times New Roman" w:hAnsi="Times New Roman" w:cs="Times New Roman"/>
                <w:sz w:val="24"/>
                <w:szCs w:val="24"/>
              </w:rPr>
              <w:t>No</w:t>
            </w:r>
          </w:p>
        </w:tc>
      </w:tr>
    </w:tbl>
    <w:p w14:paraId="2D56E621" w14:textId="5CFBF705" w:rsidR="00647040" w:rsidRPr="00D73250" w:rsidRDefault="00857448">
      <w:pPr>
        <w:rPr>
          <w:rFonts w:ascii="Times New Roman" w:hAnsi="Times New Roman" w:cs="Times New Roman"/>
          <w:sz w:val="24"/>
          <w:szCs w:val="24"/>
        </w:rPr>
      </w:pPr>
      <w:r w:rsidRPr="00D73250">
        <w:rPr>
          <w:rFonts w:ascii="Times New Roman" w:hAnsi="Times New Roman" w:cs="Times New Roman"/>
          <w:sz w:val="24"/>
          <w:szCs w:val="24"/>
        </w:rPr>
        <w:t xml:space="preserve">CLS=congregate living setting; </w:t>
      </w:r>
      <w:r w:rsidR="008C3691" w:rsidRPr="00D73250">
        <w:rPr>
          <w:rFonts w:ascii="Times New Roman" w:hAnsi="Times New Roman" w:cs="Times New Roman"/>
          <w:sz w:val="24"/>
          <w:szCs w:val="24"/>
        </w:rPr>
        <w:t>OSA=</w:t>
      </w:r>
      <w:r w:rsidR="00831302">
        <w:rPr>
          <w:rFonts w:ascii="Times New Roman" w:hAnsi="Times New Roman" w:cs="Times New Roman"/>
          <w:sz w:val="24"/>
          <w:szCs w:val="24"/>
        </w:rPr>
        <w:t>Outside air</w:t>
      </w:r>
      <w:r w:rsidR="00D73250">
        <w:rPr>
          <w:rFonts w:ascii="Times New Roman" w:hAnsi="Times New Roman" w:cs="Times New Roman"/>
          <w:sz w:val="24"/>
          <w:szCs w:val="24"/>
        </w:rPr>
        <w:t>; ACH=air changes per hour</w:t>
      </w:r>
      <w:r w:rsidR="003B69C5">
        <w:rPr>
          <w:rFonts w:ascii="Times New Roman" w:hAnsi="Times New Roman" w:cs="Times New Roman"/>
          <w:sz w:val="24"/>
          <w:szCs w:val="24"/>
        </w:rPr>
        <w:t>; RAT=rapid antigen test; PCR=polymerase chain reaction</w:t>
      </w:r>
      <w:r w:rsidR="00D73250">
        <w:rPr>
          <w:rFonts w:ascii="Times New Roman" w:hAnsi="Times New Roman" w:cs="Times New Roman"/>
          <w:sz w:val="24"/>
          <w:szCs w:val="24"/>
        </w:rPr>
        <w:t>.</w:t>
      </w:r>
    </w:p>
    <w:p w14:paraId="79C75CE5" w14:textId="77777777" w:rsidR="00F8602E" w:rsidRPr="00D73250" w:rsidRDefault="00F8602E">
      <w:pPr>
        <w:rPr>
          <w:rFonts w:ascii="Times New Roman" w:hAnsi="Times New Roman" w:cs="Times New Roman"/>
          <w:sz w:val="24"/>
          <w:szCs w:val="24"/>
        </w:rPr>
      </w:pPr>
    </w:p>
    <w:sectPr w:rsidR="00F8602E" w:rsidRPr="00D73250">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C67DB5" w16cid:durableId="28FCA22B"/>
  <w16cid:commentId w16cid:paraId="332E3658" w16cid:durableId="28FCA31A"/>
  <w16cid:commentId w16cid:paraId="29466601" w16cid:durableId="28FCA3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A4B77" w14:textId="77777777" w:rsidR="00C75101" w:rsidRDefault="00C75101" w:rsidP="00231C69">
      <w:pPr>
        <w:spacing w:after="0" w:line="240" w:lineRule="auto"/>
      </w:pPr>
      <w:r>
        <w:separator/>
      </w:r>
    </w:p>
  </w:endnote>
  <w:endnote w:type="continuationSeparator" w:id="0">
    <w:p w14:paraId="285A1A49" w14:textId="77777777" w:rsidR="00C75101" w:rsidRDefault="00C75101" w:rsidP="0023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499414"/>
      <w:docPartObj>
        <w:docPartGallery w:val="Page Numbers (Bottom of Page)"/>
        <w:docPartUnique/>
      </w:docPartObj>
    </w:sdtPr>
    <w:sdtEndPr>
      <w:rPr>
        <w:noProof/>
      </w:rPr>
    </w:sdtEndPr>
    <w:sdtContent>
      <w:p w14:paraId="766B374C" w14:textId="3D16E356" w:rsidR="00231C69" w:rsidRDefault="00231C69">
        <w:pPr>
          <w:pStyle w:val="Footer"/>
          <w:jc w:val="right"/>
        </w:pPr>
        <w:r>
          <w:fldChar w:fldCharType="begin"/>
        </w:r>
        <w:r>
          <w:instrText xml:space="preserve"> PAGE   \* MERGEFORMAT </w:instrText>
        </w:r>
        <w:r>
          <w:fldChar w:fldCharType="separate"/>
        </w:r>
        <w:r w:rsidR="00236E97">
          <w:rPr>
            <w:noProof/>
          </w:rPr>
          <w:t>1</w:t>
        </w:r>
        <w:r>
          <w:rPr>
            <w:noProof/>
          </w:rPr>
          <w:fldChar w:fldCharType="end"/>
        </w:r>
      </w:p>
    </w:sdtContent>
  </w:sdt>
  <w:p w14:paraId="57D13648" w14:textId="77777777" w:rsidR="00231C69" w:rsidRDefault="00231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CDA7B" w14:textId="77777777" w:rsidR="00C75101" w:rsidRDefault="00C75101" w:rsidP="00231C69">
      <w:pPr>
        <w:spacing w:after="0" w:line="240" w:lineRule="auto"/>
      </w:pPr>
      <w:r>
        <w:separator/>
      </w:r>
    </w:p>
  </w:footnote>
  <w:footnote w:type="continuationSeparator" w:id="0">
    <w:p w14:paraId="7D386705" w14:textId="77777777" w:rsidR="00C75101" w:rsidRDefault="00C75101" w:rsidP="00231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D7C2B"/>
    <w:multiLevelType w:val="hybridMultilevel"/>
    <w:tmpl w:val="83BAE9B8"/>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72C71E51"/>
    <w:multiLevelType w:val="hybridMultilevel"/>
    <w:tmpl w:val="C64AA706"/>
    <w:lvl w:ilvl="0" w:tplc="28B4FB26">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2E"/>
    <w:rsid w:val="0000362D"/>
    <w:rsid w:val="0004654E"/>
    <w:rsid w:val="0006650D"/>
    <w:rsid w:val="000E50CF"/>
    <w:rsid w:val="00115B74"/>
    <w:rsid w:val="00123185"/>
    <w:rsid w:val="001412B9"/>
    <w:rsid w:val="00197B05"/>
    <w:rsid w:val="001C3837"/>
    <w:rsid w:val="00231C69"/>
    <w:rsid w:val="00236E97"/>
    <w:rsid w:val="00272CE3"/>
    <w:rsid w:val="002B6122"/>
    <w:rsid w:val="002D737C"/>
    <w:rsid w:val="00333BEF"/>
    <w:rsid w:val="00341331"/>
    <w:rsid w:val="003B69C5"/>
    <w:rsid w:val="003F2B62"/>
    <w:rsid w:val="00435D28"/>
    <w:rsid w:val="004B3A54"/>
    <w:rsid w:val="00543A7C"/>
    <w:rsid w:val="00647040"/>
    <w:rsid w:val="00647B61"/>
    <w:rsid w:val="006E22B5"/>
    <w:rsid w:val="006E4788"/>
    <w:rsid w:val="006F78DD"/>
    <w:rsid w:val="00831302"/>
    <w:rsid w:val="008558F1"/>
    <w:rsid w:val="00857448"/>
    <w:rsid w:val="00882B08"/>
    <w:rsid w:val="008A7963"/>
    <w:rsid w:val="008C3691"/>
    <w:rsid w:val="008E36AC"/>
    <w:rsid w:val="00921A59"/>
    <w:rsid w:val="00982CBB"/>
    <w:rsid w:val="00A16485"/>
    <w:rsid w:val="00AE288D"/>
    <w:rsid w:val="00B163B2"/>
    <w:rsid w:val="00B81566"/>
    <w:rsid w:val="00B9604F"/>
    <w:rsid w:val="00BC1AC4"/>
    <w:rsid w:val="00C63970"/>
    <w:rsid w:val="00C75101"/>
    <w:rsid w:val="00D73250"/>
    <w:rsid w:val="00DE7687"/>
    <w:rsid w:val="00E0435B"/>
    <w:rsid w:val="00E06FF0"/>
    <w:rsid w:val="00F25D37"/>
    <w:rsid w:val="00F70352"/>
    <w:rsid w:val="00F8602E"/>
    <w:rsid w:val="00F9169F"/>
    <w:rsid w:val="00FC5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8DEB"/>
  <w15:chartTrackingRefBased/>
  <w15:docId w15:val="{9694BA8E-22EA-4377-8D29-2A3105AF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02E"/>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1C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8F1"/>
    <w:pPr>
      <w:ind w:left="720"/>
      <w:contextualSpacing/>
    </w:pPr>
  </w:style>
  <w:style w:type="character" w:styleId="CommentReference">
    <w:name w:val="annotation reference"/>
    <w:basedOn w:val="DefaultParagraphFont"/>
    <w:uiPriority w:val="99"/>
    <w:semiHidden/>
    <w:unhideWhenUsed/>
    <w:rsid w:val="002D737C"/>
    <w:rPr>
      <w:sz w:val="16"/>
      <w:szCs w:val="16"/>
    </w:rPr>
  </w:style>
  <w:style w:type="paragraph" w:styleId="CommentText">
    <w:name w:val="annotation text"/>
    <w:basedOn w:val="Normal"/>
    <w:link w:val="CommentTextChar"/>
    <w:uiPriority w:val="99"/>
    <w:semiHidden/>
    <w:unhideWhenUsed/>
    <w:rsid w:val="002D737C"/>
    <w:pPr>
      <w:spacing w:line="240" w:lineRule="auto"/>
    </w:pPr>
    <w:rPr>
      <w:sz w:val="20"/>
      <w:szCs w:val="20"/>
    </w:rPr>
  </w:style>
  <w:style w:type="character" w:customStyle="1" w:styleId="CommentTextChar">
    <w:name w:val="Comment Text Char"/>
    <w:basedOn w:val="DefaultParagraphFont"/>
    <w:link w:val="CommentText"/>
    <w:uiPriority w:val="99"/>
    <w:semiHidden/>
    <w:rsid w:val="002D737C"/>
    <w:rPr>
      <w:sz w:val="20"/>
      <w:szCs w:val="20"/>
    </w:rPr>
  </w:style>
  <w:style w:type="paragraph" w:styleId="CommentSubject">
    <w:name w:val="annotation subject"/>
    <w:basedOn w:val="CommentText"/>
    <w:next w:val="CommentText"/>
    <w:link w:val="CommentSubjectChar"/>
    <w:uiPriority w:val="99"/>
    <w:semiHidden/>
    <w:unhideWhenUsed/>
    <w:rsid w:val="002D737C"/>
    <w:rPr>
      <w:b/>
      <w:bCs/>
    </w:rPr>
  </w:style>
  <w:style w:type="character" w:customStyle="1" w:styleId="CommentSubjectChar">
    <w:name w:val="Comment Subject Char"/>
    <w:basedOn w:val="CommentTextChar"/>
    <w:link w:val="CommentSubject"/>
    <w:uiPriority w:val="99"/>
    <w:semiHidden/>
    <w:rsid w:val="002D737C"/>
    <w:rPr>
      <w:b/>
      <w:bCs/>
      <w:sz w:val="20"/>
      <w:szCs w:val="20"/>
    </w:rPr>
  </w:style>
  <w:style w:type="paragraph" w:styleId="Header">
    <w:name w:val="header"/>
    <w:basedOn w:val="Normal"/>
    <w:link w:val="HeaderChar"/>
    <w:uiPriority w:val="99"/>
    <w:unhideWhenUsed/>
    <w:rsid w:val="00231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C69"/>
  </w:style>
  <w:style w:type="paragraph" w:styleId="Footer">
    <w:name w:val="footer"/>
    <w:basedOn w:val="Normal"/>
    <w:link w:val="FooterChar"/>
    <w:uiPriority w:val="99"/>
    <w:unhideWhenUsed/>
    <w:rsid w:val="00231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C69"/>
  </w:style>
  <w:style w:type="paragraph" w:styleId="BalloonText">
    <w:name w:val="Balloon Text"/>
    <w:basedOn w:val="Normal"/>
    <w:link w:val="BalloonTextChar"/>
    <w:uiPriority w:val="99"/>
    <w:semiHidden/>
    <w:unhideWhenUsed/>
    <w:rsid w:val="006E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907529">
      <w:bodyDiv w:val="1"/>
      <w:marLeft w:val="0"/>
      <w:marRight w:val="0"/>
      <w:marTop w:val="0"/>
      <w:marBottom w:val="0"/>
      <w:divBdr>
        <w:top w:val="none" w:sz="0" w:space="0" w:color="auto"/>
        <w:left w:val="none" w:sz="0" w:space="0" w:color="auto"/>
        <w:bottom w:val="none" w:sz="0" w:space="0" w:color="auto"/>
        <w:right w:val="none" w:sz="0" w:space="0" w:color="auto"/>
      </w:divBdr>
    </w:div>
    <w:div w:id="1119569339">
      <w:bodyDiv w:val="1"/>
      <w:marLeft w:val="0"/>
      <w:marRight w:val="0"/>
      <w:marTop w:val="0"/>
      <w:marBottom w:val="0"/>
      <w:divBdr>
        <w:top w:val="none" w:sz="0" w:space="0" w:color="auto"/>
        <w:left w:val="none" w:sz="0" w:space="0" w:color="auto"/>
        <w:bottom w:val="none" w:sz="0" w:space="0" w:color="auto"/>
        <w:right w:val="none" w:sz="0" w:space="0" w:color="auto"/>
      </w:divBdr>
    </w:div>
    <w:div w:id="1169826963">
      <w:bodyDiv w:val="1"/>
      <w:marLeft w:val="0"/>
      <w:marRight w:val="0"/>
      <w:marTop w:val="0"/>
      <w:marBottom w:val="0"/>
      <w:divBdr>
        <w:top w:val="none" w:sz="0" w:space="0" w:color="auto"/>
        <w:left w:val="none" w:sz="0" w:space="0" w:color="auto"/>
        <w:bottom w:val="none" w:sz="0" w:space="0" w:color="auto"/>
        <w:right w:val="none" w:sz="0" w:space="0" w:color="auto"/>
      </w:divBdr>
    </w:div>
    <w:div w:id="1307397280">
      <w:bodyDiv w:val="1"/>
      <w:marLeft w:val="0"/>
      <w:marRight w:val="0"/>
      <w:marTop w:val="0"/>
      <w:marBottom w:val="0"/>
      <w:divBdr>
        <w:top w:val="none" w:sz="0" w:space="0" w:color="auto"/>
        <w:left w:val="none" w:sz="0" w:space="0" w:color="auto"/>
        <w:bottom w:val="none" w:sz="0" w:space="0" w:color="auto"/>
        <w:right w:val="none" w:sz="0" w:space="0" w:color="auto"/>
      </w:divBdr>
    </w:div>
    <w:div w:id="150801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Sunnybrook</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 Jerome</dc:creator>
  <cp:keywords/>
  <dc:description/>
  <cp:lastModifiedBy>Leis, Jerome</cp:lastModifiedBy>
  <cp:revision>2</cp:revision>
  <dcterms:created xsi:type="dcterms:W3CDTF">2024-02-21T19:47:00Z</dcterms:created>
  <dcterms:modified xsi:type="dcterms:W3CDTF">2024-02-21T19:47:00Z</dcterms:modified>
</cp:coreProperties>
</file>