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C5F" w:rsidRPr="00866944" w:rsidRDefault="00345C5F" w:rsidP="00345C5F">
      <w:pPr>
        <w:spacing w:after="0" w:line="480" w:lineRule="auto"/>
        <w:rPr>
          <w:rFonts w:ascii="Arial" w:hAnsi="Arial" w:cs="Arial"/>
          <w:b/>
          <w:u w:val="single"/>
        </w:rPr>
      </w:pPr>
      <w:r w:rsidRPr="002C2500">
        <w:rPr>
          <w:rFonts w:ascii="Arial" w:hAnsi="Arial" w:cs="Arial"/>
          <w:b/>
          <w:bCs/>
        </w:rPr>
        <w:t xml:space="preserve">Supplementary Figure </w:t>
      </w:r>
      <w:r w:rsidRPr="002C2500">
        <w:rPr>
          <w:rFonts w:ascii="Arial" w:hAnsi="Arial" w:cs="Arial"/>
          <w:b/>
        </w:rPr>
        <w:t>1.</w:t>
      </w:r>
      <w:r w:rsidRPr="002C2500">
        <w:rPr>
          <w:rFonts w:ascii="Arial" w:hAnsi="Arial" w:cs="Arial"/>
        </w:rPr>
        <w:t xml:space="preserve"> Inclusion and exclusion flow diagram for hospital-onset bloodstream infections (HOBSIs) and central line-associated bloodstream infections (CLABSIs) from 1 January 2017 to 31 December 2021.</w:t>
      </w:r>
    </w:p>
    <w:p w:rsidR="00345C5F" w:rsidRPr="00866944" w:rsidRDefault="00345C5F" w:rsidP="00345C5F">
      <w:pPr>
        <w:spacing w:after="0" w:line="48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noProof/>
        </w:rPr>
        <w:drawing>
          <wp:inline distT="0" distB="0" distL="0" distR="0" wp14:anchorId="152474D2" wp14:editId="32A25A08">
            <wp:extent cx="5942330" cy="187100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1.tif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4" b="36451"/>
                    <a:stretch/>
                  </pic:blipFill>
                  <pic:spPr bwMode="auto">
                    <a:xfrm>
                      <a:off x="0" y="0"/>
                      <a:ext cx="5943600" cy="1871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C5F" w:rsidRDefault="00345C5F" w:rsidP="00345C5F">
      <w:pPr>
        <w:spacing w:after="0" w:line="480" w:lineRule="auto"/>
        <w:rPr>
          <w:rFonts w:ascii="Arial" w:hAnsi="Arial" w:cs="Arial"/>
          <w:b/>
          <w:bCs/>
        </w:rPr>
      </w:pPr>
    </w:p>
    <w:p w:rsidR="00345C5F" w:rsidRDefault="00345C5F" w:rsidP="00345C5F">
      <w:pPr>
        <w:spacing w:after="0" w:line="480" w:lineRule="auto"/>
        <w:rPr>
          <w:rFonts w:ascii="Arial" w:hAnsi="Arial" w:cs="Arial"/>
          <w:b/>
          <w:bCs/>
        </w:rPr>
      </w:pPr>
    </w:p>
    <w:p w:rsidR="00345C5F" w:rsidRDefault="00345C5F" w:rsidP="00345C5F">
      <w:pPr>
        <w:spacing w:after="0" w:line="480" w:lineRule="auto"/>
        <w:rPr>
          <w:rFonts w:ascii="Arial" w:hAnsi="Arial" w:cs="Arial"/>
          <w:b/>
          <w:bCs/>
        </w:rPr>
      </w:pPr>
    </w:p>
    <w:p w:rsidR="00345C5F" w:rsidRDefault="00345C5F" w:rsidP="00345C5F">
      <w:pPr>
        <w:spacing w:after="0" w:line="480" w:lineRule="auto"/>
        <w:rPr>
          <w:rFonts w:ascii="Arial" w:hAnsi="Arial" w:cs="Arial"/>
          <w:b/>
          <w:bCs/>
        </w:rPr>
      </w:pPr>
    </w:p>
    <w:p w:rsidR="00345C5F" w:rsidRDefault="00345C5F" w:rsidP="00345C5F">
      <w:pPr>
        <w:spacing w:after="0" w:line="480" w:lineRule="auto"/>
        <w:rPr>
          <w:rFonts w:ascii="Arial" w:hAnsi="Arial" w:cs="Arial"/>
          <w:b/>
          <w:bCs/>
        </w:rPr>
      </w:pPr>
    </w:p>
    <w:p w:rsidR="00345C5F" w:rsidRDefault="00345C5F" w:rsidP="00345C5F">
      <w:pPr>
        <w:spacing w:after="0" w:line="480" w:lineRule="auto"/>
        <w:rPr>
          <w:rFonts w:ascii="Arial" w:hAnsi="Arial" w:cs="Arial"/>
          <w:b/>
          <w:bCs/>
        </w:rPr>
      </w:pPr>
    </w:p>
    <w:p w:rsidR="00345C5F" w:rsidRDefault="00345C5F" w:rsidP="00345C5F">
      <w:pPr>
        <w:spacing w:after="0" w:line="480" w:lineRule="auto"/>
        <w:rPr>
          <w:rFonts w:ascii="Arial" w:hAnsi="Arial" w:cs="Arial"/>
          <w:b/>
          <w:bCs/>
        </w:rPr>
      </w:pPr>
    </w:p>
    <w:p w:rsidR="00345C5F" w:rsidRDefault="00345C5F" w:rsidP="00345C5F">
      <w:pPr>
        <w:spacing w:after="0" w:line="480" w:lineRule="auto"/>
        <w:rPr>
          <w:rFonts w:ascii="Arial" w:hAnsi="Arial" w:cs="Arial"/>
          <w:b/>
          <w:bCs/>
        </w:rPr>
      </w:pPr>
    </w:p>
    <w:p w:rsidR="00345C5F" w:rsidRDefault="00345C5F" w:rsidP="00345C5F">
      <w:pPr>
        <w:spacing w:after="0" w:line="480" w:lineRule="auto"/>
        <w:rPr>
          <w:rFonts w:ascii="Arial" w:hAnsi="Arial" w:cs="Arial"/>
          <w:b/>
          <w:bCs/>
        </w:rPr>
      </w:pPr>
    </w:p>
    <w:p w:rsidR="00345C5F" w:rsidRDefault="00345C5F" w:rsidP="00345C5F">
      <w:pPr>
        <w:spacing w:after="0" w:line="480" w:lineRule="auto"/>
        <w:rPr>
          <w:rFonts w:ascii="Arial" w:hAnsi="Arial" w:cs="Arial"/>
          <w:b/>
          <w:bCs/>
        </w:rPr>
      </w:pPr>
    </w:p>
    <w:p w:rsidR="00345C5F" w:rsidRDefault="00345C5F" w:rsidP="00345C5F">
      <w:pPr>
        <w:spacing w:after="0" w:line="480" w:lineRule="auto"/>
        <w:rPr>
          <w:rFonts w:ascii="Arial" w:hAnsi="Arial" w:cs="Arial"/>
          <w:b/>
          <w:bCs/>
        </w:rPr>
      </w:pPr>
    </w:p>
    <w:p w:rsidR="00345C5F" w:rsidRDefault="00345C5F" w:rsidP="00345C5F">
      <w:pPr>
        <w:spacing w:after="0" w:line="480" w:lineRule="auto"/>
        <w:rPr>
          <w:rFonts w:ascii="Arial" w:hAnsi="Arial" w:cs="Arial"/>
          <w:b/>
          <w:bCs/>
        </w:rPr>
      </w:pPr>
    </w:p>
    <w:p w:rsidR="00345C5F" w:rsidRDefault="00345C5F" w:rsidP="00345C5F">
      <w:pPr>
        <w:spacing w:after="0" w:line="480" w:lineRule="auto"/>
        <w:rPr>
          <w:rFonts w:ascii="Arial" w:hAnsi="Arial" w:cs="Arial"/>
          <w:b/>
          <w:bCs/>
        </w:rPr>
      </w:pPr>
    </w:p>
    <w:p w:rsidR="00345C5F" w:rsidRDefault="00345C5F" w:rsidP="00345C5F">
      <w:pPr>
        <w:spacing w:after="0" w:line="480" w:lineRule="auto"/>
        <w:rPr>
          <w:rFonts w:ascii="Arial" w:hAnsi="Arial" w:cs="Arial"/>
          <w:b/>
          <w:bCs/>
        </w:rPr>
      </w:pPr>
    </w:p>
    <w:p w:rsidR="00345C5F" w:rsidRDefault="00345C5F" w:rsidP="00345C5F">
      <w:pPr>
        <w:spacing w:after="0" w:line="480" w:lineRule="auto"/>
        <w:rPr>
          <w:rFonts w:ascii="Arial" w:hAnsi="Arial" w:cs="Arial"/>
          <w:b/>
          <w:bCs/>
        </w:rPr>
      </w:pPr>
    </w:p>
    <w:p w:rsidR="00345C5F" w:rsidRPr="00866944" w:rsidRDefault="00345C5F" w:rsidP="00345C5F">
      <w:pPr>
        <w:spacing w:after="0" w:line="480" w:lineRule="auto"/>
        <w:rPr>
          <w:rFonts w:ascii="Arial" w:hAnsi="Arial" w:cs="Arial"/>
        </w:rPr>
      </w:pPr>
      <w:r w:rsidRPr="002C2500">
        <w:rPr>
          <w:rFonts w:ascii="Arial" w:hAnsi="Arial" w:cs="Arial"/>
          <w:b/>
          <w:bCs/>
        </w:rPr>
        <w:lastRenderedPageBreak/>
        <w:t>Supplementary Figure</w:t>
      </w:r>
      <w:r>
        <w:rPr>
          <w:rFonts w:ascii="Arial" w:hAnsi="Arial" w:cs="Arial"/>
          <w:b/>
        </w:rPr>
        <w:t xml:space="preserve"> 2</w:t>
      </w:r>
      <w:r w:rsidRPr="002C2500">
        <w:rPr>
          <w:rFonts w:ascii="Arial" w:hAnsi="Arial" w:cs="Arial"/>
          <w:b/>
        </w:rPr>
        <w:t>.</w:t>
      </w:r>
      <w:r w:rsidRPr="002C2500">
        <w:rPr>
          <w:rFonts w:ascii="Arial" w:hAnsi="Arial" w:cs="Arial"/>
        </w:rPr>
        <w:t xml:space="preserve"> Scatterplots of hospital-onset bloodstream infections (HOBSIs) and central line-associated bloodstream infections (CLABSIs) rates by hospital. Gray areas denote COVID-19 pandemic period (April 2020 to December 2021).</w:t>
      </w:r>
      <w:r>
        <w:rPr>
          <w:rFonts w:ascii="Arial" w:hAnsi="Arial" w:cs="Arial"/>
          <w:bCs/>
          <w:i/>
          <w:noProof/>
        </w:rPr>
        <w:drawing>
          <wp:inline distT="0" distB="0" distL="0" distR="0" wp14:anchorId="1964B229" wp14:editId="47138CC9">
            <wp:extent cx="5943600" cy="2990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ure 2a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/>
          <w:noProof/>
        </w:rPr>
        <w:drawing>
          <wp:inline distT="0" distB="0" distL="0" distR="0" wp14:anchorId="540CD635" wp14:editId="0B828B45">
            <wp:extent cx="5943600" cy="29902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ure 2b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C5F" w:rsidRDefault="00345C5F" w:rsidP="00345C5F">
      <w:pPr>
        <w:spacing w:after="0" w:line="480" w:lineRule="auto"/>
        <w:rPr>
          <w:rFonts w:ascii="Arial" w:hAnsi="Arial" w:cs="Arial"/>
          <w:bCs/>
          <w:i/>
        </w:rPr>
      </w:pPr>
    </w:p>
    <w:p w:rsidR="00345C5F" w:rsidRDefault="00345C5F" w:rsidP="00345C5F">
      <w:pPr>
        <w:spacing w:after="0" w:line="480" w:lineRule="auto"/>
        <w:rPr>
          <w:rFonts w:ascii="Arial" w:hAnsi="Arial" w:cs="Arial"/>
          <w:bCs/>
          <w:i/>
        </w:rPr>
      </w:pPr>
    </w:p>
    <w:p w:rsidR="00345C5F" w:rsidRDefault="00345C5F" w:rsidP="00345C5F">
      <w:pPr>
        <w:spacing w:after="0" w:line="480" w:lineRule="auto"/>
        <w:rPr>
          <w:rFonts w:ascii="Arial" w:hAnsi="Arial" w:cs="Arial"/>
          <w:b/>
        </w:rPr>
      </w:pPr>
    </w:p>
    <w:p w:rsidR="00345C5F" w:rsidRPr="002C2500" w:rsidRDefault="00345C5F" w:rsidP="00345C5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Supplemental Table 1. </w:t>
      </w:r>
      <w:r w:rsidRPr="002C2500">
        <w:rPr>
          <w:rFonts w:ascii="Arial" w:hAnsi="Arial" w:cs="Arial"/>
        </w:rPr>
        <w:t>Model coefficients</w:t>
      </w:r>
      <w:r>
        <w:rPr>
          <w:rFonts w:ascii="Arial" w:hAnsi="Arial" w:cs="Arial"/>
        </w:rPr>
        <w:t xml:space="preserve"> and 95% confidence intervals</w:t>
      </w:r>
      <w:r w:rsidRPr="002C2500">
        <w:rPr>
          <w:rFonts w:ascii="Arial" w:hAnsi="Arial" w:cs="Arial"/>
        </w:rPr>
        <w:t xml:space="preserve"> for exclusively time-dependent models across three representative model types: a negative binomial generalized linear model (GLM), generalized estimating equations (GEE) with exchangeable or first-order autoregressive (AR-1) covariance structures, and generalized linear mixed models (GLMM) with random intercept and slope per hospital. </w:t>
      </w:r>
    </w:p>
    <w:tbl>
      <w:tblPr>
        <w:tblStyle w:val="TableGrid"/>
        <w:tblpPr w:leftFromText="180" w:rightFromText="180" w:vertAnchor="text" w:horzAnchor="margin" w:tblpY="328"/>
        <w:tblW w:w="9350" w:type="dxa"/>
        <w:tblInd w:w="0" w:type="dxa"/>
        <w:tblLook w:val="04A0" w:firstRow="1" w:lastRow="0" w:firstColumn="1" w:lastColumn="0" w:noHBand="0" w:noVBand="1"/>
      </w:tblPr>
      <w:tblGrid>
        <w:gridCol w:w="1650"/>
        <w:gridCol w:w="2042"/>
        <w:gridCol w:w="1820"/>
        <w:gridCol w:w="1827"/>
        <w:gridCol w:w="2011"/>
      </w:tblGrid>
      <w:tr w:rsidR="00345C5F" w:rsidRPr="002C2500" w:rsidTr="005908C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COVID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COVID*Time</w:t>
            </w:r>
          </w:p>
        </w:tc>
      </w:tr>
      <w:tr w:rsidR="00345C5F" w:rsidRPr="002C2500" w:rsidTr="005908C3">
        <w:tc>
          <w:tcPr>
            <w:tcW w:w="1650" w:type="dxa"/>
            <w:tcBorders>
              <w:top w:val="single" w:sz="4" w:space="0" w:color="auto"/>
            </w:tcBorders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HOBSI per 1,000 Patient Days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GLM (Negative Binomial)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1.006 (1.002, 1.009)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5C5F" w:rsidRPr="002C2500" w:rsidTr="005908C3">
        <w:tc>
          <w:tcPr>
            <w:tcW w:w="165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GEE, Exchangeable</w:t>
            </w:r>
          </w:p>
        </w:tc>
        <w:tc>
          <w:tcPr>
            <w:tcW w:w="182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1.007 (1.0004, 1.01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2C2500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(p=.04)</w:t>
            </w:r>
          </w:p>
        </w:tc>
        <w:tc>
          <w:tcPr>
            <w:tcW w:w="1827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11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5C5F" w:rsidRPr="002C2500" w:rsidTr="005908C3">
        <w:tc>
          <w:tcPr>
            <w:tcW w:w="165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GEE, AR-1</w:t>
            </w:r>
          </w:p>
        </w:tc>
        <w:tc>
          <w:tcPr>
            <w:tcW w:w="182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1.006 (1.000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C2500">
              <w:rPr>
                <w:rFonts w:ascii="Arial" w:hAnsi="Arial" w:cs="Arial"/>
                <w:sz w:val="22"/>
                <w:szCs w:val="22"/>
              </w:rPr>
              <w:t>, 1.01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2C2500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(p=.03)</w:t>
            </w:r>
          </w:p>
        </w:tc>
        <w:tc>
          <w:tcPr>
            <w:tcW w:w="1827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11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5C5F" w:rsidRPr="002C2500" w:rsidTr="005908C3">
        <w:tc>
          <w:tcPr>
            <w:tcW w:w="165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GLMM, random intercept &amp; random slope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82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1.006 (1.00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C2500">
              <w:rPr>
                <w:rFonts w:ascii="Arial" w:hAnsi="Arial" w:cs="Arial"/>
                <w:sz w:val="22"/>
                <w:szCs w:val="22"/>
              </w:rPr>
              <w:t>, 1.0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2C25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27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11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5C5F" w:rsidRPr="002C2500" w:rsidTr="005908C3">
        <w:tc>
          <w:tcPr>
            <w:tcW w:w="165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CLABSI per 1,000 Central Line Days</w:t>
            </w:r>
          </w:p>
        </w:tc>
        <w:tc>
          <w:tcPr>
            <w:tcW w:w="2042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GLM (Negative Binomial)</w:t>
            </w:r>
          </w:p>
        </w:tc>
        <w:tc>
          <w:tcPr>
            <w:tcW w:w="182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0.997 (0.99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C2500">
              <w:rPr>
                <w:rFonts w:ascii="Arial" w:hAnsi="Arial" w:cs="Arial"/>
                <w:sz w:val="22"/>
                <w:szCs w:val="22"/>
              </w:rPr>
              <w:t>, 1.002)</w:t>
            </w:r>
          </w:p>
        </w:tc>
        <w:tc>
          <w:tcPr>
            <w:tcW w:w="1827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11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5C5F" w:rsidRPr="002C2500" w:rsidTr="005908C3">
        <w:tc>
          <w:tcPr>
            <w:tcW w:w="165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GEE, Exchangeable</w:t>
            </w:r>
          </w:p>
        </w:tc>
        <w:tc>
          <w:tcPr>
            <w:tcW w:w="182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0.999 (0.992, 1.007)</w:t>
            </w:r>
          </w:p>
        </w:tc>
        <w:tc>
          <w:tcPr>
            <w:tcW w:w="1827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11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5C5F" w:rsidRPr="002C2500" w:rsidTr="005908C3">
        <w:tc>
          <w:tcPr>
            <w:tcW w:w="165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GEE, AR-1</w:t>
            </w:r>
          </w:p>
        </w:tc>
        <w:tc>
          <w:tcPr>
            <w:tcW w:w="182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0.999 (0.991, 1.006)</w:t>
            </w:r>
          </w:p>
        </w:tc>
        <w:tc>
          <w:tcPr>
            <w:tcW w:w="1827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11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5C5F" w:rsidRPr="002C2500" w:rsidTr="005908C3">
        <w:tc>
          <w:tcPr>
            <w:tcW w:w="165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 xml:space="preserve">GLMM, random intercept </w:t>
            </w:r>
            <w:r>
              <w:rPr>
                <w:rFonts w:ascii="Arial" w:hAnsi="Arial" w:cs="Arial"/>
                <w:sz w:val="22"/>
                <w:szCs w:val="22"/>
              </w:rPr>
              <w:t>and slope*</w:t>
            </w:r>
          </w:p>
        </w:tc>
        <w:tc>
          <w:tcPr>
            <w:tcW w:w="182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0.997 (0.992, 1.00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C25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27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11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  <w:r w:rsidRPr="004C0B16">
        <w:rPr>
          <w:rFonts w:ascii="Arial" w:hAnsi="Arial" w:cs="Arial"/>
        </w:rPr>
        <w:t>*Model used in manuscript</w:t>
      </w: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Pr="002C2500" w:rsidRDefault="00345C5F" w:rsidP="00345C5F">
      <w:pPr>
        <w:spacing w:after="0" w:line="480" w:lineRule="auto"/>
        <w:rPr>
          <w:rFonts w:ascii="Arial" w:hAnsi="Arial" w:cs="Arial"/>
          <w:b/>
        </w:rPr>
      </w:pPr>
      <w:r w:rsidRPr="002C2500">
        <w:rPr>
          <w:rFonts w:ascii="Arial" w:hAnsi="Arial" w:cs="Arial"/>
          <w:b/>
          <w:bCs/>
        </w:rPr>
        <w:lastRenderedPageBreak/>
        <w:t xml:space="preserve">Supplementary Table </w:t>
      </w:r>
      <w:r>
        <w:rPr>
          <w:rFonts w:ascii="Arial" w:hAnsi="Arial" w:cs="Arial"/>
          <w:b/>
          <w:bCs/>
        </w:rPr>
        <w:t>2</w:t>
      </w:r>
      <w:r w:rsidRPr="002C2500">
        <w:rPr>
          <w:rFonts w:ascii="Arial" w:hAnsi="Arial" w:cs="Arial"/>
          <w:b/>
          <w:bCs/>
        </w:rPr>
        <w:t xml:space="preserve">. </w:t>
      </w:r>
      <w:r w:rsidRPr="002C2500">
        <w:rPr>
          <w:rFonts w:ascii="Arial" w:hAnsi="Arial" w:cs="Arial"/>
        </w:rPr>
        <w:t>Likelihood ratio tests comparing regression models. No statistical significance was noted between models that included COVID-19 variables (including a time-trended post-pandemic variable, “</w:t>
      </w:r>
      <w:proofErr w:type="spellStart"/>
      <w:r w:rsidRPr="002C2500">
        <w:rPr>
          <w:rFonts w:ascii="Arial" w:hAnsi="Arial" w:cs="Arial"/>
        </w:rPr>
        <w:t>COVIDtime</w:t>
      </w:r>
      <w:proofErr w:type="spellEnd"/>
      <w:r w:rsidRPr="002C2500">
        <w:rPr>
          <w:rFonts w:ascii="Arial" w:hAnsi="Arial" w:cs="Arial"/>
        </w:rPr>
        <w:t>”) and models that were only time-dependent.</w:t>
      </w:r>
      <w:r>
        <w:rPr>
          <w:rFonts w:ascii="Arial" w:hAnsi="Arial" w:cs="Arial"/>
        </w:rPr>
        <w:t xml:space="preserve"> </w:t>
      </w:r>
      <w:r w:rsidRPr="002C2500">
        <w:rPr>
          <w:rFonts w:ascii="Arial" w:hAnsi="Arial" w:cs="Arial"/>
        </w:rPr>
        <w:t>Our analysis included two distinct periods: a pre-pandemic period denoted as 1 January 2017 through 31 March 2020 and a pandemic period denoted as 1 April 2020 through 31 December 2021.</w:t>
      </w:r>
      <w:r>
        <w:rPr>
          <w:rFonts w:ascii="Arial" w:hAnsi="Arial" w:cs="Arial"/>
        </w:rPr>
        <w:t xml:space="preserve"> Coefficients referred to a pre-pandemic slope of incidence rate (“time” in the table below), a COVID-19 related incidence rate ratio at the onset of the pandemic (“COVID” in the table below), and a new slope of incidence rate after the pandemic ("COVID*Time").  </w:t>
      </w:r>
    </w:p>
    <w:p w:rsidR="00345C5F" w:rsidRPr="002C2500" w:rsidRDefault="00345C5F" w:rsidP="00345C5F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4141" w:type="pct"/>
        <w:tblInd w:w="0" w:type="dxa"/>
        <w:tblLook w:val="04A0" w:firstRow="1" w:lastRow="0" w:firstColumn="1" w:lastColumn="0" w:noHBand="0" w:noVBand="1"/>
      </w:tblPr>
      <w:tblGrid>
        <w:gridCol w:w="2538"/>
        <w:gridCol w:w="1232"/>
        <w:gridCol w:w="1232"/>
        <w:gridCol w:w="278"/>
        <w:gridCol w:w="1232"/>
        <w:gridCol w:w="1232"/>
      </w:tblGrid>
      <w:tr w:rsidR="00345C5F" w:rsidRPr="002C2500" w:rsidTr="005908C3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9C9C9" w:themeFill="accent3" w:themeFillTint="99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  <w:hideMark/>
          </w:tcPr>
          <w:p w:rsidR="00345C5F" w:rsidRPr="002C2500" w:rsidRDefault="00345C5F" w:rsidP="005908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Hospital-Onset Bloodstream Infections (HOBSIs)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345C5F" w:rsidRPr="002C2500" w:rsidRDefault="00345C5F" w:rsidP="005908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Central Line-Associated Bloodstream Infections (CLABSIs)</w:t>
            </w:r>
          </w:p>
        </w:tc>
      </w:tr>
      <w:tr w:rsidR="00345C5F" w:rsidRPr="002C2500" w:rsidTr="005908C3">
        <w:trPr>
          <w:trHeight w:val="134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  <w:hideMark/>
          </w:tcPr>
          <w:p w:rsidR="00345C5F" w:rsidRPr="002C2500" w:rsidRDefault="00345C5F" w:rsidP="005908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Per 1,000 Patient Days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  <w:hideMark/>
          </w:tcPr>
          <w:p w:rsidR="00345C5F" w:rsidRPr="002C2500" w:rsidRDefault="00345C5F" w:rsidP="005908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Per 1,000 Central Line Days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345C5F" w:rsidRPr="002C2500" w:rsidRDefault="00345C5F" w:rsidP="005908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  <w:hideMark/>
          </w:tcPr>
          <w:p w:rsidR="00345C5F" w:rsidRPr="002C2500" w:rsidRDefault="00345C5F" w:rsidP="005908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Per 1,000 Patient Days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345C5F" w:rsidRPr="002C2500" w:rsidRDefault="00345C5F" w:rsidP="005908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Per 1,000 Central Line Days</w:t>
            </w:r>
          </w:p>
        </w:tc>
      </w:tr>
      <w:tr w:rsidR="00345C5F" w:rsidRPr="002C2500" w:rsidTr="005908C3">
        <w:trPr>
          <w:trHeight w:val="290"/>
        </w:trPr>
        <w:tc>
          <w:tcPr>
            <w:tcW w:w="1767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/>
                <w:bCs/>
                <w:sz w:val="22"/>
                <w:szCs w:val="22"/>
              </w:rPr>
              <w:t>Likelihood Ratio Tests</w:t>
            </w:r>
          </w:p>
        </w:tc>
        <w:tc>
          <w:tcPr>
            <w:tcW w:w="764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64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76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64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64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</w:tr>
      <w:tr w:rsidR="00345C5F" w:rsidRPr="002C2500" w:rsidTr="005908C3">
        <w:trPr>
          <w:trHeight w:val="290"/>
        </w:trPr>
        <w:tc>
          <w:tcPr>
            <w:tcW w:w="1767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 xml:space="preserve">Model: </w:t>
            </w:r>
            <w:r w:rsidRPr="002C2500">
              <w:rPr>
                <w:rFonts w:ascii="Arial" w:hAnsi="Arial" w:cs="Arial"/>
                <w:bCs/>
                <w:sz w:val="22"/>
                <w:szCs w:val="22"/>
                <w:lang w:val="el-GR"/>
              </w:rPr>
              <w:t>β</w:t>
            </w:r>
            <w:r w:rsidRPr="002C2500">
              <w:rPr>
                <w:rFonts w:ascii="Arial" w:hAnsi="Arial" w:cs="Arial"/>
                <w:bCs/>
                <w:sz w:val="22"/>
                <w:szCs w:val="22"/>
                <w:vertAlign w:val="subscript"/>
                <w:lang w:val="el-GR"/>
              </w:rPr>
              <w:t>1</w:t>
            </w:r>
            <w:r w:rsidRPr="002C2500">
              <w:rPr>
                <w:rFonts w:ascii="Arial" w:hAnsi="Arial" w:cs="Arial"/>
                <w:bCs/>
                <w:sz w:val="22"/>
                <w:szCs w:val="22"/>
                <w:lang w:val="el-GR"/>
              </w:rPr>
              <w:t>*</w:t>
            </w:r>
            <w:r w:rsidRPr="002C2500">
              <w:rPr>
                <w:rFonts w:ascii="Arial" w:hAnsi="Arial" w:cs="Arial"/>
                <w:bCs/>
                <w:sz w:val="22"/>
                <w:szCs w:val="22"/>
              </w:rPr>
              <w:t>Time</w:t>
            </w:r>
          </w:p>
        </w:tc>
        <w:tc>
          <w:tcPr>
            <w:tcW w:w="764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Reference</w:t>
            </w:r>
          </w:p>
        </w:tc>
        <w:tc>
          <w:tcPr>
            <w:tcW w:w="764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Reference</w:t>
            </w:r>
          </w:p>
        </w:tc>
        <w:tc>
          <w:tcPr>
            <w:tcW w:w="176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64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Reference</w:t>
            </w:r>
          </w:p>
        </w:tc>
        <w:tc>
          <w:tcPr>
            <w:tcW w:w="764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Reference</w:t>
            </w:r>
          </w:p>
        </w:tc>
      </w:tr>
      <w:tr w:rsidR="00345C5F" w:rsidRPr="002C2500" w:rsidTr="005908C3">
        <w:trPr>
          <w:trHeight w:val="290"/>
        </w:trPr>
        <w:tc>
          <w:tcPr>
            <w:tcW w:w="1767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Model: β</w:t>
            </w:r>
            <w:r w:rsidRPr="002C2500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1</w:t>
            </w:r>
            <w:r w:rsidRPr="002C2500">
              <w:rPr>
                <w:rFonts w:ascii="Arial" w:hAnsi="Arial" w:cs="Arial"/>
                <w:bCs/>
                <w:sz w:val="22"/>
                <w:szCs w:val="22"/>
              </w:rPr>
              <w:t>*Time + β</w:t>
            </w:r>
            <w:r w:rsidRPr="002C2500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2</w:t>
            </w:r>
            <w:r w:rsidRPr="002C2500">
              <w:rPr>
                <w:rFonts w:ascii="Arial" w:hAnsi="Arial" w:cs="Arial"/>
                <w:bCs/>
                <w:sz w:val="22"/>
                <w:szCs w:val="22"/>
              </w:rPr>
              <w:t>*COVID</w:t>
            </w:r>
          </w:p>
        </w:tc>
        <w:tc>
          <w:tcPr>
            <w:tcW w:w="764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p=0.1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64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  <w:tc>
          <w:tcPr>
            <w:tcW w:w="176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64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p=0.4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764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p=0.61</w:t>
            </w:r>
          </w:p>
        </w:tc>
      </w:tr>
      <w:tr w:rsidR="00345C5F" w:rsidRPr="002C2500" w:rsidTr="005908C3">
        <w:trPr>
          <w:trHeight w:val="290"/>
        </w:trPr>
        <w:tc>
          <w:tcPr>
            <w:tcW w:w="1767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Model: β</w:t>
            </w:r>
            <w:r w:rsidRPr="002C2500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1</w:t>
            </w:r>
            <w:r w:rsidRPr="002C2500">
              <w:rPr>
                <w:rFonts w:ascii="Arial" w:hAnsi="Arial" w:cs="Arial"/>
                <w:bCs/>
                <w:sz w:val="22"/>
                <w:szCs w:val="22"/>
              </w:rPr>
              <w:t>*Time + β</w:t>
            </w:r>
            <w:r w:rsidRPr="002C2500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2</w:t>
            </w:r>
            <w:r w:rsidRPr="002C2500">
              <w:rPr>
                <w:rFonts w:ascii="Arial" w:hAnsi="Arial" w:cs="Arial"/>
                <w:bCs/>
                <w:sz w:val="22"/>
                <w:szCs w:val="22"/>
              </w:rPr>
              <w:t>*(</w:t>
            </w:r>
            <w:proofErr w:type="spellStart"/>
            <w:r w:rsidRPr="002C2500">
              <w:rPr>
                <w:rFonts w:ascii="Arial" w:hAnsi="Arial" w:cs="Arial"/>
                <w:bCs/>
                <w:sz w:val="22"/>
                <w:szCs w:val="22"/>
              </w:rPr>
              <w:t>COVIDtime</w:t>
            </w:r>
            <w:proofErr w:type="spellEnd"/>
            <w:r w:rsidRPr="002C2500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764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p=0.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34</w:t>
            </w:r>
          </w:p>
        </w:tc>
        <w:tc>
          <w:tcPr>
            <w:tcW w:w="764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  <w:tc>
          <w:tcPr>
            <w:tcW w:w="176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4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p=0.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72</w:t>
            </w:r>
          </w:p>
        </w:tc>
        <w:tc>
          <w:tcPr>
            <w:tcW w:w="764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p=0.3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345C5F" w:rsidRPr="002C2500" w:rsidTr="005908C3">
        <w:trPr>
          <w:trHeight w:val="383"/>
        </w:trPr>
        <w:tc>
          <w:tcPr>
            <w:tcW w:w="1767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Model: β</w:t>
            </w:r>
            <w:r w:rsidRPr="002C2500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1</w:t>
            </w:r>
            <w:r w:rsidRPr="002C2500">
              <w:rPr>
                <w:rFonts w:ascii="Arial" w:hAnsi="Arial" w:cs="Arial"/>
                <w:bCs/>
                <w:sz w:val="22"/>
                <w:szCs w:val="22"/>
              </w:rPr>
              <w:t>*Time + β</w:t>
            </w:r>
            <w:r w:rsidRPr="002C2500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2</w:t>
            </w:r>
            <w:r w:rsidRPr="002C2500">
              <w:rPr>
                <w:rFonts w:ascii="Arial" w:hAnsi="Arial" w:cs="Arial"/>
                <w:bCs/>
                <w:sz w:val="22"/>
                <w:szCs w:val="22"/>
              </w:rPr>
              <w:t>*COVID + β</w:t>
            </w:r>
            <w:r w:rsidRPr="002C2500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3</w:t>
            </w:r>
            <w:r w:rsidRPr="002C2500">
              <w:rPr>
                <w:rFonts w:ascii="Arial" w:hAnsi="Arial" w:cs="Arial"/>
                <w:bCs/>
                <w:sz w:val="22"/>
                <w:szCs w:val="22"/>
              </w:rPr>
              <w:t>*(</w:t>
            </w:r>
            <w:proofErr w:type="spellStart"/>
            <w:r w:rsidRPr="002C2500">
              <w:rPr>
                <w:rFonts w:ascii="Arial" w:hAnsi="Arial" w:cs="Arial"/>
                <w:bCs/>
                <w:sz w:val="22"/>
                <w:szCs w:val="22"/>
              </w:rPr>
              <w:t>COVIDtime</w:t>
            </w:r>
            <w:proofErr w:type="spellEnd"/>
            <w:r w:rsidRPr="002C2500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764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p=0.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764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  <w:tc>
          <w:tcPr>
            <w:tcW w:w="176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64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p=0.54</w:t>
            </w:r>
          </w:p>
        </w:tc>
        <w:tc>
          <w:tcPr>
            <w:tcW w:w="764" w:type="pct"/>
            <w:hideMark/>
          </w:tcPr>
          <w:p w:rsidR="00345C5F" w:rsidRPr="002C2500" w:rsidRDefault="00345C5F" w:rsidP="00590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2500">
              <w:rPr>
                <w:rFonts w:ascii="Arial" w:hAnsi="Arial" w:cs="Arial"/>
                <w:bCs/>
                <w:sz w:val="22"/>
                <w:szCs w:val="22"/>
              </w:rPr>
              <w:t>p=0.31</w:t>
            </w:r>
          </w:p>
        </w:tc>
      </w:tr>
    </w:tbl>
    <w:p w:rsidR="00345C5F" w:rsidRPr="002C2500" w:rsidRDefault="00345C5F" w:rsidP="00345C5F">
      <w:pPr>
        <w:spacing w:after="0"/>
        <w:rPr>
          <w:rFonts w:ascii="Arial" w:hAnsi="Arial" w:cs="Arial"/>
          <w:b/>
        </w:rPr>
      </w:pPr>
    </w:p>
    <w:p w:rsidR="00345C5F" w:rsidRPr="002C2500" w:rsidRDefault="00345C5F" w:rsidP="00345C5F">
      <w:pPr>
        <w:spacing w:after="0"/>
        <w:rPr>
          <w:rFonts w:ascii="Arial" w:hAnsi="Arial" w:cs="Arial"/>
          <w:b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Default="00345C5F" w:rsidP="00345C5F">
      <w:pPr>
        <w:spacing w:after="0"/>
        <w:rPr>
          <w:rFonts w:ascii="Arial" w:hAnsi="Arial" w:cs="Arial"/>
        </w:rPr>
      </w:pPr>
    </w:p>
    <w:p w:rsidR="00345C5F" w:rsidRPr="002C2500" w:rsidRDefault="00345C5F" w:rsidP="00345C5F">
      <w:pPr>
        <w:spacing w:after="0"/>
        <w:rPr>
          <w:rFonts w:ascii="Arial" w:hAnsi="Arial" w:cs="Arial"/>
        </w:rPr>
      </w:pPr>
    </w:p>
    <w:p w:rsidR="00345C5F" w:rsidRPr="002C2500" w:rsidRDefault="00345C5F" w:rsidP="00345C5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Supplemental Table 3. </w:t>
      </w:r>
      <w:r w:rsidRPr="002C2500">
        <w:rPr>
          <w:rFonts w:ascii="Arial" w:hAnsi="Arial" w:cs="Arial"/>
        </w:rPr>
        <w:t>Model coefficients (including COVID-19 related variables)</w:t>
      </w:r>
      <w:r>
        <w:rPr>
          <w:rFonts w:ascii="Arial" w:hAnsi="Arial" w:cs="Arial"/>
        </w:rPr>
        <w:t xml:space="preserve"> and 95% confidence intervals</w:t>
      </w:r>
      <w:r w:rsidRPr="002C2500">
        <w:rPr>
          <w:rFonts w:ascii="Arial" w:hAnsi="Arial" w:cs="Arial"/>
        </w:rPr>
        <w:t xml:space="preserve"> across three representative model types: a negative binomial generalized linear model (GLM), generalized estimating equations (GEE) with exchangeable or first-order autoregressive (AR-1) covariance structures, and generalized linear mixed models (GLMM) with random intercept and slope per hospital.</w:t>
      </w:r>
      <w:r>
        <w:rPr>
          <w:rFonts w:ascii="Arial" w:hAnsi="Arial" w:cs="Arial"/>
        </w:rPr>
        <w:t xml:space="preserve"> </w:t>
      </w:r>
      <w:r w:rsidRPr="002C2500">
        <w:rPr>
          <w:rFonts w:ascii="Arial" w:hAnsi="Arial" w:cs="Arial"/>
        </w:rPr>
        <w:t>Our analysis included two distinct periods: a pre-pandemic period denoted as 1 January 2017 through 31 March 2020 and a pandemic period denoted as 1 April 2020 through 31 December 2021.</w:t>
      </w:r>
      <w:r>
        <w:rPr>
          <w:rFonts w:ascii="Arial" w:hAnsi="Arial" w:cs="Arial"/>
        </w:rPr>
        <w:t xml:space="preserve"> Coefficients referred to a pre-pandemic slope of incidence rate (“time” in the table below), a COVID-19 related incidence rate ratio at the onset of the pandemic (“COVID” in the table below), and a new slope of incidence rate after the pandemic ("COVID*Time").  No coefficients reached statistical significance.</w:t>
      </w:r>
    </w:p>
    <w:p w:rsidR="00345C5F" w:rsidRPr="002C2500" w:rsidRDefault="00345C5F" w:rsidP="00345C5F">
      <w:pPr>
        <w:spacing w:after="0"/>
        <w:rPr>
          <w:rFonts w:ascii="Arial" w:hAnsi="Arial" w:cs="Arial"/>
          <w:b/>
        </w:rPr>
      </w:pPr>
    </w:p>
    <w:p w:rsidR="00345C5F" w:rsidRPr="00345C5F" w:rsidRDefault="00345C5F" w:rsidP="00345C5F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7" w:rightFromText="187" w:vertAnchor="text" w:horzAnchor="margin" w:tblpY="-40"/>
        <w:tblW w:w="9350" w:type="dxa"/>
        <w:tblInd w:w="0" w:type="dxa"/>
        <w:tblLook w:val="04A0" w:firstRow="1" w:lastRow="0" w:firstColumn="1" w:lastColumn="0" w:noHBand="0" w:noVBand="1"/>
      </w:tblPr>
      <w:tblGrid>
        <w:gridCol w:w="1650"/>
        <w:gridCol w:w="2042"/>
        <w:gridCol w:w="1820"/>
        <w:gridCol w:w="1827"/>
        <w:gridCol w:w="2011"/>
      </w:tblGrid>
      <w:tr w:rsidR="00345C5F" w:rsidRPr="002C2500" w:rsidTr="005908C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COVID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COVID*Time</w:t>
            </w:r>
          </w:p>
        </w:tc>
      </w:tr>
      <w:tr w:rsidR="00345C5F" w:rsidRPr="002C2500" w:rsidTr="005908C3">
        <w:tc>
          <w:tcPr>
            <w:tcW w:w="1650" w:type="dxa"/>
            <w:tcBorders>
              <w:top w:val="single" w:sz="4" w:space="0" w:color="auto"/>
            </w:tcBorders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HOBSI per 1,000 Patient Days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GLM (Negative Binomial)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1.002 (0.996, 1.010)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1.139 (0.869, 1.492)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0.999 (0.981, 1.018)</w:t>
            </w:r>
          </w:p>
        </w:tc>
      </w:tr>
      <w:tr w:rsidR="00345C5F" w:rsidRPr="002C2500" w:rsidTr="005908C3">
        <w:tc>
          <w:tcPr>
            <w:tcW w:w="165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GEE, Exchangeable</w:t>
            </w:r>
          </w:p>
        </w:tc>
        <w:tc>
          <w:tcPr>
            <w:tcW w:w="182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1.004 (0.995, 1.013)</w:t>
            </w:r>
          </w:p>
        </w:tc>
        <w:tc>
          <w:tcPr>
            <w:tcW w:w="1827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1.148 (0.934, 1.411)</w:t>
            </w:r>
          </w:p>
        </w:tc>
        <w:tc>
          <w:tcPr>
            <w:tcW w:w="2011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0.997 (0.971, 1.023)</w:t>
            </w:r>
          </w:p>
        </w:tc>
      </w:tr>
      <w:tr w:rsidR="00345C5F" w:rsidRPr="002C2500" w:rsidTr="005908C3">
        <w:tc>
          <w:tcPr>
            <w:tcW w:w="165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GEE, AR-1</w:t>
            </w:r>
          </w:p>
        </w:tc>
        <w:tc>
          <w:tcPr>
            <w:tcW w:w="182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1.005 (0.996, 1.014)</w:t>
            </w:r>
          </w:p>
        </w:tc>
        <w:tc>
          <w:tcPr>
            <w:tcW w:w="1827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1.056 (0.898, 1.242)</w:t>
            </w:r>
          </w:p>
        </w:tc>
        <w:tc>
          <w:tcPr>
            <w:tcW w:w="2011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1.000 (0.980, 1.020)</w:t>
            </w:r>
          </w:p>
        </w:tc>
      </w:tr>
      <w:tr w:rsidR="00345C5F" w:rsidRPr="002C2500" w:rsidTr="005908C3">
        <w:tc>
          <w:tcPr>
            <w:tcW w:w="165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GLMM, random intercept &amp; random slope</w:t>
            </w:r>
            <w:bookmarkStart w:id="0" w:name="_GoBack"/>
            <w:bookmarkEnd w:id="0"/>
          </w:p>
        </w:tc>
        <w:tc>
          <w:tcPr>
            <w:tcW w:w="182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1.002 (0.998, 1.007)</w:t>
            </w:r>
          </w:p>
        </w:tc>
        <w:tc>
          <w:tcPr>
            <w:tcW w:w="1827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1.113 (0.932, 1.330)</w:t>
            </w:r>
          </w:p>
        </w:tc>
        <w:tc>
          <w:tcPr>
            <w:tcW w:w="2011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1.003 (0.991, 1.015)</w:t>
            </w:r>
          </w:p>
        </w:tc>
      </w:tr>
      <w:tr w:rsidR="00345C5F" w:rsidRPr="002C2500" w:rsidTr="005908C3">
        <w:tc>
          <w:tcPr>
            <w:tcW w:w="165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CLABSI per 1,000 Central Line Days</w:t>
            </w:r>
          </w:p>
        </w:tc>
        <w:tc>
          <w:tcPr>
            <w:tcW w:w="2042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GLM (Negative Binomial)</w:t>
            </w:r>
          </w:p>
        </w:tc>
        <w:tc>
          <w:tcPr>
            <w:tcW w:w="182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0.996 (0.98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C2500">
              <w:rPr>
                <w:rFonts w:ascii="Arial" w:hAnsi="Arial" w:cs="Arial"/>
                <w:sz w:val="22"/>
                <w:szCs w:val="22"/>
              </w:rPr>
              <w:t>, 1.006)</w:t>
            </w:r>
          </w:p>
        </w:tc>
        <w:tc>
          <w:tcPr>
            <w:tcW w:w="1827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0.800 (0.540, 1.176)</w:t>
            </w:r>
          </w:p>
        </w:tc>
        <w:tc>
          <w:tcPr>
            <w:tcW w:w="2011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1.019 (0.992, 1.046)</w:t>
            </w:r>
          </w:p>
        </w:tc>
      </w:tr>
      <w:tr w:rsidR="00345C5F" w:rsidRPr="002C2500" w:rsidTr="005908C3">
        <w:tc>
          <w:tcPr>
            <w:tcW w:w="165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GEE, Exchangeable</w:t>
            </w:r>
          </w:p>
        </w:tc>
        <w:tc>
          <w:tcPr>
            <w:tcW w:w="182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1.001 (0.985, 1.014)</w:t>
            </w:r>
          </w:p>
        </w:tc>
        <w:tc>
          <w:tcPr>
            <w:tcW w:w="1827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0.770 (0.511, 1.277)</w:t>
            </w:r>
          </w:p>
        </w:tc>
        <w:tc>
          <w:tcPr>
            <w:tcW w:w="2011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1.014 (0.964, 1.065)</w:t>
            </w:r>
          </w:p>
        </w:tc>
      </w:tr>
      <w:tr w:rsidR="00345C5F" w:rsidRPr="002C2500" w:rsidTr="005908C3">
        <w:tc>
          <w:tcPr>
            <w:tcW w:w="165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GEE, AR-1</w:t>
            </w:r>
          </w:p>
        </w:tc>
        <w:tc>
          <w:tcPr>
            <w:tcW w:w="182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0.999 (0.987, 1.012)</w:t>
            </w:r>
          </w:p>
        </w:tc>
        <w:tc>
          <w:tcPr>
            <w:tcW w:w="1827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0.808 (0.484, 1.351)</w:t>
            </w:r>
          </w:p>
        </w:tc>
        <w:tc>
          <w:tcPr>
            <w:tcW w:w="2011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1.013 (0.963, 1.066)</w:t>
            </w:r>
          </w:p>
        </w:tc>
      </w:tr>
      <w:tr w:rsidR="00345C5F" w:rsidRPr="002C2500" w:rsidTr="005908C3">
        <w:tc>
          <w:tcPr>
            <w:tcW w:w="165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GLMM, random intercept &amp; random slope</w:t>
            </w:r>
          </w:p>
        </w:tc>
        <w:tc>
          <w:tcPr>
            <w:tcW w:w="1820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0.996 (0.987, 1.005)</w:t>
            </w:r>
          </w:p>
        </w:tc>
        <w:tc>
          <w:tcPr>
            <w:tcW w:w="1827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796</w:t>
            </w:r>
            <w:r w:rsidRPr="002C2500">
              <w:rPr>
                <w:rFonts w:ascii="Arial" w:hAnsi="Arial" w:cs="Arial"/>
                <w:sz w:val="22"/>
                <w:szCs w:val="22"/>
              </w:rPr>
              <w:t xml:space="preserve"> (0.5</w:t>
            </w: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Pr="002C2500">
              <w:rPr>
                <w:rFonts w:ascii="Arial" w:hAnsi="Arial" w:cs="Arial"/>
                <w:sz w:val="22"/>
                <w:szCs w:val="22"/>
              </w:rPr>
              <w:t>, 1.16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C25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11" w:type="dxa"/>
          </w:tcPr>
          <w:p w:rsidR="00345C5F" w:rsidRPr="002C2500" w:rsidRDefault="00345C5F" w:rsidP="005908C3">
            <w:pPr>
              <w:rPr>
                <w:rFonts w:ascii="Arial" w:hAnsi="Arial" w:cs="Arial"/>
                <w:sz w:val="22"/>
                <w:szCs w:val="22"/>
              </w:rPr>
            </w:pPr>
            <w:r w:rsidRPr="002C2500">
              <w:rPr>
                <w:rFonts w:ascii="Arial" w:hAnsi="Arial" w:cs="Arial"/>
                <w:sz w:val="22"/>
                <w:szCs w:val="22"/>
              </w:rPr>
              <w:t>1.019 (0.99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C2500">
              <w:rPr>
                <w:rFonts w:ascii="Arial" w:hAnsi="Arial" w:cs="Arial"/>
                <w:sz w:val="22"/>
                <w:szCs w:val="22"/>
              </w:rPr>
              <w:t>, 1.04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2C25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345C5F" w:rsidRDefault="00345C5F" w:rsidP="00345C5F">
      <w:pPr>
        <w:spacing w:after="0"/>
        <w:rPr>
          <w:rFonts w:ascii="Arial" w:hAnsi="Arial" w:cs="Arial"/>
          <w:b/>
        </w:rPr>
      </w:pPr>
    </w:p>
    <w:p w:rsidR="00345C5F" w:rsidRDefault="00345C5F" w:rsidP="00345C5F">
      <w:pPr>
        <w:spacing w:after="0"/>
        <w:rPr>
          <w:rFonts w:ascii="Arial" w:hAnsi="Arial" w:cs="Arial"/>
          <w:b/>
        </w:rPr>
      </w:pPr>
    </w:p>
    <w:p w:rsidR="00345C5F" w:rsidRDefault="00345C5F" w:rsidP="00345C5F"/>
    <w:p w:rsidR="0044701E" w:rsidRDefault="00C80336"/>
    <w:sectPr w:rsidR="0044701E" w:rsidSect="00345C5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5F"/>
    <w:rsid w:val="00345C5F"/>
    <w:rsid w:val="00654FA1"/>
    <w:rsid w:val="00950687"/>
    <w:rsid w:val="00C8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915D"/>
  <w15:chartTrackingRefBased/>
  <w15:docId w15:val="{AE311890-9A61-4488-A4E6-731A4E88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C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5F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4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Krishnan</dc:creator>
  <cp:keywords/>
  <dc:description/>
  <cp:lastModifiedBy>Jay Krishnan</cp:lastModifiedBy>
  <cp:revision>2</cp:revision>
  <dcterms:created xsi:type="dcterms:W3CDTF">2024-01-18T17:19:00Z</dcterms:created>
  <dcterms:modified xsi:type="dcterms:W3CDTF">2024-01-29T17:29:00Z</dcterms:modified>
</cp:coreProperties>
</file>