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1545" w14:textId="48E31B30" w:rsidR="00BE2223" w:rsidRPr="00AE069D" w:rsidRDefault="00BE2223" w:rsidP="00BE2223">
      <w:pPr>
        <w:spacing w:line="480" w:lineRule="auto"/>
        <w:rPr>
          <w:b/>
          <w:color w:val="000000" w:themeColor="text1"/>
          <w:lang w:val="en-US"/>
        </w:rPr>
      </w:pPr>
      <w:r w:rsidRPr="00AE069D">
        <w:rPr>
          <w:b/>
          <w:color w:val="000000" w:themeColor="text1"/>
          <w:lang w:val="en-US"/>
        </w:rPr>
        <w:t>Modeling relaxed policies for discontinuation of Methicillin Resistant</w:t>
      </w:r>
      <w:r w:rsidRPr="00AE069D">
        <w:rPr>
          <w:b/>
          <w:i/>
          <w:iCs/>
          <w:color w:val="000000" w:themeColor="text1"/>
          <w:lang w:val="en-US"/>
        </w:rPr>
        <w:t xml:space="preserve"> Staphylococcus aureus</w:t>
      </w:r>
      <w:r w:rsidRPr="00AE069D">
        <w:rPr>
          <w:b/>
          <w:color w:val="000000" w:themeColor="text1"/>
          <w:lang w:val="en-US"/>
        </w:rPr>
        <w:t xml:space="preserve"> contact precautions: Supplementary Materials</w:t>
      </w:r>
    </w:p>
    <w:p w14:paraId="650DB654" w14:textId="77777777" w:rsidR="00BE2223" w:rsidRPr="00AE069D" w:rsidRDefault="00BE2223" w:rsidP="00BE2223">
      <w:pPr>
        <w:spacing w:line="480" w:lineRule="auto"/>
        <w:rPr>
          <w:b/>
          <w:color w:val="000000" w:themeColor="text1"/>
          <w:lang w:val="en-US"/>
        </w:rPr>
      </w:pPr>
    </w:p>
    <w:p w14:paraId="5A18B28B" w14:textId="30210833" w:rsidR="00BE2223" w:rsidRPr="00AE069D" w:rsidRDefault="00BE2223" w:rsidP="00BE2223">
      <w:pPr>
        <w:spacing w:line="480" w:lineRule="auto"/>
        <w:rPr>
          <w:color w:val="000000" w:themeColor="text1"/>
          <w:vertAlign w:val="superscript"/>
          <w:lang w:val="en-US"/>
        </w:rPr>
      </w:pPr>
      <w:r w:rsidRPr="00AE069D">
        <w:rPr>
          <w:color w:val="000000" w:themeColor="text1"/>
          <w:lang w:val="en-US"/>
        </w:rPr>
        <w:t>Jiaming Cui</w:t>
      </w:r>
      <w:r w:rsidRPr="00AE069D">
        <w:rPr>
          <w:color w:val="000000" w:themeColor="text1"/>
          <w:vertAlign w:val="superscript"/>
          <w:lang w:val="en-US"/>
        </w:rPr>
        <w:t>1</w:t>
      </w:r>
      <w:r w:rsidRPr="00AE069D">
        <w:rPr>
          <w:color w:val="000000" w:themeColor="text1"/>
          <w:lang w:val="en-US"/>
        </w:rPr>
        <w:t>, Jack Heavey</w:t>
      </w:r>
      <w:r w:rsidRPr="00AE069D">
        <w:rPr>
          <w:color w:val="000000" w:themeColor="text1"/>
          <w:vertAlign w:val="superscript"/>
          <w:lang w:val="en-US"/>
        </w:rPr>
        <w:t>2</w:t>
      </w:r>
      <w:r w:rsidRPr="00AE069D">
        <w:rPr>
          <w:color w:val="000000" w:themeColor="text1"/>
          <w:lang w:val="en-US"/>
        </w:rPr>
        <w:t>, Leo Lin</w:t>
      </w:r>
      <w:r w:rsidRPr="00AE069D">
        <w:rPr>
          <w:color w:val="000000" w:themeColor="text1"/>
          <w:vertAlign w:val="superscript"/>
          <w:lang w:val="en-US"/>
        </w:rPr>
        <w:t>2</w:t>
      </w:r>
      <w:r w:rsidRPr="00AE069D">
        <w:rPr>
          <w:color w:val="000000" w:themeColor="text1"/>
          <w:lang w:val="en-US"/>
        </w:rPr>
        <w:t>, Eili Y. Klein MA, PhD</w:t>
      </w:r>
      <w:r w:rsidRPr="00AE069D">
        <w:rPr>
          <w:color w:val="000000" w:themeColor="text1"/>
          <w:vertAlign w:val="superscript"/>
          <w:lang w:val="en-US"/>
        </w:rPr>
        <w:t>3,4,5</w:t>
      </w:r>
      <w:r w:rsidRPr="00AE069D">
        <w:rPr>
          <w:color w:val="000000" w:themeColor="text1"/>
          <w:lang w:val="en-US"/>
        </w:rPr>
        <w:t>, Gregory R. Madden MD</w:t>
      </w:r>
      <w:r w:rsidRPr="00AE069D">
        <w:rPr>
          <w:color w:val="000000" w:themeColor="text1"/>
          <w:vertAlign w:val="superscript"/>
          <w:lang w:val="en-US"/>
        </w:rPr>
        <w:t>6</w:t>
      </w:r>
      <w:r w:rsidRPr="00AE069D">
        <w:rPr>
          <w:color w:val="000000" w:themeColor="text1"/>
          <w:lang w:val="en-US"/>
        </w:rPr>
        <w:t>, Costi D. Sifri MD</w:t>
      </w:r>
      <w:r w:rsidRPr="00AE069D">
        <w:rPr>
          <w:color w:val="000000" w:themeColor="text1"/>
          <w:vertAlign w:val="superscript"/>
          <w:lang w:val="en-US"/>
        </w:rPr>
        <w:t>6,7</w:t>
      </w:r>
      <w:r w:rsidRPr="00AE069D">
        <w:rPr>
          <w:color w:val="000000" w:themeColor="text1"/>
          <w:lang w:val="en-US"/>
        </w:rPr>
        <w:t>, Bryan Lewis PhD</w:t>
      </w:r>
      <w:r w:rsidR="004871D4">
        <w:rPr>
          <w:color w:val="000000" w:themeColor="text1"/>
          <w:vertAlign w:val="superscript"/>
          <w:lang w:val="en-US"/>
        </w:rPr>
        <w:t>8</w:t>
      </w:r>
      <w:r w:rsidRPr="00AE069D">
        <w:rPr>
          <w:color w:val="000000" w:themeColor="text1"/>
          <w:lang w:val="en-US"/>
        </w:rPr>
        <w:t>, Anil K. Vullikanti PhD</w:t>
      </w:r>
      <w:r w:rsidRPr="00AE069D">
        <w:rPr>
          <w:color w:val="000000" w:themeColor="text1"/>
          <w:vertAlign w:val="superscript"/>
          <w:lang w:val="en-US"/>
        </w:rPr>
        <w:t>2</w:t>
      </w:r>
      <w:r w:rsidR="004871D4">
        <w:rPr>
          <w:color w:val="000000" w:themeColor="text1"/>
          <w:vertAlign w:val="superscript"/>
          <w:lang w:val="en-US"/>
        </w:rPr>
        <w:t>,8</w:t>
      </w:r>
      <w:r w:rsidRPr="00AE069D">
        <w:rPr>
          <w:color w:val="000000" w:themeColor="text1"/>
          <w:lang w:val="en-US"/>
        </w:rPr>
        <w:t>, B. Aditya Prakash PhD</w:t>
      </w:r>
      <w:r w:rsidRPr="00AE069D">
        <w:rPr>
          <w:color w:val="000000" w:themeColor="text1"/>
          <w:vertAlign w:val="superscript"/>
          <w:lang w:val="en-US"/>
        </w:rPr>
        <w:t>1*</w:t>
      </w:r>
    </w:p>
    <w:p w14:paraId="19DB6D51" w14:textId="77777777" w:rsidR="00BE2223" w:rsidRPr="00AE069D" w:rsidRDefault="00BE2223" w:rsidP="00BE2223">
      <w:pPr>
        <w:spacing w:line="480" w:lineRule="auto"/>
        <w:rPr>
          <w:color w:val="000000" w:themeColor="text1"/>
          <w:lang w:val="en-US"/>
        </w:rPr>
      </w:pPr>
    </w:p>
    <w:p w14:paraId="11FD86AF" w14:textId="77777777" w:rsidR="00BE2223" w:rsidRPr="00AE069D" w:rsidRDefault="00BE2223" w:rsidP="00BE2223">
      <w:pPr>
        <w:spacing w:line="480" w:lineRule="auto"/>
        <w:rPr>
          <w:color w:val="000000" w:themeColor="text1"/>
          <w:lang w:val="en-US"/>
        </w:rPr>
      </w:pPr>
      <w:r w:rsidRPr="00AE069D">
        <w:rPr>
          <w:color w:val="000000" w:themeColor="text1"/>
          <w:lang w:val="en-US"/>
        </w:rPr>
        <w:t>1 College of Computing, Georgia Institute of Technology, Atlanta, GA</w:t>
      </w:r>
    </w:p>
    <w:p w14:paraId="46249B46" w14:textId="77777777" w:rsidR="00BE2223" w:rsidRPr="00AE069D" w:rsidRDefault="00BE2223" w:rsidP="00BE2223">
      <w:pPr>
        <w:spacing w:line="480" w:lineRule="auto"/>
        <w:rPr>
          <w:color w:val="000000" w:themeColor="text1"/>
          <w:lang w:val="en-US"/>
        </w:rPr>
      </w:pPr>
      <w:r w:rsidRPr="00AE069D">
        <w:rPr>
          <w:color w:val="000000" w:themeColor="text1"/>
          <w:lang w:val="en-US"/>
        </w:rPr>
        <w:t>2 Department of Computer Science, University of Virginia, Charlottesville, VA</w:t>
      </w:r>
    </w:p>
    <w:p w14:paraId="0565B303" w14:textId="77777777" w:rsidR="00BE2223" w:rsidRPr="00AE069D" w:rsidRDefault="00BE2223" w:rsidP="00BE2223">
      <w:pPr>
        <w:spacing w:line="480" w:lineRule="auto"/>
        <w:rPr>
          <w:color w:val="000000" w:themeColor="text1"/>
          <w:lang w:val="en-US"/>
        </w:rPr>
      </w:pPr>
      <w:r w:rsidRPr="00AE069D">
        <w:rPr>
          <w:color w:val="000000" w:themeColor="text1"/>
          <w:lang w:val="en-US"/>
        </w:rPr>
        <w:t>3 Center for Disease Dynamics, Economics &amp; Policy, Washington, D.C., USA</w:t>
      </w:r>
    </w:p>
    <w:p w14:paraId="299120C1" w14:textId="77777777" w:rsidR="00BE2223" w:rsidRPr="00AE069D" w:rsidRDefault="00BE2223" w:rsidP="00BE2223">
      <w:pPr>
        <w:spacing w:line="480" w:lineRule="auto"/>
        <w:rPr>
          <w:color w:val="000000" w:themeColor="text1"/>
          <w:lang w:val="en-US"/>
        </w:rPr>
      </w:pPr>
      <w:r w:rsidRPr="00AE069D">
        <w:rPr>
          <w:color w:val="000000" w:themeColor="text1"/>
          <w:lang w:val="en-US"/>
        </w:rPr>
        <w:t>4 Department of Emergency Medicine, Johns Hopkins School of Medicine, Baltimore, MD, USA</w:t>
      </w:r>
    </w:p>
    <w:p w14:paraId="3FA25B76" w14:textId="77777777" w:rsidR="00BE2223" w:rsidRPr="00AE069D" w:rsidRDefault="00BE2223" w:rsidP="00BE2223">
      <w:pPr>
        <w:spacing w:line="480" w:lineRule="auto"/>
        <w:rPr>
          <w:color w:val="000000" w:themeColor="text1"/>
          <w:lang w:val="en-US"/>
        </w:rPr>
      </w:pPr>
      <w:r w:rsidRPr="00AE069D">
        <w:rPr>
          <w:color w:val="000000" w:themeColor="text1"/>
          <w:lang w:val="en-US"/>
        </w:rPr>
        <w:t>5 Department of Epidemiology, Johns Hopkins Bloomberg School of Public Health, Baltimore, MD, USA</w:t>
      </w:r>
    </w:p>
    <w:p w14:paraId="529BA56B" w14:textId="77777777" w:rsidR="00BE2223" w:rsidRPr="00AE069D" w:rsidRDefault="00BE2223" w:rsidP="00BE2223">
      <w:pPr>
        <w:spacing w:line="480" w:lineRule="auto"/>
        <w:rPr>
          <w:color w:val="000000" w:themeColor="text1"/>
          <w:lang w:val="en-US"/>
        </w:rPr>
      </w:pPr>
      <w:r w:rsidRPr="00AE069D">
        <w:rPr>
          <w:color w:val="000000" w:themeColor="text1"/>
          <w:lang w:val="en-US"/>
        </w:rPr>
        <w:t>6 Division of Infectious Diseases &amp; International Health, Department of Medicine, University of Virginia School of Medicine, Charlottesville, VA</w:t>
      </w:r>
    </w:p>
    <w:p w14:paraId="3825D4C3" w14:textId="77777777" w:rsidR="00BE2223" w:rsidRPr="00AE069D" w:rsidRDefault="00BE2223" w:rsidP="00BE2223">
      <w:pPr>
        <w:spacing w:line="480" w:lineRule="auto"/>
        <w:rPr>
          <w:color w:val="000000" w:themeColor="text1"/>
          <w:lang w:val="en-US"/>
        </w:rPr>
      </w:pPr>
      <w:r w:rsidRPr="00AE069D">
        <w:rPr>
          <w:color w:val="000000" w:themeColor="text1"/>
          <w:lang w:val="en-US"/>
        </w:rPr>
        <w:t>7 Office of Hospital Epidemiology/Infection Prevention &amp; Control, UVA Health, Charlottesville, VA</w:t>
      </w:r>
    </w:p>
    <w:p w14:paraId="1E5FFCFB" w14:textId="67E1A5F1" w:rsidR="00BE2223" w:rsidRDefault="00BE2223" w:rsidP="00BE2223">
      <w:pPr>
        <w:spacing w:line="480" w:lineRule="auto"/>
        <w:rPr>
          <w:color w:val="000000" w:themeColor="text1"/>
          <w:lang w:val="en-US"/>
        </w:rPr>
      </w:pPr>
      <w:r w:rsidRPr="00AE069D">
        <w:rPr>
          <w:color w:val="000000" w:themeColor="text1"/>
          <w:lang w:val="en-US"/>
        </w:rPr>
        <w:t>8 Biocomplexity Institute, University of Virginia, Charlottesville, VA</w:t>
      </w:r>
    </w:p>
    <w:p w14:paraId="56A800F7" w14:textId="0639EB96" w:rsidR="00AE069D" w:rsidRDefault="00AE069D" w:rsidP="00BE2223">
      <w:pPr>
        <w:spacing w:line="480" w:lineRule="auto"/>
        <w:rPr>
          <w:color w:val="000000" w:themeColor="text1"/>
          <w:lang w:val="en-US"/>
        </w:rPr>
      </w:pPr>
    </w:p>
    <w:p w14:paraId="770F8386" w14:textId="2935A810" w:rsidR="00AE069D" w:rsidRDefault="00AE069D" w:rsidP="00BE2223">
      <w:pPr>
        <w:spacing w:line="480" w:lineRule="auto"/>
        <w:rPr>
          <w:color w:val="000000" w:themeColor="text1"/>
          <w:lang w:val="en-US"/>
        </w:rPr>
      </w:pPr>
    </w:p>
    <w:p w14:paraId="0A7D355F" w14:textId="007542E6" w:rsidR="00AE069D" w:rsidRDefault="00AE069D" w:rsidP="00BE2223">
      <w:pPr>
        <w:spacing w:line="480" w:lineRule="auto"/>
        <w:rPr>
          <w:color w:val="000000" w:themeColor="text1"/>
          <w:lang w:val="en-US"/>
        </w:rPr>
      </w:pPr>
    </w:p>
    <w:p w14:paraId="2D942CAD" w14:textId="2882A864" w:rsidR="00AE069D" w:rsidRDefault="00AE069D" w:rsidP="00BE2223">
      <w:pPr>
        <w:spacing w:line="480" w:lineRule="auto"/>
        <w:rPr>
          <w:color w:val="000000" w:themeColor="text1"/>
          <w:lang w:val="en-US"/>
        </w:rPr>
      </w:pPr>
    </w:p>
    <w:p w14:paraId="3782C481" w14:textId="2EB96597" w:rsidR="00AE069D" w:rsidRDefault="00AE069D" w:rsidP="00BE2223">
      <w:pPr>
        <w:spacing w:line="480" w:lineRule="auto"/>
        <w:rPr>
          <w:color w:val="000000" w:themeColor="text1"/>
          <w:lang w:val="en-US"/>
        </w:rPr>
      </w:pPr>
    </w:p>
    <w:p w14:paraId="197B100C" w14:textId="77777777" w:rsidR="00AE069D" w:rsidRPr="00AE069D" w:rsidRDefault="00AE069D" w:rsidP="00BE2223">
      <w:pPr>
        <w:spacing w:line="480" w:lineRule="auto"/>
        <w:rPr>
          <w:color w:val="000000" w:themeColor="text1"/>
          <w:lang w:val="en-US"/>
        </w:rPr>
      </w:pPr>
    </w:p>
    <w:p w14:paraId="25AEDD60" w14:textId="0A291AB4" w:rsidR="00BE2223" w:rsidRPr="00AE069D" w:rsidRDefault="00BE2223" w:rsidP="0048781E">
      <w:pPr>
        <w:spacing w:line="480" w:lineRule="auto"/>
        <w:rPr>
          <w:b/>
          <w:bCs/>
          <w:color w:val="000000" w:themeColor="text1"/>
        </w:rPr>
      </w:pPr>
      <w:r w:rsidRPr="00AE069D">
        <w:rPr>
          <w:b/>
          <w:bCs/>
          <w:color w:val="000000" w:themeColor="text1"/>
        </w:rPr>
        <w:lastRenderedPageBreak/>
        <w:t xml:space="preserve">Number of </w:t>
      </w:r>
      <w:r w:rsidR="00742A3F" w:rsidRPr="00AE069D">
        <w:rPr>
          <w:b/>
          <w:bCs/>
          <w:color w:val="000000" w:themeColor="text1"/>
          <w:lang w:val="en-US"/>
        </w:rPr>
        <w:t>detected</w:t>
      </w:r>
      <w:r w:rsidRPr="00AE069D">
        <w:rPr>
          <w:b/>
          <w:bCs/>
          <w:color w:val="000000" w:themeColor="text1"/>
        </w:rPr>
        <w:t xml:space="preserve"> MRSA cases used for calibration:</w:t>
      </w:r>
    </w:p>
    <w:p w14:paraId="4BA83565" w14:textId="78005CFC" w:rsidR="00BE2223" w:rsidRPr="00AE069D" w:rsidRDefault="00BE2223" w:rsidP="00BE2223">
      <w:pPr>
        <w:spacing w:line="480" w:lineRule="auto"/>
        <w:rPr>
          <w:color w:val="000000" w:themeColor="text1"/>
        </w:rPr>
      </w:pPr>
      <w:r w:rsidRPr="00AE069D">
        <w:rPr>
          <w:color w:val="000000" w:themeColor="text1"/>
        </w:rPr>
        <w:t xml:space="preserve">The number of </w:t>
      </w:r>
      <w:r w:rsidR="00742A3F" w:rsidRPr="00AE069D">
        <w:rPr>
          <w:color w:val="000000" w:themeColor="text1"/>
          <w:lang w:val="en-US"/>
        </w:rPr>
        <w:t>detected</w:t>
      </w:r>
      <w:r w:rsidRPr="00AE069D">
        <w:rPr>
          <w:color w:val="000000" w:themeColor="text1"/>
        </w:rPr>
        <w:t xml:space="preserve"> MRSA cases was obtained from the University of Virginia</w:t>
      </w:r>
      <w:r w:rsidR="00742A3F" w:rsidRPr="00AE069D">
        <w:rPr>
          <w:color w:val="000000" w:themeColor="text1"/>
          <w:lang w:val="en-US"/>
        </w:rPr>
        <w:t xml:space="preserve"> (UVA)</w:t>
      </w:r>
      <w:r w:rsidRPr="00AE069D">
        <w:rPr>
          <w:color w:val="000000" w:themeColor="text1"/>
        </w:rPr>
        <w:t xml:space="preserve"> Health System, which contained two different types of tests to diagnose MRSA: culture tests and polymerase chain reaction (PCR) tests. However, since a negative culture test cannot disqualify an individual from contact precautions, we limit our analysis to </w:t>
      </w:r>
      <w:r w:rsidR="00407D14" w:rsidRPr="00AE069D">
        <w:rPr>
          <w:color w:val="000000" w:themeColor="text1"/>
          <w:lang w:val="en-US"/>
        </w:rPr>
        <w:t xml:space="preserve">only </w:t>
      </w:r>
      <w:r w:rsidRPr="00AE069D">
        <w:rPr>
          <w:color w:val="000000" w:themeColor="text1"/>
        </w:rPr>
        <w:t xml:space="preserve">positive culture tests and </w:t>
      </w:r>
      <w:r w:rsidR="00407D14" w:rsidRPr="00AE069D">
        <w:rPr>
          <w:color w:val="000000" w:themeColor="text1"/>
          <w:lang w:val="en-US"/>
        </w:rPr>
        <w:t xml:space="preserve">both positive and </w:t>
      </w:r>
      <w:r w:rsidRPr="00AE069D">
        <w:rPr>
          <w:color w:val="000000" w:themeColor="text1"/>
        </w:rPr>
        <w:t xml:space="preserve">negative PCR tests. Between January 1, 2015, and December 31, 2019, the </w:t>
      </w:r>
      <w:r w:rsidR="00742A3F" w:rsidRPr="00AE069D">
        <w:rPr>
          <w:color w:val="000000" w:themeColor="text1"/>
          <w:lang w:val="en-US"/>
        </w:rPr>
        <w:t>UVA</w:t>
      </w:r>
      <w:r w:rsidRPr="00AE069D">
        <w:rPr>
          <w:color w:val="000000" w:themeColor="text1"/>
        </w:rPr>
        <w:t xml:space="preserve"> Health System conducted </w:t>
      </w:r>
      <w:r w:rsidR="00AA1093">
        <w:rPr>
          <w:color w:val="000000" w:themeColor="text1"/>
        </w:rPr>
        <w:t>22,825</w:t>
      </w:r>
      <w:r w:rsidRPr="00AE069D">
        <w:rPr>
          <w:color w:val="000000" w:themeColor="text1"/>
        </w:rPr>
        <w:t xml:space="preserve"> tests on </w:t>
      </w:r>
      <w:r w:rsidR="00AA1093">
        <w:rPr>
          <w:color w:val="000000"/>
        </w:rPr>
        <w:t xml:space="preserve">15,806 </w:t>
      </w:r>
      <w:r w:rsidRPr="00AE069D">
        <w:rPr>
          <w:color w:val="000000" w:themeColor="text1"/>
        </w:rPr>
        <w:t>unique patients. Out of these tests, 2</w:t>
      </w:r>
      <w:r w:rsidRPr="00AE069D">
        <w:rPr>
          <w:color w:val="000000" w:themeColor="text1"/>
          <w:lang w:val="en-US"/>
        </w:rPr>
        <w:t>,</w:t>
      </w:r>
      <w:r w:rsidRPr="00AE069D">
        <w:rPr>
          <w:color w:val="000000" w:themeColor="text1"/>
        </w:rPr>
        <w:t xml:space="preserve">481 yielded positive results, while </w:t>
      </w:r>
      <w:r w:rsidR="00AA1093">
        <w:rPr>
          <w:color w:val="000000"/>
        </w:rPr>
        <w:t xml:space="preserve">20,344 </w:t>
      </w:r>
      <w:r w:rsidRPr="00AE069D">
        <w:rPr>
          <w:color w:val="000000" w:themeColor="text1"/>
        </w:rPr>
        <w:t>were negative, and 1800 unique patients had at least one positive test.</w:t>
      </w:r>
    </w:p>
    <w:p w14:paraId="69FA7170" w14:textId="53FDF9CA" w:rsidR="0048781E" w:rsidRPr="00AE069D" w:rsidRDefault="00BE2223" w:rsidP="00BE2223">
      <w:pPr>
        <w:spacing w:line="480" w:lineRule="auto"/>
        <w:rPr>
          <w:color w:val="000000" w:themeColor="text1"/>
        </w:rPr>
      </w:pPr>
      <w:r w:rsidRPr="00AE069D">
        <w:rPr>
          <w:color w:val="000000" w:themeColor="text1"/>
        </w:rPr>
        <w:t xml:space="preserve">Tests were administered upon admission to specific hospital wards, such as intensive care units (ICU), based on healthcare provider recommendations, and at regular intervals for patients with extended stays. To accurately calculate the duration of contact precautions, we augment our sequence of test results with hospital admission and discharge data, ensuring that days outside the hospital are not counted. It is important to note that contact precautions do not prevent patients from leaving the hospital. However, if they are under precautions when they are discharged, </w:t>
      </w:r>
      <w:r w:rsidR="00407D14" w:rsidRPr="00AE069D">
        <w:rPr>
          <w:color w:val="000000" w:themeColor="text1"/>
          <w:lang w:val="en-US"/>
        </w:rPr>
        <w:t xml:space="preserve">they are placed under </w:t>
      </w:r>
      <w:r w:rsidRPr="00AE069D">
        <w:rPr>
          <w:color w:val="000000" w:themeColor="text1"/>
        </w:rPr>
        <w:t>contact precaution</w:t>
      </w:r>
      <w:r w:rsidR="00407D14" w:rsidRPr="00AE069D">
        <w:rPr>
          <w:color w:val="000000" w:themeColor="text1"/>
          <w:lang w:val="en-US"/>
        </w:rPr>
        <w:t>s again</w:t>
      </w:r>
      <w:r w:rsidRPr="00AE069D">
        <w:rPr>
          <w:color w:val="000000" w:themeColor="text1"/>
        </w:rPr>
        <w:t xml:space="preserve"> if they </w:t>
      </w:r>
      <w:r w:rsidR="00407D14" w:rsidRPr="00AE069D">
        <w:rPr>
          <w:color w:val="000000" w:themeColor="text1"/>
          <w:lang w:val="en-US"/>
        </w:rPr>
        <w:t>are</w:t>
      </w:r>
      <w:r w:rsidRPr="00AE069D">
        <w:rPr>
          <w:color w:val="000000" w:themeColor="text1"/>
        </w:rPr>
        <w:t xml:space="preserve"> readmitted to the hospital at a later date.</w:t>
      </w:r>
    </w:p>
    <w:p w14:paraId="0EBFDD41" w14:textId="77777777" w:rsidR="00BE2223" w:rsidRPr="00AE069D" w:rsidRDefault="00BE2223" w:rsidP="00BE2223">
      <w:pPr>
        <w:spacing w:line="480" w:lineRule="auto"/>
        <w:rPr>
          <w:color w:val="000000" w:themeColor="text1"/>
        </w:rPr>
      </w:pPr>
    </w:p>
    <w:p w14:paraId="7040FEA3" w14:textId="77777777" w:rsidR="00E10ABA" w:rsidRPr="00AE069D" w:rsidRDefault="00E10ABA" w:rsidP="00670C78">
      <w:pPr>
        <w:spacing w:line="480" w:lineRule="auto"/>
        <w:rPr>
          <w:color w:val="000000" w:themeColor="text1"/>
        </w:rPr>
      </w:pPr>
      <w:r w:rsidRPr="00AE069D">
        <w:rPr>
          <w:b/>
          <w:bCs/>
          <w:color w:val="000000" w:themeColor="text1"/>
        </w:rPr>
        <w:t>Construction of heterogeneous contact networks:</w:t>
      </w:r>
    </w:p>
    <w:p w14:paraId="7023E36F" w14:textId="10ACEB0C" w:rsidR="00BE2223" w:rsidRPr="00AE069D" w:rsidRDefault="00BE2223" w:rsidP="00BE2223">
      <w:pPr>
        <w:spacing w:line="480" w:lineRule="auto"/>
        <w:rPr>
          <w:color w:val="000000" w:themeColor="text1"/>
        </w:rPr>
      </w:pPr>
      <w:r w:rsidRPr="00AE069D">
        <w:rPr>
          <w:color w:val="000000" w:themeColor="text1"/>
        </w:rPr>
        <w:t>The patient test records are further augmented with colocation data of the entire UVA hospital system. We represent the heterogeneous contact networks with a series of graphs</w:t>
      </w:r>
      <w:r w:rsidRPr="00AE069D">
        <w:rPr>
          <w:color w:val="000000" w:themeColor="text1"/>
          <w:lang w:val="en-US"/>
        </w:rPr>
        <w:t xml:space="preserve"> </w:t>
      </w:r>
      <m:oMath>
        <m:sSub>
          <m:sSubPr>
            <m:ctrlPr>
              <w:rPr>
                <w:rFonts w:ascii="Cambria Math" w:hAnsi="Cambria Math"/>
                <w:i/>
                <w:color w:val="000000" w:themeColor="text1"/>
                <w:lang w:val="en-US"/>
              </w:rPr>
            </m:ctrlPr>
          </m:sSubPr>
          <m:e>
            <m:r>
              <w:rPr>
                <w:rFonts w:ascii="Cambria Math" w:hAnsi="Cambria Math"/>
                <w:color w:val="000000" w:themeColor="text1"/>
                <w:lang w:val="en-US"/>
              </w:rPr>
              <m:t>g</m:t>
            </m:r>
          </m:e>
          <m:sub>
            <m:r>
              <w:rPr>
                <w:rFonts w:ascii="Cambria Math" w:hAnsi="Cambria Math"/>
                <w:color w:val="000000" w:themeColor="text1"/>
                <w:lang w:val="en-US"/>
              </w:rPr>
              <m:t>t</m:t>
            </m:r>
          </m:sub>
        </m:sSub>
        <m:r>
          <w:rPr>
            <w:rFonts w:ascii="Cambria Math" w:hAnsi="Cambria Math"/>
            <w:color w:val="000000" w:themeColor="text1"/>
            <w:lang w:val="en-US"/>
          </w:rPr>
          <m:t>=</m:t>
        </m:r>
        <m:d>
          <m:dPr>
            <m:ctrlPr>
              <w:rPr>
                <w:rFonts w:ascii="Cambria Math" w:hAnsi="Cambria Math"/>
                <w:i/>
                <w:color w:val="000000" w:themeColor="text1"/>
                <w:lang w:val="en-US"/>
              </w:rPr>
            </m:ctrlPr>
          </m:dPr>
          <m:e>
            <m:r>
              <w:rPr>
                <w:rFonts w:ascii="Cambria Math" w:hAnsi="Cambria Math"/>
                <w:color w:val="000000" w:themeColor="text1"/>
                <w:lang w:val="en-US"/>
              </w:rPr>
              <m:t>V,</m:t>
            </m:r>
            <m:sSub>
              <m:sSubPr>
                <m:ctrlPr>
                  <w:rPr>
                    <w:rFonts w:ascii="Cambria Math" w:hAnsi="Cambria Math"/>
                    <w:i/>
                    <w:color w:val="000000" w:themeColor="text1"/>
                    <w:lang w:val="en-US"/>
                  </w:rPr>
                </m:ctrlPr>
              </m:sSubPr>
              <m:e>
                <m:r>
                  <w:rPr>
                    <w:rFonts w:ascii="Cambria Math" w:hAnsi="Cambria Math"/>
                    <w:color w:val="000000" w:themeColor="text1"/>
                    <w:lang w:val="en-US"/>
                  </w:rPr>
                  <m:t>E</m:t>
                </m:r>
              </m:e>
              <m:sub>
                <m:r>
                  <w:rPr>
                    <w:rFonts w:ascii="Cambria Math" w:hAnsi="Cambria Math"/>
                    <w:color w:val="000000" w:themeColor="text1"/>
                    <w:lang w:val="en-US"/>
                  </w:rPr>
                  <m:t>t</m:t>
                </m:r>
              </m:sub>
            </m:sSub>
          </m:e>
        </m:d>
      </m:oMath>
      <w:r w:rsidRPr="00AE069D">
        <w:rPr>
          <w:color w:val="000000" w:themeColor="text1"/>
        </w:rPr>
        <w:t xml:space="preserve">, where </w:t>
      </w:r>
      <m:oMath>
        <m:r>
          <w:rPr>
            <w:rFonts w:ascii="Cambria Math" w:hAnsi="Cambria Math"/>
            <w:color w:val="000000" w:themeColor="text1"/>
          </w:rPr>
          <m:t>t</m:t>
        </m:r>
      </m:oMath>
      <w:r w:rsidRPr="00AE069D">
        <w:rPr>
          <w:color w:val="000000" w:themeColor="text1"/>
        </w:rPr>
        <w:t xml:space="preserve"> refers to day </w:t>
      </w:r>
      <m:oMath>
        <m:r>
          <w:rPr>
            <w:rFonts w:ascii="Cambria Math" w:hAnsi="Cambria Math"/>
            <w:color w:val="000000" w:themeColor="text1"/>
          </w:rPr>
          <m:t>t</m:t>
        </m:r>
      </m:oMath>
      <w:r w:rsidRPr="00AE069D">
        <w:rPr>
          <w:color w:val="000000" w:themeColor="text1"/>
        </w:rPr>
        <w:t xml:space="preserve">. In these graphs, nodes can represent patients, healthcare workers (HCWs), or locations. Over 2015 to 2019, the data </w:t>
      </w:r>
      <w:r w:rsidRPr="00AE069D">
        <w:rPr>
          <w:color w:val="000000" w:themeColor="text1"/>
        </w:rPr>
        <w:lastRenderedPageBreak/>
        <w:t>encompasses 41</w:t>
      </w:r>
      <w:r w:rsidR="0065439B">
        <w:rPr>
          <w:color w:val="000000" w:themeColor="text1"/>
          <w:lang w:val="en-US"/>
        </w:rPr>
        <w:t>,</w:t>
      </w:r>
      <w:r w:rsidRPr="00AE069D">
        <w:rPr>
          <w:color w:val="000000" w:themeColor="text1"/>
        </w:rPr>
        <w:t>216 unique patients, 14</w:t>
      </w:r>
      <w:r w:rsidR="0065439B">
        <w:rPr>
          <w:color w:val="000000" w:themeColor="text1"/>
          <w:lang w:val="en-US"/>
        </w:rPr>
        <w:t>,</w:t>
      </w:r>
      <w:r w:rsidRPr="00AE069D">
        <w:rPr>
          <w:color w:val="000000" w:themeColor="text1"/>
        </w:rPr>
        <w:t>392 unique healthcare workers, and 685 unique locations across all departments within the hospital.</w:t>
      </w:r>
    </w:p>
    <w:p w14:paraId="3BA808A7" w14:textId="3860BC25" w:rsidR="00BE2223" w:rsidRPr="00AE069D" w:rsidRDefault="00BE2223" w:rsidP="00BE2223">
      <w:pPr>
        <w:spacing w:before="240" w:after="240"/>
        <w:rPr>
          <w:color w:val="000000" w:themeColor="text1"/>
          <w:lang w:val="en-US"/>
        </w:rPr>
      </w:pPr>
      <w:r w:rsidRPr="00AE069D">
        <w:rPr>
          <w:b/>
          <w:bCs/>
          <w:color w:val="000000" w:themeColor="text1"/>
          <w:lang w:val="en-US"/>
        </w:rPr>
        <w:t>Supplementary Table 1</w:t>
      </w:r>
      <w:r w:rsidRPr="00AE069D">
        <w:rPr>
          <w:b/>
          <w:bCs/>
          <w:color w:val="000000" w:themeColor="text1"/>
        </w:rPr>
        <w:t xml:space="preserve">. </w:t>
      </w:r>
      <w:r w:rsidRPr="00AE069D">
        <w:rPr>
          <w:color w:val="000000" w:themeColor="text1"/>
          <w:lang w:val="en-US"/>
        </w:rPr>
        <w:t>Number of patients, HCWs, and locations across 2015-2019 in UVA dataset</w:t>
      </w:r>
    </w:p>
    <w:tbl>
      <w:tblPr>
        <w:tblStyle w:val="TableGrid"/>
        <w:tblW w:w="0" w:type="auto"/>
        <w:tblLook w:val="04A0" w:firstRow="1" w:lastRow="0" w:firstColumn="1" w:lastColumn="0" w:noHBand="0" w:noVBand="1"/>
      </w:tblPr>
      <w:tblGrid>
        <w:gridCol w:w="1453"/>
        <w:gridCol w:w="1285"/>
        <w:gridCol w:w="1285"/>
        <w:gridCol w:w="1035"/>
        <w:gridCol w:w="1035"/>
        <w:gridCol w:w="1285"/>
        <w:gridCol w:w="1144"/>
      </w:tblGrid>
      <w:tr w:rsidR="00AE069D" w:rsidRPr="00AE069D" w14:paraId="4B93A1FD" w14:textId="77777777" w:rsidTr="00FB7C22">
        <w:tc>
          <w:tcPr>
            <w:tcW w:w="1453" w:type="dxa"/>
          </w:tcPr>
          <w:p w14:paraId="15C15514" w14:textId="77777777" w:rsidR="00BE2223" w:rsidRPr="00AE069D" w:rsidRDefault="00BE2223" w:rsidP="00FB7C22">
            <w:pPr>
              <w:pStyle w:val="NormalWeb"/>
              <w:spacing w:before="0" w:beforeAutospacing="0" w:after="0" w:afterAutospacing="0"/>
              <w:rPr>
                <w:color w:val="000000" w:themeColor="text1"/>
                <w:sz w:val="20"/>
                <w:szCs w:val="20"/>
                <w:lang w:val="en-US"/>
              </w:rPr>
            </w:pPr>
          </w:p>
        </w:tc>
        <w:tc>
          <w:tcPr>
            <w:tcW w:w="1285" w:type="dxa"/>
          </w:tcPr>
          <w:p w14:paraId="34E991CB"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2015</w:t>
            </w:r>
          </w:p>
        </w:tc>
        <w:tc>
          <w:tcPr>
            <w:tcW w:w="1285" w:type="dxa"/>
          </w:tcPr>
          <w:p w14:paraId="7F8AF50E"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2016</w:t>
            </w:r>
          </w:p>
        </w:tc>
        <w:tc>
          <w:tcPr>
            <w:tcW w:w="1035" w:type="dxa"/>
          </w:tcPr>
          <w:p w14:paraId="10E811E6"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2017</w:t>
            </w:r>
          </w:p>
        </w:tc>
        <w:tc>
          <w:tcPr>
            <w:tcW w:w="1035" w:type="dxa"/>
          </w:tcPr>
          <w:p w14:paraId="3203691E"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2018</w:t>
            </w:r>
          </w:p>
        </w:tc>
        <w:tc>
          <w:tcPr>
            <w:tcW w:w="1285" w:type="dxa"/>
          </w:tcPr>
          <w:p w14:paraId="47E45F17"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2019</w:t>
            </w:r>
          </w:p>
        </w:tc>
        <w:tc>
          <w:tcPr>
            <w:tcW w:w="1144" w:type="dxa"/>
          </w:tcPr>
          <w:p w14:paraId="1F20E23B" w14:textId="77777777" w:rsidR="00BE2223" w:rsidRPr="00AE069D" w:rsidRDefault="00BE2223" w:rsidP="00FB7C22">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Total (unique)</w:t>
            </w:r>
          </w:p>
        </w:tc>
      </w:tr>
      <w:tr w:rsidR="00AE069D" w:rsidRPr="00AE069D" w14:paraId="2B20D909" w14:textId="77777777" w:rsidTr="00FB7C22">
        <w:tc>
          <w:tcPr>
            <w:tcW w:w="1453" w:type="dxa"/>
          </w:tcPr>
          <w:p w14:paraId="79BA355B" w14:textId="4B68718A"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Patients</w:t>
            </w:r>
          </w:p>
        </w:tc>
        <w:tc>
          <w:tcPr>
            <w:tcW w:w="1285" w:type="dxa"/>
          </w:tcPr>
          <w:p w14:paraId="779DEB14" w14:textId="1C11D9F8"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11,367</w:t>
            </w:r>
          </w:p>
        </w:tc>
        <w:tc>
          <w:tcPr>
            <w:tcW w:w="1285" w:type="dxa"/>
          </w:tcPr>
          <w:p w14:paraId="00504466" w14:textId="009144DD"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11,339</w:t>
            </w:r>
          </w:p>
        </w:tc>
        <w:tc>
          <w:tcPr>
            <w:tcW w:w="1035" w:type="dxa"/>
          </w:tcPr>
          <w:p w14:paraId="225CA059" w14:textId="33B2EB8D"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11,008</w:t>
            </w:r>
          </w:p>
        </w:tc>
        <w:tc>
          <w:tcPr>
            <w:tcW w:w="1035" w:type="dxa"/>
          </w:tcPr>
          <w:p w14:paraId="56803F03" w14:textId="188E0992"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10,658</w:t>
            </w:r>
          </w:p>
        </w:tc>
        <w:tc>
          <w:tcPr>
            <w:tcW w:w="1285" w:type="dxa"/>
          </w:tcPr>
          <w:p w14:paraId="10FE45A9" w14:textId="7D0E147E"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10,087</w:t>
            </w:r>
          </w:p>
        </w:tc>
        <w:tc>
          <w:tcPr>
            <w:tcW w:w="1144" w:type="dxa"/>
          </w:tcPr>
          <w:p w14:paraId="05C329A2" w14:textId="124A967C"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41,216</w:t>
            </w:r>
          </w:p>
        </w:tc>
      </w:tr>
      <w:tr w:rsidR="00AE069D" w:rsidRPr="00AE069D" w14:paraId="1BDEB13D" w14:textId="77777777" w:rsidTr="00FB7C22">
        <w:tc>
          <w:tcPr>
            <w:tcW w:w="1453" w:type="dxa"/>
          </w:tcPr>
          <w:p w14:paraId="2632F60E" w14:textId="11262F12"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Healthcare workers</w:t>
            </w:r>
          </w:p>
        </w:tc>
        <w:tc>
          <w:tcPr>
            <w:tcW w:w="1285" w:type="dxa"/>
          </w:tcPr>
          <w:p w14:paraId="0C162B04" w14:textId="73E3ADD9"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3,967</w:t>
            </w:r>
          </w:p>
        </w:tc>
        <w:tc>
          <w:tcPr>
            <w:tcW w:w="1285" w:type="dxa"/>
          </w:tcPr>
          <w:p w14:paraId="497CE735" w14:textId="600B7C78"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3,811</w:t>
            </w:r>
          </w:p>
        </w:tc>
        <w:tc>
          <w:tcPr>
            <w:tcW w:w="1035" w:type="dxa"/>
          </w:tcPr>
          <w:p w14:paraId="57BEC347" w14:textId="72034B00"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8,905</w:t>
            </w:r>
          </w:p>
        </w:tc>
        <w:tc>
          <w:tcPr>
            <w:tcW w:w="1035" w:type="dxa"/>
          </w:tcPr>
          <w:p w14:paraId="4C5671A1" w14:textId="0361237C"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8,017</w:t>
            </w:r>
          </w:p>
        </w:tc>
        <w:tc>
          <w:tcPr>
            <w:tcW w:w="1285" w:type="dxa"/>
          </w:tcPr>
          <w:p w14:paraId="2B520A7A" w14:textId="409AEF7D"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7,573</w:t>
            </w:r>
          </w:p>
        </w:tc>
        <w:tc>
          <w:tcPr>
            <w:tcW w:w="1144" w:type="dxa"/>
          </w:tcPr>
          <w:p w14:paraId="0568ADC2" w14:textId="7370CADE"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14</w:t>
            </w:r>
            <w:r w:rsidR="00F23A1C">
              <w:rPr>
                <w:color w:val="000000" w:themeColor="text1"/>
                <w:sz w:val="20"/>
                <w:szCs w:val="20"/>
                <w:lang w:val="en-US"/>
              </w:rPr>
              <w:t>,</w:t>
            </w:r>
            <w:r w:rsidRPr="00AE069D">
              <w:rPr>
                <w:color w:val="000000" w:themeColor="text1"/>
                <w:sz w:val="20"/>
                <w:szCs w:val="20"/>
                <w:lang w:val="en-US"/>
              </w:rPr>
              <w:t>392</w:t>
            </w:r>
          </w:p>
        </w:tc>
      </w:tr>
      <w:tr w:rsidR="00BE2223" w:rsidRPr="00AE069D" w14:paraId="2F167655" w14:textId="77777777" w:rsidTr="00FB7C22">
        <w:tc>
          <w:tcPr>
            <w:tcW w:w="1453" w:type="dxa"/>
          </w:tcPr>
          <w:p w14:paraId="494228C2" w14:textId="18E0A45C"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Locations</w:t>
            </w:r>
          </w:p>
        </w:tc>
        <w:tc>
          <w:tcPr>
            <w:tcW w:w="1285" w:type="dxa"/>
          </w:tcPr>
          <w:p w14:paraId="0A226BC7"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574</w:t>
            </w:r>
          </w:p>
        </w:tc>
        <w:tc>
          <w:tcPr>
            <w:tcW w:w="1285" w:type="dxa"/>
          </w:tcPr>
          <w:p w14:paraId="658D67D7"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587</w:t>
            </w:r>
          </w:p>
        </w:tc>
        <w:tc>
          <w:tcPr>
            <w:tcW w:w="1035" w:type="dxa"/>
          </w:tcPr>
          <w:p w14:paraId="7CD585EF"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587</w:t>
            </w:r>
          </w:p>
        </w:tc>
        <w:tc>
          <w:tcPr>
            <w:tcW w:w="1035" w:type="dxa"/>
          </w:tcPr>
          <w:p w14:paraId="26801212"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533</w:t>
            </w:r>
          </w:p>
        </w:tc>
        <w:tc>
          <w:tcPr>
            <w:tcW w:w="1285" w:type="dxa"/>
          </w:tcPr>
          <w:p w14:paraId="1A41F3EA"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606</w:t>
            </w:r>
          </w:p>
        </w:tc>
        <w:tc>
          <w:tcPr>
            <w:tcW w:w="1144" w:type="dxa"/>
          </w:tcPr>
          <w:p w14:paraId="6F371466" w14:textId="77777777" w:rsidR="00BE2223" w:rsidRPr="00AE069D" w:rsidRDefault="00BE2223" w:rsidP="00FB7C22">
            <w:pPr>
              <w:pStyle w:val="NormalWeb"/>
              <w:spacing w:before="0" w:beforeAutospacing="0" w:after="0" w:afterAutospacing="0"/>
              <w:rPr>
                <w:color w:val="000000" w:themeColor="text1"/>
                <w:sz w:val="20"/>
                <w:szCs w:val="20"/>
                <w:lang w:val="en-US"/>
              </w:rPr>
            </w:pPr>
            <w:r w:rsidRPr="00AE069D">
              <w:rPr>
                <w:color w:val="000000" w:themeColor="text1"/>
                <w:sz w:val="20"/>
                <w:szCs w:val="20"/>
                <w:lang w:val="en-US"/>
              </w:rPr>
              <w:t>685</w:t>
            </w:r>
          </w:p>
        </w:tc>
      </w:tr>
    </w:tbl>
    <w:p w14:paraId="0C16CAA0" w14:textId="6168188E" w:rsidR="00BE2223" w:rsidRPr="00AE069D" w:rsidRDefault="00BE2223" w:rsidP="00BE2223">
      <w:pPr>
        <w:spacing w:line="480" w:lineRule="auto"/>
        <w:rPr>
          <w:color w:val="000000" w:themeColor="text1"/>
        </w:rPr>
      </w:pPr>
    </w:p>
    <w:p w14:paraId="7182D929" w14:textId="1EAA9170" w:rsidR="00BE2223" w:rsidRPr="00AE069D" w:rsidRDefault="00BE2223" w:rsidP="00BE2223">
      <w:pPr>
        <w:spacing w:line="480" w:lineRule="auto"/>
        <w:rPr>
          <w:color w:val="000000" w:themeColor="text1"/>
          <w:lang w:val="en-US"/>
        </w:rPr>
      </w:pPr>
      <w:r w:rsidRPr="00AE069D">
        <w:rPr>
          <w:color w:val="000000" w:themeColor="text1"/>
          <w:lang w:val="en-US"/>
        </w:rPr>
        <w:t>However, the electronic health records (EHRs) utilized for constructing the contact networks only contain interactions where both patients and healthcare providers are present. Therefore, interactions between only healthcare providers, such as two providers simultaneously in the breakroom, are not documented. Additionally, while other individuals like visitors, hospital administrators, and janitorial staff can contribute to the spread of MRSA, their interactions are not captured within the EHRs.</w:t>
      </w:r>
    </w:p>
    <w:p w14:paraId="0988A2CD" w14:textId="61E2257E" w:rsidR="00BE2223" w:rsidRDefault="00BE2223" w:rsidP="00BE2223">
      <w:pPr>
        <w:spacing w:line="480" w:lineRule="auto"/>
        <w:rPr>
          <w:color w:val="000000" w:themeColor="text1"/>
          <w:lang w:val="en-US"/>
        </w:rPr>
      </w:pPr>
    </w:p>
    <w:p w14:paraId="246C5EF5" w14:textId="77777777" w:rsidR="00AA1093" w:rsidRPr="008659E4" w:rsidRDefault="00AA1093" w:rsidP="00AA1093">
      <w:pPr>
        <w:spacing w:line="480" w:lineRule="auto"/>
        <w:rPr>
          <w:color w:val="000000"/>
        </w:rPr>
      </w:pPr>
      <w:r w:rsidRPr="008659E4">
        <w:rPr>
          <w:b/>
          <w:bCs/>
          <w:color w:val="000000"/>
        </w:rPr>
        <w:t>Modeling MRSA spread on heterogeneous contact networks</w:t>
      </w:r>
    </w:p>
    <w:p w14:paraId="6C83931A" w14:textId="720FD695" w:rsidR="00AA1093" w:rsidRDefault="00AA1093" w:rsidP="00AA1093">
      <w:pPr>
        <w:spacing w:line="480" w:lineRule="auto"/>
        <w:rPr>
          <w:color w:val="000000"/>
        </w:rPr>
      </w:pPr>
      <w:r w:rsidRPr="006326CE">
        <w:rPr>
          <w:color w:val="000000"/>
        </w:rPr>
        <w:t xml:space="preserve">There are two pathways in MRSA transmission: (1) Direct contacts via patient-patient contacts, and (2) indirect exposure through contact with contaminated physical surfaces/locations or HCWs who come in contact with infected patients, which can, in turn, spread to healthy people (i.e., exposed). Traditional contact networks can only capture direct contacts between individuals. Therefore, heterogeneous contact networks, which represent different kinds of entities and their interactions,  are required to model both pathways in MRSA transmission. Compared to traditional contact networks with only patient-to-patient connections, heterogeneous contact networks can capture pairwise relationships among diverse entities in real-life </w:t>
      </w:r>
      <w:r w:rsidRPr="007139F2">
        <w:rPr>
          <w:color w:val="000000"/>
        </w:rPr>
        <w:t>settings</w:t>
      </w:r>
      <w:r w:rsidR="002E129E">
        <w:rPr>
          <w:color w:val="000000"/>
        </w:rPr>
        <w:fldChar w:fldCharType="begin"/>
      </w:r>
      <w:r w:rsidR="002E129E">
        <w:rPr>
          <w:color w:val="000000"/>
        </w:rPr>
        <w:instrText xml:space="preserve"> ADDIN EN.CITE &lt;EndNote&gt;&lt;Cite&gt;&lt;Author&gt;Roth&lt;/Author&gt;&lt;Year&gt;2016&lt;/Year&gt;&lt;RecNum&gt;30&lt;/RecNum&gt;&lt;DisplayText&gt;&lt;style face="superscript"&gt;1&lt;/style&gt;&lt;/DisplayText&gt;&lt;record&gt;&lt;rec-number&gt;30&lt;/rec-number&gt;&lt;foreign-keys&gt;&lt;key app="EN" db-id="2a5p0tfvft9vskee0acxxxrwwvz2f5zavped" timestamp="1676147335"&gt;30&lt;/key&gt;&lt;/foreign-keys&gt;&lt;ref-type name="Journal Article"&gt;17&lt;/ref-type&gt;&lt;contributors&gt;&lt;authors&gt;&lt;author&gt;Roth, Virginia R&lt;/author&gt;&lt;author&gt;Longpre, Tara&lt;/author&gt;&lt;author&gt;Coyle, Doug&lt;/author&gt;&lt;author&gt;Suh, Kathryn N&lt;/author&gt;&lt;author&gt;Taljaard, Monica&lt;/author&gt;&lt;author&gt;Muldoon, Katherine A&lt;/author&gt;&lt;author&gt;Ramotar, Karamchand&lt;/author&gt;&lt;author&gt;Forster, Alan&lt;/author&gt;&lt;/authors&gt;&lt;/contributors&gt;&lt;titles&gt;&lt;title&gt;Cost analysis of universal screening vs. risk factor-based screening for methicillin-resistant Staphylococcus aureus (MRSA)&lt;/title&gt;&lt;secondary-title&gt;PLOS ONE&lt;/secondary-title&gt;&lt;/titles&gt;&lt;periodical&gt;&lt;full-title&gt;PloS one&lt;/full-title&gt;&lt;/periodical&gt;&lt;pages&gt;e0159667&lt;/pages&gt;&lt;volume&gt;11&lt;/volume&gt;&lt;number&gt;7&lt;/number&gt;&lt;dates&gt;&lt;year&gt;2016&lt;/year&gt;&lt;/dates&gt;&lt;isbn&gt;1932-6203&lt;/isbn&gt;&lt;urls&gt;&lt;/urls&gt;&lt;/record&gt;&lt;/Cite&gt;&lt;/EndNote&gt;</w:instrText>
      </w:r>
      <w:r w:rsidR="002E129E">
        <w:rPr>
          <w:color w:val="000000"/>
        </w:rPr>
        <w:fldChar w:fldCharType="separate"/>
      </w:r>
      <w:r w:rsidR="002E129E" w:rsidRPr="002E129E">
        <w:rPr>
          <w:noProof/>
          <w:color w:val="000000"/>
          <w:vertAlign w:val="superscript"/>
        </w:rPr>
        <w:t>1</w:t>
      </w:r>
      <w:r w:rsidR="002E129E">
        <w:rPr>
          <w:color w:val="000000"/>
        </w:rPr>
        <w:fldChar w:fldCharType="end"/>
      </w:r>
      <w:r w:rsidRPr="006326CE">
        <w:rPr>
          <w:color w:val="000000"/>
        </w:rPr>
        <w:t xml:space="preserve">. We construct a series of heterogeneous contact networks for the UVA </w:t>
      </w:r>
      <w:r w:rsidRPr="006326CE">
        <w:rPr>
          <w:color w:val="000000"/>
        </w:rPr>
        <w:lastRenderedPageBreak/>
        <w:t>hospital, comprising three types of entities: patients, healthcare workers (HCWs), and locations to model both MRSA transmission pathways.</w:t>
      </w:r>
    </w:p>
    <w:p w14:paraId="0EAF2BD5" w14:textId="11E07AD2" w:rsidR="00AA1093" w:rsidRDefault="00AA1093" w:rsidP="00AA1093">
      <w:pPr>
        <w:spacing w:line="480" w:lineRule="auto"/>
        <w:rPr>
          <w:color w:val="000000"/>
        </w:rPr>
      </w:pPr>
      <w:r w:rsidRPr="006326CE">
        <w:rPr>
          <w:color w:val="000000"/>
        </w:rPr>
        <w:t xml:space="preserve">One challenge in utilizing heterogeneous contact networks is that traditional infectious disease models cannot be applied </w:t>
      </w:r>
      <w:r w:rsidRPr="007139F2">
        <w:rPr>
          <w:color w:val="000000"/>
        </w:rPr>
        <w:t>directly</w:t>
      </w:r>
      <w:r w:rsidR="002E129E">
        <w:rPr>
          <w:color w:val="000000"/>
        </w:rPr>
        <w:fldChar w:fldCharType="begin">
          <w:fldData xml:space="preserve">PEVuZE5vdGU+PENpdGU+PEF1dGhvcj5XYWduZXI8L0F1dGhvcj48WWVhcj4yMDE4PC9ZZWFyPjxS
ZWNOdW0+MTU8L1JlY051bT48RGlzcGxheVRleHQ+PHN0eWxlIGZhY2U9InN1cGVyc2NyaXB0Ij4y
LTQ8L3N0eWxlPjwvRGlzcGxheVRleHQ+PHJlY29yZD48cmVjLW51bWJlcj4xNTwvcmVjLW51bWJl
cj48Zm9yZWlnbi1rZXlzPjxrZXkgYXBwPSJFTiIgZGItaWQ9IjJhNXAwdGZ2ZnQ5dnNrZWUwYWN4
eHhyd3d2ejJmNXphdnBlZCIgdGltZXN0YW1wPSIxNjc2MTQ2NDI0Ij4xNTwva2V5PjwvZm9yZWln
bi1rZXlzPjxyZWYtdHlwZSBuYW1lPSJKb3VybmFsIEFydGljbGUiPjE3PC9yZWYtdHlwZT48Y29u
dHJpYnV0b3JzPjxhdXRob3JzPjxhdXRob3I+V2FnbmVyLCBSZWJla2FoPC9hdXRob3I+PGF1dGhv
cj5BZ3VzdG8sIEZvbGFzaGFkZSBCPC9hdXRob3I+PC9hdXRob3JzPjwvY29udHJpYnV0b3JzPjx0
aXRsZXM+PHRpdGxlPlRyYW5zbWlzc2lvbiBkeW5hbWljcyBmb3IgTWV0aGljaWxpbi1yZXNpc3Rh
bnQgU3RhcGhhbG9jb2NvdXMgYXJldXMgd2l0aCBpbmplY3Rpb24gZHJ1ZyB1c2VyPC90aXRsZT48
c2Vjb25kYXJ5LXRpdGxlPkJNQyBJbmZlY3Rpb3VzIERpc2Vhc2VzPC9zZWNvbmRhcnktdGl0bGU+
PC90aXRsZXM+PHBlcmlvZGljYWw+PGZ1bGwtdGl0bGU+Qk1DIEluZmVjdGlvdXMgRGlzZWFzZXM8
L2Z1bGwtdGl0bGU+PC9wZXJpb2RpY2FsPjxwYWdlcz4xLTE4PC9wYWdlcz48dm9sdW1lPjE4PC92
b2x1bWU+PG51bWJlcj4xPC9udW1iZXI+PGRhdGVzPjx5ZWFyPjIwMTg8L3llYXI+PC9kYXRlcz48
aXNibj4xNDcxLTIzMzQ8L2lzYm4+PHVybHM+PC91cmxzPjwvcmVjb3JkPjwvQ2l0ZT48Q2l0ZT48
QXV0aG9yPldhbmc8L0F1dGhvcj48WWVhcj4yMDEzPC9ZZWFyPjxSZWNOdW0+MTM8L1JlY051bT48
cmVjb3JkPjxyZWMtbnVtYmVyPjEzPC9yZWMtbnVtYmVyPjxmb3JlaWduLWtleXM+PGtleSBhcHA9
IkVOIiBkYi1pZD0iMmE1cDB0ZnZmdDl2c2tlZTBhY3h4eHJ3d3Z6MmY1emF2cGVkIiB0aW1lc3Rh
bXA9IjE2NzYxNDY0MjIiPjEzPC9rZXk+PC9mb3JlaWduLWtleXM+PHJlZi10eXBlIG5hbWU9Ikpv
dXJuYWwgQXJ0aWNsZSI+MTc8L3JlZi10eXBlPjxjb250cmlidXRvcnM+PGF1dGhvcnM+PGF1dGhv
cj5XYW5nLCBYaWFveGlhPC9hdXRob3I+PGF1dGhvcj5QYW5jaGFuYXRoYW4sIFNhcmFkYTwvYXV0
aG9yPjxhdXRob3I+Q2hvd2VsbCwgR2VyYXJkbzwvYXV0aG9yPjwvYXV0aG9ycz48L2NvbnRyaWJ1
dG9ycz48dGl0bGVzPjx0aXRsZT5BIGRhdGEtZHJpdmVuIG1hdGhlbWF0aWNhbCBtb2RlbCBvZiBD
QS1NUlNBIHRyYW5zbWlzc2lvbiBhbW9uZyBhZ2UgZ3JvdXBzOiBldmFsdWF0aW5nIHRoZSBlZmZl
Y3Qgb2YgY29udHJvbCBpbnRlcnZlbnRpb25zPC90aXRsZT48c2Vjb25kYXJ5LXRpdGxlPlBMb1Mg
Q29tcHV0YXRpb25hbCBCaW9sb2d5PC9zZWNvbmRhcnktdGl0bGU+PC90aXRsZXM+PHBlcmlvZGlj
YWw+PGZ1bGwtdGl0bGU+UExvUyBjb21wdXRhdGlvbmFsIGJpb2xvZ3k8L2Z1bGwtdGl0bGU+PC9w
ZXJpb2RpY2FsPjxwYWdlcz5lMTAwMzMyODwvcGFnZXM+PHZvbHVtZT45PC92b2x1bWU+PG51bWJl
cj4xMTwvbnVtYmVyPjxkYXRlcz48eWVhcj4yMDEzPC95ZWFyPjwvZGF0ZXM+PGlzYm4+MTU1My03
MzRYPC9pc2JuPjx1cmxzPjxyZWxhdGVkLXVybHM+PHVybD5odHRwczovL2pvdXJuYWxzLnBsb3Mu
b3JnL3Bsb3Njb21wYmlvbC9hcnRpY2xlL2ZpbGU/aWQ9MTAuMTM3MS9qb3VybmFsLnBjYmkuMTAw
MzMyOCZhbXA7dHlwZT1wcmludGFibGU8L3VybD48L3JlbGF0ZWQtdXJscz48L3VybHM+PC9yZWNv
cmQ+PC9DaXRlPjxDaXRlPjxBdXRob3I+TWFjYWw8L0F1dGhvcj48WWVhcj4yMDE0PC9ZZWFyPjxS
ZWNOdW0+MTQ8L1JlY051bT48cmVjb3JkPjxyZWMtbnVtYmVyPjE0PC9yZWMtbnVtYmVyPjxmb3Jl
aWduLWtleXM+PGtleSBhcHA9IkVOIiBkYi1pZD0iMmE1cDB0ZnZmdDl2c2tlZTBhY3h4eHJ3d3Z6
MmY1emF2cGVkIiB0aW1lc3RhbXA9IjE2NzYxNDY0MjMiPjE0PC9rZXk+PC9mb3JlaWduLWtleXM+
PHJlZi10eXBlIG5hbWU9IkpvdXJuYWwgQXJ0aWNsZSI+MTc8L3JlZi10eXBlPjxjb250cmlidXRv
cnM+PGF1dGhvcnM+PGF1dGhvcj5NYWNhbCwgQ2hhcmxlcyBNPC9hdXRob3I+PGF1dGhvcj5Ob3J0
aCwgTWljaGFlbCBKPC9hdXRob3I+PGF1dGhvcj5Db2xsaWVyLCBOaWNob2xzb248L2F1dGhvcj48
YXV0aG9yPkR1a2ljLCBWYW5qYSBNPC9hdXRob3I+PGF1dGhvcj5XZWdlbmVyLCBEdWFuZSBUPC9h
dXRob3I+PGF1dGhvcj5EYXZpZCwgTWljaGFlbCBaPC9hdXRob3I+PGF1dGhvcj5EYXVtLCBSb2Jl
cnQgUzwvYXV0aG9yPjxhdXRob3I+U2NodW1tLCBQaGlsaXA8L2F1dGhvcj48YXV0aG9yPkV2YW5z
LCBKYW1lcyBBPC9hdXRob3I+PGF1dGhvcj5XaWxkZXIsIEpvY2VseW4gUjwvYXV0aG9yPjwvYXV0
aG9ycz48L2NvbnRyaWJ1dG9ycz48dGl0bGVzPjx0aXRsZT5Nb2RlbGluZyB0aGUgdHJhbnNtaXNz
aW9uIG9mIGNvbW11bml0eS1hc3NvY2lhdGVkIG1ldGhpY2lsbGluLXJlc2lzdGFudCBTdGFwaHls
b2NvY2N1cyBhdXJldXM6IGEgZHluYW1pYyBhZ2VudC1iYXNlZCBzaW11bGF0aW9uPC90aXRsZT48
c2Vjb25kYXJ5LXRpdGxlPkpvdXJuYWwgb2YgVHJhbnNsYXRpb25hbCBNZWRpY2luZTwvc2Vjb25k
YXJ5LXRpdGxlPjwvdGl0bGVzPjxwZXJpb2RpY2FsPjxmdWxsLXRpdGxlPkpvdXJuYWwgb2YgdHJh
bnNsYXRpb25hbCBtZWRpY2luZTwvZnVsbC10aXRsZT48L3BlcmlvZGljYWw+PHBhZ2VzPjEtMTI8
L3BhZ2VzPjx2b2x1bWU+MTI8L3ZvbHVtZT48bnVtYmVyPjE8L251bWJlcj48ZGF0ZXM+PHllYXI+
MjAxNDwveWVhcj48L2RhdGVzPjxpc2JuPjE0NzktNTg3NjwvaXNibj48dXJscz48L3VybHM+PC9y
ZWNvcmQ+PC9DaXRlPjwvRW5kTm90ZT5=
</w:fldData>
        </w:fldChar>
      </w:r>
      <w:r w:rsidR="002E129E">
        <w:rPr>
          <w:color w:val="000000"/>
        </w:rPr>
        <w:instrText xml:space="preserve"> ADDIN EN.CITE </w:instrText>
      </w:r>
      <w:r w:rsidR="002E129E">
        <w:rPr>
          <w:color w:val="000000"/>
        </w:rPr>
        <w:fldChar w:fldCharType="begin">
          <w:fldData xml:space="preserve">PEVuZE5vdGU+PENpdGU+PEF1dGhvcj5XYWduZXI8L0F1dGhvcj48WWVhcj4yMDE4PC9ZZWFyPjxS
ZWNOdW0+MTU8L1JlY051bT48RGlzcGxheVRleHQ+PHN0eWxlIGZhY2U9InN1cGVyc2NyaXB0Ij4y
LTQ8L3N0eWxlPjwvRGlzcGxheVRleHQ+PHJlY29yZD48cmVjLW51bWJlcj4xNTwvcmVjLW51bWJl
cj48Zm9yZWlnbi1rZXlzPjxrZXkgYXBwPSJFTiIgZGItaWQ9IjJhNXAwdGZ2ZnQ5dnNrZWUwYWN4
eHhyd3d2ejJmNXphdnBlZCIgdGltZXN0YW1wPSIxNjc2MTQ2NDI0Ij4xNTwva2V5PjwvZm9yZWln
bi1rZXlzPjxyZWYtdHlwZSBuYW1lPSJKb3VybmFsIEFydGljbGUiPjE3PC9yZWYtdHlwZT48Y29u
dHJpYnV0b3JzPjxhdXRob3JzPjxhdXRob3I+V2FnbmVyLCBSZWJla2FoPC9hdXRob3I+PGF1dGhv
cj5BZ3VzdG8sIEZvbGFzaGFkZSBCPC9hdXRob3I+PC9hdXRob3JzPjwvY29udHJpYnV0b3JzPjx0
aXRsZXM+PHRpdGxlPlRyYW5zbWlzc2lvbiBkeW5hbWljcyBmb3IgTWV0aGljaWxpbi1yZXNpc3Rh
bnQgU3RhcGhhbG9jb2NvdXMgYXJldXMgd2l0aCBpbmplY3Rpb24gZHJ1ZyB1c2VyPC90aXRsZT48
c2Vjb25kYXJ5LXRpdGxlPkJNQyBJbmZlY3Rpb3VzIERpc2Vhc2VzPC9zZWNvbmRhcnktdGl0bGU+
PC90aXRsZXM+PHBlcmlvZGljYWw+PGZ1bGwtdGl0bGU+Qk1DIEluZmVjdGlvdXMgRGlzZWFzZXM8
L2Z1bGwtdGl0bGU+PC9wZXJpb2RpY2FsPjxwYWdlcz4xLTE4PC9wYWdlcz48dm9sdW1lPjE4PC92
b2x1bWU+PG51bWJlcj4xPC9udW1iZXI+PGRhdGVzPjx5ZWFyPjIwMTg8L3llYXI+PC9kYXRlcz48
aXNibj4xNDcxLTIzMzQ8L2lzYm4+PHVybHM+PC91cmxzPjwvcmVjb3JkPjwvQ2l0ZT48Q2l0ZT48
QXV0aG9yPldhbmc8L0F1dGhvcj48WWVhcj4yMDEzPC9ZZWFyPjxSZWNOdW0+MTM8L1JlY051bT48
cmVjb3JkPjxyZWMtbnVtYmVyPjEzPC9yZWMtbnVtYmVyPjxmb3JlaWduLWtleXM+PGtleSBhcHA9
IkVOIiBkYi1pZD0iMmE1cDB0ZnZmdDl2c2tlZTBhY3h4eHJ3d3Z6MmY1emF2cGVkIiB0aW1lc3Rh
bXA9IjE2NzYxNDY0MjIiPjEzPC9rZXk+PC9mb3JlaWduLWtleXM+PHJlZi10eXBlIG5hbWU9Ikpv
dXJuYWwgQXJ0aWNsZSI+MTc8L3JlZi10eXBlPjxjb250cmlidXRvcnM+PGF1dGhvcnM+PGF1dGhv
cj5XYW5nLCBYaWFveGlhPC9hdXRob3I+PGF1dGhvcj5QYW5jaGFuYXRoYW4sIFNhcmFkYTwvYXV0
aG9yPjxhdXRob3I+Q2hvd2VsbCwgR2VyYXJkbzwvYXV0aG9yPjwvYXV0aG9ycz48L2NvbnRyaWJ1
dG9ycz48dGl0bGVzPjx0aXRsZT5BIGRhdGEtZHJpdmVuIG1hdGhlbWF0aWNhbCBtb2RlbCBvZiBD
QS1NUlNBIHRyYW5zbWlzc2lvbiBhbW9uZyBhZ2UgZ3JvdXBzOiBldmFsdWF0aW5nIHRoZSBlZmZl
Y3Qgb2YgY29udHJvbCBpbnRlcnZlbnRpb25zPC90aXRsZT48c2Vjb25kYXJ5LXRpdGxlPlBMb1Mg
Q29tcHV0YXRpb25hbCBCaW9sb2d5PC9zZWNvbmRhcnktdGl0bGU+PC90aXRsZXM+PHBlcmlvZGlj
YWw+PGZ1bGwtdGl0bGU+UExvUyBjb21wdXRhdGlvbmFsIGJpb2xvZ3k8L2Z1bGwtdGl0bGU+PC9w
ZXJpb2RpY2FsPjxwYWdlcz5lMTAwMzMyODwvcGFnZXM+PHZvbHVtZT45PC92b2x1bWU+PG51bWJl
cj4xMTwvbnVtYmVyPjxkYXRlcz48eWVhcj4yMDEzPC95ZWFyPjwvZGF0ZXM+PGlzYm4+MTU1My03
MzRYPC9pc2JuPjx1cmxzPjxyZWxhdGVkLXVybHM+PHVybD5odHRwczovL2pvdXJuYWxzLnBsb3Mu
b3JnL3Bsb3Njb21wYmlvbC9hcnRpY2xlL2ZpbGU/aWQ9MTAuMTM3MS9qb3VybmFsLnBjYmkuMTAw
MzMyOCZhbXA7dHlwZT1wcmludGFibGU8L3VybD48L3JlbGF0ZWQtdXJscz48L3VybHM+PC9yZWNv
cmQ+PC9DaXRlPjxDaXRlPjxBdXRob3I+TWFjYWw8L0F1dGhvcj48WWVhcj4yMDE0PC9ZZWFyPjxS
ZWNOdW0+MTQ8L1JlY051bT48cmVjb3JkPjxyZWMtbnVtYmVyPjE0PC9yZWMtbnVtYmVyPjxmb3Jl
aWduLWtleXM+PGtleSBhcHA9IkVOIiBkYi1pZD0iMmE1cDB0ZnZmdDl2c2tlZTBhY3h4eHJ3d3Z6
MmY1emF2cGVkIiB0aW1lc3RhbXA9IjE2NzYxNDY0MjMiPjE0PC9rZXk+PC9mb3JlaWduLWtleXM+
PHJlZi10eXBlIG5hbWU9IkpvdXJuYWwgQXJ0aWNsZSI+MTc8L3JlZi10eXBlPjxjb250cmlidXRv
cnM+PGF1dGhvcnM+PGF1dGhvcj5NYWNhbCwgQ2hhcmxlcyBNPC9hdXRob3I+PGF1dGhvcj5Ob3J0
aCwgTWljaGFlbCBKPC9hdXRob3I+PGF1dGhvcj5Db2xsaWVyLCBOaWNob2xzb248L2F1dGhvcj48
YXV0aG9yPkR1a2ljLCBWYW5qYSBNPC9hdXRob3I+PGF1dGhvcj5XZWdlbmVyLCBEdWFuZSBUPC9h
dXRob3I+PGF1dGhvcj5EYXZpZCwgTWljaGFlbCBaPC9hdXRob3I+PGF1dGhvcj5EYXVtLCBSb2Jl
cnQgUzwvYXV0aG9yPjxhdXRob3I+U2NodW1tLCBQaGlsaXA8L2F1dGhvcj48YXV0aG9yPkV2YW5z
LCBKYW1lcyBBPC9hdXRob3I+PGF1dGhvcj5XaWxkZXIsIEpvY2VseW4gUjwvYXV0aG9yPjwvYXV0
aG9ycz48L2NvbnRyaWJ1dG9ycz48dGl0bGVzPjx0aXRsZT5Nb2RlbGluZyB0aGUgdHJhbnNtaXNz
aW9uIG9mIGNvbW11bml0eS1hc3NvY2lhdGVkIG1ldGhpY2lsbGluLXJlc2lzdGFudCBTdGFwaHls
b2NvY2N1cyBhdXJldXM6IGEgZHluYW1pYyBhZ2VudC1iYXNlZCBzaW11bGF0aW9uPC90aXRsZT48
c2Vjb25kYXJ5LXRpdGxlPkpvdXJuYWwgb2YgVHJhbnNsYXRpb25hbCBNZWRpY2luZTwvc2Vjb25k
YXJ5LXRpdGxlPjwvdGl0bGVzPjxwZXJpb2RpY2FsPjxmdWxsLXRpdGxlPkpvdXJuYWwgb2YgdHJh
bnNsYXRpb25hbCBtZWRpY2luZTwvZnVsbC10aXRsZT48L3BlcmlvZGljYWw+PHBhZ2VzPjEtMTI8
L3BhZ2VzPjx2b2x1bWU+MTI8L3ZvbHVtZT48bnVtYmVyPjE8L251bWJlcj48ZGF0ZXM+PHllYXI+
MjAxNDwveWVhcj48L2RhdGVzPjxpc2JuPjE0NzktNTg3NjwvaXNibj48dXJscz48L3VybHM+PC9y
ZWNvcmQ+PC9DaXRlPjwvRW5kTm90ZT5=
</w:fldData>
        </w:fldChar>
      </w:r>
      <w:r w:rsidR="002E129E">
        <w:rPr>
          <w:color w:val="000000"/>
        </w:rPr>
        <w:instrText xml:space="preserve"> ADDIN EN.CITE.DATA </w:instrText>
      </w:r>
      <w:r w:rsidR="002E129E">
        <w:rPr>
          <w:color w:val="000000"/>
        </w:rPr>
      </w:r>
      <w:r w:rsidR="002E129E">
        <w:rPr>
          <w:color w:val="000000"/>
        </w:rPr>
        <w:fldChar w:fldCharType="end"/>
      </w:r>
      <w:r w:rsidR="002E129E">
        <w:rPr>
          <w:color w:val="000000"/>
        </w:rPr>
      </w:r>
      <w:r w:rsidR="002E129E">
        <w:rPr>
          <w:color w:val="000000"/>
        </w:rPr>
        <w:fldChar w:fldCharType="separate"/>
      </w:r>
      <w:r w:rsidR="002E129E" w:rsidRPr="002E129E">
        <w:rPr>
          <w:noProof/>
          <w:color w:val="000000"/>
          <w:vertAlign w:val="superscript"/>
        </w:rPr>
        <w:t>2-4</w:t>
      </w:r>
      <w:r w:rsidR="002E129E">
        <w:rPr>
          <w:color w:val="000000"/>
        </w:rPr>
        <w:fldChar w:fldCharType="end"/>
      </w:r>
      <w:r w:rsidRPr="006326CE">
        <w:rPr>
          <w:color w:val="000000"/>
        </w:rPr>
        <w:t xml:space="preserve">, as locations cannot be classified as susceptible or infectious. </w:t>
      </w:r>
      <w:r>
        <w:rPr>
          <w:color w:val="000000"/>
          <w:lang w:val="en-US"/>
        </w:rPr>
        <w:t>Consequently, s</w:t>
      </w:r>
      <w:r w:rsidRPr="006326CE">
        <w:rPr>
          <w:color w:val="000000"/>
        </w:rPr>
        <w:t xml:space="preserve">tandard SEIR-type </w:t>
      </w:r>
      <w:r w:rsidRPr="007139F2">
        <w:rPr>
          <w:color w:val="000000"/>
        </w:rPr>
        <w:t>models</w:t>
      </w:r>
      <w:r w:rsidR="002E129E">
        <w:rPr>
          <w:color w:val="000000"/>
        </w:rPr>
        <w:fldChar w:fldCharType="begin"/>
      </w:r>
      <w:r w:rsidR="002E129E">
        <w:rPr>
          <w:color w:val="000000"/>
        </w:rPr>
        <w:instrText xml:space="preserve"> ADDIN EN.CITE &lt;EndNote&gt;&lt;Cite&gt;&lt;Author&gt;Hethcote&lt;/Author&gt;&lt;Year&gt;2000&lt;/Year&gt;&lt;RecNum&gt;35&lt;/RecNum&gt;&lt;DisplayText&gt;&lt;style face="superscript"&gt;5&lt;/style&gt;&lt;/DisplayText&gt;&lt;record&gt;&lt;rec-number&gt;35&lt;/rec-number&gt;&lt;foreign-keys&gt;&lt;key app="EN" db-id="2a5p0tfvft9vskee0acxxxrwwvz2f5zavped" timestamp="1676147435"&gt;35&lt;/key&gt;&lt;/foreign-keys&gt;&lt;ref-type name="Journal Article"&gt;17&lt;/ref-type&gt;&lt;contributors&gt;&lt;authors&gt;&lt;author&gt;Hethcote, Herbert W&lt;/author&gt;&lt;/authors&gt;&lt;/contributors&gt;&lt;titles&gt;&lt;title&gt;The mathematics of infectious diseases&lt;/title&gt;&lt;secondary-title&gt;SIAM review&lt;/secondary-title&gt;&lt;/titles&gt;&lt;periodical&gt;&lt;full-title&gt;SIAM review&lt;/full-title&gt;&lt;/periodical&gt;&lt;pages&gt;599-653&lt;/pages&gt;&lt;volume&gt;42&lt;/volume&gt;&lt;number&gt;4&lt;/number&gt;&lt;dates&gt;&lt;year&gt;2000&lt;/year&gt;&lt;/dates&gt;&lt;isbn&gt;0036-1445&lt;/isbn&gt;&lt;urls&gt;&lt;/urls&gt;&lt;/record&gt;&lt;/Cite&gt;&lt;/EndNote&gt;</w:instrText>
      </w:r>
      <w:r w:rsidR="002E129E">
        <w:rPr>
          <w:color w:val="000000"/>
        </w:rPr>
        <w:fldChar w:fldCharType="separate"/>
      </w:r>
      <w:r w:rsidR="002E129E" w:rsidRPr="002E129E">
        <w:rPr>
          <w:noProof/>
          <w:color w:val="000000"/>
          <w:vertAlign w:val="superscript"/>
        </w:rPr>
        <w:t>5</w:t>
      </w:r>
      <w:r w:rsidR="002E129E">
        <w:rPr>
          <w:color w:val="000000"/>
        </w:rPr>
        <w:fldChar w:fldCharType="end"/>
      </w:r>
      <w:r w:rsidRPr="006326CE">
        <w:rPr>
          <w:color w:val="000000"/>
        </w:rPr>
        <w:t xml:space="preserve"> a</w:t>
      </w:r>
      <w:r>
        <w:rPr>
          <w:color w:val="000000"/>
          <w:lang w:val="en-US"/>
        </w:rPr>
        <w:t>re</w:t>
      </w:r>
      <w:r w:rsidRPr="006326CE">
        <w:rPr>
          <w:color w:val="000000"/>
        </w:rPr>
        <w:t xml:space="preserve"> </w:t>
      </w:r>
      <w:r>
        <w:rPr>
          <w:color w:val="000000"/>
          <w:lang w:val="en-US"/>
        </w:rPr>
        <w:t>ineffective at</w:t>
      </w:r>
      <w:r w:rsidRPr="006326CE">
        <w:rPr>
          <w:color w:val="000000"/>
        </w:rPr>
        <w:t xml:space="preserve"> captur</w:t>
      </w:r>
      <w:r>
        <w:rPr>
          <w:color w:val="000000"/>
          <w:lang w:val="en-US"/>
        </w:rPr>
        <w:t>ing</w:t>
      </w:r>
      <w:r w:rsidRPr="006326CE">
        <w:rPr>
          <w:color w:val="000000"/>
        </w:rPr>
        <w:t xml:space="preserve"> complex transmission pathways involving both contaminated surfaces and direct person-to-person contacts and </w:t>
      </w:r>
      <w:r>
        <w:rPr>
          <w:color w:val="000000"/>
          <w:lang w:val="en-US"/>
        </w:rPr>
        <w:t xml:space="preserve">are </w:t>
      </w:r>
      <w:r w:rsidRPr="006326CE">
        <w:rPr>
          <w:color w:val="000000"/>
        </w:rPr>
        <w:t xml:space="preserve">therefore less suitable for modeling MRSA </w:t>
      </w:r>
      <w:r w:rsidRPr="007139F2">
        <w:rPr>
          <w:color w:val="000000"/>
        </w:rPr>
        <w:t>transmission</w:t>
      </w:r>
      <w:r w:rsidR="002E129E">
        <w:rPr>
          <w:color w:val="000000"/>
        </w:rPr>
        <w:fldChar w:fldCharType="begin">
          <w:fldData xml:space="preserve">PEVuZE5vdGU+PENpdGU+PEF1dGhvcj5KYW5nPC9BdXRob3I+PFllYXI+MjAxOTwvWWVhcj48UmVj
TnVtPjk8L1JlY051bT48RGlzcGxheVRleHQ+PHN0eWxlIGZhY2U9InN1cGVyc2NyaXB0Ij42LTk8
L3N0eWxlPjwvRGlzcGxheVRleHQ+PHJlY29yZD48cmVjLW51bWJlcj45PC9yZWMtbnVtYmVyPjxm
b3JlaWduLWtleXM+PGtleSBhcHA9IkVOIiBkYi1pZD0iMmE1cDB0ZnZmdDl2c2tlZTBhY3h4eHJ3
d3Z6MmY1emF2cGVkIiB0aW1lc3RhbXA9IjE2NzYxNDU4MDkiPjk8L2tleT48L2ZvcmVpZ24ta2V5
cz48cmVmLXR5cGUgbmFtZT0iQ29uZmVyZW5jZSBQcm9jZWVkaW5ncyI+MTA8L3JlZi10eXBlPjxj
b250cmlidXRvcnM+PGF1dGhvcnM+PGF1dGhvcj5KYW5nLCBIYW5reXU8L2F1dGhvcj48YXV0aG9y
Pkp1c3RpY2UsIFNhbXVlbDwvYXV0aG9yPjxhdXRob3I+UG9sZ3JlZW4sIFBoaWxpcCBNPC9hdXRo
b3I+PGF1dGhvcj5TZWdyZSwgQWxiZXJ0byBNPC9hdXRob3I+PGF1dGhvcj5TZXdlbGwsIERhbmll
bCBLPC9hdXRob3I+PGF1dGhvcj5QZW1tYXJhanUsIFNyaXJhbSBWPC9hdXRob3I+PC9hdXRob3Jz
PjwvY29udHJpYnV0b3JzPjx0aXRsZXM+PHRpdGxlPkV2YWx1YXRpbmcgYXJjaGl0ZWN0dXJhbCBj
aGFuZ2VzIHRvIGFsdGVyIHBhdGhvZ2VuIGR5bmFtaWNzIGluIGEgZGlhbHlzaXMgdW5pdDogZm9y
IHRoZSBDREMgTUluRC1oZWFsdGhjYXJlIGdyb3VwPC90aXRsZT48c2Vjb25kYXJ5LXRpdGxlPlBy
b2NlZWRpbmdzIG9mIHRoZSAyMDE5IElFRUUvQUNNIEludGVybmF0aW9uYWwgQ29uZmVyZW5jZSBv
biBBZHZhbmNlcyBpbiBTb2NpYWwgTmV0d29ya3MgQW5hbHlzaXMgYW5kIE1pbmluZzwvc2Vjb25k
YXJ5LXRpdGxlPjwvdGl0bGVzPjxwYWdlcz45NjEtOTY4PC9wYWdlcz48ZGF0ZXM+PHllYXI+MjAx
OTwveWVhcj48L2RhdGVzPjx1cmxzPjwvdXJscz48L3JlY29yZD48L0NpdGU+PENpdGU+PEF1dGhv
cj5QbGlwYXQ8L0F1dGhvcj48WWVhcj4yMDEzPC9ZZWFyPjxSZWNOdW0+MzM8L1JlY051bT48cmVj
b3JkPjxyZWMtbnVtYmVyPjMzPC9yZWMtbnVtYmVyPjxmb3JlaWduLWtleXM+PGtleSBhcHA9IkVO
IiBkYi1pZD0iMmE1cDB0ZnZmdDl2c2tlZTBhY3h4eHJ3d3Z6MmY1emF2cGVkIiB0aW1lc3RhbXA9
IjE2NzYxNDczODAiPjMzPC9rZXk+PC9mb3JlaWduLWtleXM+PHJlZi10eXBlIG5hbWU9IkpvdXJu
YWwgQXJ0aWNsZSI+MTc8L3JlZi10eXBlPjxjb250cmlidXRvcnM+PGF1dGhvcnM+PGF1dGhvcj5Q
bGlwYXQsIE5vdHRhc29ybjwvYXV0aG9yPjxhdXRob3I+U3BpY2tuYWxsLCBJYW4gSDwvYXV0aG9y
PjxhdXRob3I+S29vcG1hbiwgSmFtZXMgUzwvYXV0aG9yPjxhdXRob3I+RWlzZW5iZXJnLCBKb3Nl
cGggTlM8L2F1dGhvcj48L2F1dGhvcnM+PC9jb250cmlidXRvcnM+PHRpdGxlcz48dGl0bGU+VGhl
IGR5bmFtaWNzIG9mIG1ldGhpY2lsbGluLXJlc2lzdGFudCBTdGFwaHlsb2NvY2N1cyBhdXJldXNl
eHBvc3VyZSBpbiBhIGhvc3BpdGFsIG1vZGVsIGFuZCB0aGUgcG90ZW50aWFsIGZvciBlbnZpcm9u
bWVudGFsIGludGVydmVudGlvbjwvdGl0bGU+PHNlY29uZGFyeS10aXRsZT5CTUMgaW5mZWN0aW91
cyBkaXNlYXNlczwvc2Vjb25kYXJ5LXRpdGxlPjwvdGl0bGVzPjxwZXJpb2RpY2FsPjxmdWxsLXRp
dGxlPkJNQyBJbmZlY3Rpb3VzIERpc2Vhc2VzPC9mdWxsLXRpdGxlPjwvcGVyaW9kaWNhbD48cGFn
ZXM+MS0xMTwvcGFnZXM+PHZvbHVtZT4xMzwvdm9sdW1lPjxudW1iZXI+MTwvbnVtYmVyPjxkYXRl
cz48eWVhcj4yMDEzPC95ZWFyPjwvZGF0ZXM+PGlzYm4+MTQ3MS0yMzM0PC9pc2JuPjx1cmxzPjwv
dXJscz48L3JlY29yZD48L0NpdGU+PENpdGU+PEF1dGhvcj5MaTwvQXV0aG9yPjxZZWFyPjIwMDk8
L1llYXI+PFJlY051bT4zNzwvUmVjTnVtPjxyZWNvcmQ+PHJlYy1udW1iZXI+Mzc8L3JlYy1udW1i
ZXI+PGZvcmVpZ24ta2V5cz48a2V5IGFwcD0iRU4iIGRiLWlkPSIyYTVwMHRmdmZ0OXZza2VlMGFj
eHh4cnd3dnoyZjV6YXZwZWQiIHRpbWVzdGFtcD0iMTY3NjE0NzQ0MiI+Mzc8L2tleT48L2ZvcmVp
Z24ta2V5cz48cmVmLXR5cGUgbmFtZT0iSm91cm5hbCBBcnRpY2xlIj4xNzwvcmVmLXR5cGU+PGNv
bnRyaWJ1dG9ycz48YXV0aG9ycz48YXV0aG9yPkxpLCBTaGVuZzwvYXV0aG9yPjxhdXRob3I+RWlz
ZW5iZXJnLCBKb3NlcGggTlM8L2F1dGhvcj48YXV0aG9yPlNwaWNrbmFsbCwgSWFuIEg8L2F1dGhv
cj48YXV0aG9yPktvb3BtYW4sIEphbWVzIFM8L2F1dGhvcj48L2F1dGhvcnM+PC9jb250cmlidXRv
cnM+PHRpdGxlcz48dGl0bGU+RHluYW1pY3MgYW5kIGNvbnRyb2wgb2YgaW5mZWN0aW9ucyB0cmFu
c21pdHRlZCBmcm9tIHBlcnNvbiB0byBwZXJzb24gdGhyb3VnaCB0aGUgZW52aXJvbm1lbnQ8L3Rp
dGxlPjxzZWNvbmRhcnktdGl0bGU+QW1lcmljYW4gSm91cm5hbCBvZiBFcGlkZW1pb2xvZ3k8L3Nl
Y29uZGFyeS10aXRsZT48L3RpdGxlcz48cGVyaW9kaWNhbD48ZnVsbC10aXRsZT5BbWVyaWNhbiBq
b3VybmFsIG9mIGVwaWRlbWlvbG9neTwvZnVsbC10aXRsZT48L3BlcmlvZGljYWw+PHBhZ2VzPjI1
Ny0yNjU8L3BhZ2VzPjx2b2x1bWU+MTcwPC92b2x1bWU+PG51bWJlcj4yPC9udW1iZXI+PGRhdGVz
Pjx5ZWFyPjIwMDk8L3llYXI+PC9kYXRlcz48aXNibj4xNDc2LTYyNTY8L2lzYm4+PHVybHM+PC91
cmxzPjwvcmVjb3JkPjwvQ2l0ZT48Q2l0ZT48QXV0aG9yPkdpYXJkaW5hPC9BdXRob3I+PFllYXI+
MjAyMjwvWWVhcj48UmVjTnVtPjM4PC9SZWNOdW0+PHJlY29yZD48cmVjLW51bWJlcj4zODwvcmVj
LW51bWJlcj48Zm9yZWlnbi1rZXlzPjxrZXkgYXBwPSJFTiIgZGItaWQ9IjJhNXAwdGZ2ZnQ5dnNr
ZWUwYWN4eHhyd3d2ejJmNXphdnBlZCIgdGltZXN0YW1wPSIxNjc2MTQ3NTY2Ij4zODwva2V5Pjwv
Zm9yZWlnbi1rZXlzPjxyZWYtdHlwZSBuYW1lPSJKb3VybmFsIEFydGljbGUiPjE3PC9yZWYtdHlw
ZT48Y29udHJpYnV0b3JzPjxhdXRob3JzPjxhdXRob3I+R2lhcmRpbmEsIEpvaG48L2F1dGhvcj48
YXV0aG9yPkJpbGluc2tpLCBBbHlzc2E8L2F1dGhvcj48YXV0aG9yPkZpdHpwYXRyaWNrLCBNZWFn
YW4gQzwvYXV0aG9yPjxhdXRob3I+S2VuZGFsbCwgRW1pbHkgQTwvYXV0aG9yPjxhdXRob3I+TGlu
YXMsIEJlbmphbWluIFA8L2F1dGhvcj48YXV0aG9yPlNhbG9tb24sIEpvc2h1YTwvYXV0aG9yPjxh
dXRob3I+Q2lhcmFuZWxsbywgQW5kcmVhIEw8L2F1dGhvcj48L2F1dGhvcnM+PC9jb250cmlidXRv
cnM+PHRpdGxlcz48dGl0bGU+TW9kZWwtZXN0aW1hdGVkIGFzc29jaWF0aW9uIGJldHdlZW4gc2lt
dWxhdGVkIFVTIGVsZW1lbnRhcnkgc2Nob29s4oCTcmVsYXRlZCBTQVJTLUNvVi0yIHRyYW5zbWlz
c2lvbiwgbWl0aWdhdGlvbiBpbnRlcnZlbnRpb25zLCBhbmQgdmFjY2luZSBjb3ZlcmFnZSBhY3Jv
c3MgbG9jYWwgaW5jaWRlbmNlIGxldmVsczwvdGl0bGU+PHNlY29uZGFyeS10aXRsZT5KQU1BIE5l
dHdvcmsgT3Blbjwvc2Vjb25kYXJ5LXRpdGxlPjwvdGl0bGVzPjxwZXJpb2RpY2FsPjxmdWxsLXRp
dGxlPkpBTUEgTmV0d29yayBPcGVuPC9mdWxsLXRpdGxlPjwvcGVyaW9kaWNhbD48cGFnZXM+ZTIx
NDc4MjctZTIxNDc4Mjc8L3BhZ2VzPjx2b2x1bWU+NTwvdm9sdW1lPjxudW1iZXI+MjwvbnVtYmVy
PjxkYXRlcz48eWVhcj4yMDIyPC95ZWFyPjwvZGF0ZXM+PHVybHM+PC91cmxzPjwvcmVjb3JkPjwv
Q2l0ZT48L0VuZE5vdGU+
</w:fldData>
        </w:fldChar>
      </w:r>
      <w:r w:rsidR="002E129E">
        <w:rPr>
          <w:color w:val="000000"/>
        </w:rPr>
        <w:instrText xml:space="preserve"> ADDIN EN.CITE </w:instrText>
      </w:r>
      <w:r w:rsidR="002E129E">
        <w:rPr>
          <w:color w:val="000000"/>
        </w:rPr>
        <w:fldChar w:fldCharType="begin">
          <w:fldData xml:space="preserve">PEVuZE5vdGU+PENpdGU+PEF1dGhvcj5KYW5nPC9BdXRob3I+PFllYXI+MjAxOTwvWWVhcj48UmVj
TnVtPjk8L1JlY051bT48RGlzcGxheVRleHQ+PHN0eWxlIGZhY2U9InN1cGVyc2NyaXB0Ij42LTk8
L3N0eWxlPjwvRGlzcGxheVRleHQ+PHJlY29yZD48cmVjLW51bWJlcj45PC9yZWMtbnVtYmVyPjxm
b3JlaWduLWtleXM+PGtleSBhcHA9IkVOIiBkYi1pZD0iMmE1cDB0ZnZmdDl2c2tlZTBhY3h4eHJ3
d3Z6MmY1emF2cGVkIiB0aW1lc3RhbXA9IjE2NzYxNDU4MDkiPjk8L2tleT48L2ZvcmVpZ24ta2V5
cz48cmVmLXR5cGUgbmFtZT0iQ29uZmVyZW5jZSBQcm9jZWVkaW5ncyI+MTA8L3JlZi10eXBlPjxj
b250cmlidXRvcnM+PGF1dGhvcnM+PGF1dGhvcj5KYW5nLCBIYW5reXU8L2F1dGhvcj48YXV0aG9y
Pkp1c3RpY2UsIFNhbXVlbDwvYXV0aG9yPjxhdXRob3I+UG9sZ3JlZW4sIFBoaWxpcCBNPC9hdXRo
b3I+PGF1dGhvcj5TZWdyZSwgQWxiZXJ0byBNPC9hdXRob3I+PGF1dGhvcj5TZXdlbGwsIERhbmll
bCBLPC9hdXRob3I+PGF1dGhvcj5QZW1tYXJhanUsIFNyaXJhbSBWPC9hdXRob3I+PC9hdXRob3Jz
PjwvY29udHJpYnV0b3JzPjx0aXRsZXM+PHRpdGxlPkV2YWx1YXRpbmcgYXJjaGl0ZWN0dXJhbCBj
aGFuZ2VzIHRvIGFsdGVyIHBhdGhvZ2VuIGR5bmFtaWNzIGluIGEgZGlhbHlzaXMgdW5pdDogZm9y
IHRoZSBDREMgTUluRC1oZWFsdGhjYXJlIGdyb3VwPC90aXRsZT48c2Vjb25kYXJ5LXRpdGxlPlBy
b2NlZWRpbmdzIG9mIHRoZSAyMDE5IElFRUUvQUNNIEludGVybmF0aW9uYWwgQ29uZmVyZW5jZSBv
biBBZHZhbmNlcyBpbiBTb2NpYWwgTmV0d29ya3MgQW5hbHlzaXMgYW5kIE1pbmluZzwvc2Vjb25k
YXJ5LXRpdGxlPjwvdGl0bGVzPjxwYWdlcz45NjEtOTY4PC9wYWdlcz48ZGF0ZXM+PHllYXI+MjAx
OTwveWVhcj48L2RhdGVzPjx1cmxzPjwvdXJscz48L3JlY29yZD48L0NpdGU+PENpdGU+PEF1dGhv
cj5QbGlwYXQ8L0F1dGhvcj48WWVhcj4yMDEzPC9ZZWFyPjxSZWNOdW0+MzM8L1JlY051bT48cmVj
b3JkPjxyZWMtbnVtYmVyPjMzPC9yZWMtbnVtYmVyPjxmb3JlaWduLWtleXM+PGtleSBhcHA9IkVO
IiBkYi1pZD0iMmE1cDB0ZnZmdDl2c2tlZTBhY3h4eHJ3d3Z6MmY1emF2cGVkIiB0aW1lc3RhbXA9
IjE2NzYxNDczODAiPjMzPC9rZXk+PC9mb3JlaWduLWtleXM+PHJlZi10eXBlIG5hbWU9IkpvdXJu
YWwgQXJ0aWNsZSI+MTc8L3JlZi10eXBlPjxjb250cmlidXRvcnM+PGF1dGhvcnM+PGF1dGhvcj5Q
bGlwYXQsIE5vdHRhc29ybjwvYXV0aG9yPjxhdXRob3I+U3BpY2tuYWxsLCBJYW4gSDwvYXV0aG9y
PjxhdXRob3I+S29vcG1hbiwgSmFtZXMgUzwvYXV0aG9yPjxhdXRob3I+RWlzZW5iZXJnLCBKb3Nl
cGggTlM8L2F1dGhvcj48L2F1dGhvcnM+PC9jb250cmlidXRvcnM+PHRpdGxlcz48dGl0bGU+VGhl
IGR5bmFtaWNzIG9mIG1ldGhpY2lsbGluLXJlc2lzdGFudCBTdGFwaHlsb2NvY2N1cyBhdXJldXNl
eHBvc3VyZSBpbiBhIGhvc3BpdGFsIG1vZGVsIGFuZCB0aGUgcG90ZW50aWFsIGZvciBlbnZpcm9u
bWVudGFsIGludGVydmVudGlvbjwvdGl0bGU+PHNlY29uZGFyeS10aXRsZT5CTUMgaW5mZWN0aW91
cyBkaXNlYXNlczwvc2Vjb25kYXJ5LXRpdGxlPjwvdGl0bGVzPjxwZXJpb2RpY2FsPjxmdWxsLXRp
dGxlPkJNQyBJbmZlY3Rpb3VzIERpc2Vhc2VzPC9mdWxsLXRpdGxlPjwvcGVyaW9kaWNhbD48cGFn
ZXM+MS0xMTwvcGFnZXM+PHZvbHVtZT4xMzwvdm9sdW1lPjxudW1iZXI+MTwvbnVtYmVyPjxkYXRl
cz48eWVhcj4yMDEzPC95ZWFyPjwvZGF0ZXM+PGlzYm4+MTQ3MS0yMzM0PC9pc2JuPjx1cmxzPjwv
dXJscz48L3JlY29yZD48L0NpdGU+PENpdGU+PEF1dGhvcj5MaTwvQXV0aG9yPjxZZWFyPjIwMDk8
L1llYXI+PFJlY051bT4zNzwvUmVjTnVtPjxyZWNvcmQ+PHJlYy1udW1iZXI+Mzc8L3JlYy1udW1i
ZXI+PGZvcmVpZ24ta2V5cz48a2V5IGFwcD0iRU4iIGRiLWlkPSIyYTVwMHRmdmZ0OXZza2VlMGFj
eHh4cnd3dnoyZjV6YXZwZWQiIHRpbWVzdGFtcD0iMTY3NjE0NzQ0MiI+Mzc8L2tleT48L2ZvcmVp
Z24ta2V5cz48cmVmLXR5cGUgbmFtZT0iSm91cm5hbCBBcnRpY2xlIj4xNzwvcmVmLXR5cGU+PGNv
bnRyaWJ1dG9ycz48YXV0aG9ycz48YXV0aG9yPkxpLCBTaGVuZzwvYXV0aG9yPjxhdXRob3I+RWlz
ZW5iZXJnLCBKb3NlcGggTlM8L2F1dGhvcj48YXV0aG9yPlNwaWNrbmFsbCwgSWFuIEg8L2F1dGhv
cj48YXV0aG9yPktvb3BtYW4sIEphbWVzIFM8L2F1dGhvcj48L2F1dGhvcnM+PC9jb250cmlidXRv
cnM+PHRpdGxlcz48dGl0bGU+RHluYW1pY3MgYW5kIGNvbnRyb2wgb2YgaW5mZWN0aW9ucyB0cmFu
c21pdHRlZCBmcm9tIHBlcnNvbiB0byBwZXJzb24gdGhyb3VnaCB0aGUgZW52aXJvbm1lbnQ8L3Rp
dGxlPjxzZWNvbmRhcnktdGl0bGU+QW1lcmljYW4gSm91cm5hbCBvZiBFcGlkZW1pb2xvZ3k8L3Nl
Y29uZGFyeS10aXRsZT48L3RpdGxlcz48cGVyaW9kaWNhbD48ZnVsbC10aXRsZT5BbWVyaWNhbiBq
b3VybmFsIG9mIGVwaWRlbWlvbG9neTwvZnVsbC10aXRsZT48L3BlcmlvZGljYWw+PHBhZ2VzPjI1
Ny0yNjU8L3BhZ2VzPjx2b2x1bWU+MTcwPC92b2x1bWU+PG51bWJlcj4yPC9udW1iZXI+PGRhdGVz
Pjx5ZWFyPjIwMDk8L3llYXI+PC9kYXRlcz48aXNibj4xNDc2LTYyNTY8L2lzYm4+PHVybHM+PC91
cmxzPjwvcmVjb3JkPjwvQ2l0ZT48Q2l0ZT48QXV0aG9yPkdpYXJkaW5hPC9BdXRob3I+PFllYXI+
MjAyMjwvWWVhcj48UmVjTnVtPjM4PC9SZWNOdW0+PHJlY29yZD48cmVjLW51bWJlcj4zODwvcmVj
LW51bWJlcj48Zm9yZWlnbi1rZXlzPjxrZXkgYXBwPSJFTiIgZGItaWQ9IjJhNXAwdGZ2ZnQ5dnNr
ZWUwYWN4eHhyd3d2ejJmNXphdnBlZCIgdGltZXN0YW1wPSIxNjc2MTQ3NTY2Ij4zODwva2V5Pjwv
Zm9yZWlnbi1rZXlzPjxyZWYtdHlwZSBuYW1lPSJKb3VybmFsIEFydGljbGUiPjE3PC9yZWYtdHlw
ZT48Y29udHJpYnV0b3JzPjxhdXRob3JzPjxhdXRob3I+R2lhcmRpbmEsIEpvaG48L2F1dGhvcj48
YXV0aG9yPkJpbGluc2tpLCBBbHlzc2E8L2F1dGhvcj48YXV0aG9yPkZpdHpwYXRyaWNrLCBNZWFn
YW4gQzwvYXV0aG9yPjxhdXRob3I+S2VuZGFsbCwgRW1pbHkgQTwvYXV0aG9yPjxhdXRob3I+TGlu
YXMsIEJlbmphbWluIFA8L2F1dGhvcj48YXV0aG9yPlNhbG9tb24sIEpvc2h1YTwvYXV0aG9yPjxh
dXRob3I+Q2lhcmFuZWxsbywgQW5kcmVhIEw8L2F1dGhvcj48L2F1dGhvcnM+PC9jb250cmlidXRv
cnM+PHRpdGxlcz48dGl0bGU+TW9kZWwtZXN0aW1hdGVkIGFzc29jaWF0aW9uIGJldHdlZW4gc2lt
dWxhdGVkIFVTIGVsZW1lbnRhcnkgc2Nob29s4oCTcmVsYXRlZCBTQVJTLUNvVi0yIHRyYW5zbWlz
c2lvbiwgbWl0aWdhdGlvbiBpbnRlcnZlbnRpb25zLCBhbmQgdmFjY2luZSBjb3ZlcmFnZSBhY3Jv
c3MgbG9jYWwgaW5jaWRlbmNlIGxldmVsczwvdGl0bGU+PHNlY29uZGFyeS10aXRsZT5KQU1BIE5l
dHdvcmsgT3Blbjwvc2Vjb25kYXJ5LXRpdGxlPjwvdGl0bGVzPjxwZXJpb2RpY2FsPjxmdWxsLXRp
dGxlPkpBTUEgTmV0d29yayBPcGVuPC9mdWxsLXRpdGxlPjwvcGVyaW9kaWNhbD48cGFnZXM+ZTIx
NDc4MjctZTIxNDc4Mjc8L3BhZ2VzPjx2b2x1bWU+NTwvdm9sdW1lPjxudW1iZXI+MjwvbnVtYmVy
PjxkYXRlcz48eWVhcj4yMDIyPC95ZWFyPjwvZGF0ZXM+PHVybHM+PC91cmxzPjwvcmVjb3JkPjwv
Q2l0ZT48L0VuZE5vdGU+
</w:fldData>
        </w:fldChar>
      </w:r>
      <w:r w:rsidR="002E129E">
        <w:rPr>
          <w:color w:val="000000"/>
        </w:rPr>
        <w:instrText xml:space="preserve"> ADDIN EN.CITE.DATA </w:instrText>
      </w:r>
      <w:r w:rsidR="002E129E">
        <w:rPr>
          <w:color w:val="000000"/>
        </w:rPr>
      </w:r>
      <w:r w:rsidR="002E129E">
        <w:rPr>
          <w:color w:val="000000"/>
        </w:rPr>
        <w:fldChar w:fldCharType="end"/>
      </w:r>
      <w:r w:rsidR="002E129E">
        <w:rPr>
          <w:color w:val="000000"/>
        </w:rPr>
      </w:r>
      <w:r w:rsidR="002E129E">
        <w:rPr>
          <w:color w:val="000000"/>
        </w:rPr>
        <w:fldChar w:fldCharType="separate"/>
      </w:r>
      <w:r w:rsidR="002E129E" w:rsidRPr="002E129E">
        <w:rPr>
          <w:noProof/>
          <w:color w:val="000000"/>
          <w:vertAlign w:val="superscript"/>
        </w:rPr>
        <w:t>6-9</w:t>
      </w:r>
      <w:r w:rsidR="002E129E">
        <w:rPr>
          <w:color w:val="000000"/>
        </w:rPr>
        <w:fldChar w:fldCharType="end"/>
      </w:r>
      <w:r w:rsidRPr="006326CE">
        <w:rPr>
          <w:color w:val="000000"/>
        </w:rPr>
        <w:t xml:space="preserve">. To address this issue, Jang et al. recently proposed an agent-based model incorporating environmental contamination, referred to as the 2-Mode-SIS </w:t>
      </w:r>
      <w:r w:rsidRPr="007139F2">
        <w:rPr>
          <w:color w:val="000000"/>
        </w:rPr>
        <w:t>model</w:t>
      </w:r>
      <w:r w:rsidR="002E129E">
        <w:rPr>
          <w:color w:val="000000"/>
        </w:rPr>
        <w:fldChar w:fldCharType="begin"/>
      </w:r>
      <w:r w:rsidR="002E129E">
        <w:rPr>
          <w:color w:val="000000"/>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rPr>
        <w:fldChar w:fldCharType="separate"/>
      </w:r>
      <w:r w:rsidR="002E129E" w:rsidRPr="002E129E">
        <w:rPr>
          <w:noProof/>
          <w:color w:val="000000"/>
          <w:vertAlign w:val="superscript"/>
        </w:rPr>
        <w:t>6</w:t>
      </w:r>
      <w:r w:rsidR="002E129E">
        <w:rPr>
          <w:color w:val="000000"/>
        </w:rPr>
        <w:fldChar w:fldCharType="end"/>
      </w:r>
      <w:r w:rsidRPr="006326CE">
        <w:rPr>
          <w:color w:val="000000"/>
        </w:rPr>
        <w:t xml:space="preserve">, to capture the spread of healthcare-associated infections (e.g., MRSA) on heterogeneous contact networks. In the 2-Mode-SIS model, the pathogen load (i.e., the amount of MRSA pathogen) for each entity is explicitly represented, and this load can change over time through pathogen exchanges via contacts (edges) between entities. Patients can be in one of two states: susceptible or carriage. The model assumes that each node carries a varying amount of pathogen over time, and pathogen exchanges among patients are driven by both direct (i.e., patient-to-patient) and indirect (HCW-mediated, location mediated, or patient-to-patient-to-patient) exposures. Additionally, the probability of a patient transitioning from a susceptible to a carriage state is determined by a dose-response function, which specifies the probability that the patient becomes infected; this probability increases with the patient's pathogen </w:t>
      </w:r>
      <w:r w:rsidRPr="007139F2">
        <w:rPr>
          <w:color w:val="000000"/>
        </w:rPr>
        <w:t>load</w:t>
      </w:r>
      <w:r w:rsidR="002E129E">
        <w:rPr>
          <w:color w:val="000000"/>
        </w:rPr>
        <w:fldChar w:fldCharType="begin"/>
      </w:r>
      <w:r w:rsidR="002E129E">
        <w:rPr>
          <w:color w:val="000000"/>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rPr>
        <w:fldChar w:fldCharType="separate"/>
      </w:r>
      <w:r w:rsidR="002E129E" w:rsidRPr="002E129E">
        <w:rPr>
          <w:noProof/>
          <w:color w:val="000000"/>
          <w:vertAlign w:val="superscript"/>
        </w:rPr>
        <w:t>6</w:t>
      </w:r>
      <w:r w:rsidR="002E129E">
        <w:rPr>
          <w:color w:val="000000"/>
        </w:rPr>
        <w:fldChar w:fldCharType="end"/>
      </w:r>
      <w:r w:rsidRPr="006326CE">
        <w:rPr>
          <w:color w:val="000000"/>
        </w:rPr>
        <w:t xml:space="preserve">. Upon entering the carriage state, patients shed additional pathogens daily, which can then be transferred to neighboring individuals and locations via edges. The shedding continues until the patient recovers (see Supplementary material for more details). Although the 2-Mode-SIS model can work on heterogeneous contact networks and effectively capture MRSA transmission </w:t>
      </w:r>
      <w:r w:rsidRPr="006326CE">
        <w:rPr>
          <w:color w:val="000000"/>
        </w:rPr>
        <w:lastRenderedPageBreak/>
        <w:t>dynamics, it cannot account for contact precautions, as there are no states designated for precautions. Therefore, we extend this 2-Mode-SIS model and propose our 2-Mode-Precaution model.</w:t>
      </w:r>
    </w:p>
    <w:p w14:paraId="3BC53275" w14:textId="77777777" w:rsidR="00AA1093" w:rsidRPr="002E129E" w:rsidRDefault="00AA1093" w:rsidP="00BE2223">
      <w:pPr>
        <w:spacing w:line="480" w:lineRule="auto"/>
        <w:rPr>
          <w:color w:val="000000" w:themeColor="text1"/>
          <w:lang w:val="en-GB"/>
        </w:rPr>
      </w:pPr>
    </w:p>
    <w:p w14:paraId="65B6D47E" w14:textId="77777777" w:rsidR="00BE2223" w:rsidRPr="00AE069D" w:rsidRDefault="00BE2223" w:rsidP="00BE2223">
      <w:pPr>
        <w:spacing w:line="480" w:lineRule="auto"/>
        <w:rPr>
          <w:color w:val="000000" w:themeColor="text1"/>
        </w:rPr>
      </w:pPr>
      <w:r w:rsidRPr="00AE069D">
        <w:rPr>
          <w:b/>
          <w:bCs/>
          <w:color w:val="000000" w:themeColor="text1"/>
        </w:rPr>
        <w:t>2-Mode-Precaution Model:</w:t>
      </w:r>
    </w:p>
    <w:p w14:paraId="323810C6" w14:textId="51769A29" w:rsidR="00BE2223" w:rsidRPr="00AE069D" w:rsidRDefault="00BE2223" w:rsidP="00EA576E">
      <w:pPr>
        <w:spacing w:line="480" w:lineRule="auto"/>
        <w:rPr>
          <w:color w:val="000000" w:themeColor="text1"/>
        </w:rPr>
      </w:pPr>
      <w:r w:rsidRPr="00AE069D">
        <w:rPr>
          <w:color w:val="000000" w:themeColor="text1"/>
        </w:rPr>
        <w:t xml:space="preserve">We slightly extend the existing 2-Mode-SIS model and propose our 2-Mode-Precaution model in this work. We </w:t>
      </w:r>
      <w:r w:rsidR="00742A3F" w:rsidRPr="00AE069D">
        <w:rPr>
          <w:color w:val="000000" w:themeColor="text1"/>
          <w:lang w:val="en-US"/>
        </w:rPr>
        <w:t xml:space="preserve">first </w:t>
      </w:r>
      <w:r w:rsidRPr="00AE069D">
        <w:rPr>
          <w:color w:val="000000" w:themeColor="text1"/>
        </w:rPr>
        <w:t>introduce the 2-Mode-SIS model in detail in the following section:</w:t>
      </w:r>
    </w:p>
    <w:p w14:paraId="2BE83BD8" w14:textId="1D277213" w:rsidR="00BE2223" w:rsidRPr="00AE069D" w:rsidRDefault="00BE2223" w:rsidP="00BE2223">
      <w:pPr>
        <w:spacing w:line="480" w:lineRule="auto"/>
        <w:rPr>
          <w:color w:val="000000" w:themeColor="text1"/>
        </w:rPr>
      </w:pPr>
      <w:r w:rsidRPr="00AE069D">
        <w:rPr>
          <w:color w:val="000000" w:themeColor="text1"/>
        </w:rPr>
        <w:t xml:space="preserve">With the heterogeneous contact networks </w:t>
      </w:r>
      <m:oMath>
        <m:r>
          <w:rPr>
            <w:rFonts w:ascii="Cambria Math" w:hAnsi="Cambria Math"/>
            <w:color w:val="000000" w:themeColor="text1"/>
          </w:rPr>
          <m:t>g=</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T</m:t>
                </m:r>
              </m:sub>
            </m:sSub>
          </m:e>
        </m:d>
      </m:oMath>
      <w:r w:rsidR="008D784D" w:rsidRPr="00AE069D">
        <w:rPr>
          <w:color w:val="000000" w:themeColor="text1"/>
          <w:lang w:val="en-US"/>
        </w:rPr>
        <w:t xml:space="preserve"> </w:t>
      </w:r>
      <w:r w:rsidRPr="00AE069D">
        <w:rPr>
          <w:color w:val="000000" w:themeColor="text1"/>
        </w:rPr>
        <w:t xml:space="preserve">for </w:t>
      </w:r>
      <m:oMath>
        <m:r>
          <w:rPr>
            <w:rFonts w:ascii="Cambria Math" w:hAnsi="Cambria Math"/>
            <w:color w:val="000000" w:themeColor="text1"/>
          </w:rPr>
          <m:t>T</m:t>
        </m:r>
      </m:oMath>
      <w:r w:rsidRPr="00AE069D">
        <w:rPr>
          <w:color w:val="000000" w:themeColor="text1"/>
        </w:rPr>
        <w:t xml:space="preserve"> days, we can represent the network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t</m:t>
            </m:r>
          </m:sub>
        </m:sSub>
      </m:oMath>
      <w:r w:rsidRPr="00AE069D">
        <w:rPr>
          <w:color w:val="000000" w:themeColor="text1"/>
        </w:rPr>
        <w:t xml:space="preserve"> for day </w:t>
      </w:r>
      <m:oMath>
        <m:r>
          <w:rPr>
            <w:rFonts w:ascii="Cambria Math" w:hAnsi="Cambria Math"/>
            <w:color w:val="000000" w:themeColor="text1"/>
          </w:rPr>
          <m:t>t</m:t>
        </m:r>
      </m:oMath>
      <w:r w:rsidRPr="00AE069D">
        <w:rPr>
          <w:color w:val="000000" w:themeColor="text1"/>
        </w:rPr>
        <w:t xml:space="preserve"> as a contact matrix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oMath>
      <w:r w:rsidRPr="00AE069D">
        <w:rPr>
          <w:color w:val="000000" w:themeColor="text1"/>
        </w:rPr>
        <w:t xml:space="preserve">, where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=1</m:t>
        </m:r>
      </m:oMath>
      <w:r w:rsidRPr="00AE069D">
        <w:rPr>
          <w:color w:val="000000" w:themeColor="text1"/>
        </w:rPr>
        <w:t xml:space="preserve"> means </w:t>
      </w:r>
      <m:oMath>
        <m:r>
          <w:rPr>
            <w:rFonts w:ascii="Cambria Math" w:hAnsi="Cambria Math"/>
            <w:color w:val="000000" w:themeColor="text1"/>
          </w:rPr>
          <m:t>i</m:t>
        </m:r>
      </m:oMath>
      <w:r w:rsidRPr="00AE069D">
        <w:rPr>
          <w:color w:val="000000" w:themeColor="text1"/>
        </w:rPr>
        <w:t xml:space="preserve"> and </w:t>
      </w:r>
      <m:oMath>
        <m:r>
          <w:rPr>
            <w:rFonts w:ascii="Cambria Math" w:hAnsi="Cambria Math"/>
            <w:color w:val="000000" w:themeColor="text1"/>
          </w:rPr>
          <m:t>j</m:t>
        </m:r>
      </m:oMath>
      <w:r w:rsidRPr="00AE069D">
        <w:rPr>
          <w:color w:val="000000" w:themeColor="text1"/>
        </w:rPr>
        <w:t xml:space="preserve"> </w:t>
      </w:r>
      <w:r w:rsidR="00407D14" w:rsidRPr="00AE069D">
        <w:rPr>
          <w:color w:val="000000" w:themeColor="text1"/>
          <w:lang w:val="en-US"/>
        </w:rPr>
        <w:t xml:space="preserve">had </w:t>
      </w:r>
      <w:r w:rsidRPr="00AE069D">
        <w:rPr>
          <w:color w:val="000000" w:themeColor="text1"/>
        </w:rPr>
        <w:t xml:space="preserve">contact with each other on day </w:t>
      </w:r>
      <m:oMath>
        <m:r>
          <w:rPr>
            <w:rFonts w:ascii="Cambria Math" w:hAnsi="Cambria Math"/>
            <w:color w:val="000000" w:themeColor="text1"/>
          </w:rPr>
          <m:t>t</m:t>
        </m:r>
      </m:oMath>
      <w:r w:rsidRPr="00AE069D">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=0</m:t>
        </m:r>
      </m:oMath>
      <w:r w:rsidR="008D784D" w:rsidRPr="00AE069D">
        <w:rPr>
          <w:color w:val="000000" w:themeColor="text1"/>
          <w:lang w:val="en-US"/>
        </w:rPr>
        <w:t xml:space="preserve"> </w:t>
      </w:r>
      <w:r w:rsidRPr="00AE069D">
        <w:rPr>
          <w:color w:val="000000" w:themeColor="text1"/>
        </w:rPr>
        <w:t xml:space="preserve">otherwise. The node set is </w:t>
      </w:r>
      <w:r w:rsidR="002A3396" w:rsidRPr="00AE069D">
        <w:rPr>
          <w:color w:val="000000" w:themeColor="text1"/>
          <w:lang w:val="en-US"/>
        </w:rPr>
        <w:t xml:space="preserve">consistent </w:t>
      </w:r>
      <w:r w:rsidRPr="00AE069D">
        <w:rPr>
          <w:color w:val="000000" w:themeColor="text1"/>
        </w:rPr>
        <w:t xml:space="preserve">across all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t</m:t>
            </m:r>
          </m:sub>
        </m:sSub>
      </m:oMath>
      <w:r w:rsidRPr="00AE069D">
        <w:rPr>
          <w:color w:val="000000" w:themeColor="text1"/>
        </w:rPr>
        <w:t xml:space="preserve"> and can represent patients, HCWs, or locations. Each node in the network carries some amount of pathogen load, which chang</w:t>
      </w:r>
      <w:r w:rsidR="002A3396" w:rsidRPr="00AE069D">
        <w:rPr>
          <w:color w:val="000000" w:themeColor="text1"/>
          <w:lang w:val="en-US"/>
        </w:rPr>
        <w:t>es</w:t>
      </w:r>
      <w:r w:rsidRPr="00AE069D">
        <w:rPr>
          <w:color w:val="000000" w:themeColor="text1"/>
        </w:rPr>
        <w:t xml:space="preserve"> over time. When two nodes</w:t>
      </w:r>
      <w:r w:rsidR="002A3396" w:rsidRPr="00AE069D">
        <w:rPr>
          <w:color w:val="000000" w:themeColor="text1"/>
          <w:lang w:val="en-US"/>
        </w:rPr>
        <w:t xml:space="preserve"> come in</w:t>
      </w:r>
      <w:r w:rsidRPr="00AE069D">
        <w:rPr>
          <w:color w:val="000000" w:themeColor="text1"/>
        </w:rPr>
        <w:t xml:space="preserve"> contact each other (i.e.,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=1</m:t>
        </m:r>
      </m:oMath>
      <w:r w:rsidRPr="00AE069D">
        <w:rPr>
          <w:color w:val="000000" w:themeColor="text1"/>
        </w:rPr>
        <w:t>), they will exchange some fraction of their pathogen loads with each other. The model use</w:t>
      </w:r>
      <w:r w:rsidR="008D784D"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to represent the fraction of pathogen loads transferred from </w:t>
      </w:r>
      <m:oMath>
        <m:r>
          <w:rPr>
            <w:rFonts w:ascii="Cambria Math" w:hAnsi="Cambria Math"/>
            <w:color w:val="000000" w:themeColor="text1"/>
          </w:rPr>
          <m:t>i</m:t>
        </m:r>
      </m:oMath>
      <w:r w:rsidRPr="00AE069D">
        <w:rPr>
          <w:color w:val="000000" w:themeColor="text1"/>
        </w:rPr>
        <w:t xml:space="preserve"> to </w:t>
      </w:r>
      <m:oMath>
        <m:r>
          <w:rPr>
            <w:rFonts w:ascii="Cambria Math" w:hAnsi="Cambria Math"/>
            <w:color w:val="000000" w:themeColor="text1"/>
          </w:rPr>
          <m:t>j</m:t>
        </m:r>
      </m:oMath>
      <w:r w:rsidRPr="00AE069D">
        <w:rPr>
          <w:color w:val="000000" w:themeColor="text1"/>
        </w:rPr>
        <w:t xml:space="preserve"> (when </w:t>
      </w:r>
      <m:oMath>
        <m:r>
          <w:rPr>
            <w:rFonts w:ascii="Cambria Math" w:hAnsi="Cambria Math"/>
            <w:color w:val="000000" w:themeColor="text1"/>
          </w:rPr>
          <m:t>i=j</m:t>
        </m:r>
      </m:oMath>
      <w:r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will be the fraction of remaining load on node </w:t>
      </w:r>
      <m:oMath>
        <m:r>
          <w:rPr>
            <w:rFonts w:ascii="Cambria Math" w:hAnsi="Cambria Math"/>
            <w:color w:val="000000" w:themeColor="text1"/>
          </w:rPr>
          <m:t>i</m:t>
        </m:r>
      </m:oMath>
      <w:r w:rsidRPr="00AE069D">
        <w:rPr>
          <w:color w:val="000000" w:themeColor="text1"/>
        </w:rPr>
        <w:t xml:space="preserve">). Using this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oMath>
      <w:r w:rsidRPr="00AE069D">
        <w:rPr>
          <w:color w:val="000000" w:themeColor="text1"/>
        </w:rPr>
        <w:t xml:space="preserve">, we can then construct the transfer matrix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oMath>
      <w:r w:rsidRPr="00AE069D">
        <w:rPr>
          <w:color w:val="000000" w:themeColor="text1"/>
        </w:rPr>
        <w:t xml:space="preserve">. Specifically, in this work, we assume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only depends on the node type of </w:t>
      </w:r>
      <m:oMath>
        <m:r>
          <w:rPr>
            <w:rFonts w:ascii="Cambria Math" w:hAnsi="Cambria Math"/>
            <w:color w:val="000000" w:themeColor="text1"/>
          </w:rPr>
          <m:t>i</m:t>
        </m:r>
      </m:oMath>
      <w:r w:rsidRPr="00AE069D">
        <w:rPr>
          <w:color w:val="000000" w:themeColor="text1"/>
        </w:rPr>
        <w:t xml:space="preserve"> and </w:t>
      </w:r>
      <m:oMath>
        <m:r>
          <w:rPr>
            <w:rFonts w:ascii="Cambria Math" w:hAnsi="Cambria Math"/>
            <w:color w:val="000000" w:themeColor="text1"/>
          </w:rPr>
          <m:t>j</m:t>
        </m:r>
      </m:oMath>
      <w:r w:rsidRPr="00AE069D">
        <w:rPr>
          <w:color w:val="000000" w:themeColor="text1"/>
        </w:rPr>
        <w:t xml:space="preserve"> (e.g.,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will be the same for any patient </w:t>
      </w:r>
      <m:oMath>
        <m:r>
          <w:rPr>
            <w:rFonts w:ascii="Cambria Math" w:hAnsi="Cambria Math"/>
            <w:color w:val="000000" w:themeColor="text1"/>
          </w:rPr>
          <m:t>i</m:t>
        </m:r>
      </m:oMath>
      <w:r w:rsidRPr="00AE069D">
        <w:rPr>
          <w:color w:val="000000" w:themeColor="text1"/>
        </w:rPr>
        <w:t xml:space="preserve"> and patient </w:t>
      </w:r>
      <m:oMath>
        <m:r>
          <w:rPr>
            <w:rFonts w:ascii="Cambria Math" w:hAnsi="Cambria Math"/>
            <w:color w:val="000000" w:themeColor="text1"/>
          </w:rPr>
          <m:t>j</m:t>
        </m:r>
      </m:oMath>
      <w:r w:rsidRPr="00AE069D">
        <w:rPr>
          <w:color w:val="000000" w:themeColor="text1"/>
        </w:rPr>
        <w:t xml:space="preserve">). Hence have 8 different values of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ijt</m:t>
            </m:r>
          </m:sub>
        </m:sSub>
      </m:oMath>
      <w:r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P→P</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P→H</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P→L</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H→P</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H→H</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H→L</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L→P</m:t>
            </m:r>
          </m:sub>
        </m:sSub>
      </m:oMath>
      <w:r w:rsidR="008D784D" w:rsidRPr="00AE069D">
        <w:rPr>
          <w:color w:val="000000" w:themeColor="text1"/>
          <w:lang w:val="en-US"/>
        </w:rPr>
        <w:t>,</w:t>
      </w:r>
      <w:r w:rsidR="008D784D" w:rsidRPr="00AE069D">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L→H</m:t>
            </m:r>
          </m:sub>
        </m:sSub>
      </m:oMath>
      <w:r w:rsidRPr="00AE069D">
        <w:rPr>
          <w:color w:val="000000" w:themeColor="text1"/>
        </w:rPr>
        <w:t>, where P,</w:t>
      </w:r>
      <w:r w:rsidR="008D784D" w:rsidRPr="00AE069D">
        <w:rPr>
          <w:color w:val="000000" w:themeColor="text1"/>
          <w:lang w:val="en-US"/>
        </w:rPr>
        <w:t xml:space="preserve"> </w:t>
      </w:r>
      <w:r w:rsidRPr="00AE069D">
        <w:rPr>
          <w:color w:val="000000" w:themeColor="text1"/>
        </w:rPr>
        <w:t>H,</w:t>
      </w:r>
      <w:r w:rsidR="008D784D" w:rsidRPr="00AE069D">
        <w:rPr>
          <w:color w:val="000000" w:themeColor="text1"/>
          <w:lang w:val="en-US"/>
        </w:rPr>
        <w:t xml:space="preserve"> </w:t>
      </w:r>
      <w:r w:rsidR="002A3396" w:rsidRPr="00AE069D">
        <w:rPr>
          <w:color w:val="000000" w:themeColor="text1"/>
          <w:lang w:val="en-US"/>
        </w:rPr>
        <w:t xml:space="preserve">and </w:t>
      </w:r>
      <w:r w:rsidRPr="00AE069D">
        <w:rPr>
          <w:color w:val="000000" w:themeColor="text1"/>
        </w:rPr>
        <w:t>L represent patients, HCWs, and locations</w:t>
      </w:r>
      <w:r w:rsidR="002A3396" w:rsidRPr="00AE069D">
        <w:rPr>
          <w:color w:val="000000" w:themeColor="text1"/>
          <w:lang w:val="en-US"/>
        </w:rPr>
        <w:t xml:space="preserve"> respectively</w:t>
      </w:r>
      <w:r w:rsidRPr="00AE069D">
        <w:rPr>
          <w:color w:val="000000" w:themeColor="text1"/>
        </w:rPr>
        <w:t xml:space="preserve">. With the transfer matrix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oMath>
      <w:r w:rsidRPr="00AE069D">
        <w:rPr>
          <w:color w:val="000000" w:themeColor="text1"/>
        </w:rPr>
        <w:t>, we can use the following equation to capture the change of loads on nodes:</w:t>
      </w:r>
    </w:p>
    <w:p w14:paraId="2DBA2968" w14:textId="77777777" w:rsidR="008D784D" w:rsidRPr="00AE069D" w:rsidRDefault="00000000" w:rsidP="008D784D">
      <w:pPr>
        <w:spacing w:line="480" w:lineRule="auto"/>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+α</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oMath>
      </m:oMathPara>
    </w:p>
    <w:p w14:paraId="22623762" w14:textId="07D2AD10" w:rsidR="00BE2223" w:rsidRPr="00AE069D" w:rsidRDefault="00BE2223" w:rsidP="00BE2223">
      <w:pPr>
        <w:spacing w:line="480" w:lineRule="auto"/>
        <w:rPr>
          <w:color w:val="000000" w:themeColor="text1"/>
        </w:rPr>
      </w:pPr>
      <w:r w:rsidRPr="00AE069D">
        <w:rPr>
          <w:color w:val="000000" w:themeColor="text1"/>
        </w:rPr>
        <w:lastRenderedPageBreak/>
        <w:t xml:space="preserve">Here,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oMath>
      <w:r w:rsidR="008D784D" w:rsidRPr="00AE069D">
        <w:rPr>
          <w:color w:val="000000" w:themeColor="text1"/>
        </w:rPr>
        <w:t xml:space="preserve"> </w:t>
      </w:r>
      <w:r w:rsidRPr="00AE069D">
        <w:rPr>
          <w:color w:val="000000" w:themeColor="text1"/>
        </w:rPr>
        <w:t xml:space="preserve">is the pathogen load vector on day </w:t>
      </w:r>
      <m:oMath>
        <m:r>
          <w:rPr>
            <w:rFonts w:ascii="Cambria Math" w:hAnsi="Cambria Math"/>
            <w:color w:val="000000" w:themeColor="text1"/>
          </w:rPr>
          <m:t>t</m:t>
        </m:r>
      </m:oMath>
      <w:r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oMath>
      <w:r w:rsidRPr="00AE069D">
        <w:rPr>
          <w:color w:val="000000" w:themeColor="text1"/>
        </w:rPr>
        <w:t xml:space="preserve"> is the carriage state vector on day </w:t>
      </w:r>
      <m:oMath>
        <m:r>
          <w:rPr>
            <w:rFonts w:ascii="Cambria Math" w:hAnsi="Cambria Math"/>
            <w:color w:val="000000" w:themeColor="text1"/>
          </w:rPr>
          <m:t>t</m:t>
        </m:r>
      </m:oMath>
      <w:r w:rsidRPr="00AE069D">
        <w:rPr>
          <w:color w:val="000000" w:themeColor="text1"/>
        </w:rPr>
        <w:t xml:space="preserve"> (i.e.,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m:t>
            </m:r>
          </m:e>
        </m:d>
        <m:r>
          <w:rPr>
            <w:rFonts w:ascii="Cambria Math" w:hAnsi="Cambria Math"/>
            <w:color w:val="000000" w:themeColor="text1"/>
          </w:rPr>
          <m:t>=1</m:t>
        </m:r>
      </m:oMath>
      <w:r w:rsidRPr="00AE069D">
        <w:rPr>
          <w:color w:val="000000" w:themeColor="text1"/>
        </w:rPr>
        <w:t xml:space="preserve"> means </w:t>
      </w:r>
      <m:oMath>
        <m:r>
          <w:rPr>
            <w:rFonts w:ascii="Cambria Math" w:hAnsi="Cambria Math"/>
            <w:color w:val="000000" w:themeColor="text1"/>
          </w:rPr>
          <m:t>i</m:t>
        </m:r>
      </m:oMath>
      <w:r w:rsidRPr="00AE069D">
        <w:rPr>
          <w:color w:val="000000" w:themeColor="text1"/>
        </w:rPr>
        <w:t xml:space="preserve"> is carriage, and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m:t>
            </m:r>
          </m:e>
        </m:d>
        <m:r>
          <w:rPr>
            <w:rFonts w:ascii="Cambria Math" w:hAnsi="Cambria Math"/>
            <w:color w:val="000000" w:themeColor="text1"/>
          </w:rPr>
          <m:t>=0</m:t>
        </m:r>
      </m:oMath>
      <w:r w:rsidR="008D784D" w:rsidRPr="00AE069D">
        <w:rPr>
          <w:color w:val="000000" w:themeColor="text1"/>
          <w:lang w:val="en-US"/>
        </w:rPr>
        <w:t xml:space="preserve"> </w:t>
      </w:r>
      <w:r w:rsidRPr="00AE069D">
        <w:rPr>
          <w:color w:val="000000" w:themeColor="text1"/>
        </w:rPr>
        <w:t xml:space="preserve">otherwise), </w:t>
      </w:r>
      <m:oMath>
        <m:r>
          <w:rPr>
            <w:rFonts w:ascii="Cambria Math" w:hAnsi="Cambria Math"/>
            <w:color w:val="000000" w:themeColor="text1"/>
          </w:rPr>
          <m:t>α</m:t>
        </m:r>
      </m:oMath>
      <w:r w:rsidR="008D784D" w:rsidRPr="00AE069D">
        <w:rPr>
          <w:color w:val="000000" w:themeColor="text1"/>
        </w:rPr>
        <w:t xml:space="preserve"> </w:t>
      </w:r>
      <w:r w:rsidRPr="00AE069D">
        <w:rPr>
          <w:color w:val="000000" w:themeColor="text1"/>
        </w:rPr>
        <w:t xml:space="preserve">is the shedding rate of loads for carriage patients. The first term captures the transfer of loads among nodes via edges. The second describes how the loads increase in carriage patients. </w:t>
      </w:r>
      <w:r w:rsidR="002A3396" w:rsidRPr="00AE069D">
        <w:rPr>
          <w:color w:val="000000" w:themeColor="text1"/>
          <w:lang w:val="en-US"/>
        </w:rPr>
        <w:t>Note that</w:t>
      </w:r>
      <w:r w:rsidRPr="00AE069D">
        <w:rPr>
          <w:color w:val="000000" w:themeColor="text1"/>
        </w:rPr>
        <w:t xml:space="preserve"> we assume only patients can be in the carriage state</w:t>
      </w:r>
      <w:r w:rsidR="002A3396" w:rsidRPr="00AE069D">
        <w:rPr>
          <w:color w:val="000000" w:themeColor="text1"/>
          <w:lang w:val="en-US"/>
        </w:rPr>
        <w:t xml:space="preserve">, so </w:t>
      </w:r>
      <w:r w:rsidRPr="00AE069D">
        <w:rPr>
          <w:color w:val="000000" w:themeColor="text1"/>
        </w:rPr>
        <w:t xml:space="preserve">HCWs and locations can carry some pathogen loads but will not be infected or colonized. Note that the column-sums of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oMath>
      <w:r w:rsidRPr="00AE069D">
        <w:rPr>
          <w:color w:val="000000" w:themeColor="text1"/>
        </w:rPr>
        <w:t xml:space="preserve"> are less than or equal to 1, which implies that the total amount of pathogen cannot increase after transfer (i.e.,</w:t>
      </w:r>
      <w:r w:rsidR="008D784D" w:rsidRPr="00AE069D">
        <w:rPr>
          <w:color w:val="000000" w:themeColor="text1"/>
          <w:lang w:val="en-US"/>
        </w:rPr>
        <w:t xml:space="preserve"> </w:t>
      </w:r>
      <m:oMath>
        <m:sSub>
          <m:sSubPr>
            <m:ctrlPr>
              <w:rPr>
                <w:rFonts w:ascii="Cambria Math" w:hAnsi="Cambria Math"/>
                <w:i/>
                <w:color w:val="000000" w:themeColor="text1"/>
                <w:lang w:val="en-US"/>
              </w:rPr>
            </m:ctrlPr>
          </m:sSubPr>
          <m:e>
            <m:d>
              <m:dPr>
                <m:begChr m:val="‖"/>
                <m:endChr m:val="‖"/>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w:rPr>
                        <w:rFonts w:ascii="Cambria Math" w:hAnsi="Cambria Math"/>
                        <w:color w:val="000000" w:themeColor="text1"/>
                        <w:lang w:val="en-US"/>
                      </w:rPr>
                      <m:t>R</m:t>
                    </m:r>
                  </m:e>
                  <m:sub>
                    <m:r>
                      <w:rPr>
                        <w:rFonts w:ascii="Cambria Math" w:hAnsi="Cambria Math"/>
                        <w:color w:val="000000" w:themeColor="text1"/>
                        <w:lang w:val="en-US"/>
                      </w:rPr>
                      <m:t>t</m:t>
                    </m:r>
                  </m:sub>
                </m:sSub>
                <m:sSub>
                  <m:sSubPr>
                    <m:ctrlPr>
                      <w:rPr>
                        <w:rFonts w:ascii="Cambria Math" w:hAnsi="Cambria Math"/>
                        <w:i/>
                        <w:color w:val="000000" w:themeColor="text1"/>
                        <w:lang w:val="en-US"/>
                      </w:rPr>
                    </m:ctrlPr>
                  </m:sSubPr>
                  <m:e>
                    <m:r>
                      <w:rPr>
                        <w:rFonts w:ascii="Cambria Math" w:hAnsi="Cambria Math"/>
                        <w:color w:val="000000" w:themeColor="text1"/>
                        <w:lang w:val="en-US"/>
                      </w:rPr>
                      <m:t>l</m:t>
                    </m:r>
                  </m:e>
                  <m:sub>
                    <m:r>
                      <w:rPr>
                        <w:rFonts w:ascii="Cambria Math" w:hAnsi="Cambria Math"/>
                        <w:color w:val="000000" w:themeColor="text1"/>
                        <w:lang w:val="en-US"/>
                      </w:rPr>
                      <m:t>t</m:t>
                    </m:r>
                  </m:sub>
                </m:sSub>
              </m:e>
            </m:d>
          </m:e>
          <m:sub>
            <m:r>
              <w:rPr>
                <w:rFonts w:ascii="Cambria Math" w:hAnsi="Cambria Math"/>
                <w:color w:val="000000" w:themeColor="text1"/>
                <w:lang w:val="en-US"/>
              </w:rPr>
              <m:t>1</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d>
              <m:dPr>
                <m:begChr m:val="‖"/>
                <m:endChr m:val="‖"/>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w:rPr>
                        <w:rFonts w:ascii="Cambria Math" w:hAnsi="Cambria Math"/>
                        <w:color w:val="000000" w:themeColor="text1"/>
                        <w:lang w:val="en-US"/>
                      </w:rPr>
                      <m:t>l</m:t>
                    </m:r>
                  </m:e>
                  <m:sub>
                    <m:r>
                      <w:rPr>
                        <w:rFonts w:ascii="Cambria Math" w:hAnsi="Cambria Math"/>
                        <w:color w:val="000000" w:themeColor="text1"/>
                        <w:lang w:val="en-US"/>
                      </w:rPr>
                      <m:t>t</m:t>
                    </m:r>
                  </m:sub>
                </m:sSub>
              </m:e>
            </m:d>
          </m:e>
          <m:sub>
            <m:r>
              <w:rPr>
                <w:rFonts w:ascii="Cambria Math" w:hAnsi="Cambria Math"/>
                <w:color w:val="000000" w:themeColor="text1"/>
                <w:lang w:val="en-US"/>
              </w:rPr>
              <m:t>1</m:t>
            </m:r>
          </m:sub>
        </m:sSub>
      </m:oMath>
      <w:r w:rsidRPr="00AE069D">
        <w:rPr>
          <w:color w:val="000000" w:themeColor="text1"/>
        </w:rPr>
        <w:t>).</w:t>
      </w:r>
    </w:p>
    <w:p w14:paraId="2CF36A4B" w14:textId="259DAE1E" w:rsidR="00BE2223" w:rsidRPr="00AE069D" w:rsidRDefault="00BE2223" w:rsidP="00BE2223">
      <w:pPr>
        <w:spacing w:line="480" w:lineRule="auto"/>
        <w:ind w:right="-360"/>
        <w:rPr>
          <w:color w:val="000000" w:themeColor="text1"/>
        </w:rPr>
      </w:pPr>
      <w:r w:rsidRPr="00AE069D">
        <w:rPr>
          <w:color w:val="000000" w:themeColor="text1"/>
        </w:rPr>
        <w:t xml:space="preserve">There are only 2 states in the 2-Mode-SIS model: </w:t>
      </w:r>
      <w:r w:rsidR="00AE069D" w:rsidRPr="00AE069D">
        <w:rPr>
          <w:color w:val="000000" w:themeColor="text1"/>
        </w:rPr>
        <w:t>su</w:t>
      </w:r>
      <w:r w:rsidR="00AE069D">
        <w:rPr>
          <w:color w:val="000000" w:themeColor="text1"/>
        </w:rPr>
        <w:t>s</w:t>
      </w:r>
      <w:r w:rsidR="00AE069D" w:rsidRPr="00AE069D">
        <w:rPr>
          <w:color w:val="000000" w:themeColor="text1"/>
        </w:rPr>
        <w:t>p</w:t>
      </w:r>
      <w:r w:rsidR="00AE069D">
        <w:rPr>
          <w:color w:val="000000" w:themeColor="text1"/>
        </w:rPr>
        <w:t>e</w:t>
      </w:r>
      <w:r w:rsidR="00AE069D" w:rsidRPr="00AE069D">
        <w:rPr>
          <w:color w:val="000000" w:themeColor="text1"/>
        </w:rPr>
        <w:t>ctable</w:t>
      </w:r>
      <w:r w:rsidRPr="00AE069D">
        <w:rPr>
          <w:color w:val="000000" w:themeColor="text1"/>
        </w:rPr>
        <w:t xml:space="preserve"> and carriage. In the 2-Mode-SIS model</w:t>
      </w:r>
      <w:r w:rsidR="008D784D" w:rsidRPr="00AE069D">
        <w:rPr>
          <w:noProof/>
          <w:color w:val="000000" w:themeColor="text1"/>
          <w:vertAlign w:val="superscript"/>
        </w:rPr>
        <w:t>1</w:t>
      </w:r>
      <w:r w:rsidRPr="00AE069D">
        <w:rPr>
          <w:color w:val="000000" w:themeColor="text1"/>
        </w:rPr>
        <w:t xml:space="preserve">, it uses transmission rate </w:t>
      </w:r>
      <m:oMath>
        <m:r>
          <w:rPr>
            <w:rFonts w:ascii="Cambria Math" w:hAnsi="Cambria Math"/>
            <w:color w:val="000000" w:themeColor="text1"/>
          </w:rPr>
          <m:t>β</m:t>
        </m:r>
      </m:oMath>
      <w:r w:rsidR="00742A3F" w:rsidRPr="00AE069D">
        <w:rPr>
          <w:color w:val="000000" w:themeColor="text1"/>
          <w:lang w:val="en-US"/>
        </w:rPr>
        <w:t xml:space="preserve"> </w:t>
      </w:r>
      <w:r w:rsidRPr="00AE069D">
        <w:rPr>
          <w:color w:val="000000" w:themeColor="text1"/>
        </w:rPr>
        <w:t xml:space="preserve">to capture the transfer probability from susceptible to carriage (i.e., </w:t>
      </w:r>
      <m:oMath>
        <m:r>
          <w:rPr>
            <w:rFonts w:ascii="Cambria Math" w:hAnsi="Cambria Math"/>
            <w:color w:val="000000" w:themeColor="text1"/>
          </w:rPr>
          <m:t>S</m:t>
        </m:r>
      </m:oMath>
      <w:r w:rsidRPr="00AE069D">
        <w:rPr>
          <w:color w:val="000000" w:themeColor="text1"/>
        </w:rPr>
        <w:t xml:space="preserve"> to </w:t>
      </w:r>
      <m:oMath>
        <m:r>
          <w:rPr>
            <w:rFonts w:ascii="Cambria Math" w:hAnsi="Cambria Math"/>
            <w:color w:val="000000" w:themeColor="text1"/>
          </w:rPr>
          <m:t>C</m:t>
        </m:r>
      </m:oMath>
      <w:r w:rsidRPr="00AE069D">
        <w:rPr>
          <w:color w:val="000000" w:themeColor="text1"/>
        </w:rPr>
        <w:t xml:space="preserve">) and recovery rate </w:t>
      </w:r>
      <m:oMath>
        <m:r>
          <w:rPr>
            <w:rFonts w:ascii="Cambria Math" w:hAnsi="Cambria Math"/>
            <w:color w:val="000000" w:themeColor="text1"/>
          </w:rPr>
          <m:t>δ</m:t>
        </m:r>
      </m:oMath>
      <w:r w:rsidR="00742A3F" w:rsidRPr="00AE069D">
        <w:rPr>
          <w:color w:val="000000" w:themeColor="text1"/>
          <w:lang w:val="en-US"/>
        </w:rPr>
        <w:t xml:space="preserve"> </w:t>
      </w:r>
      <w:r w:rsidRPr="00AE069D">
        <w:rPr>
          <w:color w:val="000000" w:themeColor="text1"/>
        </w:rPr>
        <w:t xml:space="preserve">to capture the transfer probability from carriage to susceptible (i.e., </w:t>
      </w:r>
      <m:oMath>
        <m:r>
          <w:rPr>
            <w:rFonts w:ascii="Cambria Math" w:hAnsi="Cambria Math"/>
            <w:color w:val="000000" w:themeColor="text1"/>
          </w:rPr>
          <m:t>C</m:t>
        </m:r>
      </m:oMath>
      <w:r w:rsidRPr="00AE069D">
        <w:rPr>
          <w:color w:val="000000" w:themeColor="text1"/>
        </w:rPr>
        <w:t xml:space="preserve"> to </w:t>
      </w:r>
      <m:oMath>
        <m:r>
          <w:rPr>
            <w:rFonts w:ascii="Cambria Math" w:hAnsi="Cambria Math"/>
            <w:color w:val="000000" w:themeColor="text1"/>
          </w:rPr>
          <m:t>S</m:t>
        </m:r>
      </m:oMath>
      <w:r w:rsidRPr="00AE069D">
        <w:rPr>
          <w:color w:val="000000" w:themeColor="text1"/>
        </w:rPr>
        <w:t>):</w:t>
      </w:r>
    </w:p>
    <w:p w14:paraId="1CDC1CB3" w14:textId="6B519B30" w:rsidR="008D784D" w:rsidRPr="00AE069D" w:rsidRDefault="00000000" w:rsidP="008D784D">
      <w:pPr>
        <w:spacing w:line="48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S→C</m:t>
              </m:r>
            </m:sub>
          </m:sSub>
          <m:r>
            <w:rPr>
              <w:rFonts w:ascii="Cambria Math" w:hAnsi="Cambria Math"/>
              <w:color w:val="000000" w:themeColor="text1"/>
            </w:rPr>
            <m:t>=min</m:t>
          </m:r>
          <m:d>
            <m:dPr>
              <m:begChr m:val="{"/>
              <m:endChr m:val="}"/>
              <m:ctrlPr>
                <w:rPr>
                  <w:rFonts w:ascii="Cambria Math" w:hAnsi="Cambria Math"/>
                  <w:i/>
                  <w:color w:val="000000" w:themeColor="text1"/>
                </w:rPr>
              </m:ctrlPr>
            </m:dPr>
            <m:e>
              <m:r>
                <w:rPr>
                  <w:rFonts w:ascii="Cambria Math" w:hAnsi="Cambria Math"/>
                  <w:color w:val="000000" w:themeColor="text1"/>
                </w:rPr>
                <m:t>1,β</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(i)</m:t>
              </m:r>
            </m:e>
          </m:d>
        </m:oMath>
      </m:oMathPara>
    </w:p>
    <w:p w14:paraId="4345BCB2" w14:textId="137D3C5E" w:rsidR="008D784D" w:rsidRPr="00AE069D" w:rsidRDefault="00000000" w:rsidP="008D784D">
      <w:pPr>
        <w:spacing w:line="480" w:lineRule="auto"/>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C→S</m:t>
              </m:r>
            </m:sub>
          </m:sSub>
          <m:r>
            <w:rPr>
              <w:rFonts w:ascii="Cambria Math" w:hAnsi="Cambria Math"/>
              <w:color w:val="000000" w:themeColor="text1"/>
            </w:rPr>
            <m:t>=δ</m:t>
          </m:r>
        </m:oMath>
      </m:oMathPara>
    </w:p>
    <w:p w14:paraId="6C80C30A" w14:textId="393E5883" w:rsidR="00BE2223" w:rsidRPr="00AE069D" w:rsidRDefault="00BE2223" w:rsidP="00BE2223">
      <w:pPr>
        <w:spacing w:line="480" w:lineRule="auto"/>
        <w:rPr>
          <w:color w:val="000000" w:themeColor="text1"/>
        </w:rPr>
      </w:pPr>
      <w:r w:rsidRPr="00AE069D">
        <w:rPr>
          <w:color w:val="000000" w:themeColor="text1"/>
        </w:rPr>
        <w:t xml:space="preserve">Here,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(i)</m:t>
        </m:r>
      </m:oMath>
      <w:r w:rsidR="006A70EE" w:rsidRPr="00AE069D">
        <w:rPr>
          <w:color w:val="000000" w:themeColor="text1"/>
        </w:rPr>
        <w:t xml:space="preserve"> </w:t>
      </w:r>
      <w:r w:rsidRPr="00AE069D">
        <w:rPr>
          <w:color w:val="000000" w:themeColor="text1"/>
        </w:rPr>
        <w:t xml:space="preserve">is the amount of pathogen loads on node </w:t>
      </w:r>
      <m:oMath>
        <m:r>
          <w:rPr>
            <w:rFonts w:ascii="Cambria Math" w:hAnsi="Cambria Math"/>
            <w:color w:val="000000" w:themeColor="text1"/>
          </w:rPr>
          <m:t>i</m:t>
        </m:r>
      </m:oMath>
      <w:r w:rsidRPr="00AE069D">
        <w:rPr>
          <w:color w:val="000000" w:themeColor="text1"/>
        </w:rPr>
        <w:t xml:space="preserve"> on day </w:t>
      </w:r>
      <m:oMath>
        <m:r>
          <w:rPr>
            <w:rFonts w:ascii="Cambria Math" w:hAnsi="Cambria Math"/>
            <w:color w:val="000000" w:themeColor="text1"/>
          </w:rPr>
          <m:t>t</m:t>
        </m:r>
      </m:oMath>
      <w:r w:rsidRPr="00AE069D">
        <w:rPr>
          <w:color w:val="000000" w:themeColor="text1"/>
        </w:rPr>
        <w:t xml:space="preserve">. Intuitively, a higher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(i)</m:t>
        </m:r>
      </m:oMath>
      <w:r w:rsidR="006A70EE" w:rsidRPr="00AE069D">
        <w:rPr>
          <w:color w:val="000000" w:themeColor="text1"/>
        </w:rPr>
        <w:t xml:space="preserve"> </w:t>
      </w:r>
      <w:r w:rsidRPr="00AE069D">
        <w:rPr>
          <w:color w:val="000000" w:themeColor="text1"/>
        </w:rPr>
        <w:t xml:space="preserve">means that node </w:t>
      </w:r>
      <m:oMath>
        <m:r>
          <w:rPr>
            <w:rFonts w:ascii="Cambria Math" w:hAnsi="Cambria Math"/>
            <w:color w:val="000000" w:themeColor="text1"/>
          </w:rPr>
          <m:t>i</m:t>
        </m:r>
      </m:oMath>
      <w:r w:rsidRPr="00AE069D">
        <w:rPr>
          <w:color w:val="000000" w:themeColor="text1"/>
        </w:rPr>
        <w:t xml:space="preserve"> will be more likely to be infected or colonized, and the 2-Mode-SIS uses a dose-response function to capture it</w:t>
      </w:r>
      <w:r w:rsidR="006A70EE" w:rsidRPr="00AE069D">
        <w:rPr>
          <w:noProof/>
          <w:color w:val="000000" w:themeColor="text1"/>
          <w:vertAlign w:val="superscript"/>
        </w:rPr>
        <w:t>1</w:t>
      </w:r>
      <w:r w:rsidRPr="00AE069D">
        <w:rPr>
          <w:color w:val="000000" w:themeColor="text1"/>
        </w:rPr>
        <w:t xml:space="preserve">. </w:t>
      </w:r>
      <m:oMath>
        <m:r>
          <w:rPr>
            <w:rFonts w:ascii="Cambria Math" w:hAnsi="Cambria Math"/>
            <w:color w:val="000000" w:themeColor="text1"/>
          </w:rPr>
          <m:t>δ</m:t>
        </m:r>
      </m:oMath>
      <w:r w:rsidR="00742A3F" w:rsidRPr="00AE069D">
        <w:rPr>
          <w:color w:val="000000" w:themeColor="text1"/>
          <w:lang w:val="en-US"/>
        </w:rPr>
        <w:t xml:space="preserve"> </w:t>
      </w:r>
      <w:r w:rsidRPr="00AE069D">
        <w:rPr>
          <w:color w:val="000000" w:themeColor="text1"/>
        </w:rPr>
        <w:t>is the recovery rate. </w:t>
      </w:r>
    </w:p>
    <w:p w14:paraId="76DF59E7" w14:textId="2ED27138" w:rsidR="00AA1093" w:rsidRDefault="00AA1093" w:rsidP="00BE2223">
      <w:pPr>
        <w:spacing w:line="480" w:lineRule="auto"/>
        <w:rPr>
          <w:color w:val="000000"/>
        </w:rPr>
      </w:pPr>
      <w:r>
        <w:rPr>
          <w:color w:val="000000"/>
        </w:rPr>
        <w:t xml:space="preserve">For patients under contact precautions, we model this process by reducing the fraction of pathogens loads transferred from/to these patients. Specifically, for every patient </w:t>
      </w:r>
      <m:oMath>
        <m:r>
          <w:rPr>
            <w:rFonts w:ascii="Cambria Math" w:hAnsi="Cambria Math"/>
            <w:color w:val="000000"/>
          </w:rPr>
          <m:t>i</m:t>
        </m:r>
      </m:oMath>
      <w:r>
        <w:rPr>
          <w:color w:val="000000"/>
        </w:rPr>
        <w:t xml:space="preserve"> under contact precaution, we reduce the </w:t>
      </w:r>
      <m:oMath>
        <m:r>
          <w:rPr>
            <w:rFonts w:ascii="Cambria Math" w:hAnsi="Cambria Math"/>
            <w:color w:val="000000"/>
          </w:rPr>
          <m:t>i</m:t>
        </m:r>
      </m:oMath>
      <w:r>
        <w:rPr>
          <w:color w:val="000000"/>
        </w:rPr>
        <w:t xml:space="preserve">th row and column of the pathogen transfer matrix </w:t>
      </w:r>
      <m:oMath>
        <m:sSub>
          <m:sSubPr>
            <m:ctrlPr>
              <w:rPr>
                <w:rFonts w:ascii="Cambria Math" w:hAnsi="Cambria Math"/>
                <w:i/>
                <w:color w:val="000000"/>
                <w:lang w:val="en-GB"/>
              </w:rPr>
            </m:ctrlPr>
          </m:sSubPr>
          <m:e>
            <m:r>
              <w:rPr>
                <w:rFonts w:ascii="Cambria Math" w:hAnsi="Cambria Math"/>
                <w:color w:val="000000"/>
              </w:rPr>
              <m:t>R</m:t>
            </m:r>
          </m:e>
          <m:sub>
            <m:r>
              <w:rPr>
                <w:rFonts w:ascii="Cambria Math" w:hAnsi="Cambria Math"/>
                <w:color w:val="000000"/>
              </w:rPr>
              <m:t>ijt</m:t>
            </m:r>
          </m:sub>
        </m:sSub>
      </m:oMath>
      <w:r>
        <w:rPr>
          <w:color w:val="000000"/>
        </w:rPr>
        <w:t xml:space="preserve"> by an effectiveness parameter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oMath>
      <w:r>
        <w:rPr>
          <w:color w:val="000000"/>
        </w:rPr>
        <w:t>, which is calibrated on the current 3-negative policy scenario in the UVA hospital.</w:t>
      </w:r>
    </w:p>
    <w:p w14:paraId="22C74A2D" w14:textId="68B15A3A" w:rsidR="00BE2223" w:rsidRPr="00AE069D" w:rsidRDefault="00BE2223" w:rsidP="00BE2223">
      <w:pPr>
        <w:spacing w:line="480" w:lineRule="auto"/>
        <w:rPr>
          <w:color w:val="000000" w:themeColor="text1"/>
        </w:rPr>
      </w:pPr>
      <w:r w:rsidRPr="00AE069D">
        <w:rPr>
          <w:color w:val="000000" w:themeColor="text1"/>
        </w:rPr>
        <w:t xml:space="preserve">The model is initialized by assuming each patient may be infected or colonized with probability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initial</m:t>
            </m:r>
          </m:sub>
        </m:sSub>
      </m:oMath>
      <w:r w:rsidRPr="00AE069D">
        <w:rPr>
          <w:color w:val="000000" w:themeColor="text1"/>
        </w:rPr>
        <w:t>, and these patients will have a pathogen load following the below normal distribution:</w:t>
      </w:r>
    </w:p>
    <w:p w14:paraId="5E1F82E1" w14:textId="77777777" w:rsidR="006A70EE" w:rsidRPr="00AE069D" w:rsidRDefault="00000000" w:rsidP="006A70EE">
      <w:pPr>
        <w:spacing w:line="480" w:lineRule="auto"/>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i</m:t>
              </m:r>
            </m:e>
          </m:d>
          <m:r>
            <w:rPr>
              <w:rFonts w:ascii="Cambria Math" w:hAnsi="Cambria Math"/>
              <w:color w:val="000000" w:themeColor="text1"/>
            </w:rPr>
            <m:t>~Normal(</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initial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initial</m:t>
              </m:r>
            </m:sub>
          </m:sSub>
          <m:r>
            <w:rPr>
              <w:rFonts w:ascii="Cambria Math" w:hAnsi="Cambria Math"/>
              <w:color w:val="000000" w:themeColor="text1"/>
            </w:rPr>
            <m:t>)</m:t>
          </m:r>
        </m:oMath>
      </m:oMathPara>
    </w:p>
    <w:p w14:paraId="7AA7911D" w14:textId="6C832114" w:rsidR="00BE2223" w:rsidRPr="00AE069D" w:rsidRDefault="00BE2223" w:rsidP="00BE2223">
      <w:pPr>
        <w:spacing w:line="480" w:lineRule="auto"/>
        <w:rPr>
          <w:color w:val="000000" w:themeColor="text1"/>
        </w:rPr>
      </w:pPr>
      <w:r w:rsidRPr="00AE069D">
        <w:rPr>
          <w:color w:val="000000" w:themeColor="text1"/>
        </w:rPr>
        <w:t xml:space="preserve">Based on the 2-Mode-SIS model, we extend it to include six states and build our 2-Mode-Precaution model: four </w:t>
      </w:r>
      <w:r w:rsidR="002A3396" w:rsidRPr="00AE069D">
        <w:rPr>
          <w:color w:val="000000" w:themeColor="text1"/>
          <w:lang w:val="en-US"/>
        </w:rPr>
        <w:t xml:space="preserve">states </w:t>
      </w:r>
      <w:r w:rsidRPr="00AE069D">
        <w:rPr>
          <w:color w:val="000000" w:themeColor="text1"/>
        </w:rPr>
        <w:t>for patients in the hospital (</w:t>
      </w:r>
      <m:oMath>
        <m:r>
          <w:rPr>
            <w:rFonts w:ascii="Cambria Math" w:hAnsi="Cambria Math"/>
            <w:color w:val="000000" w:themeColor="text1"/>
          </w:rPr>
          <m:t>S</m:t>
        </m:r>
      </m:oMath>
      <w:r w:rsidRPr="00AE069D">
        <w:rPr>
          <w:color w:val="000000" w:themeColor="text1"/>
        </w:rPr>
        <w:t xml:space="preserve"> - Susceptible, out of contact precaution, </w:t>
      </w:r>
      <m:oMath>
        <m:r>
          <w:rPr>
            <w:rFonts w:ascii="Cambria Math" w:hAnsi="Cambria Math"/>
            <w:color w:val="000000" w:themeColor="text1"/>
          </w:rPr>
          <m:t>C</m:t>
        </m:r>
      </m:oMath>
      <w:r w:rsidRPr="00AE069D">
        <w:rPr>
          <w:color w:val="000000" w:themeColor="text1"/>
        </w:rPr>
        <w:t xml:space="preserve"> - Carriage, out of contact precaution,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oMath>
      <w:r w:rsidR="006A70EE" w:rsidRPr="00AE069D">
        <w:rPr>
          <w:color w:val="000000" w:themeColor="text1"/>
          <w:lang w:val="en-US"/>
        </w:rPr>
        <w:t xml:space="preserve"> </w:t>
      </w:r>
      <w:r w:rsidRPr="00AE069D">
        <w:rPr>
          <w:color w:val="000000" w:themeColor="text1"/>
        </w:rPr>
        <w:t xml:space="preserve">- Susceptible, under contact precaution, and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rPr>
        <w:t xml:space="preserve"> - Carriage, under contact precaution) and two</w:t>
      </w:r>
      <w:r w:rsidR="002A3396" w:rsidRPr="00AE069D">
        <w:rPr>
          <w:color w:val="000000" w:themeColor="text1"/>
          <w:lang w:val="en-US"/>
        </w:rPr>
        <w:t xml:space="preserve"> states</w:t>
      </w:r>
      <w:r w:rsidRPr="00AE069D">
        <w:rPr>
          <w:color w:val="000000" w:themeColor="text1"/>
        </w:rPr>
        <w:t xml:space="preserve"> (</w:t>
      </w:r>
      <m:oMath>
        <m:r>
          <w:rPr>
            <w:rFonts w:ascii="Cambria Math" w:hAnsi="Cambria Math"/>
            <w:color w:val="000000" w:themeColor="text1"/>
          </w:rPr>
          <m:t>S</m:t>
        </m:r>
      </m:oMath>
      <w:r w:rsidRPr="00AE069D">
        <w:rPr>
          <w:color w:val="000000" w:themeColor="text1"/>
        </w:rPr>
        <w:t xml:space="preserve"> and </w:t>
      </w:r>
      <m:oMath>
        <m:r>
          <w:rPr>
            <w:rFonts w:ascii="Cambria Math" w:hAnsi="Cambria Math"/>
            <w:color w:val="000000" w:themeColor="text1"/>
          </w:rPr>
          <m:t>C</m:t>
        </m:r>
      </m:oMath>
      <w:r w:rsidRPr="00AE069D">
        <w:rPr>
          <w:color w:val="000000" w:themeColor="text1"/>
        </w:rPr>
        <w:t xml:space="preserve">) for patients outside the hospital, or in </w:t>
      </w:r>
      <w:r w:rsidR="002A3396" w:rsidRPr="00AE069D">
        <w:rPr>
          <w:color w:val="000000" w:themeColor="text1"/>
          <w:lang w:val="en-US"/>
        </w:rPr>
        <w:t xml:space="preserve">the </w:t>
      </w:r>
      <w:r w:rsidRPr="00AE069D">
        <w:rPr>
          <w:color w:val="000000" w:themeColor="text1"/>
        </w:rPr>
        <w:t xml:space="preserve">community. Note that in the 2-Mode-Precaution model, the carriage and recovery can happen either in hospital (e.g., </w:t>
      </w:r>
      <m:oMath>
        <m:r>
          <w:rPr>
            <w:rFonts w:ascii="Cambria Math" w:hAnsi="Cambria Math"/>
            <w:color w:val="000000" w:themeColor="text1"/>
          </w:rPr>
          <m:t>S</m:t>
        </m:r>
      </m:oMath>
      <w:r w:rsidRPr="00AE069D">
        <w:rPr>
          <w:color w:val="000000" w:themeColor="text1"/>
        </w:rPr>
        <w:t xml:space="preserve"> to </w:t>
      </w:r>
      <m:oMath>
        <m:r>
          <w:rPr>
            <w:rFonts w:ascii="Cambria Math" w:hAnsi="Cambria Math"/>
            <w:color w:val="000000" w:themeColor="text1"/>
          </w:rPr>
          <m:t>C</m:t>
        </m:r>
      </m:oMath>
      <w:r w:rsidRPr="00AE069D">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oMath>
      <w:r w:rsidR="006A70EE" w:rsidRPr="00AE069D">
        <w:rPr>
          <w:color w:val="000000" w:themeColor="text1"/>
        </w:rPr>
        <w:t xml:space="preserve"> </w:t>
      </w:r>
      <w:r w:rsidRPr="00AE069D">
        <w:rPr>
          <w:color w:val="000000" w:themeColor="text1"/>
        </w:rPr>
        <w:t xml:space="preserve"> to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rPr>
        <w:t>) or in community</w:t>
      </w:r>
      <w:r w:rsidR="002A3396" w:rsidRPr="00AE069D">
        <w:rPr>
          <w:color w:val="000000" w:themeColor="text1"/>
          <w:lang w:val="en-US"/>
        </w:rPr>
        <w:t>. Thus,</w:t>
      </w:r>
      <w:r w:rsidRPr="00AE069D">
        <w:rPr>
          <w:color w:val="000000" w:themeColor="text1"/>
        </w:rPr>
        <w:t xml:space="preserve"> we have the following equations:</w:t>
      </w:r>
    </w:p>
    <w:p w14:paraId="3B0A2948" w14:textId="4C25E368" w:rsidR="006A70EE" w:rsidRPr="00AE069D" w:rsidRDefault="00000000" w:rsidP="006A70EE">
      <w:pPr>
        <w:spacing w:line="48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sub>
          </m:sSub>
          <m:r>
            <w:rPr>
              <w:rFonts w:ascii="Cambria Math" w:hAnsi="Cambria Math"/>
              <w:color w:val="000000" w:themeColor="text1"/>
            </w:rPr>
            <m:t>=min</m:t>
          </m:r>
          <m:d>
            <m:dPr>
              <m:begChr m:val="{"/>
              <m:endChr m:val="}"/>
              <m:ctrlPr>
                <w:rPr>
                  <w:rFonts w:ascii="Cambria Math" w:hAnsi="Cambria Math"/>
                  <w:i/>
                  <w:color w:val="000000" w:themeColor="text1"/>
                </w:rPr>
              </m:ctrlPr>
            </m:dPr>
            <m:e>
              <m:r>
                <w:rPr>
                  <w:rFonts w:ascii="Cambria Math" w:hAnsi="Cambria Math"/>
                  <w:color w:val="000000" w:themeColor="text1"/>
                </w:rPr>
                <m:t>1,β</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(i)</m:t>
              </m:r>
            </m:e>
          </m:d>
        </m:oMath>
      </m:oMathPara>
    </w:p>
    <w:p w14:paraId="0FDE875A" w14:textId="4F95BC74" w:rsidR="006A70EE" w:rsidRPr="00AE069D" w:rsidRDefault="00000000" w:rsidP="006A70EE">
      <w:pPr>
        <w:spacing w:line="480" w:lineRule="auto"/>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sub>
          </m:sSub>
          <m:r>
            <w:rPr>
              <w:rFonts w:ascii="Cambria Math" w:hAnsi="Cambria Math"/>
              <w:color w:val="000000" w:themeColor="text1"/>
            </w:rPr>
            <m:t>=δ</m:t>
          </m:r>
        </m:oMath>
      </m:oMathPara>
    </w:p>
    <w:p w14:paraId="10E2E48C" w14:textId="3B23FA6A" w:rsidR="00BE2223" w:rsidRPr="00AE069D" w:rsidRDefault="00BE2223" w:rsidP="00BE2223">
      <w:pPr>
        <w:spacing w:line="480" w:lineRule="auto"/>
        <w:rPr>
          <w:color w:val="000000" w:themeColor="text1"/>
        </w:rPr>
      </w:pPr>
      <w:r w:rsidRPr="00AE069D">
        <w:rPr>
          <w:color w:val="000000" w:themeColor="text1"/>
        </w:rPr>
        <w:t xml:space="preserve">For </w:t>
      </w:r>
      <w:r w:rsidR="00732346" w:rsidRPr="00AE069D">
        <w:rPr>
          <w:color w:val="000000" w:themeColor="text1"/>
          <w:lang w:val="en-US"/>
        </w:rPr>
        <w:t>a change in</w:t>
      </w:r>
      <w:r w:rsidRPr="00AE069D">
        <w:rPr>
          <w:color w:val="000000" w:themeColor="text1"/>
        </w:rPr>
        <w:t xml:space="preserve"> contact precaution status, we use 6 calibrated parameters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sub>
        </m:sSub>
      </m:oMath>
      <w:r w:rsidR="006A70EE"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Sub>
      </m:oMath>
      <w:r w:rsidR="006A70EE"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sub>
        </m:sSub>
      </m:oMath>
      <w:r w:rsidR="006A70EE"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Sub>
      </m:oMath>
      <w:r w:rsidR="006A70EE"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sub>
        </m:sSub>
      </m:oMath>
      <w:r w:rsidR="006A70EE" w:rsidRPr="00AE069D">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→S</m:t>
            </m:r>
          </m:sub>
        </m:sSub>
      </m:oMath>
      <w:r w:rsidRPr="00AE069D">
        <w:rPr>
          <w:color w:val="000000" w:themeColor="text1"/>
        </w:rPr>
        <w:t xml:space="preserve">) to capture </w:t>
      </w:r>
      <w:r w:rsidR="00732346" w:rsidRPr="00AE069D">
        <w:rPr>
          <w:color w:val="000000" w:themeColor="text1"/>
          <w:lang w:val="en-US"/>
        </w:rPr>
        <w:t>this change</w:t>
      </w:r>
      <w:r w:rsidRPr="00AE069D">
        <w:rPr>
          <w:color w:val="000000" w:themeColor="text1"/>
        </w:rPr>
        <w:t xml:space="preserve"> directly.</w:t>
      </w:r>
    </w:p>
    <w:p w14:paraId="6B6678BE" w14:textId="177D6B9F" w:rsidR="00BE2223" w:rsidRPr="00AE069D" w:rsidRDefault="00BE2223" w:rsidP="00BE2223">
      <w:pPr>
        <w:spacing w:line="480" w:lineRule="auto"/>
        <w:ind w:right="-360"/>
        <w:rPr>
          <w:color w:val="000000" w:themeColor="text1"/>
        </w:rPr>
      </w:pPr>
      <w:r w:rsidRPr="00AE069D">
        <w:rPr>
          <w:color w:val="000000" w:themeColor="text1"/>
        </w:rPr>
        <w:t xml:space="preserve">Here, we provide an example to illustrate how an MRSA patient moves between states: </w:t>
      </w:r>
      <w:r w:rsidR="00732346" w:rsidRPr="00AE069D">
        <w:rPr>
          <w:color w:val="000000" w:themeColor="text1"/>
          <w:lang w:val="en-US"/>
        </w:rPr>
        <w:t>w</w:t>
      </w:r>
      <w:r w:rsidRPr="00AE069D">
        <w:rPr>
          <w:color w:val="000000" w:themeColor="text1"/>
        </w:rPr>
        <w:t xml:space="preserve">hen a patient not under precautions becomes infected or colonized with MRSA, the patient moves from state </w:t>
      </w:r>
      <m:oMath>
        <m:r>
          <w:rPr>
            <w:rFonts w:ascii="Cambria Math" w:hAnsi="Cambria Math"/>
            <w:color w:val="000000" w:themeColor="text1"/>
          </w:rPr>
          <m:t>S</m:t>
        </m:r>
      </m:oMath>
      <w:r w:rsidRPr="00AE069D">
        <w:rPr>
          <w:color w:val="000000" w:themeColor="text1"/>
        </w:rPr>
        <w:t xml:space="preserve"> to </w:t>
      </w:r>
      <m:oMath>
        <m:r>
          <w:rPr>
            <w:rFonts w:ascii="Cambria Math" w:hAnsi="Cambria Math"/>
            <w:color w:val="000000" w:themeColor="text1"/>
          </w:rPr>
          <m:t>C</m:t>
        </m:r>
      </m:oMath>
      <w:r w:rsidRPr="00AE069D">
        <w:rPr>
          <w:color w:val="000000" w:themeColor="text1"/>
        </w:rPr>
        <w:t>. Next if this patient test</w:t>
      </w:r>
      <w:r w:rsidR="00732346" w:rsidRPr="00AE069D">
        <w:rPr>
          <w:color w:val="000000" w:themeColor="text1"/>
          <w:lang w:val="en-US"/>
        </w:rPr>
        <w:t>s</w:t>
      </w:r>
      <w:r w:rsidRPr="00AE069D">
        <w:rPr>
          <w:color w:val="000000" w:themeColor="text1"/>
        </w:rPr>
        <w:t xml:space="preserve"> positive for MRSA, the patient moves from </w:t>
      </w:r>
      <m:oMath>
        <m:r>
          <w:rPr>
            <w:rFonts w:ascii="Cambria Math" w:hAnsi="Cambria Math"/>
            <w:color w:val="000000" w:themeColor="text1"/>
          </w:rPr>
          <m:t>C</m:t>
        </m:r>
      </m:oMath>
      <w:r w:rsidRPr="00AE069D">
        <w:rPr>
          <w:color w:val="000000" w:themeColor="text1"/>
        </w:rPr>
        <w:t xml:space="preserve"> to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rPr>
        <w:t xml:space="preserve">. Subsequently, two scenarios may occur: (1) If the patient recovers from MRSA and moves to state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oMath>
      <w:r w:rsidRPr="00AE069D">
        <w:rPr>
          <w:color w:val="000000" w:themeColor="text1"/>
        </w:rPr>
        <w:t xml:space="preserve">, the patient will be released from contact precautions after three negative MRSA tests (i.e., move from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oMath>
      <w:r w:rsidRPr="00AE069D">
        <w:rPr>
          <w:color w:val="000000" w:themeColor="text1"/>
        </w:rPr>
        <w:t xml:space="preserve"> to </w:t>
      </w:r>
      <m:oMath>
        <m:r>
          <w:rPr>
            <w:rFonts w:ascii="Cambria Math" w:hAnsi="Cambria Math"/>
            <w:color w:val="000000" w:themeColor="text1"/>
          </w:rPr>
          <m:t>S</m:t>
        </m:r>
      </m:oMath>
      <w:r w:rsidRPr="00AE069D">
        <w:rPr>
          <w:color w:val="000000" w:themeColor="text1"/>
        </w:rPr>
        <w:t xml:space="preserve">); or (2) If the patient does not recover from MRSA and remains in state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rPr>
        <w:t xml:space="preserve">, the patient may also be released from precautions after three consecutive false-negative MRSA tests (i.e., move from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rPr>
        <w:t xml:space="preserve"> to </w:t>
      </w:r>
      <m:oMath>
        <m:r>
          <w:rPr>
            <w:rFonts w:ascii="Cambria Math" w:hAnsi="Cambria Math"/>
            <w:color w:val="000000" w:themeColor="text1"/>
          </w:rPr>
          <m:t>C</m:t>
        </m:r>
      </m:oMath>
      <w:r w:rsidRPr="00AE069D">
        <w:rPr>
          <w:color w:val="000000" w:themeColor="text1"/>
        </w:rPr>
        <w:t>). As shown in Figure 1, only hospitalized patients can be placed under contact precautions. Patients may be discharged from the hospital while still under contact precaution, and this contact precaution continues if they are readmitted later. However, contact precautions are not enforced when patients are at home/in community.</w:t>
      </w:r>
    </w:p>
    <w:p w14:paraId="5532FF77" w14:textId="5AC665A5" w:rsidR="00BE2223" w:rsidRPr="00AE069D" w:rsidRDefault="00732346" w:rsidP="00BE2223">
      <w:pPr>
        <w:spacing w:line="480" w:lineRule="auto"/>
        <w:jc w:val="both"/>
        <w:rPr>
          <w:color w:val="000000" w:themeColor="text1"/>
        </w:rPr>
      </w:pPr>
      <w:r w:rsidRPr="00AE069D">
        <w:rPr>
          <w:color w:val="000000" w:themeColor="text1"/>
          <w:lang w:val="en-US"/>
        </w:rPr>
        <w:lastRenderedPageBreak/>
        <w:t xml:space="preserve">We </w:t>
      </w:r>
      <w:r w:rsidR="00BE2223" w:rsidRPr="00AE069D">
        <w:rPr>
          <w:color w:val="000000" w:themeColor="text1"/>
        </w:rPr>
        <w:t xml:space="preserve">also assume that the patients in </w:t>
      </w:r>
      <m:oMath>
        <m:r>
          <w:rPr>
            <w:rFonts w:ascii="Cambria Math" w:hAnsi="Cambria Math"/>
            <w:color w:val="000000" w:themeColor="text1"/>
          </w:rPr>
          <m:t>S</m:t>
        </m:r>
      </m:oMath>
      <w:r w:rsidR="00BE2223" w:rsidRPr="00AE069D">
        <w:rPr>
          <w:color w:val="000000" w:themeColor="text1"/>
        </w:rPr>
        <w:t xml:space="preserve"> in </w:t>
      </w:r>
      <w:r w:rsidRPr="00AE069D">
        <w:rPr>
          <w:color w:val="000000" w:themeColor="text1"/>
          <w:lang w:val="en-US"/>
        </w:rPr>
        <w:t xml:space="preserve">the </w:t>
      </w:r>
      <w:r w:rsidR="00BE2223" w:rsidRPr="00AE069D">
        <w:rPr>
          <w:color w:val="000000" w:themeColor="text1"/>
        </w:rPr>
        <w:t xml:space="preserve">hospital will be infected or colonized with probability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import</m:t>
            </m:r>
          </m:sub>
        </m:sSub>
      </m:oMath>
      <w:r w:rsidR="006A70EE" w:rsidRPr="00AE069D">
        <w:rPr>
          <w:color w:val="000000" w:themeColor="text1"/>
          <w:lang w:val="en-US"/>
        </w:rPr>
        <w:t xml:space="preserve"> </w:t>
      </w:r>
      <w:r w:rsidR="00BE2223" w:rsidRPr="00AE069D">
        <w:rPr>
          <w:color w:val="000000" w:themeColor="text1"/>
        </w:rPr>
        <w:t xml:space="preserve">at any day </w:t>
      </w:r>
      <m:oMath>
        <m:r>
          <w:rPr>
            <w:rFonts w:ascii="Cambria Math" w:hAnsi="Cambria Math"/>
            <w:color w:val="000000" w:themeColor="text1"/>
          </w:rPr>
          <m:t>t</m:t>
        </m:r>
      </m:oMath>
      <w:r w:rsidR="00BE2223" w:rsidRPr="00AE069D">
        <w:rPr>
          <w:color w:val="000000" w:themeColor="text1"/>
        </w:rPr>
        <w:t xml:space="preserve"> following the widely used MRSA importation modeling setup</w:t>
      </w:r>
      <w:r w:rsidR="00C80572" w:rsidRPr="00AE069D">
        <w:rPr>
          <w:noProof/>
          <w:color w:val="000000" w:themeColor="text1"/>
          <w:vertAlign w:val="superscript"/>
        </w:rPr>
        <w:t>2,3</w:t>
      </w:r>
      <w:r w:rsidR="00BE2223" w:rsidRPr="00AE069D">
        <w:rPr>
          <w:color w:val="000000" w:themeColor="text1"/>
        </w:rPr>
        <w:t xml:space="preserve"> to capture the MRSA importation. When mov</w:t>
      </w:r>
      <w:r w:rsidRPr="00AE069D">
        <w:rPr>
          <w:color w:val="000000" w:themeColor="text1"/>
          <w:lang w:val="en-US"/>
        </w:rPr>
        <w:t>ing</w:t>
      </w:r>
      <w:r w:rsidR="00BE2223" w:rsidRPr="00AE069D">
        <w:rPr>
          <w:color w:val="000000" w:themeColor="text1"/>
        </w:rPr>
        <w:t xml:space="preserve"> to carriage state, this patient </w:t>
      </w:r>
      <m:oMath>
        <m:r>
          <w:rPr>
            <w:rFonts w:ascii="Cambria Math" w:hAnsi="Cambria Math"/>
            <w:color w:val="000000" w:themeColor="text1"/>
          </w:rPr>
          <m:t>i</m:t>
        </m:r>
      </m:oMath>
      <w:r w:rsidR="00BE2223" w:rsidRPr="00AE069D">
        <w:rPr>
          <w:color w:val="000000" w:themeColor="text1"/>
        </w:rPr>
        <w:t xml:space="preserve"> will move from </w:t>
      </w:r>
      <m:oMath>
        <m:r>
          <w:rPr>
            <w:rFonts w:ascii="Cambria Math" w:hAnsi="Cambria Math"/>
            <w:color w:val="000000" w:themeColor="text1"/>
          </w:rPr>
          <m:t>S</m:t>
        </m:r>
      </m:oMath>
      <w:r w:rsidR="00BE2223" w:rsidRPr="00AE069D">
        <w:rPr>
          <w:color w:val="000000" w:themeColor="text1"/>
        </w:rPr>
        <w:t xml:space="preserve"> to </w:t>
      </w:r>
      <m:oMath>
        <m:r>
          <w:rPr>
            <w:rFonts w:ascii="Cambria Math" w:hAnsi="Cambria Math"/>
            <w:color w:val="000000" w:themeColor="text1"/>
          </w:rPr>
          <m:t>C</m:t>
        </m:r>
      </m:oMath>
      <w:r w:rsidR="00BE2223" w:rsidRPr="00AE069D">
        <w:rPr>
          <w:color w:val="000000" w:themeColor="text1"/>
        </w:rPr>
        <w:t xml:space="preserve"> and have a pathogen load following the below normal distribution:</w:t>
      </w:r>
    </w:p>
    <w:p w14:paraId="5E04295C" w14:textId="77777777" w:rsidR="006A70EE" w:rsidRPr="00AE069D" w:rsidRDefault="00000000" w:rsidP="006A70EE">
      <w:pPr>
        <w:spacing w:line="480" w:lineRule="auto"/>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d>
            <m:dPr>
              <m:ctrlPr>
                <w:rPr>
                  <w:rFonts w:ascii="Cambria Math" w:hAnsi="Cambria Math"/>
                  <w:i/>
                  <w:color w:val="000000" w:themeColor="text1"/>
                </w:rPr>
              </m:ctrlPr>
            </m:dPr>
            <m:e>
              <m:r>
                <w:rPr>
                  <w:rFonts w:ascii="Cambria Math" w:hAnsi="Cambria Math"/>
                  <w:color w:val="000000" w:themeColor="text1"/>
                </w:rPr>
                <m:t>i</m:t>
              </m:r>
            </m:e>
          </m:d>
          <m:r>
            <w:rPr>
              <w:rFonts w:ascii="Cambria Math" w:hAnsi="Cambria Math"/>
              <w:color w:val="000000" w:themeColor="text1"/>
            </w:rPr>
            <m:t>~Normal(</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import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import</m:t>
              </m:r>
            </m:sub>
          </m:sSub>
          <m:r>
            <w:rPr>
              <w:rFonts w:ascii="Cambria Math" w:hAnsi="Cambria Math"/>
              <w:color w:val="000000" w:themeColor="text1"/>
            </w:rPr>
            <m:t>)</m:t>
          </m:r>
        </m:oMath>
      </m:oMathPara>
    </w:p>
    <w:p w14:paraId="0AD07BF8" w14:textId="77777777" w:rsidR="00C80572" w:rsidRPr="00AE069D" w:rsidRDefault="00C80572" w:rsidP="00C80572">
      <w:pPr>
        <w:spacing w:after="240" w:line="480" w:lineRule="auto"/>
        <w:rPr>
          <w:b/>
          <w:bCs/>
          <w:color w:val="000000" w:themeColor="text1"/>
          <w:lang w:val="en-US"/>
        </w:rPr>
      </w:pPr>
      <w:r w:rsidRPr="00AE069D">
        <w:rPr>
          <w:b/>
          <w:bCs/>
          <w:color w:val="000000" w:themeColor="text1"/>
          <w:lang w:val="en-US"/>
        </w:rPr>
        <w:t>Calibration</w:t>
      </w:r>
    </w:p>
    <w:p w14:paraId="01FDD5E6" w14:textId="3D15E4F8" w:rsidR="0065439B" w:rsidRDefault="00742A3F" w:rsidP="00C80572">
      <w:pPr>
        <w:spacing w:after="240" w:line="480" w:lineRule="auto"/>
        <w:rPr>
          <w:color w:val="000000" w:themeColor="text1"/>
          <w:lang w:val="en-US"/>
        </w:rPr>
      </w:pPr>
      <w:r w:rsidRPr="00AE069D">
        <w:rPr>
          <w:color w:val="000000" w:themeColor="text1"/>
        </w:rPr>
        <w:t xml:space="preserve">Since the current policy </w:t>
      </w:r>
      <w:r w:rsidR="00732346" w:rsidRPr="00AE069D">
        <w:rPr>
          <w:color w:val="000000" w:themeColor="text1"/>
          <w:lang w:val="en-US"/>
        </w:rPr>
        <w:t xml:space="preserve">to release patients from precautions </w:t>
      </w:r>
      <w:r w:rsidRPr="00AE069D">
        <w:rPr>
          <w:color w:val="000000" w:themeColor="text1"/>
        </w:rPr>
        <w:t xml:space="preserve">at the UVA hospital is 3-negative, we can calibrate on the number of detected MRSA cases to obtain the parameters for the 3-negative policy. </w:t>
      </w:r>
      <w:r w:rsidR="00C80572" w:rsidRPr="00AE069D">
        <w:rPr>
          <w:color w:val="000000" w:themeColor="text1"/>
          <w:lang w:val="en-US"/>
        </w:rPr>
        <w:t>To infer these parameters, we use the Ensemble Adjustment Kalman Filter (EAKF), which has been widely used for epidemiological models on various healthcare-associated infections, including MRSA, and has demonstrated good performance in identifying model parameters</w:t>
      </w:r>
      <w:r w:rsidR="002E129E">
        <w:rPr>
          <w:color w:val="000000" w:themeColor="text1"/>
          <w:lang w:val="en-US"/>
        </w:rPr>
        <w:fldChar w:fldCharType="begin">
          <w:fldData xml:space="preserve">PEVuZE5vdGU+PENpdGU+PEF1dGhvcj5MaTwvQXV0aG9yPjxZZWFyPjIwMjA8L1llYXI+PFJlY051
bT4zMTwvUmVjTnVtPjxEaXNwbGF5VGV4dD48c3R5bGUgZmFjZT0ic3VwZXJzY3JpcHQiPjEwLTEy
PC9zdHlsZT48L0Rpc3BsYXlUZXh0PjxyZWNvcmQ+PHJlYy1udW1iZXI+MzE8L3JlYy1udW1iZXI+
PGZvcmVpZ24ta2V5cz48a2V5IGFwcD0iRU4iIGRiLWlkPSIyYTVwMHRmdmZ0OXZza2VlMGFjeHh4
cnd3dnoyZjV6YXZwZWQiIHRpbWVzdGFtcD0iMTY3NjE0NzM3NSI+MzE8L2tleT48L2ZvcmVpZ24t
a2V5cz48cmVmLXR5cGUgbmFtZT0iSm91cm5hbCBBcnRpY2xlIj4xNzwvcmVmLXR5cGU+PGNvbnRy
aWJ1dG9ycz48YXV0aG9ycz48YXV0aG9yPkxpLCBSdWl5dW48L2F1dGhvcj48YXV0aG9yPlBlaSwg
U2VuPC9hdXRob3I+PGF1dGhvcj5DaGVuLCBCaW48L2F1dGhvcj48YXV0aG9yPlNvbmcsIFlpbWVu
ZzwvYXV0aG9yPjxhdXRob3I+WmhhbmcsIFRhbzwvYXV0aG9yPjxhdXRob3I+WWFuZywgV2FuPC9h
dXRob3I+PGF1dGhvcj5TaGFtYW4sIEplZmZyZXk8L2F1dGhvcj48L2F1dGhvcnM+PC9jb250cmli
dXRvcnM+PHRpdGxlcz48dGl0bGU+U3Vic3RhbnRpYWwgdW5kb2N1bWVudGVkIGluZmVjdGlvbiBm
YWNpbGl0YXRlcyB0aGUgcmFwaWQgZGlzc2VtaW5hdGlvbiBvZiBub3ZlbCBjb3JvbmF2aXJ1cyAo
U0FSUy1Db1YtMik8L3RpdGxlPjxzZWNvbmRhcnktdGl0bGU+U2NpZW5jZTwvc2Vjb25kYXJ5LXRp
dGxlPjwvdGl0bGVzPjxwZXJpb2RpY2FsPjxmdWxsLXRpdGxlPlNjaWVuY2U8L2Z1bGwtdGl0bGU+
PC9wZXJpb2RpY2FsPjxwYWdlcz40ODktNDkzPC9wYWdlcz48dm9sdW1lPjM2ODwvdm9sdW1lPjxu
dW1iZXI+NjQ5MDwvbnVtYmVyPjxkYXRlcz48eWVhcj4yMDIwPC95ZWFyPjwvZGF0ZXM+PGlzYm4+
MDAzNi04MDc1PC9pc2JuPjx1cmxzPjwvdXJscz48L3JlY29yZD48L0NpdGU+PENpdGU+PEF1dGhv
cj5QZWk8L0F1dGhvcj48WWVhcj4yMDIxPC9ZZWFyPjxSZWNOdW0+NDc8L1JlY051bT48cmVjb3Jk
PjxyZWMtbnVtYmVyPjQ3PC9yZWMtbnVtYmVyPjxmb3JlaWduLWtleXM+PGtleSBhcHA9IkVOIiBk
Yi1pZD0iMmE1cDB0ZnZmdDl2c2tlZTBhY3h4eHJ3d3Z6MmY1emF2cGVkIiB0aW1lc3RhbXA9IjE2
ODcxNTk5NTUiPjQ3PC9rZXk+PC9mb3JlaWduLWtleXM+PHJlZi10eXBlIG5hbWU9IkpvdXJuYWwg
QXJ0aWNsZSI+MTc8L3JlZi10eXBlPjxjb250cmlidXRvcnM+PGF1dGhvcnM+PGF1dGhvcj5QZWks
IFNlbjwvYXV0aG9yPjxhdXRob3I+TGlsamVyb3MsIEZyZWRyaWs8L2F1dGhvcj48YXV0aG9yPlNo
YW1hbiwgSmVmZnJleTwvYXV0aG9yPjwvYXV0aG9ycz48L2NvbnRyaWJ1dG9ycz48dGl0bGVzPjx0
aXRsZT5JZGVudGlmeWluZyBhc3ltcHRvbWF0aWMgc3ByZWFkZXJzIG9mIGFudGltaWNyb2JpYWwt
cmVzaXN0YW50IHBhdGhvZ2VucyBpbiBob3NwaXRhbCBzZXR0aW5nczwvdGl0bGU+PHNlY29uZGFy
eS10aXRsZT5Qcm9jZWVkaW5ncyBvZiB0aGUgTmF0aW9uYWwgQWNhZGVteSBvZiBTY2llbmNlczwv
c2Vjb25kYXJ5LXRpdGxlPjwvdGl0bGVzPjxwZXJpb2RpY2FsPjxmdWxsLXRpdGxlPlByb2NlZWRp
bmdzIG9mIHRoZSBOYXRpb25hbCBBY2FkZW15IG9mIFNjaWVuY2VzPC9mdWxsLXRpdGxlPjwvcGVy
aW9kaWNhbD48cGFnZXM+ZTIxMTExOTAxMTg8L3BhZ2VzPjx2b2x1bWU+MTE4PC92b2x1bWU+PG51
bWJlcj4zNzwvbnVtYmVyPjxkYXRlcz48eWVhcj4yMDIxPC95ZWFyPjwvZGF0ZXM+PGlzYm4+MDAy
Ny04NDI0PC9pc2JuPjx1cmxzPjwvdXJscz48L3JlY29yZD48L0NpdGU+PENpdGU+PEF1dGhvcj5Q
ZWk8L0F1dGhvcj48WWVhcj4yMDIwPC9ZZWFyPjxSZWNOdW0+MzI8L1JlY051bT48cmVjb3JkPjxy
ZWMtbnVtYmVyPjMyPC9yZWMtbnVtYmVyPjxmb3JlaWduLWtleXM+PGtleSBhcHA9IkVOIiBkYi1p
ZD0iMmE1cDB0ZnZmdDl2c2tlZTBhY3h4eHJ3d3Z6MmY1emF2cGVkIiB0aW1lc3RhbXA9IjE2NzYx
NDczNzgiPjMyPC9rZXk+PC9mb3JlaWduLWtleXM+PHJlZi10eXBlIG5hbWU9IkpvdXJuYWwgQXJ0
aWNsZSI+MTc8L3JlZi10eXBlPjxjb250cmlidXRvcnM+PGF1dGhvcnM+PGF1dGhvcj5QZWksIFNl
bjwvYXV0aG9yPjxhdXRob3I+S2FuZHVsYSwgU2FzaWtpcmFuPC9hdXRob3I+PGF1dGhvcj5TaGFt
YW4sIEplZmZyZXk8L2F1dGhvcj48L2F1dGhvcnM+PC9jb250cmlidXRvcnM+PHRpdGxlcz48dGl0
bGU+RGlmZmVyZW50aWFsIGVmZmVjdHMgb2YgaW50ZXJ2ZW50aW9uIHRpbWluZyBvbiBDT1ZJRC0x
OSBzcHJlYWQgaW4gdGhlIFVuaXRlZCBTdGF0ZXM8L3RpdGxlPjxzZWNvbmRhcnktdGl0bGU+U2Np
ZW5jZSBBZHZhbmNlczwvc2Vjb25kYXJ5LXRpdGxlPjwvdGl0bGVzPjxwZXJpb2RpY2FsPjxmdWxs
LXRpdGxlPlNjaWVuY2UgYWR2YW5jZXM8L2Z1bGwtdGl0bGU+PC9wZXJpb2RpY2FsPjxwYWdlcz5l
YWJkNjM3MDwvcGFnZXM+PHZvbHVtZT42PC92b2x1bWU+PG51bWJlcj40OTwvbnVtYmVyPjxkYXRl
cz48eWVhcj4yMDIwPC95ZWFyPjwvZGF0ZXM+PGlzYm4+MjM3NS0yNTQ4PC9pc2JuPjx1cmxzPjwv
dXJscz48L3JlY29yZD48L0NpdGU+PC9FbmROb3RlPn==
</w:fldData>
        </w:fldChar>
      </w:r>
      <w:r w:rsidR="002E129E">
        <w:rPr>
          <w:color w:val="000000" w:themeColor="text1"/>
          <w:lang w:val="en-US"/>
        </w:rPr>
        <w:instrText xml:space="preserve"> ADDIN EN.CITE </w:instrText>
      </w:r>
      <w:r w:rsidR="002E129E">
        <w:rPr>
          <w:color w:val="000000" w:themeColor="text1"/>
          <w:lang w:val="en-US"/>
        </w:rPr>
        <w:fldChar w:fldCharType="begin">
          <w:fldData xml:space="preserve">PEVuZE5vdGU+PENpdGU+PEF1dGhvcj5MaTwvQXV0aG9yPjxZZWFyPjIwMjA8L1llYXI+PFJlY051
bT4zMTwvUmVjTnVtPjxEaXNwbGF5VGV4dD48c3R5bGUgZmFjZT0ic3VwZXJzY3JpcHQiPjEwLTEy
PC9zdHlsZT48L0Rpc3BsYXlUZXh0PjxyZWNvcmQ+PHJlYy1udW1iZXI+MzE8L3JlYy1udW1iZXI+
PGZvcmVpZ24ta2V5cz48a2V5IGFwcD0iRU4iIGRiLWlkPSIyYTVwMHRmdmZ0OXZza2VlMGFjeHh4
cnd3dnoyZjV6YXZwZWQiIHRpbWVzdGFtcD0iMTY3NjE0NzM3NSI+MzE8L2tleT48L2ZvcmVpZ24t
a2V5cz48cmVmLXR5cGUgbmFtZT0iSm91cm5hbCBBcnRpY2xlIj4xNzwvcmVmLXR5cGU+PGNvbnRy
aWJ1dG9ycz48YXV0aG9ycz48YXV0aG9yPkxpLCBSdWl5dW48L2F1dGhvcj48YXV0aG9yPlBlaSwg
U2VuPC9hdXRob3I+PGF1dGhvcj5DaGVuLCBCaW48L2F1dGhvcj48YXV0aG9yPlNvbmcsIFlpbWVu
ZzwvYXV0aG9yPjxhdXRob3I+WmhhbmcsIFRhbzwvYXV0aG9yPjxhdXRob3I+WWFuZywgV2FuPC9h
dXRob3I+PGF1dGhvcj5TaGFtYW4sIEplZmZyZXk8L2F1dGhvcj48L2F1dGhvcnM+PC9jb250cmli
dXRvcnM+PHRpdGxlcz48dGl0bGU+U3Vic3RhbnRpYWwgdW5kb2N1bWVudGVkIGluZmVjdGlvbiBm
YWNpbGl0YXRlcyB0aGUgcmFwaWQgZGlzc2VtaW5hdGlvbiBvZiBub3ZlbCBjb3JvbmF2aXJ1cyAo
U0FSUy1Db1YtMik8L3RpdGxlPjxzZWNvbmRhcnktdGl0bGU+U2NpZW5jZTwvc2Vjb25kYXJ5LXRp
dGxlPjwvdGl0bGVzPjxwZXJpb2RpY2FsPjxmdWxsLXRpdGxlPlNjaWVuY2U8L2Z1bGwtdGl0bGU+
PC9wZXJpb2RpY2FsPjxwYWdlcz40ODktNDkzPC9wYWdlcz48dm9sdW1lPjM2ODwvdm9sdW1lPjxu
dW1iZXI+NjQ5MDwvbnVtYmVyPjxkYXRlcz48eWVhcj4yMDIwPC95ZWFyPjwvZGF0ZXM+PGlzYm4+
MDAzNi04MDc1PC9pc2JuPjx1cmxzPjwvdXJscz48L3JlY29yZD48L0NpdGU+PENpdGU+PEF1dGhv
cj5QZWk8L0F1dGhvcj48WWVhcj4yMDIxPC9ZZWFyPjxSZWNOdW0+NDc8L1JlY051bT48cmVjb3Jk
PjxyZWMtbnVtYmVyPjQ3PC9yZWMtbnVtYmVyPjxmb3JlaWduLWtleXM+PGtleSBhcHA9IkVOIiBk
Yi1pZD0iMmE1cDB0ZnZmdDl2c2tlZTBhY3h4eHJ3d3Z6MmY1emF2cGVkIiB0aW1lc3RhbXA9IjE2
ODcxNTk5NTUiPjQ3PC9rZXk+PC9mb3JlaWduLWtleXM+PHJlZi10eXBlIG5hbWU9IkpvdXJuYWwg
QXJ0aWNsZSI+MTc8L3JlZi10eXBlPjxjb250cmlidXRvcnM+PGF1dGhvcnM+PGF1dGhvcj5QZWks
IFNlbjwvYXV0aG9yPjxhdXRob3I+TGlsamVyb3MsIEZyZWRyaWs8L2F1dGhvcj48YXV0aG9yPlNo
YW1hbiwgSmVmZnJleTwvYXV0aG9yPjwvYXV0aG9ycz48L2NvbnRyaWJ1dG9ycz48dGl0bGVzPjx0
aXRsZT5JZGVudGlmeWluZyBhc3ltcHRvbWF0aWMgc3ByZWFkZXJzIG9mIGFudGltaWNyb2JpYWwt
cmVzaXN0YW50IHBhdGhvZ2VucyBpbiBob3NwaXRhbCBzZXR0aW5nczwvdGl0bGU+PHNlY29uZGFy
eS10aXRsZT5Qcm9jZWVkaW5ncyBvZiB0aGUgTmF0aW9uYWwgQWNhZGVteSBvZiBTY2llbmNlczwv
c2Vjb25kYXJ5LXRpdGxlPjwvdGl0bGVzPjxwZXJpb2RpY2FsPjxmdWxsLXRpdGxlPlByb2NlZWRp
bmdzIG9mIHRoZSBOYXRpb25hbCBBY2FkZW15IG9mIFNjaWVuY2VzPC9mdWxsLXRpdGxlPjwvcGVy
aW9kaWNhbD48cGFnZXM+ZTIxMTExOTAxMTg8L3BhZ2VzPjx2b2x1bWU+MTE4PC92b2x1bWU+PG51
bWJlcj4zNzwvbnVtYmVyPjxkYXRlcz48eWVhcj4yMDIxPC95ZWFyPjwvZGF0ZXM+PGlzYm4+MDAy
Ny04NDI0PC9pc2JuPjx1cmxzPjwvdXJscz48L3JlY29yZD48L0NpdGU+PENpdGU+PEF1dGhvcj5Q
ZWk8L0F1dGhvcj48WWVhcj4yMDIwPC9ZZWFyPjxSZWNOdW0+MzI8L1JlY051bT48cmVjb3JkPjxy
ZWMtbnVtYmVyPjMyPC9yZWMtbnVtYmVyPjxmb3JlaWduLWtleXM+PGtleSBhcHA9IkVOIiBkYi1p
ZD0iMmE1cDB0ZnZmdDl2c2tlZTBhY3h4eHJ3d3Z6MmY1emF2cGVkIiB0aW1lc3RhbXA9IjE2NzYx
NDczNzgiPjMyPC9rZXk+PC9mb3JlaWduLWtleXM+PHJlZi10eXBlIG5hbWU9IkpvdXJuYWwgQXJ0
aWNsZSI+MTc8L3JlZi10eXBlPjxjb250cmlidXRvcnM+PGF1dGhvcnM+PGF1dGhvcj5QZWksIFNl
bjwvYXV0aG9yPjxhdXRob3I+S2FuZHVsYSwgU2FzaWtpcmFuPC9hdXRob3I+PGF1dGhvcj5TaGFt
YW4sIEplZmZyZXk8L2F1dGhvcj48L2F1dGhvcnM+PC9jb250cmlidXRvcnM+PHRpdGxlcz48dGl0
bGU+RGlmZmVyZW50aWFsIGVmZmVjdHMgb2YgaW50ZXJ2ZW50aW9uIHRpbWluZyBvbiBDT1ZJRC0x
OSBzcHJlYWQgaW4gdGhlIFVuaXRlZCBTdGF0ZXM8L3RpdGxlPjxzZWNvbmRhcnktdGl0bGU+U2Np
ZW5jZSBBZHZhbmNlczwvc2Vjb25kYXJ5LXRpdGxlPjwvdGl0bGVzPjxwZXJpb2RpY2FsPjxmdWxs
LXRpdGxlPlNjaWVuY2UgYWR2YW5jZXM8L2Z1bGwtdGl0bGU+PC9wZXJpb2RpY2FsPjxwYWdlcz5l
YWJkNjM3MDwvcGFnZXM+PHZvbHVtZT42PC92b2x1bWU+PG51bWJlcj40OTwvbnVtYmVyPjxkYXRl
cz48eWVhcj4yMDIwPC95ZWFyPjwvZGF0ZXM+PGlzYm4+MjM3NS0yNTQ4PC9pc2JuPjx1cmxzPjwv
dXJscz48L3JlY29yZD48L0NpdGU+PC9FbmROb3RlPn==
</w:fldData>
        </w:fldChar>
      </w:r>
      <w:r w:rsidR="002E129E">
        <w:rPr>
          <w:color w:val="000000" w:themeColor="text1"/>
          <w:lang w:val="en-US"/>
        </w:rPr>
        <w:instrText xml:space="preserve"> ADDIN EN.CITE.DATA </w:instrText>
      </w:r>
      <w:r w:rsidR="002E129E">
        <w:rPr>
          <w:color w:val="000000" w:themeColor="text1"/>
          <w:lang w:val="en-US"/>
        </w:rPr>
      </w:r>
      <w:r w:rsidR="002E129E">
        <w:rPr>
          <w:color w:val="000000" w:themeColor="text1"/>
          <w:lang w:val="en-US"/>
        </w:rPr>
        <w:fldChar w:fldCharType="end"/>
      </w:r>
      <w:r w:rsidR="002E129E">
        <w:rPr>
          <w:color w:val="000000" w:themeColor="text1"/>
          <w:lang w:val="en-US"/>
        </w:rPr>
      </w:r>
      <w:r w:rsidR="002E129E">
        <w:rPr>
          <w:color w:val="000000" w:themeColor="text1"/>
          <w:lang w:val="en-US"/>
        </w:rPr>
        <w:fldChar w:fldCharType="separate"/>
      </w:r>
      <w:r w:rsidR="002E129E" w:rsidRPr="002E129E">
        <w:rPr>
          <w:noProof/>
          <w:color w:val="000000" w:themeColor="text1"/>
          <w:vertAlign w:val="superscript"/>
          <w:lang w:val="en-US"/>
        </w:rPr>
        <w:t>10-12</w:t>
      </w:r>
      <w:r w:rsidR="002E129E">
        <w:rPr>
          <w:color w:val="000000" w:themeColor="text1"/>
          <w:lang w:val="en-US"/>
        </w:rPr>
        <w:fldChar w:fldCharType="end"/>
      </w:r>
      <w:r w:rsidR="00C80572" w:rsidRPr="00AE069D">
        <w:rPr>
          <w:color w:val="000000" w:themeColor="text1"/>
          <w:lang w:val="en-US"/>
        </w:rPr>
        <w:t xml:space="preserve">. Specifically, we calibrate the number of cases transferred from </w:t>
      </w:r>
      <m:oMath>
        <m:r>
          <w:rPr>
            <w:rFonts w:ascii="Cambria Math" w:hAnsi="Cambria Math"/>
            <w:color w:val="000000" w:themeColor="text1"/>
            <w:lang w:val="en-US"/>
          </w:rPr>
          <m:t>C</m:t>
        </m:r>
      </m:oMath>
      <w:r w:rsidR="00C80572" w:rsidRPr="00AE069D">
        <w:rPr>
          <w:color w:val="000000" w:themeColor="text1"/>
          <w:lang w:val="en-US"/>
        </w:rPr>
        <w:t xml:space="preserve"> to </w:t>
      </w:r>
      <m:oMath>
        <m:sSub>
          <m:sSubPr>
            <m:ctrlPr>
              <w:rPr>
                <w:rFonts w:ascii="Cambria Math" w:hAnsi="Cambria Math"/>
                <w:i/>
                <w:color w:val="000000" w:themeColor="text1"/>
                <w:lang w:val="en-US"/>
              </w:rPr>
            </m:ctrlPr>
          </m:sSubPr>
          <m:e>
            <m:r>
              <w:rPr>
                <w:rFonts w:ascii="Cambria Math" w:hAnsi="Cambria Math"/>
                <w:color w:val="000000" w:themeColor="text1"/>
                <w:lang w:val="en-US"/>
              </w:rPr>
              <m:t>C</m:t>
            </m:r>
          </m:e>
          <m:sub>
            <m:r>
              <w:rPr>
                <w:rFonts w:ascii="Cambria Math" w:hAnsi="Cambria Math"/>
                <w:color w:val="000000" w:themeColor="text1"/>
                <w:lang w:val="en-US"/>
              </w:rPr>
              <m:t>cp</m:t>
            </m:r>
          </m:sub>
        </m:sSub>
      </m:oMath>
      <w:r w:rsidR="00C80572" w:rsidRPr="00AE069D">
        <w:rPr>
          <w:color w:val="000000" w:themeColor="text1"/>
          <w:lang w:val="en-US"/>
        </w:rPr>
        <w:t xml:space="preserve"> to the </w:t>
      </w:r>
      <w:r w:rsidRPr="00AE069D">
        <w:rPr>
          <w:color w:val="000000" w:themeColor="text1"/>
          <w:lang w:val="en-US"/>
        </w:rPr>
        <w:t>number of detected MRSA cases</w:t>
      </w:r>
      <w:r w:rsidR="00C80572" w:rsidRPr="00AE069D">
        <w:rPr>
          <w:color w:val="000000" w:themeColor="text1"/>
          <w:lang w:val="en-US"/>
        </w:rPr>
        <w:t xml:space="preserve"> collected from EHR data in the UVA hospital. Note that although patients can also become MRSA carriers outside of the hospital, we do not have such data, so we only use the number of detected MRSA cases in the UVA hospital for calibration.</w:t>
      </w:r>
      <w:r w:rsidRPr="00AE069D">
        <w:rPr>
          <w:color w:val="000000" w:themeColor="text1"/>
          <w:lang w:val="en-US"/>
        </w:rPr>
        <w:t xml:space="preserve"> We list the value of calibrated parameters in Supplementary Table 2.</w:t>
      </w:r>
    </w:p>
    <w:p w14:paraId="0BFDD311" w14:textId="77777777" w:rsidR="0065439B" w:rsidRDefault="0065439B">
      <w:pPr>
        <w:rPr>
          <w:color w:val="000000" w:themeColor="text1"/>
          <w:lang w:val="en-US"/>
        </w:rPr>
      </w:pPr>
      <w:r>
        <w:rPr>
          <w:color w:val="000000" w:themeColor="text1"/>
          <w:lang w:val="en-US"/>
        </w:rPr>
        <w:br w:type="page"/>
      </w:r>
    </w:p>
    <w:p w14:paraId="57B373DD" w14:textId="3166EE91" w:rsidR="00C80572" w:rsidRPr="00AE069D" w:rsidRDefault="00C80572" w:rsidP="00C80572">
      <w:pPr>
        <w:spacing w:after="240"/>
        <w:rPr>
          <w:color w:val="000000" w:themeColor="text1"/>
          <w:lang w:val="en-US"/>
        </w:rPr>
      </w:pPr>
      <w:r w:rsidRPr="00AE069D">
        <w:rPr>
          <w:b/>
          <w:bCs/>
          <w:color w:val="000000" w:themeColor="text1"/>
        </w:rPr>
        <w:lastRenderedPageBreak/>
        <w:t xml:space="preserve">Supplementary Table 2. </w:t>
      </w:r>
      <w:r w:rsidRPr="00AE069D">
        <w:rPr>
          <w:color w:val="000000" w:themeColor="text1"/>
        </w:rPr>
        <w:t>Value of calibrated parameters</w:t>
      </w:r>
    </w:p>
    <w:tbl>
      <w:tblPr>
        <w:tblStyle w:val="TableGrid"/>
        <w:tblW w:w="0" w:type="auto"/>
        <w:tblLook w:val="04A0" w:firstRow="1" w:lastRow="0" w:firstColumn="1" w:lastColumn="0" w:noHBand="0" w:noVBand="1"/>
      </w:tblPr>
      <w:tblGrid>
        <w:gridCol w:w="1136"/>
        <w:gridCol w:w="1222"/>
        <w:gridCol w:w="1222"/>
        <w:gridCol w:w="1222"/>
        <w:gridCol w:w="1222"/>
        <w:gridCol w:w="1222"/>
        <w:gridCol w:w="1276"/>
      </w:tblGrid>
      <w:tr w:rsidR="00AE069D" w:rsidRPr="00AE069D" w14:paraId="74F484D5" w14:textId="77777777" w:rsidTr="00AA1093">
        <w:tc>
          <w:tcPr>
            <w:tcW w:w="1196" w:type="dxa"/>
          </w:tcPr>
          <w:p w14:paraId="4262E43F" w14:textId="4B8BD24B" w:rsidR="00C80572" w:rsidRPr="00AE069D" w:rsidRDefault="00C80572" w:rsidP="00670C78">
            <w:pPr>
              <w:rPr>
                <w:color w:val="000000" w:themeColor="text1"/>
                <w:lang w:val="en-US"/>
              </w:rPr>
            </w:pPr>
            <w:r w:rsidRPr="00AE069D">
              <w:rPr>
                <w:color w:val="000000" w:themeColor="text1"/>
                <w:lang w:val="en-US"/>
              </w:rPr>
              <w:t>year</w:t>
            </w:r>
          </w:p>
        </w:tc>
        <w:tc>
          <w:tcPr>
            <w:tcW w:w="1222" w:type="dxa"/>
          </w:tcPr>
          <w:p w14:paraId="66DB2804" w14:textId="46ACFF2B" w:rsidR="00C80572" w:rsidRPr="00AE069D" w:rsidRDefault="00C80572" w:rsidP="00670C78">
            <w:pPr>
              <w:rPr>
                <w:color w:val="000000" w:themeColor="text1"/>
                <w:lang w:val="en-US"/>
              </w:rPr>
            </w:pPr>
            <w:r w:rsidRPr="00AE069D">
              <w:rPr>
                <w:color w:val="000000" w:themeColor="text1"/>
                <w:lang w:val="en-US"/>
              </w:rPr>
              <w:t>2015</w:t>
            </w:r>
          </w:p>
        </w:tc>
        <w:tc>
          <w:tcPr>
            <w:tcW w:w="1222" w:type="dxa"/>
          </w:tcPr>
          <w:p w14:paraId="009B0736" w14:textId="19F1FFED" w:rsidR="00C80572" w:rsidRPr="00AE069D" w:rsidRDefault="00C80572" w:rsidP="00670C78">
            <w:pPr>
              <w:rPr>
                <w:color w:val="000000" w:themeColor="text1"/>
                <w:lang w:val="en-US"/>
              </w:rPr>
            </w:pPr>
            <w:r w:rsidRPr="00AE069D">
              <w:rPr>
                <w:color w:val="000000" w:themeColor="text1"/>
                <w:lang w:val="en-US"/>
              </w:rPr>
              <w:t>2016</w:t>
            </w:r>
          </w:p>
        </w:tc>
        <w:tc>
          <w:tcPr>
            <w:tcW w:w="1222" w:type="dxa"/>
          </w:tcPr>
          <w:p w14:paraId="5670495B" w14:textId="759DF4AC" w:rsidR="00C80572" w:rsidRPr="00AE069D" w:rsidRDefault="00C80572" w:rsidP="00670C78">
            <w:pPr>
              <w:rPr>
                <w:color w:val="000000" w:themeColor="text1"/>
                <w:lang w:val="en-US"/>
              </w:rPr>
            </w:pPr>
            <w:r w:rsidRPr="00AE069D">
              <w:rPr>
                <w:color w:val="000000" w:themeColor="text1"/>
                <w:lang w:val="en-US"/>
              </w:rPr>
              <w:t>2017</w:t>
            </w:r>
          </w:p>
        </w:tc>
        <w:tc>
          <w:tcPr>
            <w:tcW w:w="1192" w:type="dxa"/>
          </w:tcPr>
          <w:p w14:paraId="2CBAFE61" w14:textId="72713AA9" w:rsidR="00C80572" w:rsidRPr="00AE069D" w:rsidRDefault="00C80572" w:rsidP="00670C78">
            <w:pPr>
              <w:rPr>
                <w:color w:val="000000" w:themeColor="text1"/>
                <w:lang w:val="en-US"/>
              </w:rPr>
            </w:pPr>
            <w:r w:rsidRPr="00AE069D">
              <w:rPr>
                <w:color w:val="000000" w:themeColor="text1"/>
                <w:lang w:val="en-US"/>
              </w:rPr>
              <w:t>2018</w:t>
            </w:r>
          </w:p>
        </w:tc>
        <w:tc>
          <w:tcPr>
            <w:tcW w:w="1192" w:type="dxa"/>
          </w:tcPr>
          <w:p w14:paraId="1CBD97C5" w14:textId="48EB7AF1" w:rsidR="00C80572" w:rsidRPr="00AE069D" w:rsidRDefault="00C80572" w:rsidP="00670C78">
            <w:pPr>
              <w:rPr>
                <w:color w:val="000000" w:themeColor="text1"/>
                <w:lang w:val="en-US"/>
              </w:rPr>
            </w:pPr>
            <w:r w:rsidRPr="00AE069D">
              <w:rPr>
                <w:color w:val="000000" w:themeColor="text1"/>
                <w:lang w:val="en-US"/>
              </w:rPr>
              <w:t>2019</w:t>
            </w:r>
          </w:p>
        </w:tc>
        <w:tc>
          <w:tcPr>
            <w:tcW w:w="1276" w:type="dxa"/>
          </w:tcPr>
          <w:p w14:paraId="307433D0" w14:textId="0D2B5E5E" w:rsidR="00C80572" w:rsidRPr="00AE069D" w:rsidRDefault="00C80572" w:rsidP="00670C78">
            <w:pPr>
              <w:rPr>
                <w:color w:val="000000" w:themeColor="text1"/>
                <w:lang w:val="en-US"/>
              </w:rPr>
            </w:pPr>
            <w:r w:rsidRPr="00AE069D">
              <w:rPr>
                <w:color w:val="000000" w:themeColor="text1"/>
                <w:lang w:val="en-US"/>
              </w:rPr>
              <w:t>Range</w:t>
            </w:r>
          </w:p>
        </w:tc>
      </w:tr>
      <w:tr w:rsidR="00AA1093" w:rsidRPr="00AE069D" w14:paraId="7CD75FFA" w14:textId="77777777" w:rsidTr="00AA1093">
        <w:tc>
          <w:tcPr>
            <w:tcW w:w="1196" w:type="dxa"/>
          </w:tcPr>
          <w:p w14:paraId="6398CA26" w14:textId="4630713D"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initial</m:t>
                    </m:r>
                  </m:sub>
                </m:sSub>
              </m:oMath>
            </m:oMathPara>
          </w:p>
        </w:tc>
        <w:tc>
          <w:tcPr>
            <w:tcW w:w="1222" w:type="dxa"/>
          </w:tcPr>
          <w:p w14:paraId="77900DDC" w14:textId="6EBDCFE8" w:rsidR="00AA1093" w:rsidRPr="001A2C4C" w:rsidRDefault="00AA1093" w:rsidP="00AA1093">
            <w:pPr>
              <w:rPr>
                <w:color w:val="000000" w:themeColor="text1"/>
                <w:sz w:val="20"/>
                <w:szCs w:val="20"/>
              </w:rPr>
            </w:pPr>
            <w:r w:rsidRPr="001A2C4C">
              <w:rPr>
                <w:color w:val="000000"/>
                <w:sz w:val="20"/>
                <w:szCs w:val="20"/>
              </w:rPr>
              <w:t>0.0050(SDs: 8.9744</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6C70AD00" w14:textId="49E38EEF" w:rsidR="00AA1093" w:rsidRPr="001A2C4C" w:rsidRDefault="00AA1093" w:rsidP="00AA1093">
            <w:pPr>
              <w:rPr>
                <w:color w:val="000000" w:themeColor="text1"/>
                <w:sz w:val="20"/>
                <w:szCs w:val="20"/>
              </w:rPr>
            </w:pPr>
            <w:r w:rsidRPr="001A2C4C">
              <w:rPr>
                <w:color w:val="000000"/>
                <w:sz w:val="20"/>
                <w:szCs w:val="20"/>
              </w:rPr>
              <w:t>0.0055(SDs: 8.8917</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39A9D169" w14:textId="0BC99F89" w:rsidR="00AA1093" w:rsidRPr="001A2C4C" w:rsidRDefault="00AA1093" w:rsidP="00AA1093">
            <w:pPr>
              <w:rPr>
                <w:color w:val="000000" w:themeColor="text1"/>
                <w:sz w:val="20"/>
                <w:szCs w:val="20"/>
              </w:rPr>
            </w:pPr>
            <w:r w:rsidRPr="001A2C4C">
              <w:rPr>
                <w:color w:val="000000"/>
                <w:sz w:val="20"/>
                <w:szCs w:val="20"/>
              </w:rPr>
              <w:t>0.0050 (SDs: 8.7139</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42D37F16" w14:textId="16E5A0B7" w:rsidR="00AA1093" w:rsidRPr="001A2C4C" w:rsidRDefault="00AA1093" w:rsidP="00AA1093">
            <w:pPr>
              <w:rPr>
                <w:color w:val="000000" w:themeColor="text1"/>
                <w:sz w:val="20"/>
                <w:szCs w:val="20"/>
              </w:rPr>
            </w:pPr>
            <w:r w:rsidRPr="001A2C4C">
              <w:rPr>
                <w:color w:val="000000"/>
                <w:sz w:val="20"/>
                <w:szCs w:val="20"/>
              </w:rPr>
              <w:t>0.0046 (SDs: 9.6112</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46BF55F2" w14:textId="600EDFF8" w:rsidR="00AA1093" w:rsidRPr="001A2C4C" w:rsidRDefault="00AA1093" w:rsidP="00AA1093">
            <w:pPr>
              <w:rPr>
                <w:color w:val="000000" w:themeColor="text1"/>
                <w:sz w:val="20"/>
                <w:szCs w:val="20"/>
              </w:rPr>
            </w:pPr>
            <w:r w:rsidRPr="001A2C4C">
              <w:rPr>
                <w:color w:val="000000"/>
                <w:sz w:val="20"/>
                <w:szCs w:val="20"/>
              </w:rPr>
              <w:t>0.0050 (SDs: 8.9608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3550EE6B" w14:textId="39199D3F" w:rsidR="00AA1093" w:rsidRPr="00AE069D" w:rsidRDefault="00AA1093" w:rsidP="00AA1093">
            <w:pPr>
              <w:rPr>
                <w:color w:val="000000" w:themeColor="text1"/>
                <w:lang w:val="en-US"/>
              </w:rPr>
            </w:pPr>
            <w:r w:rsidRPr="00AE069D">
              <w:rPr>
                <w:color w:val="000000" w:themeColor="text1"/>
                <w:lang w:val="en-US"/>
              </w:rPr>
              <w:t>[0,0.01]</w:t>
            </w:r>
            <w:r w:rsidR="002E129E">
              <w:rPr>
                <w:color w:val="000000" w:themeColor="text1"/>
                <w:lang w:val="en-US"/>
              </w:rPr>
              <w:fldChar w:fldCharType="begin"/>
            </w:r>
            <w:r w:rsidR="002E129E">
              <w:rPr>
                <w:color w:val="000000" w:themeColor="text1"/>
                <w:lang w:val="en-US"/>
              </w:rPr>
              <w:instrText xml:space="preserve"> ADDIN EN.CITE &lt;EndNote&gt;&lt;Cite&gt;&lt;Author&gt;Pei&lt;/Author&gt;&lt;Year&gt;2018&lt;/Year&gt;&lt;RecNum&gt;29&lt;/RecNum&gt;&lt;DisplayText&gt;&lt;style face="superscript"&gt;13&lt;/style&gt;&lt;/DisplayText&gt;&lt;record&gt;&lt;rec-number&gt;29&lt;/rec-number&gt;&lt;foreign-keys&gt;&lt;key app="EN" db-id="2a5p0tfvft9vskee0acxxxrwwvz2f5zavped" timestamp="1676147333"&gt;29&lt;/key&gt;&lt;/foreign-keys&gt;&lt;ref-type name="Journal Article"&gt;17&lt;/ref-type&gt;&lt;contributors&gt;&lt;authors&gt;&lt;author&gt;Pei, Sen&lt;/author&gt;&lt;author&gt;Morone, Flaviano&lt;/author&gt;&lt;author&gt;Liljeros, Fredrik&lt;/author&gt;&lt;author&gt;Makse, Hernan&lt;/author&gt;&lt;author&gt;Shaman, Jeffrey L&lt;/author&gt;&lt;/authors&gt;&lt;/contributors&gt;&lt;titles&gt;&lt;title&gt;Inference and control of the nosocomial transmission of methicillin-resistant Staphylococcus aureus&lt;/title&gt;&lt;secondary-title&gt;Elife&lt;/secondary-title&gt;&lt;/titles&gt;&lt;periodical&gt;&lt;full-title&gt;Elife&lt;/full-title&gt;&lt;/periodical&gt;&lt;pages&gt;e40977&lt;/pages&gt;&lt;volume&gt;7&lt;/volume&gt;&lt;dates&gt;&lt;year&gt;2018&lt;/year&gt;&lt;/dates&gt;&lt;isbn&gt;2050-084X&lt;/isbn&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13</w:t>
            </w:r>
            <w:r w:rsidR="002E129E">
              <w:rPr>
                <w:color w:val="000000" w:themeColor="text1"/>
                <w:lang w:val="en-US"/>
              </w:rPr>
              <w:fldChar w:fldCharType="end"/>
            </w:r>
          </w:p>
        </w:tc>
      </w:tr>
      <w:tr w:rsidR="00AA1093" w:rsidRPr="00AE069D" w14:paraId="04473457" w14:textId="77777777" w:rsidTr="00AA1093">
        <w:tc>
          <w:tcPr>
            <w:tcW w:w="1196" w:type="dxa"/>
          </w:tcPr>
          <w:p w14:paraId="6D89E33E" w14:textId="2B47EEAD"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initial</m:t>
                    </m:r>
                  </m:sub>
                </m:sSub>
              </m:oMath>
            </m:oMathPara>
          </w:p>
        </w:tc>
        <w:tc>
          <w:tcPr>
            <w:tcW w:w="1222" w:type="dxa"/>
          </w:tcPr>
          <w:p w14:paraId="5DDFB13D" w14:textId="751B4DB5" w:rsidR="00AA1093" w:rsidRPr="001A2C4C" w:rsidRDefault="00AA1093" w:rsidP="00AA1093">
            <w:pPr>
              <w:rPr>
                <w:color w:val="000000" w:themeColor="text1"/>
                <w:sz w:val="20"/>
                <w:szCs w:val="20"/>
              </w:rPr>
            </w:pPr>
            <w:r w:rsidRPr="001A2C4C">
              <w:rPr>
                <w:color w:val="000000"/>
                <w:sz w:val="20"/>
                <w:szCs w:val="20"/>
              </w:rPr>
              <w:t>4.8824(SDs: 0.0912)</w:t>
            </w:r>
          </w:p>
        </w:tc>
        <w:tc>
          <w:tcPr>
            <w:tcW w:w="1222" w:type="dxa"/>
          </w:tcPr>
          <w:p w14:paraId="699F6AC4" w14:textId="79FDA84E" w:rsidR="00AA1093" w:rsidRPr="001A2C4C" w:rsidRDefault="00AA1093" w:rsidP="00AA1093">
            <w:pPr>
              <w:rPr>
                <w:color w:val="000000" w:themeColor="text1"/>
                <w:sz w:val="20"/>
                <w:szCs w:val="20"/>
              </w:rPr>
            </w:pPr>
            <w:r w:rsidRPr="001A2C4C">
              <w:rPr>
                <w:color w:val="000000"/>
                <w:sz w:val="20"/>
                <w:szCs w:val="20"/>
              </w:rPr>
              <w:t>5.2399(SDs: 0.0926)</w:t>
            </w:r>
          </w:p>
        </w:tc>
        <w:tc>
          <w:tcPr>
            <w:tcW w:w="1222" w:type="dxa"/>
          </w:tcPr>
          <w:p w14:paraId="23CFD9D7" w14:textId="7E8AA492" w:rsidR="00AA1093" w:rsidRPr="001A2C4C" w:rsidRDefault="00AA1093" w:rsidP="00AA1093">
            <w:pPr>
              <w:rPr>
                <w:color w:val="000000" w:themeColor="text1"/>
                <w:sz w:val="20"/>
                <w:szCs w:val="20"/>
              </w:rPr>
            </w:pPr>
            <w:r w:rsidRPr="001A2C4C">
              <w:rPr>
                <w:color w:val="000000"/>
                <w:sz w:val="20"/>
                <w:szCs w:val="20"/>
              </w:rPr>
              <w:t>4.5661(SDs: 0.0854)</w:t>
            </w:r>
          </w:p>
        </w:tc>
        <w:tc>
          <w:tcPr>
            <w:tcW w:w="1192" w:type="dxa"/>
          </w:tcPr>
          <w:p w14:paraId="77E4D183" w14:textId="32B56446" w:rsidR="00AA1093" w:rsidRPr="001A2C4C" w:rsidRDefault="00AA1093" w:rsidP="00AA1093">
            <w:pPr>
              <w:rPr>
                <w:color w:val="000000" w:themeColor="text1"/>
                <w:sz w:val="20"/>
                <w:szCs w:val="20"/>
              </w:rPr>
            </w:pPr>
            <w:r w:rsidRPr="001A2C4C">
              <w:rPr>
                <w:color w:val="000000"/>
                <w:sz w:val="20"/>
                <w:szCs w:val="20"/>
              </w:rPr>
              <w:t>4.8548 (SDs: 0.0866)</w:t>
            </w:r>
          </w:p>
        </w:tc>
        <w:tc>
          <w:tcPr>
            <w:tcW w:w="1192" w:type="dxa"/>
          </w:tcPr>
          <w:p w14:paraId="20468893" w14:textId="3EEC7C8F" w:rsidR="00AA1093" w:rsidRPr="001A2C4C" w:rsidRDefault="00AA1093" w:rsidP="00AA1093">
            <w:pPr>
              <w:rPr>
                <w:color w:val="000000" w:themeColor="text1"/>
                <w:sz w:val="20"/>
                <w:szCs w:val="20"/>
              </w:rPr>
            </w:pPr>
            <w:r w:rsidRPr="001A2C4C">
              <w:rPr>
                <w:color w:val="000000"/>
                <w:sz w:val="20"/>
                <w:szCs w:val="20"/>
              </w:rPr>
              <w:t>6.0005 (SDs: 0.0933)</w:t>
            </w:r>
          </w:p>
        </w:tc>
        <w:tc>
          <w:tcPr>
            <w:tcW w:w="1276" w:type="dxa"/>
          </w:tcPr>
          <w:p w14:paraId="4CF23E27" w14:textId="0CDB9009" w:rsidR="00AA1093" w:rsidRPr="00AE069D" w:rsidRDefault="00AA1093" w:rsidP="00AA1093">
            <w:pPr>
              <w:rPr>
                <w:color w:val="000000" w:themeColor="text1"/>
                <w:lang w:val="en-US"/>
              </w:rPr>
            </w:pPr>
            <w:r w:rsidRPr="00AE069D">
              <w:rPr>
                <w:color w:val="000000" w:themeColor="text1"/>
                <w:lang w:val="en-US"/>
              </w:rPr>
              <w:t>[0,10]</w:t>
            </w:r>
          </w:p>
        </w:tc>
      </w:tr>
      <w:tr w:rsidR="00AA1093" w:rsidRPr="00AE069D" w14:paraId="49A188F5" w14:textId="77777777" w:rsidTr="00AA1093">
        <w:tc>
          <w:tcPr>
            <w:tcW w:w="1196" w:type="dxa"/>
          </w:tcPr>
          <w:p w14:paraId="3AAF9CBC" w14:textId="6150C654"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initial</m:t>
                    </m:r>
                  </m:sub>
                </m:sSub>
              </m:oMath>
            </m:oMathPara>
          </w:p>
        </w:tc>
        <w:tc>
          <w:tcPr>
            <w:tcW w:w="1222" w:type="dxa"/>
          </w:tcPr>
          <w:p w14:paraId="7E1CBBCC" w14:textId="1205EB2D" w:rsidR="00AA1093" w:rsidRPr="001A2C4C" w:rsidRDefault="00AA1093" w:rsidP="00AA1093">
            <w:pPr>
              <w:rPr>
                <w:color w:val="000000" w:themeColor="text1"/>
                <w:sz w:val="20"/>
                <w:szCs w:val="20"/>
              </w:rPr>
            </w:pPr>
            <w:r w:rsidRPr="001A2C4C">
              <w:rPr>
                <w:color w:val="000000"/>
                <w:sz w:val="20"/>
                <w:szCs w:val="20"/>
              </w:rPr>
              <w:t>5.3234(SDs: 0.0940)</w:t>
            </w:r>
          </w:p>
        </w:tc>
        <w:tc>
          <w:tcPr>
            <w:tcW w:w="1222" w:type="dxa"/>
          </w:tcPr>
          <w:p w14:paraId="2F5D89B4" w14:textId="2FE76C27" w:rsidR="00AA1093" w:rsidRPr="001A2C4C" w:rsidRDefault="00AA1093" w:rsidP="00AA1093">
            <w:pPr>
              <w:rPr>
                <w:color w:val="000000" w:themeColor="text1"/>
                <w:sz w:val="20"/>
                <w:szCs w:val="20"/>
              </w:rPr>
            </w:pPr>
            <w:r w:rsidRPr="001A2C4C">
              <w:rPr>
                <w:color w:val="000000"/>
                <w:sz w:val="20"/>
                <w:szCs w:val="20"/>
              </w:rPr>
              <w:t>5.1911(SDs: 0.0896)</w:t>
            </w:r>
          </w:p>
        </w:tc>
        <w:tc>
          <w:tcPr>
            <w:tcW w:w="1222" w:type="dxa"/>
          </w:tcPr>
          <w:p w14:paraId="32789D53" w14:textId="3E47075A" w:rsidR="00AA1093" w:rsidRPr="001A2C4C" w:rsidRDefault="00AA1093" w:rsidP="00AA1093">
            <w:pPr>
              <w:rPr>
                <w:color w:val="000000" w:themeColor="text1"/>
                <w:sz w:val="20"/>
                <w:szCs w:val="20"/>
              </w:rPr>
            </w:pPr>
            <w:r w:rsidRPr="001A2C4C">
              <w:rPr>
                <w:color w:val="000000"/>
                <w:sz w:val="20"/>
                <w:szCs w:val="20"/>
              </w:rPr>
              <w:t>5.1555(SDs: 0.0919)</w:t>
            </w:r>
          </w:p>
        </w:tc>
        <w:tc>
          <w:tcPr>
            <w:tcW w:w="1192" w:type="dxa"/>
          </w:tcPr>
          <w:p w14:paraId="5838584F" w14:textId="6D3201BF" w:rsidR="00AA1093" w:rsidRPr="001A2C4C" w:rsidRDefault="00AA1093" w:rsidP="00AA1093">
            <w:pPr>
              <w:rPr>
                <w:color w:val="000000" w:themeColor="text1"/>
                <w:sz w:val="20"/>
                <w:szCs w:val="20"/>
              </w:rPr>
            </w:pPr>
            <w:r w:rsidRPr="001A2C4C">
              <w:rPr>
                <w:color w:val="000000"/>
                <w:sz w:val="20"/>
                <w:szCs w:val="20"/>
              </w:rPr>
              <w:t>5.1254 (SDs: 0.0816)</w:t>
            </w:r>
          </w:p>
        </w:tc>
        <w:tc>
          <w:tcPr>
            <w:tcW w:w="1192" w:type="dxa"/>
          </w:tcPr>
          <w:p w14:paraId="04A0C2C4" w14:textId="0BB6CBCC" w:rsidR="00AA1093" w:rsidRPr="001A2C4C" w:rsidRDefault="00AA1093" w:rsidP="00AA1093">
            <w:pPr>
              <w:rPr>
                <w:color w:val="000000" w:themeColor="text1"/>
                <w:sz w:val="20"/>
                <w:szCs w:val="20"/>
              </w:rPr>
            </w:pPr>
            <w:r w:rsidRPr="001A2C4C">
              <w:rPr>
                <w:color w:val="000000"/>
                <w:sz w:val="20"/>
                <w:szCs w:val="20"/>
              </w:rPr>
              <w:t>5.5318 (SDs: 0.0895)</w:t>
            </w:r>
          </w:p>
        </w:tc>
        <w:tc>
          <w:tcPr>
            <w:tcW w:w="1276" w:type="dxa"/>
          </w:tcPr>
          <w:p w14:paraId="265C9A8B" w14:textId="3D036A78" w:rsidR="00AA1093" w:rsidRPr="00AE069D" w:rsidRDefault="00AA1093" w:rsidP="00AA1093">
            <w:pPr>
              <w:rPr>
                <w:color w:val="000000" w:themeColor="text1"/>
              </w:rPr>
            </w:pPr>
            <w:r w:rsidRPr="00AE069D">
              <w:rPr>
                <w:color w:val="000000" w:themeColor="text1"/>
                <w:lang w:val="en-US"/>
              </w:rPr>
              <w:t>[0,10]</w:t>
            </w:r>
          </w:p>
        </w:tc>
      </w:tr>
      <w:tr w:rsidR="00AA1093" w:rsidRPr="00AE069D" w14:paraId="6F33ED5E" w14:textId="77777777" w:rsidTr="00AA1093">
        <w:tc>
          <w:tcPr>
            <w:tcW w:w="1196" w:type="dxa"/>
          </w:tcPr>
          <w:p w14:paraId="550FFD43" w14:textId="0340E27E"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import</m:t>
                    </m:r>
                  </m:sub>
                </m:sSub>
              </m:oMath>
            </m:oMathPara>
          </w:p>
        </w:tc>
        <w:tc>
          <w:tcPr>
            <w:tcW w:w="1222" w:type="dxa"/>
          </w:tcPr>
          <w:p w14:paraId="6173E082" w14:textId="6FD22B93" w:rsidR="00AA1093" w:rsidRPr="001A2C4C" w:rsidRDefault="00AA1093" w:rsidP="00AA1093">
            <w:pPr>
              <w:rPr>
                <w:color w:val="000000" w:themeColor="text1"/>
                <w:sz w:val="20"/>
                <w:szCs w:val="20"/>
              </w:rPr>
            </w:pPr>
            <w:r w:rsidRPr="001A2C4C">
              <w:rPr>
                <w:color w:val="000000"/>
                <w:sz w:val="20"/>
                <w:szCs w:val="20"/>
              </w:rPr>
              <w:t>0.0014(SDs: 4.3755</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3578CE05" w14:textId="0F2C67BC" w:rsidR="00AA1093" w:rsidRPr="001A2C4C" w:rsidRDefault="00AA1093" w:rsidP="00AA1093">
            <w:pPr>
              <w:rPr>
                <w:color w:val="000000" w:themeColor="text1"/>
                <w:sz w:val="20"/>
                <w:szCs w:val="20"/>
              </w:rPr>
            </w:pPr>
            <w:r w:rsidRPr="001A2C4C">
              <w:rPr>
                <w:color w:val="000000"/>
                <w:sz w:val="20"/>
                <w:szCs w:val="20"/>
              </w:rPr>
              <w:t>0.0015(SDs: 4.4478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768453C7" w14:textId="2B59C7E4" w:rsidR="00AA1093" w:rsidRPr="001A2C4C" w:rsidRDefault="00AA1093" w:rsidP="00AA1093">
            <w:pPr>
              <w:rPr>
                <w:color w:val="000000" w:themeColor="text1"/>
                <w:sz w:val="20"/>
                <w:szCs w:val="20"/>
              </w:rPr>
            </w:pPr>
            <w:r w:rsidRPr="001A2C4C">
              <w:rPr>
                <w:color w:val="000000"/>
                <w:sz w:val="20"/>
                <w:szCs w:val="20"/>
              </w:rPr>
              <w:t>0.0018(SDs: 4.2256</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4D8F01D0" w14:textId="1B7C2271" w:rsidR="00AA1093" w:rsidRPr="001A2C4C" w:rsidRDefault="00AA1093" w:rsidP="00AA1093">
            <w:pPr>
              <w:rPr>
                <w:color w:val="000000" w:themeColor="text1"/>
                <w:sz w:val="20"/>
                <w:szCs w:val="20"/>
              </w:rPr>
            </w:pPr>
            <w:r w:rsidRPr="001A2C4C">
              <w:rPr>
                <w:color w:val="000000"/>
                <w:sz w:val="20"/>
                <w:szCs w:val="20"/>
              </w:rPr>
              <w:t>0.0020 (SDs: 4.4401</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0245609B" w14:textId="7FA37C9A" w:rsidR="00AA1093" w:rsidRPr="001A2C4C" w:rsidRDefault="00AA1093" w:rsidP="00AA1093">
            <w:pPr>
              <w:rPr>
                <w:color w:val="000000" w:themeColor="text1"/>
                <w:sz w:val="20"/>
                <w:szCs w:val="20"/>
              </w:rPr>
            </w:pPr>
            <w:r w:rsidRPr="001A2C4C">
              <w:rPr>
                <w:color w:val="000000"/>
                <w:sz w:val="20"/>
                <w:szCs w:val="20"/>
              </w:rPr>
              <w:t>0.0041 (SDs: 4.2741</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3A97DE32" w14:textId="7B3C1BAD" w:rsidR="00AA1093" w:rsidRPr="00AE069D" w:rsidRDefault="00AA1093" w:rsidP="00AA1093">
            <w:pPr>
              <w:rPr>
                <w:color w:val="000000" w:themeColor="text1"/>
                <w:lang w:val="en-US"/>
              </w:rPr>
            </w:pPr>
            <w:r w:rsidRPr="00AE069D">
              <w:rPr>
                <w:color w:val="000000" w:themeColor="text1"/>
                <w:lang w:val="en-US"/>
              </w:rPr>
              <w:t>[0,0.005]</w:t>
            </w:r>
            <w:r w:rsidR="002E129E">
              <w:rPr>
                <w:color w:val="000000" w:themeColor="text1"/>
                <w:lang w:val="en-US"/>
              </w:rPr>
              <w:fldChar w:fldCharType="begin"/>
            </w:r>
            <w:r w:rsidR="002E129E">
              <w:rPr>
                <w:color w:val="000000" w:themeColor="text1"/>
                <w:lang w:val="en-US"/>
              </w:rPr>
              <w:instrText xml:space="preserve"> ADDIN EN.CITE &lt;EndNote&gt;&lt;Cite&gt;&lt;Author&gt;Pei&lt;/Author&gt;&lt;Year&gt;2018&lt;/Year&gt;&lt;RecNum&gt;29&lt;/RecNum&gt;&lt;DisplayText&gt;&lt;style face="superscript"&gt;13&lt;/style&gt;&lt;/DisplayText&gt;&lt;record&gt;&lt;rec-number&gt;29&lt;/rec-number&gt;&lt;foreign-keys&gt;&lt;key app="EN" db-id="2a5p0tfvft9vskee0acxxxrwwvz2f5zavped" timestamp="1676147333"&gt;29&lt;/key&gt;&lt;/foreign-keys&gt;&lt;ref-type name="Journal Article"&gt;17&lt;/ref-type&gt;&lt;contributors&gt;&lt;authors&gt;&lt;author&gt;Pei, Sen&lt;/author&gt;&lt;author&gt;Morone, Flaviano&lt;/author&gt;&lt;author&gt;Liljeros, Fredrik&lt;/author&gt;&lt;author&gt;Makse, Hernan&lt;/author&gt;&lt;author&gt;Shaman, Jeffrey L&lt;/author&gt;&lt;/authors&gt;&lt;/contributors&gt;&lt;titles&gt;&lt;title&gt;Inference and control of the nosocomial transmission of methicillin-resistant Staphylococcus aureus&lt;/title&gt;&lt;secondary-title&gt;Elife&lt;/secondary-title&gt;&lt;/titles&gt;&lt;periodical&gt;&lt;full-title&gt;Elife&lt;/full-title&gt;&lt;/periodical&gt;&lt;pages&gt;e40977&lt;/pages&gt;&lt;volume&gt;7&lt;/volume&gt;&lt;dates&gt;&lt;year&gt;2018&lt;/year&gt;&lt;/dates&gt;&lt;isbn&gt;2050-084X&lt;/isbn&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13</w:t>
            </w:r>
            <w:r w:rsidR="002E129E">
              <w:rPr>
                <w:color w:val="000000" w:themeColor="text1"/>
                <w:lang w:val="en-US"/>
              </w:rPr>
              <w:fldChar w:fldCharType="end"/>
            </w:r>
          </w:p>
        </w:tc>
      </w:tr>
      <w:tr w:rsidR="00AA1093" w:rsidRPr="00AE069D" w14:paraId="14FAE23A" w14:textId="77777777" w:rsidTr="00AA1093">
        <w:tc>
          <w:tcPr>
            <w:tcW w:w="1196" w:type="dxa"/>
          </w:tcPr>
          <w:p w14:paraId="362631C0" w14:textId="4495D376"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import</m:t>
                    </m:r>
                  </m:sub>
                </m:sSub>
              </m:oMath>
            </m:oMathPara>
          </w:p>
        </w:tc>
        <w:tc>
          <w:tcPr>
            <w:tcW w:w="1222" w:type="dxa"/>
          </w:tcPr>
          <w:p w14:paraId="724F5D4D" w14:textId="674E936D" w:rsidR="00AA1093" w:rsidRPr="001A2C4C" w:rsidRDefault="00AA1093" w:rsidP="00AA1093">
            <w:pPr>
              <w:rPr>
                <w:color w:val="000000" w:themeColor="text1"/>
                <w:sz w:val="20"/>
                <w:szCs w:val="20"/>
              </w:rPr>
            </w:pPr>
            <w:r w:rsidRPr="001A2C4C">
              <w:rPr>
                <w:color w:val="000000"/>
                <w:sz w:val="20"/>
                <w:szCs w:val="20"/>
              </w:rPr>
              <w:t>4.8770(SDs: 0.0874)</w:t>
            </w:r>
          </w:p>
        </w:tc>
        <w:tc>
          <w:tcPr>
            <w:tcW w:w="1222" w:type="dxa"/>
          </w:tcPr>
          <w:p w14:paraId="69BB48E8" w14:textId="1845BD34" w:rsidR="00AA1093" w:rsidRPr="001A2C4C" w:rsidRDefault="00AA1093" w:rsidP="00AA1093">
            <w:pPr>
              <w:rPr>
                <w:color w:val="000000" w:themeColor="text1"/>
                <w:sz w:val="20"/>
                <w:szCs w:val="20"/>
              </w:rPr>
            </w:pPr>
            <w:r w:rsidRPr="001A2C4C">
              <w:rPr>
                <w:color w:val="000000"/>
                <w:sz w:val="20"/>
                <w:szCs w:val="20"/>
              </w:rPr>
              <w:t>4.6360(SDs: 0.0902)</w:t>
            </w:r>
          </w:p>
        </w:tc>
        <w:tc>
          <w:tcPr>
            <w:tcW w:w="1222" w:type="dxa"/>
          </w:tcPr>
          <w:p w14:paraId="50E8E8E3" w14:textId="0D03765F" w:rsidR="00AA1093" w:rsidRPr="001A2C4C" w:rsidRDefault="00AA1093" w:rsidP="00AA1093">
            <w:pPr>
              <w:rPr>
                <w:color w:val="000000" w:themeColor="text1"/>
                <w:sz w:val="20"/>
                <w:szCs w:val="20"/>
              </w:rPr>
            </w:pPr>
            <w:r w:rsidRPr="001A2C4C">
              <w:rPr>
                <w:color w:val="000000"/>
                <w:sz w:val="20"/>
                <w:szCs w:val="20"/>
              </w:rPr>
              <w:t>5.0916(SDs: 0.0904)</w:t>
            </w:r>
          </w:p>
        </w:tc>
        <w:tc>
          <w:tcPr>
            <w:tcW w:w="1192" w:type="dxa"/>
          </w:tcPr>
          <w:p w14:paraId="123B28EE" w14:textId="45565D0B" w:rsidR="00AA1093" w:rsidRPr="001A2C4C" w:rsidRDefault="00AA1093" w:rsidP="00AA1093">
            <w:pPr>
              <w:rPr>
                <w:color w:val="000000" w:themeColor="text1"/>
                <w:sz w:val="20"/>
                <w:szCs w:val="20"/>
              </w:rPr>
            </w:pPr>
            <w:r w:rsidRPr="001A2C4C">
              <w:rPr>
                <w:color w:val="000000"/>
                <w:sz w:val="20"/>
                <w:szCs w:val="20"/>
              </w:rPr>
              <w:t>5.0647 (SDs: 0.0921)</w:t>
            </w:r>
          </w:p>
        </w:tc>
        <w:tc>
          <w:tcPr>
            <w:tcW w:w="1192" w:type="dxa"/>
          </w:tcPr>
          <w:p w14:paraId="029DEB7C" w14:textId="2F46EE72" w:rsidR="00AA1093" w:rsidRPr="001A2C4C" w:rsidRDefault="00AA1093" w:rsidP="00AA1093">
            <w:pPr>
              <w:rPr>
                <w:color w:val="000000" w:themeColor="text1"/>
                <w:sz w:val="20"/>
                <w:szCs w:val="20"/>
              </w:rPr>
            </w:pPr>
            <w:r w:rsidRPr="001A2C4C">
              <w:rPr>
                <w:color w:val="000000"/>
                <w:sz w:val="20"/>
                <w:szCs w:val="20"/>
              </w:rPr>
              <w:t>5.002 (SDs: 0.0848)</w:t>
            </w:r>
          </w:p>
        </w:tc>
        <w:tc>
          <w:tcPr>
            <w:tcW w:w="1276" w:type="dxa"/>
          </w:tcPr>
          <w:p w14:paraId="7F5FB049" w14:textId="47184CA5" w:rsidR="00AA1093" w:rsidRPr="00AE069D" w:rsidRDefault="00AA1093" w:rsidP="00AA1093">
            <w:pPr>
              <w:rPr>
                <w:color w:val="000000" w:themeColor="text1"/>
              </w:rPr>
            </w:pPr>
            <w:r w:rsidRPr="00AE069D">
              <w:rPr>
                <w:color w:val="000000" w:themeColor="text1"/>
                <w:lang w:val="en-US"/>
              </w:rPr>
              <w:t>[0,10]</w:t>
            </w:r>
          </w:p>
        </w:tc>
      </w:tr>
      <w:tr w:rsidR="00AA1093" w:rsidRPr="00AE069D" w14:paraId="22FB2F46" w14:textId="77777777" w:rsidTr="00AA1093">
        <w:tc>
          <w:tcPr>
            <w:tcW w:w="1196" w:type="dxa"/>
          </w:tcPr>
          <w:p w14:paraId="77C57F4B" w14:textId="377CCEB5"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import</m:t>
                    </m:r>
                  </m:sub>
                </m:sSub>
              </m:oMath>
            </m:oMathPara>
          </w:p>
        </w:tc>
        <w:tc>
          <w:tcPr>
            <w:tcW w:w="1222" w:type="dxa"/>
          </w:tcPr>
          <w:p w14:paraId="6EB1513C" w14:textId="746A0532" w:rsidR="00AA1093" w:rsidRPr="001A2C4C" w:rsidRDefault="00AA1093" w:rsidP="00AA1093">
            <w:pPr>
              <w:rPr>
                <w:color w:val="000000" w:themeColor="text1"/>
                <w:sz w:val="20"/>
                <w:szCs w:val="20"/>
              </w:rPr>
            </w:pPr>
            <w:r w:rsidRPr="001A2C4C">
              <w:rPr>
                <w:color w:val="000000"/>
                <w:sz w:val="20"/>
                <w:szCs w:val="20"/>
              </w:rPr>
              <w:t>4.7561(SDs: 0.0908)</w:t>
            </w:r>
          </w:p>
        </w:tc>
        <w:tc>
          <w:tcPr>
            <w:tcW w:w="1222" w:type="dxa"/>
          </w:tcPr>
          <w:p w14:paraId="238667B4" w14:textId="6497163D" w:rsidR="00AA1093" w:rsidRPr="001A2C4C" w:rsidRDefault="00AA1093" w:rsidP="00AA1093">
            <w:pPr>
              <w:rPr>
                <w:color w:val="000000" w:themeColor="text1"/>
                <w:sz w:val="20"/>
                <w:szCs w:val="20"/>
              </w:rPr>
            </w:pPr>
            <w:r w:rsidRPr="001A2C4C">
              <w:rPr>
                <w:color w:val="000000"/>
                <w:sz w:val="20"/>
                <w:szCs w:val="20"/>
              </w:rPr>
              <w:t>4.9666(SDs: 0.0943)</w:t>
            </w:r>
          </w:p>
        </w:tc>
        <w:tc>
          <w:tcPr>
            <w:tcW w:w="1222" w:type="dxa"/>
          </w:tcPr>
          <w:p w14:paraId="7645366F" w14:textId="2759E9A1" w:rsidR="00AA1093" w:rsidRPr="001A2C4C" w:rsidRDefault="00AA1093" w:rsidP="00AA1093">
            <w:pPr>
              <w:rPr>
                <w:color w:val="000000" w:themeColor="text1"/>
                <w:sz w:val="20"/>
                <w:szCs w:val="20"/>
              </w:rPr>
            </w:pPr>
            <w:r w:rsidRPr="001A2C4C">
              <w:rPr>
                <w:color w:val="000000"/>
                <w:sz w:val="20"/>
                <w:szCs w:val="20"/>
              </w:rPr>
              <w:t>4.8430(SDs: 0.0879)</w:t>
            </w:r>
          </w:p>
        </w:tc>
        <w:tc>
          <w:tcPr>
            <w:tcW w:w="1192" w:type="dxa"/>
          </w:tcPr>
          <w:p w14:paraId="58463C8E" w14:textId="0E72B708" w:rsidR="00AA1093" w:rsidRPr="001A2C4C" w:rsidRDefault="00AA1093" w:rsidP="00AA1093">
            <w:pPr>
              <w:rPr>
                <w:color w:val="000000" w:themeColor="text1"/>
                <w:sz w:val="20"/>
                <w:szCs w:val="20"/>
              </w:rPr>
            </w:pPr>
            <w:r w:rsidRPr="001A2C4C">
              <w:rPr>
                <w:color w:val="000000"/>
                <w:sz w:val="20"/>
                <w:szCs w:val="20"/>
              </w:rPr>
              <w:t>5.1502 (SDs: 0.0884)</w:t>
            </w:r>
          </w:p>
        </w:tc>
        <w:tc>
          <w:tcPr>
            <w:tcW w:w="1192" w:type="dxa"/>
          </w:tcPr>
          <w:p w14:paraId="198DF3B9" w14:textId="13CBC382" w:rsidR="00AA1093" w:rsidRPr="001A2C4C" w:rsidRDefault="00AA1093" w:rsidP="00AA1093">
            <w:pPr>
              <w:rPr>
                <w:color w:val="000000" w:themeColor="text1"/>
                <w:sz w:val="20"/>
                <w:szCs w:val="20"/>
              </w:rPr>
            </w:pPr>
            <w:r w:rsidRPr="001A2C4C">
              <w:rPr>
                <w:color w:val="000000"/>
                <w:sz w:val="20"/>
                <w:szCs w:val="20"/>
              </w:rPr>
              <w:t>4.8371 (SDs: 0.0939)</w:t>
            </w:r>
          </w:p>
        </w:tc>
        <w:tc>
          <w:tcPr>
            <w:tcW w:w="1276" w:type="dxa"/>
          </w:tcPr>
          <w:p w14:paraId="75CBB567" w14:textId="0A41219F" w:rsidR="00AA1093" w:rsidRPr="00AE069D" w:rsidRDefault="00AA1093" w:rsidP="00AA1093">
            <w:pPr>
              <w:rPr>
                <w:color w:val="000000" w:themeColor="text1"/>
              </w:rPr>
            </w:pPr>
            <w:r w:rsidRPr="00AE069D">
              <w:rPr>
                <w:color w:val="000000" w:themeColor="text1"/>
                <w:lang w:val="en-US"/>
              </w:rPr>
              <w:t>[0,10]</w:t>
            </w:r>
          </w:p>
        </w:tc>
      </w:tr>
      <w:tr w:rsidR="00AA1093" w:rsidRPr="00AE069D" w14:paraId="2271A564" w14:textId="77777777" w:rsidTr="00AA1093">
        <w:tc>
          <w:tcPr>
            <w:tcW w:w="1196" w:type="dxa"/>
          </w:tcPr>
          <w:p w14:paraId="195157D7" w14:textId="2A4755C2"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eff</m:t>
                    </m:r>
                  </m:sub>
                </m:sSub>
              </m:oMath>
            </m:oMathPara>
          </w:p>
        </w:tc>
        <w:tc>
          <w:tcPr>
            <w:tcW w:w="1222" w:type="dxa"/>
          </w:tcPr>
          <w:p w14:paraId="60A38A8D" w14:textId="32328C7D" w:rsidR="00AA1093" w:rsidRPr="001A2C4C" w:rsidRDefault="00AA1093" w:rsidP="00AA1093">
            <w:pPr>
              <w:rPr>
                <w:color w:val="000000" w:themeColor="text1"/>
                <w:sz w:val="20"/>
                <w:szCs w:val="20"/>
              </w:rPr>
            </w:pPr>
            <w:r w:rsidRPr="001A2C4C">
              <w:rPr>
                <w:color w:val="000000"/>
                <w:sz w:val="20"/>
                <w:szCs w:val="20"/>
              </w:rPr>
              <w:t>0.2460(SDs: 0.0008)</w:t>
            </w:r>
          </w:p>
        </w:tc>
        <w:tc>
          <w:tcPr>
            <w:tcW w:w="1222" w:type="dxa"/>
          </w:tcPr>
          <w:p w14:paraId="7D072CF1" w14:textId="529A2E5D" w:rsidR="00AA1093" w:rsidRPr="001A2C4C" w:rsidRDefault="00AA1093" w:rsidP="00AA1093">
            <w:pPr>
              <w:rPr>
                <w:color w:val="000000" w:themeColor="text1"/>
                <w:sz w:val="20"/>
                <w:szCs w:val="20"/>
              </w:rPr>
            </w:pPr>
            <w:r w:rsidRPr="001A2C4C">
              <w:rPr>
                <w:color w:val="000000"/>
                <w:sz w:val="20"/>
                <w:szCs w:val="20"/>
              </w:rPr>
              <w:t>0.2488(SDs: 0.0009)</w:t>
            </w:r>
          </w:p>
        </w:tc>
        <w:tc>
          <w:tcPr>
            <w:tcW w:w="1222" w:type="dxa"/>
          </w:tcPr>
          <w:p w14:paraId="17542512" w14:textId="70663B86" w:rsidR="00AA1093" w:rsidRPr="001A2C4C" w:rsidRDefault="00AA1093" w:rsidP="00AA1093">
            <w:pPr>
              <w:rPr>
                <w:color w:val="000000" w:themeColor="text1"/>
                <w:sz w:val="20"/>
                <w:szCs w:val="20"/>
              </w:rPr>
            </w:pPr>
            <w:r w:rsidRPr="001A2C4C">
              <w:rPr>
                <w:color w:val="000000"/>
                <w:sz w:val="20"/>
                <w:szCs w:val="20"/>
              </w:rPr>
              <w:t>0.2517(SDs: 0.0009)</w:t>
            </w:r>
          </w:p>
        </w:tc>
        <w:tc>
          <w:tcPr>
            <w:tcW w:w="1192" w:type="dxa"/>
          </w:tcPr>
          <w:p w14:paraId="121EDF69" w14:textId="1DE747E3" w:rsidR="00AA1093" w:rsidRPr="001A2C4C" w:rsidRDefault="00AA1093" w:rsidP="00AA1093">
            <w:pPr>
              <w:rPr>
                <w:color w:val="000000" w:themeColor="text1"/>
                <w:sz w:val="20"/>
                <w:szCs w:val="20"/>
              </w:rPr>
            </w:pPr>
            <w:r w:rsidRPr="001A2C4C">
              <w:rPr>
                <w:color w:val="000000"/>
                <w:sz w:val="20"/>
                <w:szCs w:val="20"/>
              </w:rPr>
              <w:t>0.2505(SDs: 0.0010)</w:t>
            </w:r>
          </w:p>
        </w:tc>
        <w:tc>
          <w:tcPr>
            <w:tcW w:w="1192" w:type="dxa"/>
          </w:tcPr>
          <w:p w14:paraId="456D77A4" w14:textId="1D804749" w:rsidR="00AA1093" w:rsidRPr="001A2C4C" w:rsidRDefault="00AA1093" w:rsidP="00AA1093">
            <w:pPr>
              <w:rPr>
                <w:color w:val="000000" w:themeColor="text1"/>
                <w:sz w:val="20"/>
                <w:szCs w:val="20"/>
              </w:rPr>
            </w:pPr>
            <w:r w:rsidRPr="001A2C4C">
              <w:rPr>
                <w:color w:val="000000"/>
                <w:sz w:val="20"/>
                <w:szCs w:val="20"/>
              </w:rPr>
              <w:t>0.2491(SDs: 0.0009)</w:t>
            </w:r>
          </w:p>
        </w:tc>
        <w:tc>
          <w:tcPr>
            <w:tcW w:w="1276" w:type="dxa"/>
          </w:tcPr>
          <w:p w14:paraId="1393A6C6" w14:textId="4A55A6EC" w:rsidR="00AA1093" w:rsidRPr="00AE069D" w:rsidRDefault="00AA1093" w:rsidP="00AA1093">
            <w:pPr>
              <w:rPr>
                <w:color w:val="000000" w:themeColor="text1"/>
                <w:lang w:val="en-US"/>
              </w:rPr>
            </w:pPr>
            <w:r w:rsidRPr="00AE069D">
              <w:rPr>
                <w:color w:val="000000" w:themeColor="text1"/>
                <w:lang w:val="en-US"/>
              </w:rPr>
              <w:t>[0.9,1]</w:t>
            </w:r>
            <w:r w:rsidR="002E129E">
              <w:rPr>
                <w:color w:val="000000" w:themeColor="text1"/>
                <w:lang w:val="en-US"/>
              </w:rPr>
              <w:fldChar w:fldCharType="begin"/>
            </w:r>
            <w:r w:rsidR="002E129E">
              <w:rPr>
                <w:color w:val="000000" w:themeColor="text1"/>
                <w:lang w:val="en-US"/>
              </w:rPr>
              <w:instrText xml:space="preserve"> ADDIN EN.CITE &lt;EndNote&gt;&lt;Cite&gt;&lt;Author&gt;Pei&lt;/Author&gt;&lt;Year&gt;2018&lt;/Year&gt;&lt;RecNum&gt;29&lt;/RecNum&gt;&lt;DisplayText&gt;&lt;style face="superscript"&gt;13&lt;/style&gt;&lt;/DisplayText&gt;&lt;record&gt;&lt;rec-number&gt;29&lt;/rec-number&gt;&lt;foreign-keys&gt;&lt;key app="EN" db-id="2a5p0tfvft9vskee0acxxxrwwvz2f5zavped" timestamp="1676147333"&gt;29&lt;/key&gt;&lt;/foreign-keys&gt;&lt;ref-type name="Journal Article"&gt;17&lt;/ref-type&gt;&lt;contributors&gt;&lt;authors&gt;&lt;author&gt;Pei, Sen&lt;/author&gt;&lt;author&gt;Morone, Flaviano&lt;/author&gt;&lt;author&gt;Liljeros, Fredrik&lt;/author&gt;&lt;author&gt;Makse, Hernan&lt;/author&gt;&lt;author&gt;Shaman, Jeffrey L&lt;/author&gt;&lt;/authors&gt;&lt;/contributors&gt;&lt;titles&gt;&lt;title&gt;Inference and control of the nosocomial transmission of methicillin-resistant Staphylococcus aureus&lt;/title&gt;&lt;secondary-title&gt;Elife&lt;/secondary-title&gt;&lt;/titles&gt;&lt;periodical&gt;&lt;full-title&gt;Elife&lt;/full-title&gt;&lt;/periodical&gt;&lt;pages&gt;e40977&lt;/pages&gt;&lt;volume&gt;7&lt;/volume&gt;&lt;dates&gt;&lt;year&gt;2018&lt;/year&gt;&lt;/dates&gt;&lt;isbn&gt;2050-084X&lt;/isbn&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13</w:t>
            </w:r>
            <w:r w:rsidR="002E129E">
              <w:rPr>
                <w:color w:val="000000" w:themeColor="text1"/>
                <w:lang w:val="en-US"/>
              </w:rPr>
              <w:fldChar w:fldCharType="end"/>
            </w:r>
          </w:p>
        </w:tc>
      </w:tr>
      <w:tr w:rsidR="00AA1093" w:rsidRPr="00AE069D" w14:paraId="00BF7D36" w14:textId="77777777" w:rsidTr="00AA1093">
        <w:tc>
          <w:tcPr>
            <w:tcW w:w="1196" w:type="dxa"/>
          </w:tcPr>
          <w:p w14:paraId="23DBE3E8" w14:textId="14CA34DE" w:rsidR="00AA1093" w:rsidRPr="00AE069D" w:rsidRDefault="00AA1093" w:rsidP="00AA1093">
            <w:pPr>
              <w:rPr>
                <w:color w:val="000000" w:themeColor="text1"/>
              </w:rPr>
            </w:pPr>
            <m:oMathPara>
              <m:oMath>
                <m:r>
                  <w:rPr>
                    <w:rFonts w:ascii="Cambria Math" w:hAnsi="Cambria Math"/>
                    <w:color w:val="000000" w:themeColor="text1"/>
                  </w:rPr>
                  <m:t>α</m:t>
                </m:r>
              </m:oMath>
            </m:oMathPara>
          </w:p>
        </w:tc>
        <w:tc>
          <w:tcPr>
            <w:tcW w:w="1222" w:type="dxa"/>
          </w:tcPr>
          <w:p w14:paraId="45C2F0B5" w14:textId="4E48C559" w:rsidR="00AA1093" w:rsidRPr="001A2C4C" w:rsidRDefault="00AA1093" w:rsidP="00AA1093">
            <w:pPr>
              <w:rPr>
                <w:color w:val="000000" w:themeColor="text1"/>
                <w:sz w:val="20"/>
                <w:szCs w:val="20"/>
              </w:rPr>
            </w:pPr>
            <w:r w:rsidRPr="001A2C4C">
              <w:rPr>
                <w:color w:val="000000"/>
                <w:sz w:val="20"/>
                <w:szCs w:val="20"/>
              </w:rPr>
              <w:t>0.5933(SDs: 0.0182)</w:t>
            </w:r>
          </w:p>
        </w:tc>
        <w:tc>
          <w:tcPr>
            <w:tcW w:w="1222" w:type="dxa"/>
          </w:tcPr>
          <w:p w14:paraId="629916C9" w14:textId="03C315B8" w:rsidR="00AA1093" w:rsidRPr="001A2C4C" w:rsidRDefault="00AA1093" w:rsidP="00AA1093">
            <w:pPr>
              <w:rPr>
                <w:color w:val="000000" w:themeColor="text1"/>
                <w:sz w:val="20"/>
                <w:szCs w:val="20"/>
              </w:rPr>
            </w:pPr>
            <w:r w:rsidRPr="001A2C4C">
              <w:rPr>
                <w:color w:val="000000"/>
                <w:sz w:val="20"/>
                <w:szCs w:val="20"/>
              </w:rPr>
              <w:t>0.6721(SDs: 0.0189)</w:t>
            </w:r>
          </w:p>
        </w:tc>
        <w:tc>
          <w:tcPr>
            <w:tcW w:w="1222" w:type="dxa"/>
          </w:tcPr>
          <w:p w14:paraId="260BFE5A" w14:textId="184F6C06" w:rsidR="00AA1093" w:rsidRPr="001A2C4C" w:rsidRDefault="00AA1093" w:rsidP="00AA1093">
            <w:pPr>
              <w:rPr>
                <w:color w:val="000000" w:themeColor="text1"/>
                <w:sz w:val="20"/>
                <w:szCs w:val="20"/>
              </w:rPr>
            </w:pPr>
            <w:r w:rsidRPr="001A2C4C">
              <w:rPr>
                <w:color w:val="000000"/>
                <w:sz w:val="20"/>
                <w:szCs w:val="20"/>
              </w:rPr>
              <w:t>0.5933(SDs: 0.0186)</w:t>
            </w:r>
          </w:p>
        </w:tc>
        <w:tc>
          <w:tcPr>
            <w:tcW w:w="1192" w:type="dxa"/>
          </w:tcPr>
          <w:p w14:paraId="35299AAA" w14:textId="4465375A" w:rsidR="00AA1093" w:rsidRPr="001A2C4C" w:rsidRDefault="00AA1093" w:rsidP="00AA1093">
            <w:pPr>
              <w:rPr>
                <w:color w:val="000000" w:themeColor="text1"/>
                <w:sz w:val="20"/>
                <w:szCs w:val="20"/>
              </w:rPr>
            </w:pPr>
            <w:r w:rsidRPr="001A2C4C">
              <w:rPr>
                <w:color w:val="000000"/>
                <w:sz w:val="20"/>
                <w:szCs w:val="20"/>
              </w:rPr>
              <w:t>0.3314 (SDs: 0.0175)</w:t>
            </w:r>
          </w:p>
        </w:tc>
        <w:tc>
          <w:tcPr>
            <w:tcW w:w="1192" w:type="dxa"/>
          </w:tcPr>
          <w:p w14:paraId="181F28AD" w14:textId="55416725" w:rsidR="00AA1093" w:rsidRPr="001A2C4C" w:rsidRDefault="00AA1093" w:rsidP="00AA1093">
            <w:pPr>
              <w:rPr>
                <w:color w:val="000000" w:themeColor="text1"/>
                <w:sz w:val="20"/>
                <w:szCs w:val="20"/>
              </w:rPr>
            </w:pPr>
            <w:r w:rsidRPr="001A2C4C">
              <w:rPr>
                <w:color w:val="000000"/>
                <w:sz w:val="20"/>
                <w:szCs w:val="20"/>
              </w:rPr>
              <w:t>1.4072 (SDs: 0.0178)</w:t>
            </w:r>
          </w:p>
        </w:tc>
        <w:tc>
          <w:tcPr>
            <w:tcW w:w="1276" w:type="dxa"/>
          </w:tcPr>
          <w:p w14:paraId="7E68422C" w14:textId="0F0087CE" w:rsidR="00AA1093" w:rsidRPr="00AE069D" w:rsidRDefault="00AA1093" w:rsidP="00AA1093">
            <w:pPr>
              <w:rPr>
                <w:color w:val="000000" w:themeColor="text1"/>
                <w:lang w:val="en-US"/>
              </w:rPr>
            </w:pPr>
            <w:r w:rsidRPr="00AE069D">
              <w:rPr>
                <w:color w:val="000000" w:themeColor="text1"/>
                <w:lang w:val="en-US"/>
              </w:rPr>
              <w:t>[0,2]</w:t>
            </w:r>
            <w:r w:rsidR="002E129E">
              <w:rPr>
                <w:color w:val="000000" w:themeColor="text1"/>
                <w:lang w:val="en-US"/>
              </w:rPr>
              <w:fldChar w:fldCharType="begin"/>
            </w:r>
            <w:r w:rsidR="002E129E">
              <w:rPr>
                <w:color w:val="000000" w:themeColor="text1"/>
                <w:lang w:val="en-US"/>
              </w:rPr>
              <w:instrText xml:space="preserve"> ADDIN EN.CITE &lt;EndNote&gt;&lt;Cite&gt;&lt;Author&gt;Pei&lt;/Author&gt;&lt;Year&gt;2018&lt;/Year&gt;&lt;RecNum&gt;29&lt;/RecNum&gt;&lt;DisplayText&gt;&lt;style face="superscript"&gt;13&lt;/style&gt;&lt;/DisplayText&gt;&lt;record&gt;&lt;rec-number&gt;29&lt;/rec-number&gt;&lt;foreign-keys&gt;&lt;key app="EN" db-id="2a5p0tfvft9vskee0acxxxrwwvz2f5zavped" timestamp="1676147333"&gt;29&lt;/key&gt;&lt;/foreign-keys&gt;&lt;ref-type name="Journal Article"&gt;17&lt;/ref-type&gt;&lt;contributors&gt;&lt;authors&gt;&lt;author&gt;Pei, Sen&lt;/author&gt;&lt;author&gt;Morone, Flaviano&lt;/author&gt;&lt;author&gt;Liljeros, Fredrik&lt;/author&gt;&lt;author&gt;Makse, Hernan&lt;/author&gt;&lt;author&gt;Shaman, Jeffrey L&lt;/author&gt;&lt;/authors&gt;&lt;/contributors&gt;&lt;titles&gt;&lt;title&gt;Inference and control of the nosocomial transmission of methicillin-resistant Staphylococcus aureus&lt;/title&gt;&lt;secondary-title&gt;Elife&lt;/secondary-title&gt;&lt;/titles&gt;&lt;periodical&gt;&lt;full-title&gt;Elife&lt;/full-title&gt;&lt;/periodical&gt;&lt;pages&gt;e40977&lt;/pages&gt;&lt;volume&gt;7&lt;/volume&gt;&lt;dates&gt;&lt;year&gt;2018&lt;/year&gt;&lt;/dates&gt;&lt;isbn&gt;2050-084X&lt;/isbn&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13</w:t>
            </w:r>
            <w:r w:rsidR="002E129E">
              <w:rPr>
                <w:color w:val="000000" w:themeColor="text1"/>
                <w:lang w:val="en-US"/>
              </w:rPr>
              <w:fldChar w:fldCharType="end"/>
            </w:r>
          </w:p>
        </w:tc>
      </w:tr>
      <w:tr w:rsidR="00AA1093" w:rsidRPr="00AE069D" w14:paraId="52A1D50C" w14:textId="77777777" w:rsidTr="00AA1093">
        <w:tc>
          <w:tcPr>
            <w:tcW w:w="1196" w:type="dxa"/>
          </w:tcPr>
          <w:p w14:paraId="03E15A1E" w14:textId="58160924" w:rsidR="00AA1093" w:rsidRPr="00AE069D" w:rsidRDefault="00AA1093" w:rsidP="00AA1093">
            <w:pPr>
              <w:rPr>
                <w:color w:val="000000" w:themeColor="text1"/>
              </w:rPr>
            </w:pPr>
            <m:oMathPara>
              <m:oMath>
                <m:r>
                  <w:rPr>
                    <w:rFonts w:ascii="Cambria Math" w:hAnsi="Cambria Math"/>
                    <w:color w:val="000000" w:themeColor="text1"/>
                  </w:rPr>
                  <m:t>β</m:t>
                </m:r>
              </m:oMath>
            </m:oMathPara>
          </w:p>
        </w:tc>
        <w:tc>
          <w:tcPr>
            <w:tcW w:w="1222" w:type="dxa"/>
          </w:tcPr>
          <w:p w14:paraId="774AD8C2" w14:textId="3E1DAC59" w:rsidR="00AA1093" w:rsidRPr="001A2C4C" w:rsidRDefault="00AA1093" w:rsidP="00AA1093">
            <w:pPr>
              <w:rPr>
                <w:color w:val="000000" w:themeColor="text1"/>
                <w:sz w:val="20"/>
                <w:szCs w:val="20"/>
              </w:rPr>
            </w:pPr>
            <w:r w:rsidRPr="001A2C4C">
              <w:rPr>
                <w:color w:val="000000"/>
                <w:sz w:val="20"/>
                <w:szCs w:val="20"/>
              </w:rPr>
              <w:t>0.0124(SDs: 0.0004)</w:t>
            </w:r>
          </w:p>
        </w:tc>
        <w:tc>
          <w:tcPr>
            <w:tcW w:w="1222" w:type="dxa"/>
          </w:tcPr>
          <w:p w14:paraId="0D6A7C99" w14:textId="54A64C32" w:rsidR="00AA1093" w:rsidRPr="001A2C4C" w:rsidRDefault="00AA1093" w:rsidP="00AA1093">
            <w:pPr>
              <w:rPr>
                <w:color w:val="000000" w:themeColor="text1"/>
                <w:sz w:val="20"/>
                <w:szCs w:val="20"/>
              </w:rPr>
            </w:pPr>
            <w:r w:rsidRPr="001A2C4C">
              <w:rPr>
                <w:color w:val="000000"/>
                <w:sz w:val="20"/>
                <w:szCs w:val="20"/>
              </w:rPr>
              <w:t>0.0103(SDs: 0.0004)</w:t>
            </w:r>
          </w:p>
        </w:tc>
        <w:tc>
          <w:tcPr>
            <w:tcW w:w="1222" w:type="dxa"/>
          </w:tcPr>
          <w:p w14:paraId="493A9F45" w14:textId="672E9C08" w:rsidR="00AA1093" w:rsidRPr="001A2C4C" w:rsidRDefault="00AA1093" w:rsidP="00AA1093">
            <w:pPr>
              <w:rPr>
                <w:color w:val="000000" w:themeColor="text1"/>
                <w:sz w:val="20"/>
                <w:szCs w:val="20"/>
              </w:rPr>
            </w:pPr>
            <w:r w:rsidRPr="001A2C4C">
              <w:rPr>
                <w:color w:val="000000"/>
                <w:sz w:val="20"/>
                <w:szCs w:val="20"/>
              </w:rPr>
              <w:t>0.0095(SDs: 0.0004)</w:t>
            </w:r>
          </w:p>
        </w:tc>
        <w:tc>
          <w:tcPr>
            <w:tcW w:w="1192" w:type="dxa"/>
          </w:tcPr>
          <w:p w14:paraId="68FD01EA" w14:textId="5B7EC79E" w:rsidR="00AA1093" w:rsidRPr="001A2C4C" w:rsidRDefault="00AA1093" w:rsidP="00AA1093">
            <w:pPr>
              <w:rPr>
                <w:color w:val="000000" w:themeColor="text1"/>
                <w:sz w:val="20"/>
                <w:szCs w:val="20"/>
              </w:rPr>
            </w:pPr>
            <w:r w:rsidRPr="001A2C4C">
              <w:rPr>
                <w:color w:val="000000"/>
                <w:sz w:val="20"/>
                <w:szCs w:val="20"/>
              </w:rPr>
              <w:t>0.0140 (SDs: 0.0005)</w:t>
            </w:r>
          </w:p>
        </w:tc>
        <w:tc>
          <w:tcPr>
            <w:tcW w:w="1192" w:type="dxa"/>
          </w:tcPr>
          <w:p w14:paraId="4D3F64C5" w14:textId="4F7DACEF" w:rsidR="00AA1093" w:rsidRPr="001A2C4C" w:rsidRDefault="00AA1093" w:rsidP="00AA1093">
            <w:pPr>
              <w:rPr>
                <w:color w:val="000000" w:themeColor="text1"/>
                <w:sz w:val="20"/>
                <w:szCs w:val="20"/>
              </w:rPr>
            </w:pPr>
            <w:r w:rsidRPr="001A2C4C">
              <w:rPr>
                <w:color w:val="000000"/>
                <w:sz w:val="20"/>
                <w:szCs w:val="20"/>
              </w:rPr>
              <w:t>0.0466 (SDs: 0.0006)</w:t>
            </w:r>
          </w:p>
        </w:tc>
        <w:tc>
          <w:tcPr>
            <w:tcW w:w="1276" w:type="dxa"/>
          </w:tcPr>
          <w:p w14:paraId="1409AF96" w14:textId="5549CBA3" w:rsidR="00AA1093" w:rsidRPr="00AE069D" w:rsidRDefault="00AA1093" w:rsidP="00AA1093">
            <w:pPr>
              <w:rPr>
                <w:color w:val="000000" w:themeColor="text1"/>
                <w:lang w:val="en-US"/>
              </w:rPr>
            </w:pPr>
            <w:r w:rsidRPr="00AE069D">
              <w:rPr>
                <w:color w:val="000000" w:themeColor="text1"/>
                <w:lang w:val="en-US"/>
              </w:rPr>
              <w:t>[0,0.05]</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0143901D" w14:textId="77777777" w:rsidTr="00AA1093">
        <w:tc>
          <w:tcPr>
            <w:tcW w:w="1196" w:type="dxa"/>
          </w:tcPr>
          <w:p w14:paraId="71A1AC4D" w14:textId="24EA3EFB" w:rsidR="00AA1093" w:rsidRPr="00AE069D" w:rsidRDefault="00AA1093" w:rsidP="00AA1093">
            <w:pPr>
              <w:rPr>
                <w:color w:val="000000" w:themeColor="text1"/>
              </w:rPr>
            </w:pPr>
            <m:oMathPara>
              <m:oMath>
                <m:r>
                  <w:rPr>
                    <w:rFonts w:ascii="Cambria Math" w:hAnsi="Cambria Math"/>
                    <w:color w:val="000000" w:themeColor="text1"/>
                  </w:rPr>
                  <m:t>δ</m:t>
                </m:r>
              </m:oMath>
            </m:oMathPara>
          </w:p>
        </w:tc>
        <w:tc>
          <w:tcPr>
            <w:tcW w:w="1222" w:type="dxa"/>
          </w:tcPr>
          <w:p w14:paraId="625C04C0" w14:textId="3A6A7CEC" w:rsidR="00AA1093" w:rsidRPr="001A2C4C" w:rsidRDefault="00AA1093" w:rsidP="00AA1093">
            <w:pPr>
              <w:rPr>
                <w:color w:val="000000" w:themeColor="text1"/>
                <w:sz w:val="20"/>
                <w:szCs w:val="20"/>
              </w:rPr>
            </w:pPr>
            <w:r w:rsidRPr="001A2C4C">
              <w:rPr>
                <w:color w:val="000000"/>
                <w:sz w:val="20"/>
                <w:szCs w:val="20"/>
              </w:rPr>
              <w:t>0.0644(SDs: 0.0009)</w:t>
            </w:r>
          </w:p>
        </w:tc>
        <w:tc>
          <w:tcPr>
            <w:tcW w:w="1222" w:type="dxa"/>
          </w:tcPr>
          <w:p w14:paraId="7F2F2079" w14:textId="22545773" w:rsidR="00AA1093" w:rsidRPr="001A2C4C" w:rsidRDefault="00AA1093" w:rsidP="00AA1093">
            <w:pPr>
              <w:rPr>
                <w:color w:val="000000" w:themeColor="text1"/>
                <w:sz w:val="20"/>
                <w:szCs w:val="20"/>
              </w:rPr>
            </w:pPr>
            <w:r w:rsidRPr="001A2C4C">
              <w:rPr>
                <w:color w:val="000000"/>
                <w:sz w:val="20"/>
                <w:szCs w:val="20"/>
              </w:rPr>
              <w:t>0.0583(SDs: 0.0009)</w:t>
            </w:r>
          </w:p>
        </w:tc>
        <w:tc>
          <w:tcPr>
            <w:tcW w:w="1222" w:type="dxa"/>
          </w:tcPr>
          <w:p w14:paraId="4DFDC348" w14:textId="088789EB" w:rsidR="00AA1093" w:rsidRPr="001A2C4C" w:rsidRDefault="00AA1093" w:rsidP="00AA1093">
            <w:pPr>
              <w:rPr>
                <w:color w:val="000000" w:themeColor="text1"/>
                <w:sz w:val="20"/>
                <w:szCs w:val="20"/>
              </w:rPr>
            </w:pPr>
            <w:r w:rsidRPr="001A2C4C">
              <w:rPr>
                <w:color w:val="000000"/>
                <w:sz w:val="20"/>
                <w:szCs w:val="20"/>
              </w:rPr>
              <w:t>0.0671(SDs: 0.0009)</w:t>
            </w:r>
          </w:p>
        </w:tc>
        <w:tc>
          <w:tcPr>
            <w:tcW w:w="1192" w:type="dxa"/>
          </w:tcPr>
          <w:p w14:paraId="1B398EC7" w14:textId="111A926E" w:rsidR="00AA1093" w:rsidRPr="001A2C4C" w:rsidRDefault="00AA1093" w:rsidP="00AA1093">
            <w:pPr>
              <w:rPr>
                <w:color w:val="000000" w:themeColor="text1"/>
                <w:sz w:val="20"/>
                <w:szCs w:val="20"/>
              </w:rPr>
            </w:pPr>
            <w:r w:rsidRPr="001A2C4C">
              <w:rPr>
                <w:color w:val="000000"/>
                <w:sz w:val="20"/>
                <w:szCs w:val="20"/>
              </w:rPr>
              <w:t>0.0609 (SDs: 0.0010)</w:t>
            </w:r>
          </w:p>
        </w:tc>
        <w:tc>
          <w:tcPr>
            <w:tcW w:w="1192" w:type="dxa"/>
          </w:tcPr>
          <w:p w14:paraId="0A27382C" w14:textId="45A594D9" w:rsidR="00AA1093" w:rsidRPr="001A2C4C" w:rsidRDefault="00AA1093" w:rsidP="00AA1093">
            <w:pPr>
              <w:rPr>
                <w:color w:val="000000" w:themeColor="text1"/>
                <w:sz w:val="20"/>
                <w:szCs w:val="20"/>
              </w:rPr>
            </w:pPr>
            <w:r w:rsidRPr="001A2C4C">
              <w:rPr>
                <w:color w:val="000000"/>
                <w:sz w:val="20"/>
                <w:szCs w:val="20"/>
              </w:rPr>
              <w:t>0.0304 (SDs: 0.0009)</w:t>
            </w:r>
          </w:p>
        </w:tc>
        <w:tc>
          <w:tcPr>
            <w:tcW w:w="1276" w:type="dxa"/>
          </w:tcPr>
          <w:p w14:paraId="1DA2953A" w14:textId="71DDACE1" w:rsidR="00AA1093" w:rsidRPr="00AE069D" w:rsidRDefault="00AA1093" w:rsidP="00AA1093">
            <w:pPr>
              <w:rPr>
                <w:color w:val="000000" w:themeColor="text1"/>
                <w:lang w:val="en-US"/>
              </w:rPr>
            </w:pPr>
            <w:r w:rsidRPr="00AE069D">
              <w:rPr>
                <w:color w:val="000000" w:themeColor="text1"/>
                <w:lang w:val="en-US"/>
              </w:rPr>
              <w:t>[0,0.01]</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6BC68B3B" w14:textId="77777777" w:rsidTr="00AA1093">
        <w:tc>
          <w:tcPr>
            <w:tcW w:w="1196" w:type="dxa"/>
          </w:tcPr>
          <w:p w14:paraId="6BADBC87" w14:textId="04E039F6"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P→P</m:t>
                    </m:r>
                  </m:sub>
                </m:sSub>
              </m:oMath>
            </m:oMathPara>
          </w:p>
        </w:tc>
        <w:tc>
          <w:tcPr>
            <w:tcW w:w="1222" w:type="dxa"/>
          </w:tcPr>
          <w:p w14:paraId="03267604" w14:textId="0FAA145C" w:rsidR="00AA1093" w:rsidRPr="001A2C4C" w:rsidRDefault="00AA1093" w:rsidP="00AA1093">
            <w:pPr>
              <w:rPr>
                <w:color w:val="000000" w:themeColor="text1"/>
                <w:sz w:val="20"/>
                <w:szCs w:val="20"/>
              </w:rPr>
            </w:pPr>
            <w:r w:rsidRPr="001A2C4C">
              <w:rPr>
                <w:color w:val="000000"/>
                <w:sz w:val="20"/>
                <w:szCs w:val="20"/>
              </w:rPr>
              <w:t>0.0103(SDs: 0.0001)</w:t>
            </w:r>
          </w:p>
        </w:tc>
        <w:tc>
          <w:tcPr>
            <w:tcW w:w="1222" w:type="dxa"/>
          </w:tcPr>
          <w:p w14:paraId="758A2B60" w14:textId="2A75D563" w:rsidR="00AA1093" w:rsidRPr="001A2C4C" w:rsidRDefault="00AA1093" w:rsidP="00AA1093">
            <w:pPr>
              <w:rPr>
                <w:color w:val="000000" w:themeColor="text1"/>
                <w:sz w:val="20"/>
                <w:szCs w:val="20"/>
              </w:rPr>
            </w:pPr>
            <w:r w:rsidRPr="001A2C4C">
              <w:rPr>
                <w:color w:val="000000"/>
                <w:sz w:val="20"/>
                <w:szCs w:val="20"/>
              </w:rPr>
              <w:t>0.0100(SDs: 0.0001)</w:t>
            </w:r>
          </w:p>
        </w:tc>
        <w:tc>
          <w:tcPr>
            <w:tcW w:w="1222" w:type="dxa"/>
          </w:tcPr>
          <w:p w14:paraId="50AEFD5C" w14:textId="4AB83D08" w:rsidR="00AA1093" w:rsidRPr="001A2C4C" w:rsidRDefault="00AA1093" w:rsidP="00AA1093">
            <w:pPr>
              <w:rPr>
                <w:color w:val="000000" w:themeColor="text1"/>
                <w:sz w:val="20"/>
                <w:szCs w:val="20"/>
              </w:rPr>
            </w:pPr>
            <w:r w:rsidRPr="001A2C4C">
              <w:rPr>
                <w:color w:val="000000"/>
                <w:sz w:val="20"/>
                <w:szCs w:val="20"/>
              </w:rPr>
              <w:t>0.0090(SDs: 0.0001)</w:t>
            </w:r>
          </w:p>
        </w:tc>
        <w:tc>
          <w:tcPr>
            <w:tcW w:w="1192" w:type="dxa"/>
          </w:tcPr>
          <w:p w14:paraId="643A8A29" w14:textId="393DE0BB" w:rsidR="00AA1093" w:rsidRPr="001A2C4C" w:rsidRDefault="00AA1093" w:rsidP="00AA1093">
            <w:pPr>
              <w:rPr>
                <w:color w:val="000000" w:themeColor="text1"/>
                <w:sz w:val="20"/>
                <w:szCs w:val="20"/>
              </w:rPr>
            </w:pPr>
            <w:r w:rsidRPr="001A2C4C">
              <w:rPr>
                <w:color w:val="000000"/>
                <w:sz w:val="20"/>
                <w:szCs w:val="20"/>
              </w:rPr>
              <w:t>0.0099 (SDs: 0.0001)</w:t>
            </w:r>
          </w:p>
        </w:tc>
        <w:tc>
          <w:tcPr>
            <w:tcW w:w="1192" w:type="dxa"/>
          </w:tcPr>
          <w:p w14:paraId="34D33BA2" w14:textId="47BC7B80" w:rsidR="00AA1093" w:rsidRPr="001A2C4C" w:rsidRDefault="00AA1093" w:rsidP="00AA1093">
            <w:pPr>
              <w:rPr>
                <w:color w:val="000000" w:themeColor="text1"/>
                <w:sz w:val="20"/>
                <w:szCs w:val="20"/>
              </w:rPr>
            </w:pPr>
            <w:r w:rsidRPr="001A2C4C">
              <w:rPr>
                <w:color w:val="000000"/>
                <w:sz w:val="20"/>
                <w:szCs w:val="20"/>
              </w:rPr>
              <w:t>0.0107 (SDs: 0.0001)</w:t>
            </w:r>
          </w:p>
        </w:tc>
        <w:tc>
          <w:tcPr>
            <w:tcW w:w="1276" w:type="dxa"/>
          </w:tcPr>
          <w:p w14:paraId="26A38F8B" w14:textId="1BA37550" w:rsidR="00AA1093" w:rsidRPr="00AE069D" w:rsidRDefault="00AA1093" w:rsidP="00AA1093">
            <w:pPr>
              <w:rPr>
                <w:color w:val="000000" w:themeColor="text1"/>
                <w:lang w:val="en-US"/>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7B72CC2F" w14:textId="77777777" w:rsidTr="00AA1093">
        <w:tc>
          <w:tcPr>
            <w:tcW w:w="1196" w:type="dxa"/>
          </w:tcPr>
          <w:p w14:paraId="3704BD4E" w14:textId="2D4FF09D"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P→H</m:t>
                    </m:r>
                  </m:sub>
                </m:sSub>
              </m:oMath>
            </m:oMathPara>
          </w:p>
        </w:tc>
        <w:tc>
          <w:tcPr>
            <w:tcW w:w="1222" w:type="dxa"/>
          </w:tcPr>
          <w:p w14:paraId="4BDF3858" w14:textId="77A1004A" w:rsidR="00AA1093" w:rsidRPr="001A2C4C" w:rsidRDefault="00AA1093" w:rsidP="00AA1093">
            <w:pPr>
              <w:rPr>
                <w:color w:val="000000" w:themeColor="text1"/>
                <w:sz w:val="20"/>
                <w:szCs w:val="20"/>
              </w:rPr>
            </w:pPr>
            <w:r w:rsidRPr="001A2C4C">
              <w:rPr>
                <w:color w:val="000000"/>
                <w:sz w:val="20"/>
                <w:szCs w:val="20"/>
              </w:rPr>
              <w:t>0.0105(SDs: 0.0001)</w:t>
            </w:r>
          </w:p>
        </w:tc>
        <w:tc>
          <w:tcPr>
            <w:tcW w:w="1222" w:type="dxa"/>
          </w:tcPr>
          <w:p w14:paraId="4D816E18" w14:textId="4F110AD8" w:rsidR="00AA1093" w:rsidRPr="001A2C4C" w:rsidRDefault="00AA1093" w:rsidP="00AA1093">
            <w:pPr>
              <w:rPr>
                <w:color w:val="000000" w:themeColor="text1"/>
                <w:sz w:val="20"/>
                <w:szCs w:val="20"/>
              </w:rPr>
            </w:pPr>
            <w:r w:rsidRPr="001A2C4C">
              <w:rPr>
                <w:color w:val="000000"/>
                <w:sz w:val="20"/>
                <w:szCs w:val="20"/>
              </w:rPr>
              <w:t>0.0104(SDs: 0.0001)</w:t>
            </w:r>
          </w:p>
        </w:tc>
        <w:tc>
          <w:tcPr>
            <w:tcW w:w="1222" w:type="dxa"/>
          </w:tcPr>
          <w:p w14:paraId="79697EA9" w14:textId="50CF4C67" w:rsidR="00AA1093" w:rsidRPr="001A2C4C" w:rsidRDefault="00AA1093" w:rsidP="00AA1093">
            <w:pPr>
              <w:rPr>
                <w:color w:val="000000" w:themeColor="text1"/>
                <w:sz w:val="20"/>
                <w:szCs w:val="20"/>
              </w:rPr>
            </w:pPr>
            <w:r w:rsidRPr="001A2C4C">
              <w:rPr>
                <w:color w:val="000000"/>
                <w:sz w:val="20"/>
                <w:szCs w:val="20"/>
              </w:rPr>
              <w:t>0.0099(SDs: 0.0001)</w:t>
            </w:r>
          </w:p>
        </w:tc>
        <w:tc>
          <w:tcPr>
            <w:tcW w:w="1192" w:type="dxa"/>
          </w:tcPr>
          <w:p w14:paraId="5F2D0178" w14:textId="5B4B0D0A" w:rsidR="00AA1093" w:rsidRPr="001A2C4C" w:rsidRDefault="00AA1093" w:rsidP="00AA1093">
            <w:pPr>
              <w:rPr>
                <w:color w:val="000000" w:themeColor="text1"/>
                <w:sz w:val="20"/>
                <w:szCs w:val="20"/>
              </w:rPr>
            </w:pPr>
            <w:r w:rsidRPr="001A2C4C">
              <w:rPr>
                <w:color w:val="000000"/>
                <w:sz w:val="20"/>
                <w:szCs w:val="20"/>
              </w:rPr>
              <w:t>0.0099 (SDs: 0.0001)</w:t>
            </w:r>
          </w:p>
        </w:tc>
        <w:tc>
          <w:tcPr>
            <w:tcW w:w="1192" w:type="dxa"/>
          </w:tcPr>
          <w:p w14:paraId="5C9E3DF8" w14:textId="5E334E09" w:rsidR="00AA1093" w:rsidRPr="001A2C4C" w:rsidRDefault="00AA1093" w:rsidP="00AA1093">
            <w:pPr>
              <w:rPr>
                <w:color w:val="000000" w:themeColor="text1"/>
                <w:sz w:val="20"/>
                <w:szCs w:val="20"/>
              </w:rPr>
            </w:pPr>
            <w:r w:rsidRPr="001A2C4C">
              <w:rPr>
                <w:color w:val="000000"/>
                <w:sz w:val="20"/>
                <w:szCs w:val="20"/>
              </w:rPr>
              <w:t>0.0092 (SDs: 0.0001)</w:t>
            </w:r>
          </w:p>
        </w:tc>
        <w:tc>
          <w:tcPr>
            <w:tcW w:w="1276" w:type="dxa"/>
          </w:tcPr>
          <w:p w14:paraId="3DBC4A15" w14:textId="55F26502" w:rsidR="00AA1093" w:rsidRPr="00AE069D" w:rsidRDefault="00AA1093" w:rsidP="00AA1093">
            <w:pPr>
              <w:rPr>
                <w:color w:val="000000" w:themeColor="text1"/>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5C5E0B04" w14:textId="77777777" w:rsidTr="00AA1093">
        <w:tc>
          <w:tcPr>
            <w:tcW w:w="1196" w:type="dxa"/>
          </w:tcPr>
          <w:p w14:paraId="694A9362" w14:textId="03EF4631"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P→L</m:t>
                    </m:r>
                  </m:sub>
                </m:sSub>
              </m:oMath>
            </m:oMathPara>
          </w:p>
        </w:tc>
        <w:tc>
          <w:tcPr>
            <w:tcW w:w="1222" w:type="dxa"/>
          </w:tcPr>
          <w:p w14:paraId="6D051753" w14:textId="164A6A96" w:rsidR="00AA1093" w:rsidRPr="001A2C4C" w:rsidRDefault="00AA1093" w:rsidP="00AA1093">
            <w:pPr>
              <w:rPr>
                <w:color w:val="000000" w:themeColor="text1"/>
                <w:sz w:val="20"/>
                <w:szCs w:val="20"/>
              </w:rPr>
            </w:pPr>
            <w:r w:rsidRPr="001A2C4C">
              <w:rPr>
                <w:color w:val="000000"/>
                <w:sz w:val="20"/>
                <w:szCs w:val="20"/>
              </w:rPr>
              <w:t>0.0101(SDs: 0.0001)</w:t>
            </w:r>
          </w:p>
        </w:tc>
        <w:tc>
          <w:tcPr>
            <w:tcW w:w="1222" w:type="dxa"/>
          </w:tcPr>
          <w:p w14:paraId="775CCD99" w14:textId="357C1898" w:rsidR="00AA1093" w:rsidRPr="001A2C4C" w:rsidRDefault="00AA1093" w:rsidP="00AA1093">
            <w:pPr>
              <w:rPr>
                <w:color w:val="000000" w:themeColor="text1"/>
                <w:sz w:val="20"/>
                <w:szCs w:val="20"/>
              </w:rPr>
            </w:pPr>
            <w:r w:rsidRPr="001A2C4C">
              <w:rPr>
                <w:color w:val="000000"/>
                <w:sz w:val="20"/>
                <w:szCs w:val="20"/>
              </w:rPr>
              <w:t>0.0092(SDs: 0.0001)</w:t>
            </w:r>
          </w:p>
        </w:tc>
        <w:tc>
          <w:tcPr>
            <w:tcW w:w="1222" w:type="dxa"/>
          </w:tcPr>
          <w:p w14:paraId="3E486FED" w14:textId="45ED9C09" w:rsidR="00AA1093" w:rsidRPr="001A2C4C" w:rsidRDefault="00AA1093" w:rsidP="00AA1093">
            <w:pPr>
              <w:rPr>
                <w:color w:val="000000" w:themeColor="text1"/>
                <w:sz w:val="20"/>
                <w:szCs w:val="20"/>
              </w:rPr>
            </w:pPr>
            <w:r w:rsidRPr="001A2C4C">
              <w:rPr>
                <w:color w:val="000000"/>
                <w:sz w:val="20"/>
                <w:szCs w:val="20"/>
              </w:rPr>
              <w:t>0.0103(SDs: 0.0001)</w:t>
            </w:r>
          </w:p>
        </w:tc>
        <w:tc>
          <w:tcPr>
            <w:tcW w:w="1192" w:type="dxa"/>
          </w:tcPr>
          <w:p w14:paraId="7BFAAEFC" w14:textId="404820B6" w:rsidR="00AA1093" w:rsidRPr="001A2C4C" w:rsidRDefault="00AA1093" w:rsidP="00AA1093">
            <w:pPr>
              <w:rPr>
                <w:color w:val="000000" w:themeColor="text1"/>
                <w:sz w:val="20"/>
                <w:szCs w:val="20"/>
              </w:rPr>
            </w:pPr>
            <w:r w:rsidRPr="001A2C4C">
              <w:rPr>
                <w:color w:val="000000"/>
                <w:sz w:val="20"/>
                <w:szCs w:val="20"/>
              </w:rPr>
              <w:t>0.0103 (SDs: 0.0001)</w:t>
            </w:r>
          </w:p>
        </w:tc>
        <w:tc>
          <w:tcPr>
            <w:tcW w:w="1192" w:type="dxa"/>
          </w:tcPr>
          <w:p w14:paraId="5B17FC38" w14:textId="0297CE99" w:rsidR="00AA1093" w:rsidRPr="001A2C4C" w:rsidRDefault="00AA1093" w:rsidP="00AA1093">
            <w:pPr>
              <w:rPr>
                <w:color w:val="000000" w:themeColor="text1"/>
                <w:sz w:val="20"/>
                <w:szCs w:val="20"/>
              </w:rPr>
            </w:pPr>
            <w:r w:rsidRPr="001A2C4C">
              <w:rPr>
                <w:color w:val="000000"/>
                <w:sz w:val="20"/>
                <w:szCs w:val="20"/>
              </w:rPr>
              <w:t>0.0110 (SDs: 0.0001)</w:t>
            </w:r>
          </w:p>
        </w:tc>
        <w:tc>
          <w:tcPr>
            <w:tcW w:w="1276" w:type="dxa"/>
          </w:tcPr>
          <w:p w14:paraId="4233E827" w14:textId="0541EFD5" w:rsidR="00AA1093" w:rsidRPr="00AE069D" w:rsidRDefault="00AA1093" w:rsidP="00AA1093">
            <w:pPr>
              <w:rPr>
                <w:color w:val="000000" w:themeColor="text1"/>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12D80A3F" w14:textId="77777777" w:rsidTr="00AA1093">
        <w:tc>
          <w:tcPr>
            <w:tcW w:w="1196" w:type="dxa"/>
          </w:tcPr>
          <w:p w14:paraId="132873CB" w14:textId="46D306BE"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H→P</m:t>
                    </m:r>
                  </m:sub>
                </m:sSub>
              </m:oMath>
            </m:oMathPara>
          </w:p>
        </w:tc>
        <w:tc>
          <w:tcPr>
            <w:tcW w:w="1222" w:type="dxa"/>
          </w:tcPr>
          <w:p w14:paraId="11EEE793" w14:textId="0F21CCA5" w:rsidR="00AA1093" w:rsidRPr="001A2C4C" w:rsidRDefault="00AA1093" w:rsidP="00AA1093">
            <w:pPr>
              <w:rPr>
                <w:color w:val="000000" w:themeColor="text1"/>
                <w:sz w:val="20"/>
                <w:szCs w:val="20"/>
              </w:rPr>
            </w:pPr>
            <w:r w:rsidRPr="001A2C4C">
              <w:rPr>
                <w:color w:val="000000"/>
                <w:sz w:val="20"/>
                <w:szCs w:val="20"/>
              </w:rPr>
              <w:t>0.0108(SDs: 0.0001)</w:t>
            </w:r>
          </w:p>
        </w:tc>
        <w:tc>
          <w:tcPr>
            <w:tcW w:w="1222" w:type="dxa"/>
          </w:tcPr>
          <w:p w14:paraId="1536A80E" w14:textId="0F227E62" w:rsidR="00AA1093" w:rsidRPr="001A2C4C" w:rsidRDefault="00AA1093" w:rsidP="00AA1093">
            <w:pPr>
              <w:rPr>
                <w:color w:val="000000" w:themeColor="text1"/>
                <w:sz w:val="20"/>
                <w:szCs w:val="20"/>
              </w:rPr>
            </w:pPr>
            <w:r w:rsidRPr="001A2C4C">
              <w:rPr>
                <w:color w:val="000000"/>
                <w:sz w:val="20"/>
                <w:szCs w:val="20"/>
              </w:rPr>
              <w:t>0.0103(SDs: 0.0001)</w:t>
            </w:r>
          </w:p>
        </w:tc>
        <w:tc>
          <w:tcPr>
            <w:tcW w:w="1222" w:type="dxa"/>
          </w:tcPr>
          <w:p w14:paraId="6CD9D6A8" w14:textId="5FEF5483" w:rsidR="00AA1093" w:rsidRPr="001A2C4C" w:rsidRDefault="00AA1093" w:rsidP="00AA1093">
            <w:pPr>
              <w:rPr>
                <w:color w:val="000000" w:themeColor="text1"/>
                <w:sz w:val="20"/>
                <w:szCs w:val="20"/>
              </w:rPr>
            </w:pPr>
            <w:r w:rsidRPr="001A2C4C">
              <w:rPr>
                <w:color w:val="000000"/>
                <w:sz w:val="20"/>
                <w:szCs w:val="20"/>
              </w:rPr>
              <w:t>0.0099(SDs: 0.0001)</w:t>
            </w:r>
          </w:p>
        </w:tc>
        <w:tc>
          <w:tcPr>
            <w:tcW w:w="1192" w:type="dxa"/>
          </w:tcPr>
          <w:p w14:paraId="7C0CE65C" w14:textId="7CBC1B38" w:rsidR="00AA1093" w:rsidRPr="001A2C4C" w:rsidRDefault="00AA1093" w:rsidP="00AA1093">
            <w:pPr>
              <w:rPr>
                <w:color w:val="000000" w:themeColor="text1"/>
                <w:sz w:val="20"/>
                <w:szCs w:val="20"/>
              </w:rPr>
            </w:pPr>
            <w:r w:rsidRPr="001A2C4C">
              <w:rPr>
                <w:color w:val="000000"/>
                <w:sz w:val="20"/>
                <w:szCs w:val="20"/>
              </w:rPr>
              <w:t>0.0088 (SDs: 0.0001)</w:t>
            </w:r>
          </w:p>
        </w:tc>
        <w:tc>
          <w:tcPr>
            <w:tcW w:w="1192" w:type="dxa"/>
          </w:tcPr>
          <w:p w14:paraId="15EE5707" w14:textId="11376C71" w:rsidR="00AA1093" w:rsidRPr="001A2C4C" w:rsidRDefault="00AA1093" w:rsidP="00AA1093">
            <w:pPr>
              <w:rPr>
                <w:color w:val="000000" w:themeColor="text1"/>
                <w:sz w:val="20"/>
                <w:szCs w:val="20"/>
              </w:rPr>
            </w:pPr>
            <w:r w:rsidRPr="001A2C4C">
              <w:rPr>
                <w:color w:val="000000"/>
                <w:sz w:val="20"/>
                <w:szCs w:val="20"/>
              </w:rPr>
              <w:t>0.0089 (SDs: 0.0001)</w:t>
            </w:r>
          </w:p>
        </w:tc>
        <w:tc>
          <w:tcPr>
            <w:tcW w:w="1276" w:type="dxa"/>
          </w:tcPr>
          <w:p w14:paraId="738D67E7" w14:textId="4E2CEC02" w:rsidR="00AA1093" w:rsidRPr="00AE069D" w:rsidRDefault="00AA1093" w:rsidP="00AA1093">
            <w:pPr>
              <w:rPr>
                <w:color w:val="000000" w:themeColor="text1"/>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76BB4B25" w14:textId="77777777" w:rsidTr="00AA1093">
        <w:tc>
          <w:tcPr>
            <w:tcW w:w="1196" w:type="dxa"/>
          </w:tcPr>
          <w:p w14:paraId="334AB76E" w14:textId="7725A459"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H→H</m:t>
                    </m:r>
                  </m:sub>
                </m:sSub>
              </m:oMath>
            </m:oMathPara>
          </w:p>
        </w:tc>
        <w:tc>
          <w:tcPr>
            <w:tcW w:w="1222" w:type="dxa"/>
          </w:tcPr>
          <w:p w14:paraId="546BB8F9" w14:textId="6D318E72" w:rsidR="00AA1093" w:rsidRPr="001A2C4C" w:rsidRDefault="00AA1093" w:rsidP="00AA1093">
            <w:pPr>
              <w:rPr>
                <w:color w:val="000000" w:themeColor="text1"/>
                <w:sz w:val="20"/>
                <w:szCs w:val="20"/>
              </w:rPr>
            </w:pPr>
            <w:r w:rsidRPr="001A2C4C">
              <w:rPr>
                <w:color w:val="000000"/>
                <w:sz w:val="20"/>
                <w:szCs w:val="20"/>
              </w:rPr>
              <w:t>0.0010(SDs: 1.7598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43A40345" w14:textId="61517E8C" w:rsidR="00AA1093" w:rsidRPr="001A2C4C" w:rsidRDefault="00AA1093" w:rsidP="00AA1093">
            <w:pPr>
              <w:rPr>
                <w:color w:val="000000" w:themeColor="text1"/>
                <w:sz w:val="20"/>
                <w:szCs w:val="20"/>
              </w:rPr>
            </w:pPr>
            <w:r w:rsidRPr="001A2C4C">
              <w:rPr>
                <w:color w:val="000000"/>
                <w:sz w:val="20"/>
                <w:szCs w:val="20"/>
              </w:rPr>
              <w:t>0.0009(SDs: 1.8232</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061E4D9B" w14:textId="59998D84" w:rsidR="00AA1093" w:rsidRPr="001A2C4C" w:rsidRDefault="00AA1093" w:rsidP="00AA1093">
            <w:pPr>
              <w:rPr>
                <w:color w:val="000000" w:themeColor="text1"/>
                <w:sz w:val="20"/>
                <w:szCs w:val="20"/>
              </w:rPr>
            </w:pPr>
            <w:r w:rsidRPr="001A2C4C">
              <w:rPr>
                <w:color w:val="000000"/>
                <w:sz w:val="20"/>
                <w:szCs w:val="20"/>
              </w:rPr>
              <w:t>0.0010(SDs: 1.7919</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5393D720" w14:textId="1AC9CC06" w:rsidR="00AA1093" w:rsidRPr="001A2C4C" w:rsidRDefault="00AA1093" w:rsidP="00AA1093">
            <w:pPr>
              <w:rPr>
                <w:color w:val="000000" w:themeColor="text1"/>
                <w:sz w:val="20"/>
                <w:szCs w:val="20"/>
              </w:rPr>
            </w:pPr>
            <w:r w:rsidRPr="001A2C4C">
              <w:rPr>
                <w:color w:val="000000"/>
                <w:sz w:val="20"/>
                <w:szCs w:val="20"/>
              </w:rPr>
              <w:t>0.0010 (SDs: 1.8208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69B0B9B8" w14:textId="6EACD80E" w:rsidR="00AA1093" w:rsidRPr="001A2C4C" w:rsidRDefault="00AA1093" w:rsidP="00AA1093">
            <w:pPr>
              <w:rPr>
                <w:color w:val="000000" w:themeColor="text1"/>
                <w:sz w:val="20"/>
                <w:szCs w:val="20"/>
              </w:rPr>
            </w:pPr>
            <w:r w:rsidRPr="001A2C4C">
              <w:rPr>
                <w:color w:val="000000"/>
                <w:sz w:val="20"/>
                <w:szCs w:val="20"/>
              </w:rPr>
              <w:t>0.0010 (SDs: 1.7670</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3BD1B28B" w14:textId="24CF5830" w:rsidR="00AA1093" w:rsidRPr="00AE069D" w:rsidRDefault="00AA1093" w:rsidP="00AA1093">
            <w:pPr>
              <w:rPr>
                <w:color w:val="000000" w:themeColor="text1"/>
              </w:rPr>
            </w:pPr>
            <w:r w:rsidRPr="00AE069D">
              <w:rPr>
                <w:color w:val="000000" w:themeColor="text1"/>
                <w:lang w:val="en-US"/>
              </w:rPr>
              <w:t>[0,0.002]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230EC2D7" w14:textId="77777777" w:rsidTr="00AA1093">
        <w:tc>
          <w:tcPr>
            <w:tcW w:w="1196" w:type="dxa"/>
          </w:tcPr>
          <w:p w14:paraId="029A4647" w14:textId="0F4379A8"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H→L</m:t>
                    </m:r>
                  </m:sub>
                </m:sSub>
              </m:oMath>
            </m:oMathPara>
          </w:p>
        </w:tc>
        <w:tc>
          <w:tcPr>
            <w:tcW w:w="1222" w:type="dxa"/>
          </w:tcPr>
          <w:p w14:paraId="7386B6BB" w14:textId="6E09B1A4" w:rsidR="00AA1093" w:rsidRPr="001A2C4C" w:rsidRDefault="00AA1093" w:rsidP="00AA1093">
            <w:pPr>
              <w:rPr>
                <w:color w:val="000000" w:themeColor="text1"/>
                <w:sz w:val="20"/>
                <w:szCs w:val="20"/>
              </w:rPr>
            </w:pPr>
            <w:r w:rsidRPr="001A2C4C">
              <w:rPr>
                <w:color w:val="000000"/>
                <w:sz w:val="20"/>
                <w:szCs w:val="20"/>
              </w:rPr>
              <w:t>0.0103(SDs: 0.0001)</w:t>
            </w:r>
          </w:p>
        </w:tc>
        <w:tc>
          <w:tcPr>
            <w:tcW w:w="1222" w:type="dxa"/>
          </w:tcPr>
          <w:p w14:paraId="121D12D5" w14:textId="25262A46" w:rsidR="00AA1093" w:rsidRPr="001A2C4C" w:rsidRDefault="00AA1093" w:rsidP="00AA1093">
            <w:pPr>
              <w:rPr>
                <w:color w:val="000000" w:themeColor="text1"/>
                <w:sz w:val="20"/>
                <w:szCs w:val="20"/>
              </w:rPr>
            </w:pPr>
            <w:r w:rsidRPr="001A2C4C">
              <w:rPr>
                <w:color w:val="000000"/>
                <w:sz w:val="20"/>
                <w:szCs w:val="20"/>
              </w:rPr>
              <w:t>0.0099(SDs: 0.0001)</w:t>
            </w:r>
          </w:p>
        </w:tc>
        <w:tc>
          <w:tcPr>
            <w:tcW w:w="1222" w:type="dxa"/>
          </w:tcPr>
          <w:p w14:paraId="00683958" w14:textId="14B47D6D" w:rsidR="00AA1093" w:rsidRPr="001A2C4C" w:rsidRDefault="00AA1093" w:rsidP="00AA1093">
            <w:pPr>
              <w:rPr>
                <w:color w:val="000000" w:themeColor="text1"/>
                <w:sz w:val="20"/>
                <w:szCs w:val="20"/>
              </w:rPr>
            </w:pPr>
            <w:r w:rsidRPr="001A2C4C">
              <w:rPr>
                <w:color w:val="000000"/>
                <w:sz w:val="20"/>
                <w:szCs w:val="20"/>
              </w:rPr>
              <w:t>0.0101(SDs: 0.0001)</w:t>
            </w:r>
          </w:p>
        </w:tc>
        <w:tc>
          <w:tcPr>
            <w:tcW w:w="1192" w:type="dxa"/>
          </w:tcPr>
          <w:p w14:paraId="396C8EC8" w14:textId="0AB46046" w:rsidR="00AA1093" w:rsidRPr="001A2C4C" w:rsidRDefault="00AA1093" w:rsidP="00AA1093">
            <w:pPr>
              <w:rPr>
                <w:color w:val="000000" w:themeColor="text1"/>
                <w:sz w:val="20"/>
                <w:szCs w:val="20"/>
              </w:rPr>
            </w:pPr>
            <w:r w:rsidRPr="001A2C4C">
              <w:rPr>
                <w:color w:val="000000"/>
                <w:sz w:val="20"/>
                <w:szCs w:val="20"/>
              </w:rPr>
              <w:t>0.0106 (SDs: 0.0001)</w:t>
            </w:r>
          </w:p>
        </w:tc>
        <w:tc>
          <w:tcPr>
            <w:tcW w:w="1192" w:type="dxa"/>
          </w:tcPr>
          <w:p w14:paraId="14AE4FC6" w14:textId="16F35DAE" w:rsidR="00AA1093" w:rsidRPr="001A2C4C" w:rsidRDefault="00AA1093" w:rsidP="00AA1093">
            <w:pPr>
              <w:rPr>
                <w:color w:val="000000" w:themeColor="text1"/>
                <w:sz w:val="20"/>
                <w:szCs w:val="20"/>
              </w:rPr>
            </w:pPr>
            <w:r w:rsidRPr="001A2C4C">
              <w:rPr>
                <w:color w:val="000000"/>
                <w:sz w:val="20"/>
                <w:szCs w:val="20"/>
              </w:rPr>
              <w:t>0.0096 (SDs: 0.0001)</w:t>
            </w:r>
          </w:p>
        </w:tc>
        <w:tc>
          <w:tcPr>
            <w:tcW w:w="1276" w:type="dxa"/>
          </w:tcPr>
          <w:p w14:paraId="7E371ADE" w14:textId="45B7F2B0" w:rsidR="00AA1093" w:rsidRPr="00AE069D" w:rsidRDefault="00AA1093" w:rsidP="00AA1093">
            <w:pPr>
              <w:rPr>
                <w:color w:val="000000" w:themeColor="text1"/>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0B768326" w14:textId="77777777" w:rsidTr="00AA1093">
        <w:tc>
          <w:tcPr>
            <w:tcW w:w="1196" w:type="dxa"/>
          </w:tcPr>
          <w:p w14:paraId="617D002D" w14:textId="09DA9061"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L→P</m:t>
                    </m:r>
                  </m:sub>
                </m:sSub>
              </m:oMath>
            </m:oMathPara>
          </w:p>
        </w:tc>
        <w:tc>
          <w:tcPr>
            <w:tcW w:w="1222" w:type="dxa"/>
          </w:tcPr>
          <w:p w14:paraId="137C9EDC" w14:textId="4E04DD1C" w:rsidR="00AA1093" w:rsidRPr="001A2C4C" w:rsidRDefault="00AA1093" w:rsidP="00AA1093">
            <w:pPr>
              <w:rPr>
                <w:color w:val="000000" w:themeColor="text1"/>
                <w:sz w:val="20"/>
                <w:szCs w:val="20"/>
              </w:rPr>
            </w:pPr>
            <w:r w:rsidRPr="001A2C4C">
              <w:rPr>
                <w:color w:val="000000"/>
                <w:sz w:val="20"/>
                <w:szCs w:val="20"/>
              </w:rPr>
              <w:t>0.0104(SDs: 0.0001)</w:t>
            </w:r>
          </w:p>
        </w:tc>
        <w:tc>
          <w:tcPr>
            <w:tcW w:w="1222" w:type="dxa"/>
          </w:tcPr>
          <w:p w14:paraId="2EE71B11" w14:textId="329CB5CD" w:rsidR="00AA1093" w:rsidRPr="001A2C4C" w:rsidRDefault="00AA1093" w:rsidP="00AA1093">
            <w:pPr>
              <w:rPr>
                <w:color w:val="000000" w:themeColor="text1"/>
                <w:sz w:val="20"/>
                <w:szCs w:val="20"/>
              </w:rPr>
            </w:pPr>
            <w:r w:rsidRPr="001A2C4C">
              <w:rPr>
                <w:color w:val="000000"/>
                <w:sz w:val="20"/>
                <w:szCs w:val="20"/>
              </w:rPr>
              <w:t>0.0096(SDs: 0.0001)</w:t>
            </w:r>
          </w:p>
        </w:tc>
        <w:tc>
          <w:tcPr>
            <w:tcW w:w="1222" w:type="dxa"/>
          </w:tcPr>
          <w:p w14:paraId="7306170A" w14:textId="674A6383" w:rsidR="00AA1093" w:rsidRPr="001A2C4C" w:rsidRDefault="00AA1093" w:rsidP="00AA1093">
            <w:pPr>
              <w:rPr>
                <w:color w:val="000000" w:themeColor="text1"/>
                <w:sz w:val="20"/>
                <w:szCs w:val="20"/>
              </w:rPr>
            </w:pPr>
            <w:r w:rsidRPr="001A2C4C">
              <w:rPr>
                <w:color w:val="000000"/>
                <w:sz w:val="20"/>
                <w:szCs w:val="20"/>
              </w:rPr>
              <w:t>0.0.99(SDs: 0.0001)</w:t>
            </w:r>
          </w:p>
        </w:tc>
        <w:tc>
          <w:tcPr>
            <w:tcW w:w="1192" w:type="dxa"/>
          </w:tcPr>
          <w:p w14:paraId="4BAEDFDB" w14:textId="2F817462" w:rsidR="00AA1093" w:rsidRPr="001A2C4C" w:rsidRDefault="00AA1093" w:rsidP="00AA1093">
            <w:pPr>
              <w:rPr>
                <w:color w:val="000000" w:themeColor="text1"/>
                <w:sz w:val="20"/>
                <w:szCs w:val="20"/>
              </w:rPr>
            </w:pPr>
            <w:r w:rsidRPr="001A2C4C">
              <w:rPr>
                <w:color w:val="000000"/>
                <w:sz w:val="20"/>
                <w:szCs w:val="20"/>
              </w:rPr>
              <w:t>0.0096 (SDs: 0.0001)</w:t>
            </w:r>
          </w:p>
        </w:tc>
        <w:tc>
          <w:tcPr>
            <w:tcW w:w="1192" w:type="dxa"/>
          </w:tcPr>
          <w:p w14:paraId="0ECEACE7" w14:textId="767A512F" w:rsidR="00AA1093" w:rsidRPr="001A2C4C" w:rsidRDefault="00AA1093" w:rsidP="00AA1093">
            <w:pPr>
              <w:rPr>
                <w:color w:val="000000" w:themeColor="text1"/>
                <w:sz w:val="20"/>
                <w:szCs w:val="20"/>
              </w:rPr>
            </w:pPr>
            <w:r w:rsidRPr="001A2C4C">
              <w:rPr>
                <w:color w:val="000000"/>
                <w:sz w:val="20"/>
                <w:szCs w:val="20"/>
              </w:rPr>
              <w:t>0.0091 (SDs: 0.0001)</w:t>
            </w:r>
          </w:p>
        </w:tc>
        <w:tc>
          <w:tcPr>
            <w:tcW w:w="1276" w:type="dxa"/>
          </w:tcPr>
          <w:p w14:paraId="29CBD351" w14:textId="38508AEB" w:rsidR="00AA1093" w:rsidRPr="00AE069D" w:rsidRDefault="00AA1093" w:rsidP="00AA1093">
            <w:pPr>
              <w:rPr>
                <w:color w:val="000000" w:themeColor="text1"/>
              </w:rPr>
            </w:pPr>
            <w:r w:rsidRPr="00AE069D">
              <w:rPr>
                <w:color w:val="000000" w:themeColor="text1"/>
                <w:lang w:val="en-US"/>
              </w:rPr>
              <w:t>[0,0.02]</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2E12A57D" w14:textId="77777777" w:rsidTr="00AA1093">
        <w:tc>
          <w:tcPr>
            <w:tcW w:w="1196" w:type="dxa"/>
          </w:tcPr>
          <w:p w14:paraId="0580B08E" w14:textId="3BC5A539"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L→H</m:t>
                    </m:r>
                  </m:sub>
                </m:sSub>
              </m:oMath>
            </m:oMathPara>
          </w:p>
        </w:tc>
        <w:tc>
          <w:tcPr>
            <w:tcW w:w="1222" w:type="dxa"/>
          </w:tcPr>
          <w:p w14:paraId="3501DFC0" w14:textId="74F0CB62" w:rsidR="00AA1093" w:rsidRPr="001A2C4C" w:rsidRDefault="00AA1093" w:rsidP="00AA1093">
            <w:pPr>
              <w:rPr>
                <w:color w:val="000000" w:themeColor="text1"/>
                <w:sz w:val="20"/>
                <w:szCs w:val="20"/>
              </w:rPr>
            </w:pPr>
            <w:r w:rsidRPr="001A2C4C">
              <w:rPr>
                <w:color w:val="000000"/>
                <w:sz w:val="20"/>
                <w:szCs w:val="20"/>
              </w:rPr>
              <w:t>0.0048(SDs: 8.9161</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23F18A04" w14:textId="13F30B05" w:rsidR="00AA1093" w:rsidRPr="001A2C4C" w:rsidRDefault="00AA1093" w:rsidP="00AA1093">
            <w:pPr>
              <w:rPr>
                <w:color w:val="000000" w:themeColor="text1"/>
                <w:sz w:val="20"/>
                <w:szCs w:val="20"/>
              </w:rPr>
            </w:pPr>
            <w:r w:rsidRPr="001A2C4C">
              <w:rPr>
                <w:color w:val="000000"/>
                <w:sz w:val="20"/>
                <w:szCs w:val="20"/>
              </w:rPr>
              <w:t>0.0051(SDs: 8.8080</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044876F3" w14:textId="5CBCBE9B" w:rsidR="00AA1093" w:rsidRPr="001A2C4C" w:rsidRDefault="00AA1093" w:rsidP="00AA1093">
            <w:pPr>
              <w:rPr>
                <w:color w:val="000000" w:themeColor="text1"/>
                <w:sz w:val="20"/>
                <w:szCs w:val="20"/>
              </w:rPr>
            </w:pPr>
            <w:r w:rsidRPr="001A2C4C">
              <w:rPr>
                <w:color w:val="000000"/>
                <w:sz w:val="20"/>
                <w:szCs w:val="20"/>
              </w:rPr>
              <w:t>0.0048(SDs: 8.5947</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6B08044B" w14:textId="7E890DB1" w:rsidR="00AA1093" w:rsidRPr="001A2C4C" w:rsidRDefault="00AA1093" w:rsidP="00AA1093">
            <w:pPr>
              <w:rPr>
                <w:color w:val="000000" w:themeColor="text1"/>
                <w:sz w:val="20"/>
                <w:szCs w:val="20"/>
              </w:rPr>
            </w:pPr>
            <w:r w:rsidRPr="001A2C4C">
              <w:rPr>
                <w:color w:val="000000"/>
                <w:sz w:val="20"/>
                <w:szCs w:val="20"/>
              </w:rPr>
              <w:t>0.0047 (SDs: 8.7892</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2D999E0B" w14:textId="780DD1ED" w:rsidR="00AA1093" w:rsidRPr="001A2C4C" w:rsidRDefault="00AA1093" w:rsidP="00AA1093">
            <w:pPr>
              <w:rPr>
                <w:color w:val="000000" w:themeColor="text1"/>
                <w:sz w:val="20"/>
                <w:szCs w:val="20"/>
              </w:rPr>
            </w:pPr>
            <w:r w:rsidRPr="001A2C4C">
              <w:rPr>
                <w:color w:val="000000"/>
                <w:sz w:val="20"/>
                <w:szCs w:val="20"/>
              </w:rPr>
              <w:lastRenderedPageBreak/>
              <w:t>0.0047 (SDs: 8.6480</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7950DBF1" w14:textId="611F337E" w:rsidR="00AA1093" w:rsidRPr="00AE069D" w:rsidRDefault="00AA1093" w:rsidP="00AA1093">
            <w:pPr>
              <w:rPr>
                <w:color w:val="000000" w:themeColor="text1"/>
              </w:rPr>
            </w:pPr>
            <w:r w:rsidRPr="00AE069D">
              <w:rPr>
                <w:color w:val="000000" w:themeColor="text1"/>
                <w:lang w:val="en-US"/>
              </w:rPr>
              <w:lastRenderedPageBreak/>
              <w:t>[0,0.01]</w:t>
            </w:r>
            <w:r w:rsidR="002E129E">
              <w:rPr>
                <w:color w:val="000000" w:themeColor="text1"/>
                <w:lang w:val="en-US"/>
              </w:rPr>
              <w:fldChar w:fldCharType="begin"/>
            </w:r>
            <w:r w:rsidR="002E129E">
              <w:rPr>
                <w:color w:val="000000" w:themeColor="text1"/>
                <w:lang w:val="en-US"/>
              </w:rPr>
              <w:instrText xml:space="preserve"> ADDIN EN.CITE &lt;EndNote&gt;&lt;Cite&gt;&lt;Author&gt;Jang&lt;/Author&gt;&lt;Year&gt;2019&lt;/Year&gt;&lt;RecNum&gt;9&lt;/RecNum&gt;&lt;DisplayText&gt;&lt;style face="superscript"&gt;6&lt;/style&gt;&lt;/DisplayText&gt;&lt;record&gt;&lt;rec-number&gt;9&lt;/rec-number&gt;&lt;foreign-keys&gt;&lt;key app="EN" db-id="2a5p0tfvft9vskee0acxxxrwwvz2f5zavped" timestamp="1676145809"&gt;9&lt;/key&gt;&lt;/foreign-keys&gt;&lt;ref-type name="Conference Proceedings"&gt;10&lt;/ref-type&gt;&lt;contributors&gt;&lt;authors&gt;&lt;author&gt;Jang, Hankyu&lt;/author&gt;&lt;author&gt;Justice, Samuel&lt;/author&gt;&lt;author&gt;Polgreen, Philip M&lt;/author&gt;&lt;author&gt;Segre, Alberto M&lt;/author&gt;&lt;author&gt;Sewell, Daniel K&lt;/author&gt;&lt;author&gt;Pemmaraju, Sriram V&lt;/author&gt;&lt;/authors&gt;&lt;/contributors&gt;&lt;titles&gt;&lt;title&gt;Evaluating architectural changes to alter pathogen dynamics in a dialysis unit: for the CDC MInD-healthcare group&lt;/title&gt;&lt;secondary-title&gt;Proceedings of the 2019 IEEE/ACM International Conference on Advances in Social Networks Analysis and Mining&lt;/secondary-title&gt;&lt;/titles&gt;&lt;pages&gt;961-968&lt;/pages&gt;&lt;dates&gt;&lt;year&gt;2019&lt;/year&gt;&lt;/dates&gt;&lt;urls&gt;&lt;/urls&gt;&lt;/record&gt;&lt;/Cite&gt;&lt;/EndNote&gt;</w:instrText>
            </w:r>
            <w:r w:rsidR="002E129E">
              <w:rPr>
                <w:color w:val="000000" w:themeColor="text1"/>
                <w:lang w:val="en-US"/>
              </w:rPr>
              <w:fldChar w:fldCharType="separate"/>
            </w:r>
            <w:r w:rsidR="002E129E" w:rsidRPr="002E129E">
              <w:rPr>
                <w:noProof/>
                <w:color w:val="000000" w:themeColor="text1"/>
                <w:vertAlign w:val="superscript"/>
                <w:lang w:val="en-US"/>
              </w:rPr>
              <w:t>6</w:t>
            </w:r>
            <w:r w:rsidR="002E129E">
              <w:rPr>
                <w:color w:val="000000" w:themeColor="text1"/>
                <w:lang w:val="en-US"/>
              </w:rPr>
              <w:fldChar w:fldCharType="end"/>
            </w:r>
          </w:p>
        </w:tc>
      </w:tr>
      <w:tr w:rsidR="00AA1093" w:rsidRPr="00AE069D" w14:paraId="0DDB26C0" w14:textId="77777777" w:rsidTr="00AA1093">
        <w:tc>
          <w:tcPr>
            <w:tcW w:w="1196" w:type="dxa"/>
          </w:tcPr>
          <w:p w14:paraId="72918942" w14:textId="40D1B8A2"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sub>
                </m:sSub>
              </m:oMath>
            </m:oMathPara>
          </w:p>
        </w:tc>
        <w:tc>
          <w:tcPr>
            <w:tcW w:w="1222" w:type="dxa"/>
          </w:tcPr>
          <w:p w14:paraId="544B9865" w14:textId="4C792C25" w:rsidR="00AA1093" w:rsidRPr="001A2C4C" w:rsidRDefault="00AA1093" w:rsidP="00AA1093">
            <w:pPr>
              <w:rPr>
                <w:color w:val="000000" w:themeColor="text1"/>
                <w:sz w:val="20"/>
                <w:szCs w:val="20"/>
              </w:rPr>
            </w:pPr>
            <w:r w:rsidRPr="001A2C4C">
              <w:rPr>
                <w:color w:val="000000"/>
                <w:sz w:val="20"/>
                <w:szCs w:val="20"/>
              </w:rPr>
              <w:t>0.0186(SDs: 0.0004)</w:t>
            </w:r>
          </w:p>
        </w:tc>
        <w:tc>
          <w:tcPr>
            <w:tcW w:w="1222" w:type="dxa"/>
          </w:tcPr>
          <w:p w14:paraId="7322386D" w14:textId="7F3BC625" w:rsidR="00AA1093" w:rsidRPr="001A2C4C" w:rsidRDefault="00AA1093" w:rsidP="00AA1093">
            <w:pPr>
              <w:rPr>
                <w:color w:val="000000" w:themeColor="text1"/>
                <w:sz w:val="20"/>
                <w:szCs w:val="20"/>
              </w:rPr>
            </w:pPr>
            <w:r w:rsidRPr="001A2C4C">
              <w:rPr>
                <w:color w:val="000000"/>
                <w:sz w:val="20"/>
                <w:szCs w:val="20"/>
              </w:rPr>
              <w:t>0.0192(SDs: 0.0003)</w:t>
            </w:r>
          </w:p>
        </w:tc>
        <w:tc>
          <w:tcPr>
            <w:tcW w:w="1222" w:type="dxa"/>
          </w:tcPr>
          <w:p w14:paraId="02DB905B" w14:textId="72EE1D45" w:rsidR="00AA1093" w:rsidRPr="001A2C4C" w:rsidRDefault="00AA1093" w:rsidP="00AA1093">
            <w:pPr>
              <w:rPr>
                <w:color w:val="000000" w:themeColor="text1"/>
                <w:sz w:val="20"/>
                <w:szCs w:val="20"/>
              </w:rPr>
            </w:pPr>
            <w:r w:rsidRPr="001A2C4C">
              <w:rPr>
                <w:color w:val="000000"/>
                <w:sz w:val="20"/>
                <w:szCs w:val="20"/>
              </w:rPr>
              <w:t>0.0185(SDs: 0.0004)</w:t>
            </w:r>
          </w:p>
        </w:tc>
        <w:tc>
          <w:tcPr>
            <w:tcW w:w="1192" w:type="dxa"/>
          </w:tcPr>
          <w:p w14:paraId="3C3DB61F" w14:textId="11B1CD3B" w:rsidR="00AA1093" w:rsidRPr="001A2C4C" w:rsidRDefault="00AA1093" w:rsidP="00AA1093">
            <w:pPr>
              <w:rPr>
                <w:color w:val="000000" w:themeColor="text1"/>
                <w:sz w:val="20"/>
                <w:szCs w:val="20"/>
              </w:rPr>
            </w:pPr>
            <w:r w:rsidRPr="001A2C4C">
              <w:rPr>
                <w:color w:val="000000"/>
                <w:sz w:val="20"/>
                <w:szCs w:val="20"/>
              </w:rPr>
              <w:t>0.0204 (SDs: 0.0003)</w:t>
            </w:r>
          </w:p>
        </w:tc>
        <w:tc>
          <w:tcPr>
            <w:tcW w:w="1192" w:type="dxa"/>
          </w:tcPr>
          <w:p w14:paraId="26808C8C" w14:textId="43884FC0" w:rsidR="00AA1093" w:rsidRPr="001A2C4C" w:rsidRDefault="00AA1093" w:rsidP="00AA1093">
            <w:pPr>
              <w:rPr>
                <w:color w:val="000000" w:themeColor="text1"/>
                <w:sz w:val="20"/>
                <w:szCs w:val="20"/>
              </w:rPr>
            </w:pPr>
            <w:r w:rsidRPr="001A2C4C">
              <w:rPr>
                <w:color w:val="000000"/>
                <w:sz w:val="20"/>
                <w:szCs w:val="20"/>
              </w:rPr>
              <w:t>0.0189 (SDs: 0.0003)</w:t>
            </w:r>
          </w:p>
        </w:tc>
        <w:tc>
          <w:tcPr>
            <w:tcW w:w="1276" w:type="dxa"/>
          </w:tcPr>
          <w:p w14:paraId="2C9C93B4" w14:textId="49EA41FE" w:rsidR="00AA1093" w:rsidRPr="00AE069D" w:rsidRDefault="00AA1093" w:rsidP="00AA1093">
            <w:pPr>
              <w:rPr>
                <w:color w:val="000000" w:themeColor="text1"/>
                <w:lang w:val="en-US"/>
              </w:rPr>
            </w:pPr>
            <w:r w:rsidRPr="00AE069D">
              <w:rPr>
                <w:color w:val="000000" w:themeColor="text1"/>
                <w:lang w:val="en-US"/>
              </w:rPr>
              <w:t>[0,0.04]</w:t>
            </w:r>
          </w:p>
        </w:tc>
      </w:tr>
      <w:tr w:rsidR="00AA1093" w:rsidRPr="00AE069D" w14:paraId="68D0E909" w14:textId="77777777" w:rsidTr="00AA1093">
        <w:tc>
          <w:tcPr>
            <w:tcW w:w="1196" w:type="dxa"/>
          </w:tcPr>
          <w:p w14:paraId="5E440627" w14:textId="0888C517"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Sub>
              </m:oMath>
            </m:oMathPara>
          </w:p>
        </w:tc>
        <w:tc>
          <w:tcPr>
            <w:tcW w:w="1222" w:type="dxa"/>
          </w:tcPr>
          <w:p w14:paraId="72ACE746" w14:textId="42CA5EC8" w:rsidR="00AA1093" w:rsidRPr="001A2C4C" w:rsidRDefault="00AA1093" w:rsidP="00AA1093">
            <w:pPr>
              <w:rPr>
                <w:color w:val="000000" w:themeColor="text1"/>
                <w:sz w:val="20"/>
                <w:szCs w:val="20"/>
              </w:rPr>
            </w:pPr>
            <w:r w:rsidRPr="001A2C4C">
              <w:rPr>
                <w:color w:val="000000"/>
                <w:sz w:val="20"/>
                <w:szCs w:val="20"/>
              </w:rPr>
              <w:t>0.2003(SDs: 0.0018)</w:t>
            </w:r>
          </w:p>
        </w:tc>
        <w:tc>
          <w:tcPr>
            <w:tcW w:w="1222" w:type="dxa"/>
          </w:tcPr>
          <w:p w14:paraId="6E3151DA" w14:textId="50C1DF2F" w:rsidR="00AA1093" w:rsidRPr="001A2C4C" w:rsidRDefault="00AA1093" w:rsidP="00AA1093">
            <w:pPr>
              <w:rPr>
                <w:color w:val="000000" w:themeColor="text1"/>
                <w:sz w:val="20"/>
                <w:szCs w:val="20"/>
              </w:rPr>
            </w:pPr>
            <w:r w:rsidRPr="001A2C4C">
              <w:rPr>
                <w:color w:val="000000"/>
                <w:sz w:val="20"/>
                <w:szCs w:val="20"/>
              </w:rPr>
              <w:t>0.1906(SDs: 0.0018)</w:t>
            </w:r>
          </w:p>
        </w:tc>
        <w:tc>
          <w:tcPr>
            <w:tcW w:w="1222" w:type="dxa"/>
          </w:tcPr>
          <w:p w14:paraId="751E07E9" w14:textId="53196B47" w:rsidR="00AA1093" w:rsidRPr="001A2C4C" w:rsidRDefault="00AA1093" w:rsidP="00AA1093">
            <w:pPr>
              <w:rPr>
                <w:color w:val="000000" w:themeColor="text1"/>
                <w:sz w:val="20"/>
                <w:szCs w:val="20"/>
              </w:rPr>
            </w:pPr>
            <w:r w:rsidRPr="001A2C4C">
              <w:rPr>
                <w:color w:val="000000"/>
                <w:sz w:val="20"/>
                <w:szCs w:val="20"/>
              </w:rPr>
              <w:t>0.1920(SDs: 0.0019)</w:t>
            </w:r>
          </w:p>
        </w:tc>
        <w:tc>
          <w:tcPr>
            <w:tcW w:w="1192" w:type="dxa"/>
          </w:tcPr>
          <w:p w14:paraId="1C226F41" w14:textId="4990E91B" w:rsidR="00AA1093" w:rsidRPr="001A2C4C" w:rsidRDefault="00AA1093" w:rsidP="00AA1093">
            <w:pPr>
              <w:rPr>
                <w:color w:val="000000" w:themeColor="text1"/>
                <w:sz w:val="20"/>
                <w:szCs w:val="20"/>
              </w:rPr>
            </w:pPr>
            <w:r w:rsidRPr="001A2C4C">
              <w:rPr>
                <w:color w:val="000000"/>
                <w:sz w:val="20"/>
                <w:szCs w:val="20"/>
              </w:rPr>
              <w:t>0.1986 (SDs: 0.0018)</w:t>
            </w:r>
          </w:p>
        </w:tc>
        <w:tc>
          <w:tcPr>
            <w:tcW w:w="1192" w:type="dxa"/>
          </w:tcPr>
          <w:p w14:paraId="7012E2F5" w14:textId="094F05C1" w:rsidR="00AA1093" w:rsidRPr="001A2C4C" w:rsidRDefault="00AA1093" w:rsidP="00AA1093">
            <w:pPr>
              <w:rPr>
                <w:color w:val="000000" w:themeColor="text1"/>
                <w:sz w:val="20"/>
                <w:szCs w:val="20"/>
              </w:rPr>
            </w:pPr>
            <w:r w:rsidRPr="001A2C4C">
              <w:rPr>
                <w:color w:val="000000"/>
                <w:sz w:val="20"/>
                <w:szCs w:val="20"/>
              </w:rPr>
              <w:t>0.1951 (SDs: 0.0018)</w:t>
            </w:r>
          </w:p>
        </w:tc>
        <w:tc>
          <w:tcPr>
            <w:tcW w:w="1276" w:type="dxa"/>
          </w:tcPr>
          <w:p w14:paraId="1F99C2BF" w14:textId="3A3D12F0" w:rsidR="00AA1093" w:rsidRPr="00AE069D" w:rsidRDefault="00AA1093" w:rsidP="00AA1093">
            <w:pPr>
              <w:rPr>
                <w:color w:val="000000" w:themeColor="text1"/>
                <w:lang w:val="en-US"/>
              </w:rPr>
            </w:pPr>
            <w:r w:rsidRPr="00AE069D">
              <w:rPr>
                <w:color w:val="000000" w:themeColor="text1"/>
                <w:lang w:val="en-US"/>
              </w:rPr>
              <w:t>[0.1,0.3]</w:t>
            </w:r>
          </w:p>
        </w:tc>
      </w:tr>
      <w:tr w:rsidR="00AA1093" w:rsidRPr="00AE069D" w14:paraId="1C55188F" w14:textId="77777777" w:rsidTr="00AA1093">
        <w:tc>
          <w:tcPr>
            <w:tcW w:w="1196" w:type="dxa"/>
          </w:tcPr>
          <w:p w14:paraId="6EE3F230" w14:textId="1F5F6C39"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sub>
                </m:sSub>
              </m:oMath>
            </m:oMathPara>
          </w:p>
        </w:tc>
        <w:tc>
          <w:tcPr>
            <w:tcW w:w="1222" w:type="dxa"/>
          </w:tcPr>
          <w:p w14:paraId="39CF095C" w14:textId="08951726" w:rsidR="00AA1093" w:rsidRPr="001A2C4C" w:rsidRDefault="00AA1093" w:rsidP="00AA1093">
            <w:pPr>
              <w:rPr>
                <w:color w:val="000000" w:themeColor="text1"/>
                <w:sz w:val="20"/>
                <w:szCs w:val="20"/>
              </w:rPr>
            </w:pPr>
            <w:r w:rsidRPr="001A2C4C">
              <w:rPr>
                <w:color w:val="000000"/>
                <w:sz w:val="20"/>
                <w:szCs w:val="20"/>
              </w:rPr>
              <w:t>0.4432(SDs: 0.0053)</w:t>
            </w:r>
          </w:p>
        </w:tc>
        <w:tc>
          <w:tcPr>
            <w:tcW w:w="1222" w:type="dxa"/>
          </w:tcPr>
          <w:p w14:paraId="56A6D3E1" w14:textId="26E1F865" w:rsidR="00AA1093" w:rsidRPr="001A2C4C" w:rsidRDefault="00AA1093" w:rsidP="00AA1093">
            <w:pPr>
              <w:rPr>
                <w:color w:val="000000" w:themeColor="text1"/>
                <w:sz w:val="20"/>
                <w:szCs w:val="20"/>
              </w:rPr>
            </w:pPr>
            <w:r w:rsidRPr="001A2C4C">
              <w:rPr>
                <w:color w:val="000000"/>
                <w:sz w:val="20"/>
                <w:szCs w:val="20"/>
              </w:rPr>
              <w:t>0.4445(SDs: 0.0053)</w:t>
            </w:r>
          </w:p>
        </w:tc>
        <w:tc>
          <w:tcPr>
            <w:tcW w:w="1222" w:type="dxa"/>
          </w:tcPr>
          <w:p w14:paraId="591B4730" w14:textId="7CA81490" w:rsidR="00AA1093" w:rsidRPr="001A2C4C" w:rsidRDefault="00AA1093" w:rsidP="00AA1093">
            <w:pPr>
              <w:rPr>
                <w:color w:val="000000" w:themeColor="text1"/>
                <w:sz w:val="20"/>
                <w:szCs w:val="20"/>
              </w:rPr>
            </w:pPr>
            <w:r w:rsidRPr="001A2C4C">
              <w:rPr>
                <w:color w:val="000000"/>
                <w:sz w:val="20"/>
                <w:szCs w:val="20"/>
              </w:rPr>
              <w:t>0.4709(SDs: 0.0056)</w:t>
            </w:r>
          </w:p>
        </w:tc>
        <w:tc>
          <w:tcPr>
            <w:tcW w:w="1192" w:type="dxa"/>
          </w:tcPr>
          <w:p w14:paraId="0686DE39" w14:textId="78677419" w:rsidR="00AA1093" w:rsidRPr="001A2C4C" w:rsidRDefault="00AA1093" w:rsidP="00AA1093">
            <w:pPr>
              <w:rPr>
                <w:color w:val="000000" w:themeColor="text1"/>
                <w:sz w:val="20"/>
                <w:szCs w:val="20"/>
              </w:rPr>
            </w:pPr>
            <w:r w:rsidRPr="001A2C4C">
              <w:rPr>
                <w:color w:val="000000"/>
                <w:sz w:val="20"/>
                <w:szCs w:val="20"/>
              </w:rPr>
              <w:t>0.4663 (SDs: 0.0048)</w:t>
            </w:r>
          </w:p>
        </w:tc>
        <w:tc>
          <w:tcPr>
            <w:tcW w:w="1192" w:type="dxa"/>
          </w:tcPr>
          <w:p w14:paraId="7F07E5C1" w14:textId="60ECAA22" w:rsidR="00AA1093" w:rsidRPr="001A2C4C" w:rsidRDefault="00AA1093" w:rsidP="00AA1093">
            <w:pPr>
              <w:rPr>
                <w:color w:val="000000" w:themeColor="text1"/>
                <w:sz w:val="20"/>
                <w:szCs w:val="20"/>
              </w:rPr>
            </w:pPr>
            <w:r w:rsidRPr="001A2C4C">
              <w:rPr>
                <w:color w:val="000000"/>
                <w:sz w:val="20"/>
                <w:szCs w:val="20"/>
              </w:rPr>
              <w:t>0.6322 (SDs: 0.0052)</w:t>
            </w:r>
          </w:p>
        </w:tc>
        <w:tc>
          <w:tcPr>
            <w:tcW w:w="1276" w:type="dxa"/>
          </w:tcPr>
          <w:p w14:paraId="6D060E07" w14:textId="2AEBE1DF" w:rsidR="00AA1093" w:rsidRPr="00AE069D" w:rsidRDefault="00AA1093" w:rsidP="00AA1093">
            <w:pPr>
              <w:rPr>
                <w:color w:val="000000" w:themeColor="text1"/>
                <w:lang w:val="en-US"/>
              </w:rPr>
            </w:pPr>
            <w:r w:rsidRPr="00AE069D">
              <w:rPr>
                <w:color w:val="000000" w:themeColor="text1"/>
                <w:lang w:val="en-US"/>
              </w:rPr>
              <w:t>[0.2,0.8]</w:t>
            </w:r>
          </w:p>
        </w:tc>
      </w:tr>
      <w:tr w:rsidR="00AA1093" w:rsidRPr="00AE069D" w14:paraId="3AADDAEA" w14:textId="77777777" w:rsidTr="00AA1093">
        <w:tc>
          <w:tcPr>
            <w:tcW w:w="1196" w:type="dxa"/>
          </w:tcPr>
          <w:p w14:paraId="4A7F7744" w14:textId="42D7E10A"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Sub>
              </m:oMath>
            </m:oMathPara>
          </w:p>
        </w:tc>
        <w:tc>
          <w:tcPr>
            <w:tcW w:w="1222" w:type="dxa"/>
          </w:tcPr>
          <w:p w14:paraId="170F513C" w14:textId="4431A977" w:rsidR="00AA1093" w:rsidRPr="001A2C4C" w:rsidRDefault="00AA1093" w:rsidP="00AA1093">
            <w:pPr>
              <w:rPr>
                <w:color w:val="000000" w:themeColor="text1"/>
                <w:sz w:val="20"/>
                <w:szCs w:val="20"/>
              </w:rPr>
            </w:pPr>
            <w:r w:rsidRPr="001A2C4C">
              <w:rPr>
                <w:color w:val="000000"/>
                <w:sz w:val="20"/>
                <w:szCs w:val="20"/>
              </w:rPr>
              <w:t>0.1011(SDs: 0.0009)</w:t>
            </w:r>
          </w:p>
        </w:tc>
        <w:tc>
          <w:tcPr>
            <w:tcW w:w="1222" w:type="dxa"/>
          </w:tcPr>
          <w:p w14:paraId="41AC22FE" w14:textId="4CFD9EB7" w:rsidR="00AA1093" w:rsidRPr="001A2C4C" w:rsidRDefault="00AA1093" w:rsidP="00AA1093">
            <w:pPr>
              <w:rPr>
                <w:color w:val="000000" w:themeColor="text1"/>
                <w:sz w:val="20"/>
                <w:szCs w:val="20"/>
              </w:rPr>
            </w:pPr>
            <w:r w:rsidRPr="001A2C4C">
              <w:rPr>
                <w:color w:val="000000"/>
                <w:sz w:val="20"/>
                <w:szCs w:val="20"/>
              </w:rPr>
              <w:t>0.0969(SDs: 0.0009)</w:t>
            </w:r>
          </w:p>
        </w:tc>
        <w:tc>
          <w:tcPr>
            <w:tcW w:w="1222" w:type="dxa"/>
          </w:tcPr>
          <w:p w14:paraId="03C74CF5" w14:textId="040E2CAD" w:rsidR="00AA1093" w:rsidRPr="001A2C4C" w:rsidRDefault="00AA1093" w:rsidP="00AA1093">
            <w:pPr>
              <w:rPr>
                <w:color w:val="000000" w:themeColor="text1"/>
                <w:sz w:val="20"/>
                <w:szCs w:val="20"/>
              </w:rPr>
            </w:pPr>
            <w:r w:rsidRPr="001A2C4C">
              <w:rPr>
                <w:color w:val="000000"/>
                <w:sz w:val="20"/>
                <w:szCs w:val="20"/>
              </w:rPr>
              <w:t>0.1002(SDs: 0.0009)</w:t>
            </w:r>
          </w:p>
        </w:tc>
        <w:tc>
          <w:tcPr>
            <w:tcW w:w="1192" w:type="dxa"/>
          </w:tcPr>
          <w:p w14:paraId="0FE00EF3" w14:textId="2B3947F3" w:rsidR="00AA1093" w:rsidRPr="001A2C4C" w:rsidRDefault="00AA1093" w:rsidP="00AA1093">
            <w:pPr>
              <w:rPr>
                <w:color w:val="000000" w:themeColor="text1"/>
                <w:sz w:val="20"/>
                <w:szCs w:val="20"/>
              </w:rPr>
            </w:pPr>
            <w:r w:rsidRPr="001A2C4C">
              <w:rPr>
                <w:color w:val="000000"/>
                <w:sz w:val="20"/>
                <w:szCs w:val="20"/>
              </w:rPr>
              <w:t>0.0991 (SDs: 0.0009)</w:t>
            </w:r>
          </w:p>
        </w:tc>
        <w:tc>
          <w:tcPr>
            <w:tcW w:w="1192" w:type="dxa"/>
          </w:tcPr>
          <w:p w14:paraId="21AA3FBE" w14:textId="7CA6D842" w:rsidR="00AA1093" w:rsidRPr="001A2C4C" w:rsidRDefault="00AA1093" w:rsidP="00AA1093">
            <w:pPr>
              <w:rPr>
                <w:color w:val="000000" w:themeColor="text1"/>
                <w:sz w:val="20"/>
                <w:szCs w:val="20"/>
              </w:rPr>
            </w:pPr>
            <w:r w:rsidRPr="001A2C4C">
              <w:rPr>
                <w:color w:val="000000"/>
                <w:sz w:val="20"/>
                <w:szCs w:val="20"/>
              </w:rPr>
              <w:t>0.1111 (SDs: 0.0009)</w:t>
            </w:r>
          </w:p>
        </w:tc>
        <w:tc>
          <w:tcPr>
            <w:tcW w:w="1276" w:type="dxa"/>
          </w:tcPr>
          <w:p w14:paraId="1B5C3018" w14:textId="6D289FAB" w:rsidR="00AA1093" w:rsidRPr="00AE069D" w:rsidRDefault="00AA1093" w:rsidP="00AA1093">
            <w:pPr>
              <w:rPr>
                <w:color w:val="000000" w:themeColor="text1"/>
                <w:lang w:val="en-US"/>
              </w:rPr>
            </w:pPr>
            <w:r w:rsidRPr="00AE069D">
              <w:rPr>
                <w:color w:val="000000" w:themeColor="text1"/>
                <w:lang w:val="en-US"/>
              </w:rPr>
              <w:t>[0.05,0.15]</w:t>
            </w:r>
          </w:p>
        </w:tc>
      </w:tr>
      <w:tr w:rsidR="00AA1093" w:rsidRPr="00AE069D" w14:paraId="11954131" w14:textId="77777777" w:rsidTr="00AA1093">
        <w:tc>
          <w:tcPr>
            <w:tcW w:w="1196" w:type="dxa"/>
          </w:tcPr>
          <w:p w14:paraId="6F8EA92E" w14:textId="49DD8C03"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sub>
                </m:sSub>
              </m:oMath>
            </m:oMathPara>
          </w:p>
        </w:tc>
        <w:tc>
          <w:tcPr>
            <w:tcW w:w="1222" w:type="dxa"/>
          </w:tcPr>
          <w:p w14:paraId="4EFD3B60" w14:textId="44ABC86D" w:rsidR="00AA1093" w:rsidRPr="001A2C4C" w:rsidRDefault="00AA1093" w:rsidP="00AA1093">
            <w:pPr>
              <w:rPr>
                <w:color w:val="000000" w:themeColor="text1"/>
                <w:sz w:val="20"/>
                <w:szCs w:val="20"/>
              </w:rPr>
            </w:pPr>
            <w:r w:rsidRPr="001A2C4C">
              <w:rPr>
                <w:color w:val="000000"/>
                <w:sz w:val="20"/>
                <w:szCs w:val="20"/>
              </w:rPr>
              <w:t>0.0009(SDs: 1.7344</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63DBC0D8" w14:textId="7FDD3EEF" w:rsidR="00AA1093" w:rsidRPr="001A2C4C" w:rsidRDefault="00AA1093" w:rsidP="00AA1093">
            <w:pPr>
              <w:rPr>
                <w:color w:val="000000" w:themeColor="text1"/>
                <w:sz w:val="20"/>
                <w:szCs w:val="20"/>
              </w:rPr>
            </w:pPr>
            <w:r w:rsidRPr="001A2C4C">
              <w:rPr>
                <w:color w:val="000000"/>
                <w:sz w:val="20"/>
                <w:szCs w:val="20"/>
              </w:rPr>
              <w:t>0.0009(SDs: 1.9443</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0081F8B0" w14:textId="5AE0F255" w:rsidR="00AA1093" w:rsidRPr="001A2C4C" w:rsidRDefault="00AA1093" w:rsidP="00AA1093">
            <w:pPr>
              <w:rPr>
                <w:color w:val="000000" w:themeColor="text1"/>
                <w:sz w:val="20"/>
                <w:szCs w:val="20"/>
              </w:rPr>
            </w:pPr>
            <w:r w:rsidRPr="001A2C4C">
              <w:rPr>
                <w:color w:val="000000"/>
                <w:sz w:val="20"/>
                <w:szCs w:val="20"/>
              </w:rPr>
              <w:t>0.0009(SDs: 1.7605</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152E1FBA" w14:textId="0B797C8D" w:rsidR="00AA1093" w:rsidRPr="001A2C4C" w:rsidRDefault="00AA1093" w:rsidP="00AA1093">
            <w:pPr>
              <w:rPr>
                <w:color w:val="000000" w:themeColor="text1"/>
                <w:sz w:val="20"/>
                <w:szCs w:val="20"/>
              </w:rPr>
            </w:pPr>
            <w:r w:rsidRPr="001A2C4C">
              <w:rPr>
                <w:color w:val="000000"/>
                <w:sz w:val="20"/>
                <w:szCs w:val="20"/>
              </w:rPr>
              <w:t>0.0010 (SDs: 1.6815</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2583E75C" w14:textId="7333FB6A" w:rsidR="00AA1093" w:rsidRPr="001A2C4C" w:rsidRDefault="00AA1093" w:rsidP="00AA1093">
            <w:pPr>
              <w:rPr>
                <w:color w:val="000000" w:themeColor="text1"/>
                <w:sz w:val="20"/>
                <w:szCs w:val="20"/>
              </w:rPr>
            </w:pPr>
            <w:r w:rsidRPr="001A2C4C">
              <w:rPr>
                <w:color w:val="000000"/>
                <w:sz w:val="20"/>
                <w:szCs w:val="20"/>
              </w:rPr>
              <w:t>0.0010 (SDs: 1.7355</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504F69A8" w14:textId="4B614A46" w:rsidR="00AA1093" w:rsidRPr="00AE069D" w:rsidRDefault="00AA1093" w:rsidP="00AA1093">
            <w:pPr>
              <w:rPr>
                <w:color w:val="000000" w:themeColor="text1"/>
                <w:lang w:val="en-US"/>
              </w:rPr>
            </w:pPr>
            <w:r w:rsidRPr="00AE069D">
              <w:rPr>
                <w:color w:val="000000" w:themeColor="text1"/>
                <w:lang w:val="en-US"/>
              </w:rPr>
              <w:t>[0,0.002]</w:t>
            </w:r>
          </w:p>
        </w:tc>
      </w:tr>
      <w:tr w:rsidR="00AA1093" w:rsidRPr="00AE069D" w14:paraId="6E9F8B1E" w14:textId="77777777" w:rsidTr="00AA1093">
        <w:tc>
          <w:tcPr>
            <w:tcW w:w="1196" w:type="dxa"/>
          </w:tcPr>
          <w:p w14:paraId="491C0EB1" w14:textId="6B120A57" w:rsidR="00AA1093" w:rsidRPr="00AE069D" w:rsidRDefault="00000000" w:rsidP="00AA109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→S</m:t>
                    </m:r>
                  </m:sub>
                </m:sSub>
              </m:oMath>
            </m:oMathPara>
          </w:p>
        </w:tc>
        <w:tc>
          <w:tcPr>
            <w:tcW w:w="1222" w:type="dxa"/>
          </w:tcPr>
          <w:p w14:paraId="546C72EB" w14:textId="64751D3E" w:rsidR="00AA1093" w:rsidRPr="001A2C4C" w:rsidRDefault="00AA1093" w:rsidP="00AA1093">
            <w:pPr>
              <w:rPr>
                <w:color w:val="000000" w:themeColor="text1"/>
                <w:sz w:val="20"/>
                <w:szCs w:val="20"/>
              </w:rPr>
            </w:pPr>
            <w:r w:rsidRPr="001A2C4C">
              <w:rPr>
                <w:color w:val="000000"/>
                <w:sz w:val="20"/>
                <w:szCs w:val="20"/>
              </w:rPr>
              <w:t>0.0010(SDs: 1.7680</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5F817A4F" w14:textId="611CCFC8" w:rsidR="00AA1093" w:rsidRPr="001A2C4C" w:rsidRDefault="00AA1093" w:rsidP="00AA1093">
            <w:pPr>
              <w:rPr>
                <w:color w:val="000000" w:themeColor="text1"/>
                <w:sz w:val="20"/>
                <w:szCs w:val="20"/>
              </w:rPr>
            </w:pPr>
            <w:r w:rsidRPr="001A2C4C">
              <w:rPr>
                <w:color w:val="000000"/>
                <w:sz w:val="20"/>
                <w:szCs w:val="20"/>
              </w:rPr>
              <w:t>0.0009(SDs: 1.6958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22" w:type="dxa"/>
          </w:tcPr>
          <w:p w14:paraId="053E19D8" w14:textId="64608B7D" w:rsidR="00AA1093" w:rsidRPr="001A2C4C" w:rsidRDefault="00AA1093" w:rsidP="00AA1093">
            <w:pPr>
              <w:rPr>
                <w:color w:val="000000" w:themeColor="text1"/>
                <w:sz w:val="20"/>
                <w:szCs w:val="20"/>
              </w:rPr>
            </w:pPr>
            <w:r w:rsidRPr="001A2C4C">
              <w:rPr>
                <w:color w:val="000000"/>
                <w:sz w:val="20"/>
                <w:szCs w:val="20"/>
              </w:rPr>
              <w:t>0.0010(SDs: 1.7698</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3A723196" w14:textId="7D934DB4" w:rsidR="00AA1093" w:rsidRPr="001A2C4C" w:rsidRDefault="00AA1093" w:rsidP="00AA1093">
            <w:pPr>
              <w:rPr>
                <w:color w:val="000000" w:themeColor="text1"/>
                <w:sz w:val="20"/>
                <w:szCs w:val="20"/>
              </w:rPr>
            </w:pPr>
            <w:r w:rsidRPr="001A2C4C">
              <w:rPr>
                <w:color w:val="000000"/>
                <w:sz w:val="20"/>
                <w:szCs w:val="20"/>
              </w:rPr>
              <w:t>0.0010 (SDs: 1.7577</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192" w:type="dxa"/>
          </w:tcPr>
          <w:p w14:paraId="49E51139" w14:textId="44D8AC1A" w:rsidR="00AA1093" w:rsidRPr="001A2C4C" w:rsidRDefault="00AA1093" w:rsidP="00AA1093">
            <w:pPr>
              <w:rPr>
                <w:color w:val="000000" w:themeColor="text1"/>
                <w:sz w:val="20"/>
                <w:szCs w:val="20"/>
              </w:rPr>
            </w:pPr>
            <w:r w:rsidRPr="001A2C4C">
              <w:rPr>
                <w:color w:val="000000"/>
                <w:sz w:val="20"/>
                <w:szCs w:val="20"/>
              </w:rPr>
              <w:t>0.0009 (SDs: 1.9056</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10</m:t>
                  </m:r>
                </m:e>
                <m:sup>
                  <m:r>
                    <w:rPr>
                      <w:rFonts w:ascii="Cambria Math" w:hAnsi="Cambria Math"/>
                      <w:color w:val="000000" w:themeColor="text1"/>
                      <w:sz w:val="20"/>
                      <w:szCs w:val="20"/>
                    </w:rPr>
                    <m:t>-5</m:t>
                  </m:r>
                </m:sup>
              </m:sSup>
            </m:oMath>
            <w:r w:rsidRPr="001A2C4C">
              <w:rPr>
                <w:color w:val="000000"/>
                <w:sz w:val="20"/>
                <w:szCs w:val="20"/>
              </w:rPr>
              <w:t>)</w:t>
            </w:r>
          </w:p>
        </w:tc>
        <w:tc>
          <w:tcPr>
            <w:tcW w:w="1276" w:type="dxa"/>
          </w:tcPr>
          <w:p w14:paraId="73D2875A" w14:textId="1A380F42" w:rsidR="00AA1093" w:rsidRPr="00AE069D" w:rsidRDefault="00AA1093" w:rsidP="00AA1093">
            <w:pPr>
              <w:rPr>
                <w:color w:val="000000" w:themeColor="text1"/>
              </w:rPr>
            </w:pPr>
            <w:r w:rsidRPr="00AE069D">
              <w:rPr>
                <w:color w:val="000000" w:themeColor="text1"/>
                <w:lang w:val="en-US"/>
              </w:rPr>
              <w:t>[0,0.002]</w:t>
            </w:r>
          </w:p>
        </w:tc>
      </w:tr>
    </w:tbl>
    <w:p w14:paraId="202DFE06" w14:textId="1E8BC13E" w:rsidR="00670C78" w:rsidRPr="00AE069D" w:rsidRDefault="00670C78" w:rsidP="00670C78">
      <w:pPr>
        <w:rPr>
          <w:color w:val="000000" w:themeColor="text1"/>
        </w:rPr>
      </w:pPr>
    </w:p>
    <w:p w14:paraId="269A028B" w14:textId="77777777" w:rsidR="00FF6D0D" w:rsidRPr="00AE069D" w:rsidRDefault="00FF6D0D" w:rsidP="00FF6D0D">
      <w:pPr>
        <w:spacing w:line="480" w:lineRule="auto"/>
        <w:ind w:right="-360"/>
        <w:rPr>
          <w:b/>
          <w:bCs/>
          <w:color w:val="000000" w:themeColor="text1"/>
        </w:rPr>
      </w:pPr>
    </w:p>
    <w:p w14:paraId="503DE544" w14:textId="198BE341" w:rsidR="00FF6D0D" w:rsidRPr="00AE069D" w:rsidRDefault="00FF6D0D" w:rsidP="00FF6D0D">
      <w:pPr>
        <w:spacing w:line="480" w:lineRule="auto"/>
        <w:ind w:right="-360"/>
        <w:rPr>
          <w:color w:val="000000" w:themeColor="text1"/>
        </w:rPr>
      </w:pPr>
      <w:r w:rsidRPr="00AE069D">
        <w:rPr>
          <w:b/>
          <w:bCs/>
          <w:color w:val="000000" w:themeColor="text1"/>
        </w:rPr>
        <w:t>Parameter adjustment method:</w:t>
      </w:r>
    </w:p>
    <w:p w14:paraId="71914488" w14:textId="2E8BC811" w:rsidR="00FF6D0D" w:rsidRPr="00AE069D" w:rsidRDefault="00FF6D0D" w:rsidP="00FF6D0D">
      <w:pPr>
        <w:spacing w:line="480" w:lineRule="auto"/>
        <w:ind w:right="-360"/>
        <w:rPr>
          <w:color w:val="000000" w:themeColor="text1"/>
        </w:rPr>
      </w:pPr>
      <w:r w:rsidRPr="00AE069D">
        <w:rPr>
          <w:color w:val="000000" w:themeColor="text1"/>
        </w:rPr>
        <w:t xml:space="preserve">When altering the releasing policy from 3-negative to 2-negative, the most clinically significant parameter changes in the 2-Mode-Precaution model should be </w:t>
      </w:r>
      <w:r w:rsidRPr="00AE069D">
        <w:rPr>
          <w:rFonts w:ascii="Cambria Math" w:hAnsi="Cambria Math"/>
          <w:i/>
          <w:color w:val="000000" w:themeColor="text1"/>
        </w:rPr>
        <w:br/>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Sub>
      </m:oMath>
      <w:r w:rsidRPr="00AE069D">
        <w:rPr>
          <w:color w:val="000000" w:themeColor="text1"/>
        </w:rPr>
        <w:t xml:space="preserve"> (the transition probability from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oMath>
      <w:r w:rsidRPr="00AE069D">
        <w:rPr>
          <w:color w:val="000000" w:themeColor="text1"/>
          <w:lang w:val="en-US"/>
        </w:rPr>
        <w:t xml:space="preserve"> </w:t>
      </w:r>
      <w:r w:rsidRPr="00AE069D">
        <w:rPr>
          <w:color w:val="000000" w:themeColor="text1"/>
        </w:rPr>
        <w:t xml:space="preserve">to </w:t>
      </w:r>
      <m:oMath>
        <m:r>
          <w:rPr>
            <w:rFonts w:ascii="Cambria Math" w:hAnsi="Cambria Math"/>
            <w:color w:val="000000" w:themeColor="text1"/>
          </w:rPr>
          <m:t>C</m:t>
        </m:r>
      </m:oMath>
      <w:r w:rsidRPr="00AE069D">
        <w:rPr>
          <w:color w:val="000000" w:themeColor="text1"/>
        </w:rPr>
        <w:t xml:space="preserve">) and </w:t>
      </w:r>
      <w:r w:rsidRPr="00AE069D">
        <w:rPr>
          <w:rFonts w:ascii="Cambria Math" w:hAnsi="Cambria Math"/>
          <w:i/>
          <w:color w:val="000000" w:themeColor="text1"/>
        </w:rPr>
        <w:br/>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Sub>
      </m:oMath>
      <w:r w:rsidRPr="00AE069D">
        <w:rPr>
          <w:color w:val="000000" w:themeColor="text1"/>
        </w:rPr>
        <w:t xml:space="preserve"> (transition probability from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oMath>
      <w:r w:rsidRPr="00AE069D">
        <w:rPr>
          <w:color w:val="000000" w:themeColor="text1"/>
        </w:rPr>
        <w:t xml:space="preserve"> to </w:t>
      </w:r>
      <m:oMath>
        <m:r>
          <w:rPr>
            <w:rFonts w:ascii="Cambria Math" w:hAnsi="Cambria Math"/>
            <w:color w:val="000000" w:themeColor="text1"/>
          </w:rPr>
          <m:t>S</m:t>
        </m:r>
      </m:oMath>
      <w:r w:rsidRPr="00AE069D">
        <w:rPr>
          <w:color w:val="000000" w:themeColor="text1"/>
        </w:rPr>
        <w:t xml:space="preserve">). Other parameters should not change significantly, assuming that other non-precaution-based infection controls and prevention measures remain constant (e.g., terminal room disinfection, standard hand hygiene practices, antimicrobial use). We use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3neg</m:t>
            </m:r>
          </m:sup>
        </m:sSubSup>
      </m:oMath>
      <w:r w:rsidRPr="00AE069D">
        <w:rPr>
          <w:color w:val="000000" w:themeColor="text1"/>
        </w:rPr>
        <w:t xml:space="preserve"> to represent the parameter for the 3-negative policy, and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2neg</m:t>
            </m:r>
          </m:sup>
        </m:sSubSup>
      </m:oMath>
      <w:r w:rsidRPr="00AE069D">
        <w:rPr>
          <w:color w:val="000000" w:themeColor="text1"/>
        </w:rPr>
        <w:t xml:space="preserve"> to represent the parameter for the 2-negative policy (similarly,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3neg</m:t>
            </m:r>
          </m:sup>
        </m:sSubSup>
      </m:oMath>
      <w:r w:rsidRPr="00AE069D">
        <w:rPr>
          <w:color w:val="000000" w:themeColor="text1"/>
        </w:rPr>
        <w:t xml:space="preserve"> and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2neg</m:t>
            </m:r>
          </m:sup>
        </m:sSubSup>
      </m:oMath>
      <w:r w:rsidRPr="00AE069D">
        <w:rPr>
          <w:color w:val="000000" w:themeColor="text1"/>
        </w:rPr>
        <w:t xml:space="preserve">). Next, we will demonstrate how to utilize the MRSA PCR test records from EHR data to adjust from from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3neg</m:t>
            </m:r>
          </m:sup>
        </m:sSubSup>
      </m:oMath>
      <w:r w:rsidRPr="00AE069D">
        <w:rPr>
          <w:color w:val="000000" w:themeColor="text1"/>
        </w:rPr>
        <w:t xml:space="preserve"> to estimate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2neg</m:t>
            </m:r>
          </m:sup>
        </m:sSubSup>
      </m:oMath>
      <w:r w:rsidRPr="00AE069D">
        <w:rPr>
          <w:color w:val="000000" w:themeColor="text1"/>
        </w:rPr>
        <w:t>.</w:t>
      </w:r>
    </w:p>
    <w:p w14:paraId="6CFF05A5" w14:textId="7400FC40" w:rsidR="00FF6D0D" w:rsidRPr="00AE069D" w:rsidRDefault="00FF6D0D" w:rsidP="00FF6D0D">
      <w:pPr>
        <w:spacing w:line="480" w:lineRule="auto"/>
        <w:ind w:right="-360"/>
        <w:rPr>
          <w:color w:val="000000" w:themeColor="text1"/>
        </w:rPr>
      </w:pPr>
      <w:r w:rsidRPr="00AE069D">
        <w:rPr>
          <w:color w:val="000000" w:themeColor="text1"/>
        </w:rPr>
        <w:t xml:space="preserve">First, let's focus on </w:t>
      </w:r>
      <m:oMath>
        <m:sSub>
          <m:sSubPr>
            <m:ctrlPr>
              <w:rPr>
                <w:rFonts w:ascii="Cambria Math" w:hAnsi="Cambria Math"/>
                <w:i/>
                <w:color w:val="000000" w:themeColor="text1"/>
              </w:rPr>
            </m:ctrlPr>
          </m:sSub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Sub>
      </m:oMath>
      <w:r w:rsidRPr="00AE069D">
        <w:rPr>
          <w:color w:val="000000" w:themeColor="text1"/>
        </w:rPr>
        <w:t xml:space="preserve">. Under the 3-negative policy, only patients with three consecutive negative tests will be released. However, under the 2-negative policy, patients with the first two tests negative will also be released without a third test. We use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0</m:t>
            </m:r>
          </m:sub>
        </m:sSub>
      </m:oMath>
      <w:r w:rsidRPr="00AE069D">
        <w:rPr>
          <w:color w:val="000000" w:themeColor="text1"/>
        </w:rPr>
        <w:t xml:space="preserve"> to represent the number of records with three consecutive negative tests in EHR data (i.e., negative-negative-negative), and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oMath>
      <w:r w:rsidRPr="00AE069D">
        <w:rPr>
          <w:color w:val="000000" w:themeColor="text1"/>
        </w:rPr>
        <w:t xml:space="preserve"> to represent the number of records with two negative test results followed by one positive result (i.e., negative-negative-positive). With the 2-negative policy,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oMath>
      <w:r w:rsidRPr="00AE069D">
        <w:rPr>
          <w:color w:val="000000" w:themeColor="text1"/>
        </w:rPr>
        <w:t xml:space="preserve"> more patients will be released. Hence, </w:t>
      </w:r>
      <m:oMath>
        <m:sSub>
          <m:sSubPr>
            <m:ctrlPr>
              <w:rPr>
                <w:rFonts w:ascii="Cambria Math" w:hAnsi="Cambria Math"/>
                <w:i/>
                <w:color w:val="000000" w:themeColor="text1"/>
                <w:lang w:val="en-US"/>
              </w:rPr>
            </m:ctrlPr>
          </m:sSubPr>
          <m:e>
            <m:r>
              <w:rPr>
                <w:rFonts w:ascii="Cambria Math" w:hAnsi="Cambria Math"/>
                <w:color w:val="000000" w:themeColor="text1"/>
                <w:lang w:val="en-US"/>
              </w:rPr>
              <m:t>p</m:t>
            </m:r>
          </m:e>
          <m:sub>
            <m:sSub>
              <m:sSubPr>
                <m:ctrlPr>
                  <w:rPr>
                    <w:rFonts w:ascii="Cambria Math" w:hAnsi="Cambria Math"/>
                    <w:i/>
                    <w:color w:val="000000" w:themeColor="text1"/>
                    <w:lang w:val="en-US"/>
                  </w:rPr>
                </m:ctrlPr>
              </m:sSubPr>
              <m:e>
                <m:r>
                  <w:rPr>
                    <w:rFonts w:ascii="Cambria Math" w:hAnsi="Cambria Math"/>
                    <w:color w:val="000000" w:themeColor="text1"/>
                    <w:lang w:val="en-US"/>
                  </w:rPr>
                  <m:t>C</m:t>
                </m:r>
              </m:e>
              <m:sub>
                <m:r>
                  <w:rPr>
                    <w:rFonts w:ascii="Cambria Math" w:hAnsi="Cambria Math"/>
                    <w:color w:val="000000" w:themeColor="text1"/>
                    <w:lang w:val="en-US"/>
                  </w:rPr>
                  <m:t>cp</m:t>
                </m:r>
              </m:sub>
            </m:sSub>
            <m:r>
              <w:rPr>
                <w:rFonts w:ascii="Cambria Math" w:hAnsi="Cambria Math"/>
                <w:color w:val="000000" w:themeColor="text1"/>
                <w:lang w:val="en-US"/>
              </w:rPr>
              <m:t>→C</m:t>
            </m:r>
          </m:sub>
        </m:sSub>
      </m:oMath>
      <w:r w:rsidR="008C738E" w:rsidRPr="00AE069D">
        <w:rPr>
          <w:color w:val="000000" w:themeColor="text1"/>
          <w:lang w:val="en-US"/>
        </w:rPr>
        <w:t xml:space="preserve"> </w:t>
      </w:r>
      <w:r w:rsidRPr="00AE069D">
        <w:rPr>
          <w:color w:val="000000" w:themeColor="text1"/>
        </w:rPr>
        <w:t xml:space="preserve">for the 2-negative policy will be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2neg</m:t>
            </m:r>
          </m:sup>
        </m:sSubSup>
        <m:r>
          <w:rPr>
            <w:rFonts w:ascii="Cambria Math" w:hAnsi="Cambria Math"/>
            <w:color w:val="000000" w:themeColor="text1"/>
            <w:lang w:val="en-US"/>
          </w:rPr>
          <m:t>≈</m:t>
        </m:r>
        <m:r>
          <m:rPr>
            <m:sty m:val="p"/>
          </m:rPr>
          <w:rPr>
            <w:rFonts w:ascii="Cambria Math" w:hAnsi="Cambria Math"/>
            <w:color w:val="000000" w:themeColor="text1"/>
            <w:lang w:val="en-US"/>
          </w:rPr>
          <m:t>min⁡{</m:t>
        </m:r>
        <m:r>
          <w:rPr>
            <w:rFonts w:ascii="Cambria Math" w:hAnsi="Cambria Math"/>
            <w:color w:val="000000" w:themeColor="text1"/>
            <w:lang w:val="en-US"/>
          </w:rPr>
          <m:t>1,</m:t>
        </m:r>
        <m:f>
          <m:fPr>
            <m:ctrlPr>
              <w:rPr>
                <w:rFonts w:ascii="Cambria Math" w:hAnsi="Cambria Math"/>
                <w:i/>
                <w:color w:val="000000" w:themeColor="text1"/>
                <w:lang w:val="en-US"/>
              </w:rPr>
            </m:ctrlPr>
          </m:fPr>
          <m:num>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0</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1</m:t>
                </m:r>
              </m:sub>
            </m:sSub>
          </m:num>
          <m:den>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0</m:t>
                </m:r>
              </m:sub>
            </m:sSub>
          </m:den>
        </m:f>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3neg</m:t>
            </m:r>
          </m:sup>
        </m:sSubSup>
        <m:r>
          <w:rPr>
            <w:rFonts w:ascii="Cambria Math" w:hAnsi="Cambria Math"/>
            <w:color w:val="000000" w:themeColor="text1"/>
            <w:lang w:val="en-US"/>
          </w:rPr>
          <m:t>}</m:t>
        </m:r>
      </m:oMath>
      <w:r w:rsidRPr="00AE069D">
        <w:rPr>
          <w:color w:val="000000" w:themeColor="text1"/>
        </w:rPr>
        <w:t xml:space="preserve">. Intuitively, the relaxed policy will result in a higher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2neg</m:t>
            </m:r>
          </m:sup>
        </m:sSubSup>
      </m:oMath>
      <w:r w:rsidRPr="00AE069D">
        <w:rPr>
          <w:color w:val="000000" w:themeColor="text1"/>
        </w:rPr>
        <w:t xml:space="preserve"> than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cp</m:t>
                </m:r>
              </m:sub>
            </m:sSub>
            <m:r>
              <w:rPr>
                <w:rFonts w:ascii="Cambria Math" w:hAnsi="Cambria Math"/>
                <w:color w:val="000000" w:themeColor="text1"/>
              </w:rPr>
              <m:t>→C</m:t>
            </m:r>
          </m:sub>
          <m:sup>
            <m:r>
              <w:rPr>
                <w:rFonts w:ascii="Cambria Math" w:hAnsi="Cambria Math"/>
                <w:color w:val="000000" w:themeColor="text1"/>
              </w:rPr>
              <m:t>3neg</m:t>
            </m:r>
          </m:sup>
        </m:sSubSup>
      </m:oMath>
      <w:r w:rsidRPr="00AE069D">
        <w:rPr>
          <w:color w:val="000000" w:themeColor="text1"/>
        </w:rPr>
        <w:t xml:space="preserve">, since MRSA infectious cases are released with a higher probability due to one fewer test. To extract results of MRSA tests, we parse each patient's EHR and extract MRSA PCR nares </w:t>
      </w:r>
      <w:r w:rsidR="00732346" w:rsidRPr="00AE069D">
        <w:rPr>
          <w:color w:val="000000" w:themeColor="text1"/>
          <w:lang w:val="en-US"/>
        </w:rPr>
        <w:t xml:space="preserve">and culture </w:t>
      </w:r>
      <w:r w:rsidRPr="00AE069D">
        <w:rPr>
          <w:color w:val="000000" w:themeColor="text1"/>
        </w:rPr>
        <w:t>test results, constructing our dataset using the date the test was taken and the result of the test. As described above, we exclude negative culture tests, as a negative culture test does not preclude the presence of MRSA and is thus not sufficient to clear contact precautions at the  UVA hospital. </w:t>
      </w:r>
    </w:p>
    <w:p w14:paraId="0E888F0B" w14:textId="5360BB63" w:rsidR="00FF6D0D" w:rsidRPr="00AE069D" w:rsidRDefault="00FF6D0D" w:rsidP="00FF6D0D">
      <w:pPr>
        <w:spacing w:line="480" w:lineRule="auto"/>
        <w:ind w:right="-360"/>
        <w:rPr>
          <w:color w:val="000000" w:themeColor="text1"/>
        </w:rPr>
      </w:pPr>
      <w:r w:rsidRPr="00AE069D">
        <w:rPr>
          <w:color w:val="000000" w:themeColor="text1"/>
        </w:rPr>
        <w:t xml:space="preserve">Next, let's focus on </w:t>
      </w:r>
      <m:oMath>
        <m:sSub>
          <m:sSubPr>
            <m:ctrlPr>
              <w:rPr>
                <w:rFonts w:ascii="Cambria Math" w:hAnsi="Cambria Math"/>
                <w:i/>
                <w:color w:val="000000" w:themeColor="text1"/>
                <w:lang w:val="en-US"/>
              </w:rPr>
            </m:ctrlPr>
          </m:sSubPr>
          <m:e>
            <m:r>
              <w:rPr>
                <w:rFonts w:ascii="Cambria Math" w:hAnsi="Cambria Math"/>
                <w:color w:val="000000" w:themeColor="text1"/>
                <w:lang w:val="en-US"/>
              </w:rPr>
              <m:t>p</m:t>
            </m:r>
          </m:e>
          <m:sub>
            <m:sSub>
              <m:sSubPr>
                <m:ctrlPr>
                  <w:rPr>
                    <w:rFonts w:ascii="Cambria Math" w:hAnsi="Cambria Math"/>
                    <w:i/>
                    <w:color w:val="000000" w:themeColor="text1"/>
                    <w:lang w:val="en-US"/>
                  </w:rPr>
                </m:ctrlPr>
              </m:sSubPr>
              <m:e>
                <m:r>
                  <w:rPr>
                    <w:rFonts w:ascii="Cambria Math" w:hAnsi="Cambria Math"/>
                    <w:color w:val="000000" w:themeColor="text1"/>
                    <w:lang w:val="en-US"/>
                  </w:rPr>
                  <m:t>S</m:t>
                </m:r>
              </m:e>
              <m:sub>
                <m:r>
                  <w:rPr>
                    <w:rFonts w:ascii="Cambria Math" w:hAnsi="Cambria Math"/>
                    <w:color w:val="000000" w:themeColor="text1"/>
                    <w:lang w:val="en-US"/>
                  </w:rPr>
                  <m:t>cp</m:t>
                </m:r>
              </m:sub>
            </m:sSub>
            <m:r>
              <w:rPr>
                <w:rFonts w:ascii="Cambria Math" w:hAnsi="Cambria Math"/>
                <w:color w:val="000000" w:themeColor="text1"/>
                <w:lang w:val="en-US"/>
              </w:rPr>
              <m:t>→S</m:t>
            </m:r>
          </m:sub>
        </m:sSub>
      </m:oMath>
      <w:r w:rsidRPr="00AE069D">
        <w:rPr>
          <w:color w:val="000000" w:themeColor="text1"/>
        </w:rPr>
        <w:t xml:space="preserve">. Under the 3-negative policy, patients must wait for three consecutive negative tests to be released. However, under the 2-negative policy, patients only need to wait for two consecutive negative tests, which indicates a shorter waiting time and hence a larger transfer probability. We use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3</m:t>
            </m:r>
          </m:sub>
        </m:sSub>
      </m:oMath>
      <w:r w:rsidR="008C738E" w:rsidRPr="00AE069D">
        <w:rPr>
          <w:color w:val="000000" w:themeColor="text1"/>
        </w:rPr>
        <w:t xml:space="preserve"> </w:t>
      </w:r>
      <w:r w:rsidRPr="00AE069D">
        <w:rPr>
          <w:color w:val="000000" w:themeColor="text1"/>
        </w:rPr>
        <w:t xml:space="preserve">to capture the average number of days to obtain three consecutive negative tests,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oMath>
      <w:r w:rsidRPr="00AE069D">
        <w:rPr>
          <w:color w:val="000000" w:themeColor="text1"/>
        </w:rPr>
        <w:t xml:space="preserve"> to capture the average days to obtain the first two consecutive negative results after the initial positive test. By assuming that the average days follow a geometric distribution parameterized by </w:t>
      </w:r>
      <w:r w:rsidR="008C738E" w:rsidRPr="00AE069D">
        <w:rPr>
          <w:color w:val="000000" w:themeColor="text1"/>
        </w:rPr>
        <w:t xml:space="preserve"> </w:t>
      </w:r>
      <m:oMath>
        <m:sSub>
          <m:sSubPr>
            <m:ctrlPr>
              <w:rPr>
                <w:rFonts w:ascii="Cambria Math" w:hAnsi="Cambria Math"/>
                <w:i/>
                <w:color w:val="000000" w:themeColor="text1"/>
                <w:lang w:val="en-US"/>
              </w:rPr>
            </m:ctrlPr>
          </m:sSubPr>
          <m:e>
            <m:r>
              <w:rPr>
                <w:rFonts w:ascii="Cambria Math" w:hAnsi="Cambria Math"/>
                <w:color w:val="000000" w:themeColor="text1"/>
                <w:lang w:val="en-US"/>
              </w:rPr>
              <m:t>p</m:t>
            </m:r>
          </m:e>
          <m:sub>
            <m:sSub>
              <m:sSubPr>
                <m:ctrlPr>
                  <w:rPr>
                    <w:rFonts w:ascii="Cambria Math" w:hAnsi="Cambria Math"/>
                    <w:i/>
                    <w:color w:val="000000" w:themeColor="text1"/>
                    <w:lang w:val="en-US"/>
                  </w:rPr>
                </m:ctrlPr>
              </m:sSubPr>
              <m:e>
                <m:r>
                  <w:rPr>
                    <w:rFonts w:ascii="Cambria Math" w:hAnsi="Cambria Math"/>
                    <w:color w:val="000000" w:themeColor="text1"/>
                    <w:lang w:val="en-US"/>
                  </w:rPr>
                  <m:t>S</m:t>
                </m:r>
              </m:e>
              <m:sub>
                <m:r>
                  <w:rPr>
                    <w:rFonts w:ascii="Cambria Math" w:hAnsi="Cambria Math"/>
                    <w:color w:val="000000" w:themeColor="text1"/>
                    <w:lang w:val="en-US"/>
                  </w:rPr>
                  <m:t>cp</m:t>
                </m:r>
              </m:sub>
            </m:sSub>
            <m:r>
              <w:rPr>
                <w:rFonts w:ascii="Cambria Math" w:hAnsi="Cambria Math"/>
                <w:color w:val="000000" w:themeColor="text1"/>
                <w:lang w:val="en-US"/>
              </w:rPr>
              <m:t>→S</m:t>
            </m:r>
          </m:sub>
        </m:sSub>
      </m:oMath>
      <w:r w:rsidRPr="00AE069D">
        <w:rPr>
          <w:color w:val="000000" w:themeColor="text1"/>
        </w:rPr>
        <w:t xml:space="preserve">, then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3neg</m:t>
            </m:r>
          </m:sup>
        </m:sSubSup>
      </m:oMath>
      <w:r w:rsidR="008C738E" w:rsidRPr="00AE069D">
        <w:rPr>
          <w:color w:val="000000" w:themeColor="text1"/>
          <w:lang w:val="en-US"/>
        </w:rPr>
        <w:t xml:space="preserve"> </w:t>
      </w:r>
      <w:r w:rsidRPr="00AE069D">
        <w:rPr>
          <w:color w:val="000000" w:themeColor="text1"/>
        </w:rPr>
        <w:t xml:space="preserve">should be proportional to </w:t>
      </w:r>
      <m:oMath>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3</m:t>
                </m:r>
              </m:sub>
            </m:sSub>
          </m:den>
        </m:f>
      </m:oMath>
      <w:r w:rsidRPr="00AE069D">
        <w:rPr>
          <w:color w:val="000000" w:themeColor="text1"/>
        </w:rPr>
        <w:t xml:space="preserve">, and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2neg</m:t>
            </m:r>
          </m:sup>
        </m:sSubSup>
      </m:oMath>
      <w:r w:rsidR="008C738E" w:rsidRPr="00AE069D">
        <w:rPr>
          <w:color w:val="000000" w:themeColor="text1"/>
          <w:lang w:val="en-US"/>
        </w:rPr>
        <w:t xml:space="preserve"> </w:t>
      </w:r>
      <w:r w:rsidRPr="00AE069D">
        <w:rPr>
          <w:color w:val="000000" w:themeColor="text1"/>
        </w:rPr>
        <w:t xml:space="preserve">should be proportional to </w:t>
      </w:r>
      <m:oMath>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den>
        </m:f>
      </m:oMath>
      <w:r w:rsidRPr="00AE069D">
        <w:rPr>
          <w:color w:val="000000" w:themeColor="text1"/>
        </w:rPr>
        <w:t xml:space="preserve">. Therefore, we have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2neg</m:t>
            </m:r>
          </m:sup>
        </m:sSubSup>
        <m:r>
          <w:rPr>
            <w:rFonts w:ascii="Cambria Math" w:hAnsi="Cambria Math"/>
            <w:color w:val="000000" w:themeColor="text1"/>
            <w:lang w:val="en-US"/>
          </w:rPr>
          <m:t>≈</m:t>
        </m:r>
        <m:r>
          <m:rPr>
            <m:sty m:val="p"/>
          </m:rPr>
          <w:rPr>
            <w:rFonts w:ascii="Cambria Math" w:hAnsi="Cambria Math"/>
            <w:color w:val="000000" w:themeColor="text1"/>
            <w:lang w:val="en-US"/>
          </w:rPr>
          <m:t>min⁡{</m:t>
        </m:r>
        <m:r>
          <w:rPr>
            <w:rFonts w:ascii="Cambria Math" w:hAnsi="Cambria Math"/>
            <w:color w:val="000000" w:themeColor="text1"/>
            <w:lang w:val="en-US"/>
          </w:rPr>
          <m:t>1,</m:t>
        </m:r>
        <m:f>
          <m:fPr>
            <m:ctrlPr>
              <w:rPr>
                <w:rFonts w:ascii="Cambria Math" w:hAnsi="Cambria Math"/>
                <w:i/>
                <w:color w:val="000000" w:themeColor="text1"/>
                <w:lang w:val="en-US"/>
              </w:rPr>
            </m:ctrlPr>
          </m:fPr>
          <m:num>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3</m:t>
                </m:r>
              </m:sub>
            </m:sSub>
          </m:num>
          <m:den>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2</m:t>
                </m:r>
              </m:sub>
            </m:sSub>
          </m:den>
        </m:f>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3neg</m:t>
            </m:r>
          </m:sup>
        </m:sSubSup>
        <m:r>
          <w:rPr>
            <w:rFonts w:ascii="Cambria Math" w:hAnsi="Cambria Math"/>
            <w:color w:val="000000" w:themeColor="text1"/>
            <w:lang w:val="en-US"/>
          </w:rPr>
          <m:t>}</m:t>
        </m:r>
      </m:oMath>
      <w:r w:rsidRPr="00AE069D">
        <w:rPr>
          <w:color w:val="000000" w:themeColor="text1"/>
        </w:rPr>
        <w:t xml:space="preserve">. Intuitively, the relaxed 2-negative policy will result in a higher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2neg</m:t>
            </m:r>
          </m:sup>
        </m:sSubSup>
      </m:oMath>
      <w:r w:rsidRPr="00AE069D">
        <w:rPr>
          <w:color w:val="000000" w:themeColor="text1"/>
        </w:rPr>
        <w:t xml:space="preserve">than </w:t>
      </w:r>
      <m:oMath>
        <m:sSubSup>
          <m:sSubSupPr>
            <m:ctrlPr>
              <w:rPr>
                <w:rFonts w:ascii="Cambria Math" w:hAnsi="Cambria Math"/>
                <w:i/>
                <w:color w:val="000000" w:themeColor="text1"/>
              </w:rPr>
            </m:ctrlPr>
          </m:sSubSupPr>
          <m:e>
            <m:r>
              <w:rPr>
                <w:rFonts w:ascii="Cambria Math" w:hAnsi="Cambria Math"/>
                <w:color w:val="000000" w:themeColor="text1"/>
              </w:rPr>
              <m:t>p</m:t>
            </m:r>
          </m:e>
          <m: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cp</m:t>
                </m:r>
              </m:sub>
            </m:sSub>
            <m:r>
              <w:rPr>
                <w:rFonts w:ascii="Cambria Math" w:hAnsi="Cambria Math"/>
                <w:color w:val="000000" w:themeColor="text1"/>
              </w:rPr>
              <m:t>→S</m:t>
            </m:r>
          </m:sub>
          <m:sup>
            <m:r>
              <w:rPr>
                <w:rFonts w:ascii="Cambria Math" w:hAnsi="Cambria Math"/>
                <w:color w:val="000000" w:themeColor="text1"/>
              </w:rPr>
              <m:t>3neg</m:t>
            </m:r>
          </m:sup>
        </m:sSubSup>
      </m:oMath>
      <w:r w:rsidR="008C738E" w:rsidRPr="00AE069D">
        <w:rPr>
          <w:color w:val="000000" w:themeColor="text1"/>
          <w:lang w:val="en-US"/>
        </w:rPr>
        <w:t xml:space="preserve">, </w:t>
      </w:r>
      <w:r w:rsidRPr="00AE069D">
        <w:rPr>
          <w:color w:val="000000" w:themeColor="text1"/>
        </w:rPr>
        <w:t>since patients are released out of precaution faster with a higher probability.</w:t>
      </w:r>
    </w:p>
    <w:p w14:paraId="27E45577" w14:textId="3A46E113" w:rsidR="00FF6D0D" w:rsidRPr="00AE069D" w:rsidRDefault="00FF6D0D" w:rsidP="00FF6D0D">
      <w:pPr>
        <w:spacing w:line="480" w:lineRule="auto"/>
        <w:ind w:right="-360"/>
        <w:rPr>
          <w:color w:val="000000" w:themeColor="text1"/>
        </w:rPr>
      </w:pPr>
      <w:r w:rsidRPr="00AE069D">
        <w:rPr>
          <w:color w:val="000000" w:themeColor="text1"/>
        </w:rPr>
        <w:lastRenderedPageBreak/>
        <w:t xml:space="preserve">For the calculation of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3</m:t>
            </m:r>
          </m:sub>
        </m:sSub>
      </m:oMath>
      <w:r w:rsidRPr="00AE069D">
        <w:rPr>
          <w:color w:val="000000" w:themeColor="text1"/>
        </w:rPr>
        <w:t xml:space="preserve">, we analyze the number of instances in patient EHRs where an individual tests positive for MRSA and then receives three consecutive negative MRSA tests as their next three tests on record. We then count the number of days between the first positive test and the third negative test, excluding days when the patient was not present in the hospital (as calculated by their admit and discharge days). This value is then averaged across all instances of a positive test followed by three negative tests. Similarly, for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oMath>
      <w:r w:rsidRPr="00AE069D">
        <w:rPr>
          <w:color w:val="000000" w:themeColor="text1"/>
        </w:rPr>
        <w:t xml:space="preserve">, we use the same subsets of patients that have a positive test followed by three negative tests in order to perform a consistent comparison. However, we then take the number of days between the positive test and the second negative test, again discounting time when a patient has left the hospital, and average this over the entire data set. Due to this methodology, we will always have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3</m:t>
            </m:r>
          </m:sub>
        </m:sSub>
      </m:oMath>
      <w:r w:rsidRPr="00AE069D">
        <w:rPr>
          <w:color w:val="000000" w:themeColor="text1"/>
        </w:rPr>
        <w:t>, as hospital policy requires at least 24 hours between tests.</w:t>
      </w:r>
    </w:p>
    <w:p w14:paraId="789EB1F8" w14:textId="77777777" w:rsidR="0065439B" w:rsidRDefault="00FF6D0D" w:rsidP="0065439B">
      <w:pPr>
        <w:spacing w:line="480" w:lineRule="auto"/>
        <w:ind w:right="-360"/>
        <w:rPr>
          <w:color w:val="000000" w:themeColor="text1"/>
        </w:rPr>
      </w:pPr>
      <w:r w:rsidRPr="00AE069D">
        <w:rPr>
          <w:color w:val="000000" w:themeColor="text1"/>
        </w:rPr>
        <w:t>In summary, we can use the parameters calibrated for the current 3-negative policy in the UVA hospital to estimate parameters for the 2-negative policy with the following approach: First, we calibrate the 2-Mode-Precaution model to the number of detected cases in the UVA hospital, obtaining the parameters for the 3-negative policy. Next, we apply the parameter adjustment method to estimate the parameters for the 2-negative policy. We then run simulations with the adjusted parameters to estimate the 2-negative policy scenario. Similarly, we can also adjust the calibrated 3-negative parameters to estimate the 1-negative policy scenario.</w:t>
      </w:r>
      <w:r w:rsidR="001A2C4C">
        <w:rPr>
          <w:color w:val="000000" w:themeColor="text1"/>
        </w:rPr>
        <w:t xml:space="preserve"> </w:t>
      </w:r>
      <w:r w:rsidR="001A2C4C">
        <w:rPr>
          <w:color w:val="000000"/>
        </w:rPr>
        <w:t xml:space="preserve">We also list the values of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0</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1</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2</m:t>
            </m:r>
          </m:sub>
        </m:sSub>
      </m:oMath>
      <w:r w:rsidR="007348E9">
        <w:rPr>
          <w:color w:val="000000" w:themeColor="text1"/>
          <w:lang w:val="en-US"/>
        </w:rPr>
        <w:t xml:space="preserve"> and </w:t>
      </w:r>
      <m:oMath>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3</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2</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1</m:t>
            </m:r>
          </m:sub>
        </m:sSub>
      </m:oMath>
      <w:r w:rsidR="001A2C4C">
        <w:rPr>
          <w:color w:val="000000"/>
        </w:rPr>
        <w:t xml:space="preserve"> in Supplementary Table 3.</w:t>
      </w:r>
    </w:p>
    <w:p w14:paraId="755AB432" w14:textId="1FF44242" w:rsidR="007348E9" w:rsidRPr="0065439B" w:rsidRDefault="007348E9" w:rsidP="0065439B">
      <w:pPr>
        <w:spacing w:line="480" w:lineRule="auto"/>
        <w:ind w:right="-360"/>
        <w:rPr>
          <w:color w:val="000000" w:themeColor="text1"/>
        </w:rPr>
      </w:pPr>
      <w:r w:rsidRPr="00AE069D">
        <w:rPr>
          <w:b/>
          <w:bCs/>
          <w:color w:val="000000" w:themeColor="text1"/>
          <w:lang w:val="en-US"/>
        </w:rPr>
        <w:t xml:space="preserve">Supplementary Table </w:t>
      </w:r>
      <w:r>
        <w:rPr>
          <w:b/>
          <w:bCs/>
          <w:color w:val="000000" w:themeColor="text1"/>
          <w:lang w:val="en-US"/>
        </w:rPr>
        <w:t>3</w:t>
      </w:r>
      <w:r w:rsidRPr="00AE069D">
        <w:rPr>
          <w:b/>
          <w:bCs/>
          <w:color w:val="000000" w:themeColor="text1"/>
        </w:rPr>
        <w:t xml:space="preserve">. </w:t>
      </w:r>
      <w:r>
        <w:rPr>
          <w:color w:val="000000" w:themeColor="text1"/>
          <w:lang w:val="en-US"/>
        </w:rPr>
        <w:t xml:space="preserve">Value of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0</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1</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2</m:t>
            </m:r>
          </m:sub>
        </m:sSub>
      </m:oMath>
      <w:r>
        <w:rPr>
          <w:color w:val="000000" w:themeColor="text1"/>
          <w:lang w:val="en-US"/>
        </w:rPr>
        <w:t xml:space="preserve"> and </w:t>
      </w:r>
      <m:oMath>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3</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2</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1</m:t>
            </m:r>
          </m:sub>
        </m:sSub>
      </m:oMath>
    </w:p>
    <w:tbl>
      <w:tblPr>
        <w:tblStyle w:val="TableGrid"/>
        <w:tblW w:w="0" w:type="auto"/>
        <w:tblLook w:val="04A0" w:firstRow="1" w:lastRow="0" w:firstColumn="1" w:lastColumn="0" w:noHBand="0" w:noVBand="1"/>
      </w:tblPr>
      <w:tblGrid>
        <w:gridCol w:w="1420"/>
        <w:gridCol w:w="1420"/>
        <w:gridCol w:w="1420"/>
        <w:gridCol w:w="1420"/>
        <w:gridCol w:w="1421"/>
        <w:gridCol w:w="1421"/>
      </w:tblGrid>
      <w:tr w:rsidR="007348E9" w14:paraId="617C926F" w14:textId="77777777" w:rsidTr="00E86679">
        <w:tc>
          <w:tcPr>
            <w:tcW w:w="1420" w:type="dxa"/>
          </w:tcPr>
          <w:p w14:paraId="33BFC931" w14:textId="0C6DDE4E" w:rsidR="007348E9" w:rsidRPr="0065439B" w:rsidRDefault="0065439B" w:rsidP="00E86679">
            <w:pPr>
              <w:ind w:right="-360"/>
              <w:rPr>
                <w:color w:val="000000" w:themeColor="text1"/>
                <w:sz w:val="20"/>
                <w:szCs w:val="20"/>
                <w:lang w:val="en-US"/>
              </w:rPr>
            </w:pPr>
            <w:r>
              <w:rPr>
                <w:color w:val="000000" w:themeColor="text1"/>
                <w:sz w:val="20"/>
                <w:szCs w:val="20"/>
                <w:lang w:val="en-US"/>
              </w:rPr>
              <w:t>year</w:t>
            </w:r>
          </w:p>
        </w:tc>
        <w:tc>
          <w:tcPr>
            <w:tcW w:w="1420" w:type="dxa"/>
          </w:tcPr>
          <w:p w14:paraId="5F962D59" w14:textId="77777777" w:rsidR="007348E9" w:rsidRPr="007348E9" w:rsidRDefault="007348E9" w:rsidP="00E86679">
            <w:pPr>
              <w:ind w:right="-360"/>
              <w:rPr>
                <w:b/>
                <w:bCs/>
                <w:color w:val="000000" w:themeColor="text1"/>
                <w:sz w:val="20"/>
                <w:szCs w:val="20"/>
              </w:rPr>
            </w:pPr>
            <w:r w:rsidRPr="007348E9">
              <w:rPr>
                <w:b/>
                <w:bCs/>
                <w:color w:val="000000" w:themeColor="text1"/>
                <w:sz w:val="20"/>
                <w:szCs w:val="20"/>
              </w:rPr>
              <w:t>2015</w:t>
            </w:r>
          </w:p>
        </w:tc>
        <w:tc>
          <w:tcPr>
            <w:tcW w:w="1420" w:type="dxa"/>
          </w:tcPr>
          <w:p w14:paraId="1F56934A" w14:textId="77777777" w:rsidR="007348E9" w:rsidRPr="007348E9" w:rsidRDefault="007348E9" w:rsidP="00E86679">
            <w:pPr>
              <w:ind w:right="-360"/>
              <w:rPr>
                <w:b/>
                <w:bCs/>
                <w:color w:val="000000" w:themeColor="text1"/>
                <w:sz w:val="20"/>
                <w:szCs w:val="20"/>
              </w:rPr>
            </w:pPr>
            <w:r w:rsidRPr="007348E9">
              <w:rPr>
                <w:b/>
                <w:bCs/>
                <w:color w:val="000000" w:themeColor="text1"/>
                <w:sz w:val="20"/>
                <w:szCs w:val="20"/>
              </w:rPr>
              <w:t>2016</w:t>
            </w:r>
          </w:p>
        </w:tc>
        <w:tc>
          <w:tcPr>
            <w:tcW w:w="1420" w:type="dxa"/>
          </w:tcPr>
          <w:p w14:paraId="575D3D32" w14:textId="77777777" w:rsidR="007348E9" w:rsidRPr="007348E9" w:rsidRDefault="007348E9" w:rsidP="00E86679">
            <w:pPr>
              <w:ind w:right="-360"/>
              <w:rPr>
                <w:b/>
                <w:bCs/>
                <w:color w:val="000000" w:themeColor="text1"/>
                <w:sz w:val="20"/>
                <w:szCs w:val="20"/>
              </w:rPr>
            </w:pPr>
            <w:r w:rsidRPr="007348E9">
              <w:rPr>
                <w:b/>
                <w:bCs/>
                <w:color w:val="000000" w:themeColor="text1"/>
                <w:sz w:val="20"/>
                <w:szCs w:val="20"/>
              </w:rPr>
              <w:t>2017</w:t>
            </w:r>
          </w:p>
        </w:tc>
        <w:tc>
          <w:tcPr>
            <w:tcW w:w="1421" w:type="dxa"/>
          </w:tcPr>
          <w:p w14:paraId="2F0193A9" w14:textId="77777777" w:rsidR="007348E9" w:rsidRPr="007348E9" w:rsidRDefault="007348E9" w:rsidP="00E86679">
            <w:pPr>
              <w:ind w:right="-360"/>
              <w:rPr>
                <w:b/>
                <w:bCs/>
                <w:color w:val="000000" w:themeColor="text1"/>
                <w:sz w:val="20"/>
                <w:szCs w:val="20"/>
              </w:rPr>
            </w:pPr>
            <w:r w:rsidRPr="007348E9">
              <w:rPr>
                <w:b/>
                <w:bCs/>
                <w:color w:val="000000" w:themeColor="text1"/>
                <w:sz w:val="20"/>
                <w:szCs w:val="20"/>
              </w:rPr>
              <w:t>2018</w:t>
            </w:r>
          </w:p>
        </w:tc>
        <w:tc>
          <w:tcPr>
            <w:tcW w:w="1421" w:type="dxa"/>
          </w:tcPr>
          <w:p w14:paraId="6A8A94D5" w14:textId="77777777" w:rsidR="007348E9" w:rsidRPr="007348E9" w:rsidRDefault="007348E9" w:rsidP="00E86679">
            <w:pPr>
              <w:ind w:right="-360"/>
              <w:rPr>
                <w:b/>
                <w:bCs/>
                <w:color w:val="000000" w:themeColor="text1"/>
                <w:sz w:val="20"/>
                <w:szCs w:val="20"/>
              </w:rPr>
            </w:pPr>
            <w:r w:rsidRPr="007348E9">
              <w:rPr>
                <w:b/>
                <w:bCs/>
                <w:color w:val="000000" w:themeColor="text1"/>
                <w:sz w:val="20"/>
                <w:szCs w:val="20"/>
              </w:rPr>
              <w:t>2019</w:t>
            </w:r>
          </w:p>
        </w:tc>
      </w:tr>
      <w:tr w:rsidR="007348E9" w14:paraId="608BFACA" w14:textId="77777777" w:rsidTr="00E86679">
        <w:tc>
          <w:tcPr>
            <w:tcW w:w="1420" w:type="dxa"/>
          </w:tcPr>
          <w:p w14:paraId="030A8B1D" w14:textId="4085BE07" w:rsidR="007348E9" w:rsidRPr="007348E9" w:rsidRDefault="00000000" w:rsidP="0065439B">
            <w:pPr>
              <w:ind w:right="-360"/>
              <w:rPr>
                <w:color w:val="000000" w:themeColor="text1"/>
                <w:sz w:val="20"/>
                <w:szCs w:val="20"/>
              </w:rPr>
            </w:pP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rPr>
                    <m:t>n</m:t>
                  </m:r>
                </m:e>
                <m:sub>
                  <m:r>
                    <w:rPr>
                      <w:rFonts w:ascii="Cambria Math" w:hAnsi="Cambria Math"/>
                      <w:color w:val="000000" w:themeColor="text1"/>
                      <w:sz w:val="20"/>
                      <w:szCs w:val="20"/>
                    </w:rPr>
                    <m:t>0</m:t>
                  </m:r>
                </m:sub>
              </m:sSub>
            </m:oMath>
            <w:r w:rsidR="0065439B">
              <w:rPr>
                <w:color w:val="000000" w:themeColor="text1"/>
                <w:sz w:val="20"/>
                <w:szCs w:val="20"/>
                <w:lang w:val="en-GB"/>
              </w:rPr>
              <w:t xml:space="preserve"> </w:t>
            </w:r>
          </w:p>
        </w:tc>
        <w:tc>
          <w:tcPr>
            <w:tcW w:w="1420" w:type="dxa"/>
          </w:tcPr>
          <w:p w14:paraId="46878265" w14:textId="77777777" w:rsidR="007348E9" w:rsidRPr="007348E9" w:rsidRDefault="007348E9" w:rsidP="00E86679">
            <w:pPr>
              <w:ind w:right="-360"/>
              <w:rPr>
                <w:color w:val="000000" w:themeColor="text1"/>
                <w:sz w:val="20"/>
                <w:szCs w:val="20"/>
              </w:rPr>
            </w:pPr>
            <w:r w:rsidRPr="007348E9">
              <w:rPr>
                <w:color w:val="000000" w:themeColor="text1"/>
                <w:sz w:val="20"/>
                <w:szCs w:val="20"/>
              </w:rPr>
              <w:t>81</w:t>
            </w:r>
          </w:p>
        </w:tc>
        <w:tc>
          <w:tcPr>
            <w:tcW w:w="1420" w:type="dxa"/>
          </w:tcPr>
          <w:p w14:paraId="57A232A3" w14:textId="77777777" w:rsidR="007348E9" w:rsidRPr="007348E9" w:rsidRDefault="007348E9" w:rsidP="00E86679">
            <w:pPr>
              <w:ind w:right="-360"/>
              <w:rPr>
                <w:color w:val="000000" w:themeColor="text1"/>
                <w:sz w:val="20"/>
                <w:szCs w:val="20"/>
              </w:rPr>
            </w:pPr>
            <w:r w:rsidRPr="007348E9">
              <w:rPr>
                <w:color w:val="000000" w:themeColor="text1"/>
                <w:sz w:val="20"/>
                <w:szCs w:val="20"/>
              </w:rPr>
              <w:t>138</w:t>
            </w:r>
          </w:p>
        </w:tc>
        <w:tc>
          <w:tcPr>
            <w:tcW w:w="1420" w:type="dxa"/>
          </w:tcPr>
          <w:p w14:paraId="047D6ECF" w14:textId="77777777" w:rsidR="007348E9" w:rsidRPr="007348E9" w:rsidRDefault="007348E9" w:rsidP="00E86679">
            <w:pPr>
              <w:ind w:right="-360"/>
              <w:rPr>
                <w:color w:val="000000" w:themeColor="text1"/>
                <w:sz w:val="20"/>
                <w:szCs w:val="20"/>
              </w:rPr>
            </w:pPr>
            <w:r w:rsidRPr="007348E9">
              <w:rPr>
                <w:color w:val="000000" w:themeColor="text1"/>
                <w:sz w:val="20"/>
                <w:szCs w:val="20"/>
              </w:rPr>
              <w:t>121</w:t>
            </w:r>
          </w:p>
        </w:tc>
        <w:tc>
          <w:tcPr>
            <w:tcW w:w="1421" w:type="dxa"/>
          </w:tcPr>
          <w:p w14:paraId="5B10BBA3" w14:textId="77777777" w:rsidR="007348E9" w:rsidRPr="007348E9" w:rsidRDefault="007348E9" w:rsidP="00E86679">
            <w:pPr>
              <w:ind w:right="-360"/>
              <w:rPr>
                <w:color w:val="000000" w:themeColor="text1"/>
                <w:sz w:val="20"/>
                <w:szCs w:val="20"/>
              </w:rPr>
            </w:pPr>
            <w:r w:rsidRPr="007348E9">
              <w:rPr>
                <w:color w:val="000000" w:themeColor="text1"/>
                <w:sz w:val="20"/>
                <w:szCs w:val="20"/>
              </w:rPr>
              <w:t>122</w:t>
            </w:r>
          </w:p>
        </w:tc>
        <w:tc>
          <w:tcPr>
            <w:tcW w:w="1421" w:type="dxa"/>
          </w:tcPr>
          <w:p w14:paraId="2BFB3E26" w14:textId="77777777" w:rsidR="007348E9" w:rsidRPr="007348E9" w:rsidRDefault="007348E9" w:rsidP="00E86679">
            <w:pPr>
              <w:ind w:right="-360"/>
              <w:rPr>
                <w:color w:val="000000" w:themeColor="text1"/>
                <w:sz w:val="20"/>
                <w:szCs w:val="20"/>
              </w:rPr>
            </w:pPr>
            <w:r w:rsidRPr="007348E9">
              <w:rPr>
                <w:color w:val="000000" w:themeColor="text1"/>
                <w:sz w:val="20"/>
                <w:szCs w:val="20"/>
              </w:rPr>
              <w:t>278</w:t>
            </w:r>
          </w:p>
        </w:tc>
      </w:tr>
      <w:tr w:rsidR="007348E9" w14:paraId="2D3F592D" w14:textId="77777777" w:rsidTr="00E86679">
        <w:tc>
          <w:tcPr>
            <w:tcW w:w="1420" w:type="dxa"/>
          </w:tcPr>
          <w:p w14:paraId="7521000E" w14:textId="426918A8" w:rsidR="007348E9" w:rsidRPr="007348E9" w:rsidRDefault="00000000" w:rsidP="0065439B">
            <w:pPr>
              <w:ind w:right="-360"/>
              <w:rPr>
                <w:color w:val="000000" w:themeColor="text1"/>
                <w:sz w:val="20"/>
                <w:szCs w:val="20"/>
              </w:rPr>
            </w:pP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rPr>
                    <m:t>n</m:t>
                  </m:r>
                </m:e>
                <m:sub>
                  <m:r>
                    <w:rPr>
                      <w:rFonts w:ascii="Cambria Math" w:hAnsi="Cambria Math"/>
                      <w:color w:val="000000" w:themeColor="text1"/>
                      <w:sz w:val="20"/>
                      <w:szCs w:val="20"/>
                    </w:rPr>
                    <m:t>1</m:t>
                  </m:r>
                </m:sub>
              </m:sSub>
            </m:oMath>
            <w:r w:rsidR="0065439B">
              <w:rPr>
                <w:color w:val="000000" w:themeColor="text1"/>
                <w:sz w:val="20"/>
                <w:szCs w:val="20"/>
                <w:lang w:val="en-GB"/>
              </w:rPr>
              <w:t xml:space="preserve"> </w:t>
            </w:r>
          </w:p>
        </w:tc>
        <w:tc>
          <w:tcPr>
            <w:tcW w:w="1420" w:type="dxa"/>
          </w:tcPr>
          <w:p w14:paraId="0E0C0FC7" w14:textId="77777777" w:rsidR="007348E9" w:rsidRPr="007348E9" w:rsidRDefault="007348E9" w:rsidP="00E86679">
            <w:pPr>
              <w:ind w:right="-360"/>
              <w:rPr>
                <w:color w:val="000000" w:themeColor="text1"/>
                <w:sz w:val="20"/>
                <w:szCs w:val="20"/>
              </w:rPr>
            </w:pPr>
            <w:r w:rsidRPr="007348E9">
              <w:rPr>
                <w:color w:val="000000" w:themeColor="text1"/>
                <w:sz w:val="20"/>
                <w:szCs w:val="20"/>
              </w:rPr>
              <w:t>12</w:t>
            </w:r>
          </w:p>
        </w:tc>
        <w:tc>
          <w:tcPr>
            <w:tcW w:w="1420" w:type="dxa"/>
          </w:tcPr>
          <w:p w14:paraId="7FC5EDFA" w14:textId="77777777" w:rsidR="007348E9" w:rsidRPr="007348E9" w:rsidRDefault="007348E9" w:rsidP="00E86679">
            <w:pPr>
              <w:ind w:right="-360"/>
              <w:rPr>
                <w:color w:val="000000" w:themeColor="text1"/>
                <w:sz w:val="20"/>
                <w:szCs w:val="20"/>
              </w:rPr>
            </w:pPr>
            <w:r w:rsidRPr="007348E9">
              <w:rPr>
                <w:color w:val="000000" w:themeColor="text1"/>
                <w:sz w:val="20"/>
                <w:szCs w:val="20"/>
              </w:rPr>
              <w:t>9</w:t>
            </w:r>
          </w:p>
        </w:tc>
        <w:tc>
          <w:tcPr>
            <w:tcW w:w="1420" w:type="dxa"/>
          </w:tcPr>
          <w:p w14:paraId="674781DC" w14:textId="77777777" w:rsidR="007348E9" w:rsidRPr="007348E9" w:rsidRDefault="007348E9" w:rsidP="00E86679">
            <w:pPr>
              <w:ind w:right="-360"/>
              <w:rPr>
                <w:color w:val="000000" w:themeColor="text1"/>
                <w:sz w:val="20"/>
                <w:szCs w:val="20"/>
              </w:rPr>
            </w:pPr>
            <w:r w:rsidRPr="007348E9">
              <w:rPr>
                <w:color w:val="000000" w:themeColor="text1"/>
                <w:sz w:val="20"/>
                <w:szCs w:val="20"/>
              </w:rPr>
              <w:t>9</w:t>
            </w:r>
          </w:p>
        </w:tc>
        <w:tc>
          <w:tcPr>
            <w:tcW w:w="1421" w:type="dxa"/>
          </w:tcPr>
          <w:p w14:paraId="3D4DC072" w14:textId="77777777" w:rsidR="007348E9" w:rsidRPr="007348E9" w:rsidRDefault="007348E9" w:rsidP="00E86679">
            <w:pPr>
              <w:ind w:right="-360"/>
              <w:rPr>
                <w:color w:val="000000" w:themeColor="text1"/>
                <w:sz w:val="20"/>
                <w:szCs w:val="20"/>
              </w:rPr>
            </w:pPr>
            <w:r w:rsidRPr="007348E9">
              <w:rPr>
                <w:color w:val="000000" w:themeColor="text1"/>
                <w:sz w:val="20"/>
                <w:szCs w:val="20"/>
              </w:rPr>
              <w:t>14</w:t>
            </w:r>
          </w:p>
        </w:tc>
        <w:tc>
          <w:tcPr>
            <w:tcW w:w="1421" w:type="dxa"/>
          </w:tcPr>
          <w:p w14:paraId="6ADCA1FD" w14:textId="77777777" w:rsidR="007348E9" w:rsidRPr="007348E9" w:rsidRDefault="007348E9" w:rsidP="00E86679">
            <w:pPr>
              <w:ind w:right="-360"/>
              <w:rPr>
                <w:color w:val="000000" w:themeColor="text1"/>
                <w:sz w:val="20"/>
                <w:szCs w:val="20"/>
              </w:rPr>
            </w:pPr>
            <w:r w:rsidRPr="007348E9">
              <w:rPr>
                <w:color w:val="000000" w:themeColor="text1"/>
                <w:sz w:val="20"/>
                <w:szCs w:val="20"/>
              </w:rPr>
              <w:t>41</w:t>
            </w:r>
          </w:p>
        </w:tc>
      </w:tr>
      <w:tr w:rsidR="007348E9" w14:paraId="4629921D" w14:textId="77777777" w:rsidTr="00E86679">
        <w:tc>
          <w:tcPr>
            <w:tcW w:w="1420" w:type="dxa"/>
          </w:tcPr>
          <w:p w14:paraId="724CED55" w14:textId="1FA8FCC0" w:rsidR="007348E9" w:rsidRPr="007348E9" w:rsidRDefault="00000000" w:rsidP="0065439B">
            <w:pPr>
              <w:ind w:right="-360"/>
              <w:rPr>
                <w:color w:val="000000" w:themeColor="text1"/>
                <w:sz w:val="20"/>
                <w:szCs w:val="20"/>
              </w:rPr>
            </w:pP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rPr>
                    <m:t>n</m:t>
                  </m:r>
                </m:e>
                <m:sub>
                  <m:r>
                    <w:rPr>
                      <w:rFonts w:ascii="Cambria Math" w:hAnsi="Cambria Math"/>
                      <w:color w:val="000000" w:themeColor="text1"/>
                      <w:sz w:val="20"/>
                      <w:szCs w:val="20"/>
                    </w:rPr>
                    <m:t>2</m:t>
                  </m:r>
                </m:sub>
              </m:sSub>
            </m:oMath>
            <w:r w:rsidR="0065439B">
              <w:rPr>
                <w:color w:val="000000" w:themeColor="text1"/>
                <w:sz w:val="20"/>
                <w:szCs w:val="20"/>
                <w:lang w:val="en-GB"/>
              </w:rPr>
              <w:t xml:space="preserve"> </w:t>
            </w:r>
          </w:p>
        </w:tc>
        <w:tc>
          <w:tcPr>
            <w:tcW w:w="1420" w:type="dxa"/>
          </w:tcPr>
          <w:p w14:paraId="0C39DBDB" w14:textId="77777777" w:rsidR="007348E9" w:rsidRPr="007348E9" w:rsidRDefault="007348E9" w:rsidP="00E86679">
            <w:pPr>
              <w:ind w:right="-360"/>
              <w:rPr>
                <w:color w:val="000000" w:themeColor="text1"/>
                <w:sz w:val="20"/>
                <w:szCs w:val="20"/>
              </w:rPr>
            </w:pPr>
            <w:r w:rsidRPr="007348E9">
              <w:rPr>
                <w:color w:val="000000" w:themeColor="text1"/>
                <w:sz w:val="20"/>
                <w:szCs w:val="20"/>
              </w:rPr>
              <w:t>30</w:t>
            </w:r>
          </w:p>
        </w:tc>
        <w:tc>
          <w:tcPr>
            <w:tcW w:w="1420" w:type="dxa"/>
          </w:tcPr>
          <w:p w14:paraId="22B40B58" w14:textId="77777777" w:rsidR="007348E9" w:rsidRPr="007348E9" w:rsidRDefault="007348E9" w:rsidP="00E86679">
            <w:pPr>
              <w:ind w:right="-360"/>
              <w:rPr>
                <w:color w:val="000000" w:themeColor="text1"/>
                <w:sz w:val="20"/>
                <w:szCs w:val="20"/>
              </w:rPr>
            </w:pPr>
            <w:r w:rsidRPr="007348E9">
              <w:rPr>
                <w:color w:val="000000" w:themeColor="text1"/>
                <w:sz w:val="20"/>
                <w:szCs w:val="20"/>
              </w:rPr>
              <w:t>21</w:t>
            </w:r>
          </w:p>
        </w:tc>
        <w:tc>
          <w:tcPr>
            <w:tcW w:w="1420" w:type="dxa"/>
          </w:tcPr>
          <w:p w14:paraId="7023FDF1" w14:textId="77777777" w:rsidR="007348E9" w:rsidRPr="007348E9" w:rsidRDefault="007348E9" w:rsidP="00E86679">
            <w:pPr>
              <w:ind w:right="-360"/>
              <w:rPr>
                <w:color w:val="000000" w:themeColor="text1"/>
                <w:sz w:val="20"/>
                <w:szCs w:val="20"/>
              </w:rPr>
            </w:pPr>
            <w:r w:rsidRPr="007348E9">
              <w:rPr>
                <w:color w:val="000000" w:themeColor="text1"/>
                <w:sz w:val="20"/>
                <w:szCs w:val="20"/>
              </w:rPr>
              <w:t>15</w:t>
            </w:r>
          </w:p>
        </w:tc>
        <w:tc>
          <w:tcPr>
            <w:tcW w:w="1421" w:type="dxa"/>
          </w:tcPr>
          <w:p w14:paraId="2FD1F1A0" w14:textId="77777777" w:rsidR="007348E9" w:rsidRPr="007348E9" w:rsidRDefault="007348E9" w:rsidP="00E86679">
            <w:pPr>
              <w:ind w:right="-360"/>
              <w:rPr>
                <w:color w:val="000000" w:themeColor="text1"/>
                <w:sz w:val="20"/>
                <w:szCs w:val="20"/>
              </w:rPr>
            </w:pPr>
            <w:r w:rsidRPr="007348E9">
              <w:rPr>
                <w:color w:val="000000" w:themeColor="text1"/>
                <w:sz w:val="20"/>
                <w:szCs w:val="20"/>
              </w:rPr>
              <w:t>28</w:t>
            </w:r>
          </w:p>
        </w:tc>
        <w:tc>
          <w:tcPr>
            <w:tcW w:w="1421" w:type="dxa"/>
          </w:tcPr>
          <w:p w14:paraId="242F5055" w14:textId="77777777" w:rsidR="007348E9" w:rsidRPr="007348E9" w:rsidRDefault="007348E9" w:rsidP="00E86679">
            <w:pPr>
              <w:ind w:right="-360"/>
              <w:rPr>
                <w:color w:val="000000" w:themeColor="text1"/>
                <w:sz w:val="20"/>
                <w:szCs w:val="20"/>
              </w:rPr>
            </w:pPr>
            <w:r w:rsidRPr="007348E9">
              <w:rPr>
                <w:color w:val="000000" w:themeColor="text1"/>
                <w:sz w:val="20"/>
                <w:szCs w:val="20"/>
              </w:rPr>
              <w:t>78</w:t>
            </w:r>
          </w:p>
        </w:tc>
      </w:tr>
      <w:tr w:rsidR="007348E9" w14:paraId="27F9C085" w14:textId="77777777" w:rsidTr="00E86679">
        <w:tc>
          <w:tcPr>
            <w:tcW w:w="1420" w:type="dxa"/>
          </w:tcPr>
          <w:p w14:paraId="43D73615" w14:textId="17B01B71" w:rsidR="007348E9" w:rsidRPr="007348E9" w:rsidRDefault="00000000" w:rsidP="0065439B">
            <w:pPr>
              <w:ind w:right="-360"/>
              <w:rPr>
                <w:color w:val="000000" w:themeColor="text1"/>
                <w:sz w:val="20"/>
                <w:szCs w:val="20"/>
              </w:rPr>
            </w:pP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3</m:t>
                  </m:r>
                </m:sub>
              </m:sSub>
            </m:oMath>
            <w:r w:rsidR="0065439B">
              <w:rPr>
                <w:color w:val="000000" w:themeColor="text1"/>
                <w:sz w:val="20"/>
                <w:szCs w:val="20"/>
                <w:lang w:val="en-GB"/>
              </w:rPr>
              <w:t xml:space="preserve"> </w:t>
            </w:r>
          </w:p>
        </w:tc>
        <w:tc>
          <w:tcPr>
            <w:tcW w:w="1420" w:type="dxa"/>
          </w:tcPr>
          <w:p w14:paraId="32428B69" w14:textId="77777777" w:rsidR="007348E9" w:rsidRPr="007348E9" w:rsidRDefault="007348E9" w:rsidP="00E86679">
            <w:pPr>
              <w:ind w:right="-360"/>
              <w:rPr>
                <w:color w:val="000000" w:themeColor="text1"/>
                <w:sz w:val="20"/>
                <w:szCs w:val="20"/>
              </w:rPr>
            </w:pPr>
            <w:r w:rsidRPr="007348E9">
              <w:rPr>
                <w:color w:val="000000" w:themeColor="text1"/>
                <w:sz w:val="20"/>
                <w:szCs w:val="20"/>
              </w:rPr>
              <w:t>155.5</w:t>
            </w:r>
          </w:p>
        </w:tc>
        <w:tc>
          <w:tcPr>
            <w:tcW w:w="1420" w:type="dxa"/>
          </w:tcPr>
          <w:p w14:paraId="3DEB156F" w14:textId="77777777" w:rsidR="007348E9" w:rsidRPr="007348E9" w:rsidRDefault="007348E9" w:rsidP="00E86679">
            <w:pPr>
              <w:ind w:right="-360"/>
              <w:rPr>
                <w:color w:val="000000" w:themeColor="text1"/>
                <w:sz w:val="20"/>
                <w:szCs w:val="20"/>
              </w:rPr>
            </w:pPr>
            <w:r w:rsidRPr="007348E9">
              <w:rPr>
                <w:color w:val="000000" w:themeColor="text1"/>
                <w:sz w:val="20"/>
                <w:szCs w:val="20"/>
              </w:rPr>
              <w:t>134.25</w:t>
            </w:r>
          </w:p>
        </w:tc>
        <w:tc>
          <w:tcPr>
            <w:tcW w:w="1420" w:type="dxa"/>
          </w:tcPr>
          <w:p w14:paraId="7EA21870" w14:textId="77777777" w:rsidR="007348E9" w:rsidRPr="007348E9" w:rsidRDefault="007348E9" w:rsidP="00E86679">
            <w:pPr>
              <w:ind w:right="-360"/>
              <w:rPr>
                <w:color w:val="000000" w:themeColor="text1"/>
                <w:sz w:val="20"/>
                <w:szCs w:val="20"/>
              </w:rPr>
            </w:pPr>
            <w:r w:rsidRPr="007348E9">
              <w:rPr>
                <w:color w:val="000000" w:themeColor="text1"/>
                <w:sz w:val="20"/>
                <w:szCs w:val="20"/>
              </w:rPr>
              <w:t>101.75</w:t>
            </w:r>
          </w:p>
        </w:tc>
        <w:tc>
          <w:tcPr>
            <w:tcW w:w="1421" w:type="dxa"/>
          </w:tcPr>
          <w:p w14:paraId="2B908E14" w14:textId="77777777" w:rsidR="007348E9" w:rsidRPr="007348E9" w:rsidRDefault="007348E9" w:rsidP="00E86679">
            <w:pPr>
              <w:ind w:right="-360"/>
              <w:rPr>
                <w:color w:val="000000" w:themeColor="text1"/>
                <w:sz w:val="20"/>
                <w:szCs w:val="20"/>
              </w:rPr>
            </w:pPr>
            <w:r w:rsidRPr="007348E9">
              <w:rPr>
                <w:color w:val="000000" w:themeColor="text1"/>
                <w:sz w:val="20"/>
                <w:szCs w:val="20"/>
              </w:rPr>
              <w:t>15.66</w:t>
            </w:r>
          </w:p>
        </w:tc>
        <w:tc>
          <w:tcPr>
            <w:tcW w:w="1421" w:type="dxa"/>
          </w:tcPr>
          <w:p w14:paraId="63A765D0" w14:textId="77777777" w:rsidR="007348E9" w:rsidRPr="007348E9" w:rsidRDefault="007348E9" w:rsidP="00E86679">
            <w:pPr>
              <w:ind w:right="-360"/>
              <w:rPr>
                <w:color w:val="000000" w:themeColor="text1"/>
                <w:sz w:val="20"/>
                <w:szCs w:val="20"/>
              </w:rPr>
            </w:pPr>
            <w:r w:rsidRPr="007348E9">
              <w:rPr>
                <w:color w:val="000000" w:themeColor="text1"/>
                <w:sz w:val="20"/>
                <w:szCs w:val="20"/>
              </w:rPr>
              <w:t>169.5</w:t>
            </w:r>
          </w:p>
        </w:tc>
      </w:tr>
      <w:tr w:rsidR="007348E9" w14:paraId="787A1D79" w14:textId="77777777" w:rsidTr="00E86679">
        <w:tc>
          <w:tcPr>
            <w:tcW w:w="1420" w:type="dxa"/>
          </w:tcPr>
          <w:p w14:paraId="335B6DA2" w14:textId="0E35901C" w:rsidR="007348E9" w:rsidRPr="007348E9" w:rsidRDefault="00000000" w:rsidP="0065439B">
            <w:pPr>
              <w:ind w:right="-360"/>
              <w:rPr>
                <w:color w:val="000000" w:themeColor="text1"/>
                <w:sz w:val="20"/>
                <w:szCs w:val="20"/>
              </w:rPr>
            </w:pP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2</m:t>
                  </m:r>
                </m:sub>
              </m:sSub>
            </m:oMath>
            <w:r w:rsidR="0065439B">
              <w:rPr>
                <w:color w:val="000000" w:themeColor="text1"/>
                <w:sz w:val="20"/>
                <w:szCs w:val="20"/>
                <w:lang w:val="en-GB"/>
              </w:rPr>
              <w:t xml:space="preserve"> </w:t>
            </w:r>
          </w:p>
        </w:tc>
        <w:tc>
          <w:tcPr>
            <w:tcW w:w="1420" w:type="dxa"/>
          </w:tcPr>
          <w:p w14:paraId="5589A5FC" w14:textId="77777777" w:rsidR="007348E9" w:rsidRPr="007348E9" w:rsidRDefault="007348E9" w:rsidP="00E86679">
            <w:pPr>
              <w:ind w:right="-360"/>
              <w:rPr>
                <w:color w:val="000000" w:themeColor="text1"/>
                <w:sz w:val="20"/>
                <w:szCs w:val="20"/>
              </w:rPr>
            </w:pPr>
            <w:r w:rsidRPr="007348E9">
              <w:rPr>
                <w:color w:val="000000" w:themeColor="text1"/>
                <w:sz w:val="20"/>
                <w:szCs w:val="20"/>
              </w:rPr>
              <w:t>154.5</w:t>
            </w:r>
          </w:p>
        </w:tc>
        <w:tc>
          <w:tcPr>
            <w:tcW w:w="1420" w:type="dxa"/>
          </w:tcPr>
          <w:p w14:paraId="1CB18EFD" w14:textId="77777777" w:rsidR="007348E9" w:rsidRPr="007348E9" w:rsidRDefault="007348E9" w:rsidP="00E86679">
            <w:pPr>
              <w:ind w:right="-360"/>
              <w:rPr>
                <w:color w:val="000000" w:themeColor="text1"/>
                <w:sz w:val="20"/>
                <w:szCs w:val="20"/>
              </w:rPr>
            </w:pPr>
            <w:r w:rsidRPr="007348E9">
              <w:rPr>
                <w:color w:val="000000" w:themeColor="text1"/>
                <w:sz w:val="20"/>
                <w:szCs w:val="20"/>
              </w:rPr>
              <w:t>97.75</w:t>
            </w:r>
          </w:p>
        </w:tc>
        <w:tc>
          <w:tcPr>
            <w:tcW w:w="1420" w:type="dxa"/>
          </w:tcPr>
          <w:p w14:paraId="62C73C9A" w14:textId="77777777" w:rsidR="007348E9" w:rsidRPr="007348E9" w:rsidRDefault="007348E9" w:rsidP="00E86679">
            <w:pPr>
              <w:ind w:right="-360"/>
              <w:rPr>
                <w:color w:val="000000" w:themeColor="text1"/>
                <w:sz w:val="20"/>
                <w:szCs w:val="20"/>
              </w:rPr>
            </w:pPr>
            <w:r w:rsidRPr="007348E9">
              <w:rPr>
                <w:color w:val="000000" w:themeColor="text1"/>
                <w:sz w:val="20"/>
                <w:szCs w:val="20"/>
              </w:rPr>
              <w:t>86</w:t>
            </w:r>
          </w:p>
        </w:tc>
        <w:tc>
          <w:tcPr>
            <w:tcW w:w="1421" w:type="dxa"/>
          </w:tcPr>
          <w:p w14:paraId="106CBEBC" w14:textId="77777777" w:rsidR="007348E9" w:rsidRPr="007348E9" w:rsidRDefault="007348E9" w:rsidP="00E86679">
            <w:pPr>
              <w:ind w:right="-360"/>
              <w:rPr>
                <w:color w:val="000000" w:themeColor="text1"/>
                <w:sz w:val="20"/>
                <w:szCs w:val="20"/>
              </w:rPr>
            </w:pPr>
            <w:r w:rsidRPr="007348E9">
              <w:rPr>
                <w:color w:val="000000" w:themeColor="text1"/>
                <w:sz w:val="20"/>
                <w:szCs w:val="20"/>
              </w:rPr>
              <w:t>15</w:t>
            </w:r>
          </w:p>
        </w:tc>
        <w:tc>
          <w:tcPr>
            <w:tcW w:w="1421" w:type="dxa"/>
          </w:tcPr>
          <w:p w14:paraId="36DDDD28" w14:textId="77777777" w:rsidR="007348E9" w:rsidRPr="007348E9" w:rsidRDefault="007348E9" w:rsidP="00E86679">
            <w:pPr>
              <w:ind w:right="-360"/>
              <w:rPr>
                <w:color w:val="000000" w:themeColor="text1"/>
                <w:sz w:val="20"/>
                <w:szCs w:val="20"/>
              </w:rPr>
            </w:pPr>
            <w:r w:rsidRPr="007348E9">
              <w:rPr>
                <w:color w:val="000000" w:themeColor="text1"/>
                <w:sz w:val="20"/>
                <w:szCs w:val="20"/>
              </w:rPr>
              <w:t>140</w:t>
            </w:r>
          </w:p>
        </w:tc>
      </w:tr>
      <w:tr w:rsidR="007348E9" w14:paraId="2E4BC895" w14:textId="77777777" w:rsidTr="00E86679">
        <w:trPr>
          <w:trHeight w:val="64"/>
        </w:trPr>
        <w:tc>
          <w:tcPr>
            <w:tcW w:w="1420" w:type="dxa"/>
          </w:tcPr>
          <w:p w14:paraId="7FC991E8" w14:textId="60E02388" w:rsidR="007348E9" w:rsidRPr="0065439B" w:rsidRDefault="00000000" w:rsidP="0065439B">
            <w:pPr>
              <w:ind w:right="-360"/>
              <w:rPr>
                <w:color w:val="000000" w:themeColor="text1"/>
                <w:sz w:val="20"/>
                <w:szCs w:val="20"/>
                <w:lang w:val="en-US"/>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1</m:t>
                  </m:r>
                </m:sub>
              </m:sSub>
            </m:oMath>
            <w:r w:rsidR="0065439B">
              <w:rPr>
                <w:color w:val="000000" w:themeColor="text1"/>
                <w:sz w:val="20"/>
                <w:szCs w:val="20"/>
                <w:lang w:val="en-US"/>
              </w:rPr>
              <w:t xml:space="preserve"> </w:t>
            </w:r>
          </w:p>
        </w:tc>
        <w:tc>
          <w:tcPr>
            <w:tcW w:w="1420" w:type="dxa"/>
          </w:tcPr>
          <w:p w14:paraId="72EF614C" w14:textId="77777777" w:rsidR="007348E9" w:rsidRPr="007348E9" w:rsidRDefault="007348E9" w:rsidP="00E86679">
            <w:pPr>
              <w:ind w:right="-360"/>
              <w:rPr>
                <w:color w:val="000000" w:themeColor="text1"/>
                <w:sz w:val="20"/>
                <w:szCs w:val="20"/>
              </w:rPr>
            </w:pPr>
            <w:r w:rsidRPr="007348E9">
              <w:rPr>
                <w:color w:val="000000" w:themeColor="text1"/>
                <w:sz w:val="20"/>
                <w:szCs w:val="20"/>
              </w:rPr>
              <w:t>153.5</w:t>
            </w:r>
          </w:p>
        </w:tc>
        <w:tc>
          <w:tcPr>
            <w:tcW w:w="1420" w:type="dxa"/>
          </w:tcPr>
          <w:p w14:paraId="64748FBA" w14:textId="77777777" w:rsidR="007348E9" w:rsidRPr="007348E9" w:rsidRDefault="007348E9" w:rsidP="00E86679">
            <w:pPr>
              <w:ind w:right="-360"/>
              <w:rPr>
                <w:color w:val="000000" w:themeColor="text1"/>
                <w:sz w:val="20"/>
                <w:szCs w:val="20"/>
              </w:rPr>
            </w:pPr>
            <w:r w:rsidRPr="007348E9">
              <w:rPr>
                <w:color w:val="000000" w:themeColor="text1"/>
                <w:sz w:val="20"/>
                <w:szCs w:val="20"/>
              </w:rPr>
              <w:t>74.75</w:t>
            </w:r>
          </w:p>
        </w:tc>
        <w:tc>
          <w:tcPr>
            <w:tcW w:w="1420" w:type="dxa"/>
          </w:tcPr>
          <w:p w14:paraId="66BABACB" w14:textId="77777777" w:rsidR="007348E9" w:rsidRPr="007348E9" w:rsidRDefault="007348E9" w:rsidP="00E86679">
            <w:pPr>
              <w:ind w:right="-360"/>
              <w:rPr>
                <w:color w:val="000000" w:themeColor="text1"/>
                <w:sz w:val="20"/>
                <w:szCs w:val="20"/>
              </w:rPr>
            </w:pPr>
            <w:r w:rsidRPr="007348E9">
              <w:rPr>
                <w:color w:val="000000" w:themeColor="text1"/>
                <w:sz w:val="20"/>
                <w:szCs w:val="20"/>
              </w:rPr>
              <w:t>21.75</w:t>
            </w:r>
          </w:p>
        </w:tc>
        <w:tc>
          <w:tcPr>
            <w:tcW w:w="1421" w:type="dxa"/>
          </w:tcPr>
          <w:p w14:paraId="249CF0FD" w14:textId="77777777" w:rsidR="007348E9" w:rsidRPr="007348E9" w:rsidRDefault="007348E9" w:rsidP="00E86679">
            <w:pPr>
              <w:ind w:right="-360"/>
              <w:rPr>
                <w:color w:val="000000" w:themeColor="text1"/>
                <w:sz w:val="20"/>
                <w:szCs w:val="20"/>
              </w:rPr>
            </w:pPr>
            <w:r w:rsidRPr="007348E9">
              <w:rPr>
                <w:color w:val="000000" w:themeColor="text1"/>
                <w:sz w:val="20"/>
                <w:szCs w:val="20"/>
              </w:rPr>
              <w:t>4.33</w:t>
            </w:r>
          </w:p>
        </w:tc>
        <w:tc>
          <w:tcPr>
            <w:tcW w:w="1421" w:type="dxa"/>
          </w:tcPr>
          <w:p w14:paraId="33D5DB53" w14:textId="77777777" w:rsidR="007348E9" w:rsidRPr="007348E9" w:rsidRDefault="007348E9" w:rsidP="00E86679">
            <w:pPr>
              <w:ind w:right="-360"/>
              <w:rPr>
                <w:color w:val="000000" w:themeColor="text1"/>
                <w:sz w:val="20"/>
                <w:szCs w:val="20"/>
              </w:rPr>
            </w:pPr>
            <w:r w:rsidRPr="007348E9">
              <w:rPr>
                <w:color w:val="000000" w:themeColor="text1"/>
                <w:sz w:val="20"/>
                <w:szCs w:val="20"/>
              </w:rPr>
              <w:t>115.625</w:t>
            </w:r>
          </w:p>
        </w:tc>
      </w:tr>
    </w:tbl>
    <w:p w14:paraId="5F89E4C6" w14:textId="77777777" w:rsidR="00EA576E" w:rsidRPr="00AE069D" w:rsidRDefault="00EA576E" w:rsidP="00FF6D0D">
      <w:pPr>
        <w:spacing w:line="480" w:lineRule="auto"/>
        <w:ind w:right="-360"/>
        <w:rPr>
          <w:color w:val="000000" w:themeColor="text1"/>
        </w:rPr>
      </w:pPr>
    </w:p>
    <w:p w14:paraId="2BE5351A" w14:textId="77777777" w:rsidR="008C738E" w:rsidRPr="00AE069D" w:rsidRDefault="008C738E" w:rsidP="008C738E">
      <w:pPr>
        <w:pStyle w:val="NormalWeb"/>
        <w:spacing w:before="0" w:beforeAutospacing="0" w:after="0" w:afterAutospacing="0" w:line="480" w:lineRule="auto"/>
        <w:rPr>
          <w:color w:val="000000" w:themeColor="text1"/>
        </w:rPr>
      </w:pPr>
      <w:r w:rsidRPr="00AE069D">
        <w:rPr>
          <w:b/>
          <w:bCs/>
          <w:color w:val="000000" w:themeColor="text1"/>
        </w:rPr>
        <w:t>Effectiveness of calibration procedure:</w:t>
      </w:r>
    </w:p>
    <w:p w14:paraId="1332E6A9" w14:textId="77777777" w:rsidR="008C738E" w:rsidRPr="00AE069D" w:rsidRDefault="008C738E" w:rsidP="008C738E">
      <w:pPr>
        <w:pStyle w:val="NormalWeb"/>
        <w:spacing w:before="0" w:beforeAutospacing="0" w:after="0" w:afterAutospacing="0" w:line="480" w:lineRule="auto"/>
        <w:rPr>
          <w:color w:val="000000" w:themeColor="text1"/>
        </w:rPr>
      </w:pPr>
      <w:r w:rsidRPr="00AE069D">
        <w:rPr>
          <w:color w:val="000000" w:themeColor="text1"/>
        </w:rPr>
        <w:t>Here, we demonstrate the effectiveness of the calibration procedure from two perspectives: First, we conduct a synthetic experiment to demonstrate our ability to "recover" synthetic parameters by calibrating on the simulated curves generated using these parameters. Second, we illustrate that our simulated curves, derived from the calibrated parameters, align closely with the real-world number of detected MRSA cases.</w:t>
      </w:r>
    </w:p>
    <w:p w14:paraId="22C7AE6C" w14:textId="76E347C8" w:rsidR="008C738E" w:rsidRPr="00AE069D" w:rsidRDefault="008C738E" w:rsidP="008C738E">
      <w:pPr>
        <w:pStyle w:val="NormalWeb"/>
        <w:spacing w:before="0" w:beforeAutospacing="0" w:after="0" w:afterAutospacing="0" w:line="480" w:lineRule="auto"/>
        <w:rPr>
          <w:color w:val="000000" w:themeColor="text1"/>
        </w:rPr>
      </w:pPr>
      <w:r w:rsidRPr="00AE069D">
        <w:rPr>
          <w:color w:val="000000" w:themeColor="text1"/>
        </w:rPr>
        <w:t>Here, we set up 5 different "scenarios" for synthetic experiments. In each scenario, we set “ground truth” parameters and run simulations with these ground-truth parameters to generate a synthetic detected MRSA cases curve</w:t>
      </w:r>
      <w:r w:rsidR="00732346" w:rsidRPr="00AE069D">
        <w:rPr>
          <w:color w:val="000000" w:themeColor="text1"/>
          <w:lang w:val="en-US"/>
        </w:rPr>
        <w:t>s</w:t>
      </w:r>
      <w:r w:rsidRPr="00AE069D">
        <w:rPr>
          <w:color w:val="000000" w:themeColor="text1"/>
        </w:rPr>
        <w:t xml:space="preserve">. Next, we use </w:t>
      </w:r>
      <w:r w:rsidR="00732346" w:rsidRPr="00AE069D">
        <w:rPr>
          <w:color w:val="000000" w:themeColor="text1"/>
          <w:lang w:val="en-US"/>
        </w:rPr>
        <w:t xml:space="preserve">each </w:t>
      </w:r>
      <w:r w:rsidRPr="00AE069D">
        <w:rPr>
          <w:color w:val="000000" w:themeColor="text1"/>
        </w:rPr>
        <w:t xml:space="preserve">synthetic MRSA case curve for calibration and obtain the calibrated parameters. If the calibrated parameters closely align with the ground truth parameters we initially set (i.e., we can "recover" these parameters through calibration), we conclude that the calibration process is effective. </w:t>
      </w:r>
    </w:p>
    <w:p w14:paraId="617B3495" w14:textId="07109212" w:rsidR="008C738E" w:rsidRPr="00AE069D" w:rsidRDefault="00F348E1" w:rsidP="008C738E">
      <w:pPr>
        <w:spacing w:after="240"/>
        <w:rPr>
          <w:color w:val="000000" w:themeColor="text1"/>
        </w:rPr>
      </w:pPr>
      <w:r w:rsidRPr="00AE069D">
        <w:rPr>
          <w:rFonts w:hint="eastAsia"/>
          <w:noProof/>
          <w:color w:val="000000" w:themeColor="text1"/>
        </w:rPr>
        <w:lastRenderedPageBreak/>
        <w:drawing>
          <wp:inline distT="0" distB="0" distL="0" distR="0" wp14:anchorId="21C0727D" wp14:editId="4694E285">
            <wp:extent cx="5274310" cy="461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274310" cy="4615815"/>
                    </a:xfrm>
                    <a:prstGeom prst="rect">
                      <a:avLst/>
                    </a:prstGeom>
                  </pic:spPr>
                </pic:pic>
              </a:graphicData>
            </a:graphic>
          </wp:inline>
        </w:drawing>
      </w:r>
    </w:p>
    <w:p w14:paraId="213240C8" w14:textId="53CB9891" w:rsidR="0065439B" w:rsidRPr="00AE069D" w:rsidRDefault="008C738E" w:rsidP="0065439B">
      <w:pPr>
        <w:rPr>
          <w:color w:val="000000" w:themeColor="text1"/>
        </w:rPr>
      </w:pPr>
      <w:r w:rsidRPr="00AE069D">
        <w:rPr>
          <w:b/>
          <w:bCs/>
          <w:color w:val="000000" w:themeColor="text1"/>
        </w:rPr>
        <w:t>Supplementary Figure 1.</w:t>
      </w:r>
      <w:r w:rsidRPr="00AE069D">
        <w:rPr>
          <w:color w:val="000000" w:themeColor="text1"/>
        </w:rPr>
        <w:t xml:space="preserve"> The calibration procedure effectively "recovers" the synthetic parameters by calibrating on the simulated curve generated using these synthetic parameters. Left: red dots represent the ground-truth values of synthetic parameters, while blue dots and error bars represent the mean value and 95% confidence interval of calibrated parameters. We can see our calibrated parameters closely align with their ground-truth parameters. Right: the error between our estimated parameters and ground-truth parameters.</w:t>
      </w:r>
    </w:p>
    <w:p w14:paraId="3C7945CD" w14:textId="77777777" w:rsidR="0065439B" w:rsidRDefault="0065439B" w:rsidP="008C738E">
      <w:pPr>
        <w:pStyle w:val="NormalWeb"/>
        <w:spacing w:before="0" w:beforeAutospacing="0" w:after="0" w:afterAutospacing="0" w:line="480" w:lineRule="auto"/>
        <w:rPr>
          <w:color w:val="000000" w:themeColor="text1"/>
        </w:rPr>
      </w:pPr>
    </w:p>
    <w:p w14:paraId="261BF4C1" w14:textId="1535653B" w:rsidR="008C738E" w:rsidRPr="00AE069D" w:rsidRDefault="008C738E" w:rsidP="008C738E">
      <w:pPr>
        <w:pStyle w:val="NormalWeb"/>
        <w:spacing w:before="0" w:beforeAutospacing="0" w:after="0" w:afterAutospacing="0" w:line="480" w:lineRule="auto"/>
        <w:rPr>
          <w:color w:val="000000" w:themeColor="text1"/>
        </w:rPr>
      </w:pPr>
      <w:r w:rsidRPr="00AE069D">
        <w:rPr>
          <w:color w:val="000000" w:themeColor="text1"/>
        </w:rPr>
        <w:t xml:space="preserve">We show our results in Supplementary Figure 1. As shown in the figure, we compare the ground truth parameter values (red dots) with the calibrated parameter values (blue dots and error bars, representing mean value and 95% confidence interval) on the left. Our calibrated parameters closely align with the ground truth parameters (in fact, the ground truth parameters always fall within the 95% confidence interval of the calibrated parameters). We also display the error between calibrated parameters and ground-truth parameters on the right. By selecting multiple values for the ground truth </w:t>
      </w:r>
      <w:r w:rsidRPr="00AE069D">
        <w:rPr>
          <w:color w:val="000000" w:themeColor="text1"/>
        </w:rPr>
        <w:lastRenderedPageBreak/>
        <w:t xml:space="preserve">parameters, we </w:t>
      </w:r>
      <w:r w:rsidR="00732346" w:rsidRPr="00AE069D">
        <w:rPr>
          <w:color w:val="000000" w:themeColor="text1"/>
          <w:lang w:val="en-US"/>
        </w:rPr>
        <w:t xml:space="preserve">show calibration is effective over </w:t>
      </w:r>
      <w:r w:rsidRPr="00AE069D">
        <w:rPr>
          <w:color w:val="000000" w:themeColor="text1"/>
        </w:rPr>
        <w:t>a broad range</w:t>
      </w:r>
      <w:r w:rsidR="00732346" w:rsidRPr="00AE069D">
        <w:rPr>
          <w:color w:val="000000" w:themeColor="text1"/>
          <w:lang w:val="en-US"/>
        </w:rPr>
        <w:t xml:space="preserve"> of ground truth parameters</w:t>
      </w:r>
      <w:r w:rsidRPr="00AE069D">
        <w:rPr>
          <w:color w:val="000000" w:themeColor="text1"/>
        </w:rPr>
        <w:t>. It is worth noting that the absolute value of errors remains small. Therefore, we can conclude that our calibration procedure effectively recovers the synthetic parameters across a wide range of parameters.</w:t>
      </w:r>
    </w:p>
    <w:p w14:paraId="19894DB5" w14:textId="77777777" w:rsidR="008C738E" w:rsidRPr="00AE069D" w:rsidRDefault="008C738E" w:rsidP="008C738E">
      <w:pPr>
        <w:pStyle w:val="NormalWeb"/>
        <w:spacing w:before="0" w:beforeAutospacing="0" w:after="0" w:afterAutospacing="0" w:line="480" w:lineRule="auto"/>
        <w:rPr>
          <w:color w:val="000000" w:themeColor="text1"/>
        </w:rPr>
      </w:pPr>
      <w:r w:rsidRPr="00AE069D">
        <w:rPr>
          <w:color w:val="000000" w:themeColor="text1"/>
        </w:rPr>
        <w:t>Next, we show that the calibration procedure works well on the number of MRSA cases from EHR data. Here, we use the cumulative values of the number of MRSA cases for calibration to obtain the calibrated parameters. We then simulate with these calibrated parameters to get the simulated curves. If the simulated curves are close to the observed values, we can conclude that the calibration procedure works well on the actual number of MRSA cases.</w:t>
      </w:r>
    </w:p>
    <w:p w14:paraId="4376D812" w14:textId="37D1F1B2" w:rsidR="0065439B" w:rsidRDefault="008C738E" w:rsidP="008C738E">
      <w:pPr>
        <w:pStyle w:val="NormalWeb"/>
        <w:spacing w:before="0" w:beforeAutospacing="0" w:after="0" w:afterAutospacing="0" w:line="480" w:lineRule="auto"/>
        <w:rPr>
          <w:color w:val="000000" w:themeColor="text1"/>
        </w:rPr>
      </w:pPr>
      <w:r w:rsidRPr="00AE069D">
        <w:rPr>
          <w:color w:val="000000" w:themeColor="text1"/>
        </w:rPr>
        <w:t>We show the results in Supplementary Figure 2. Here, black dots are the cumulative number of detected MRSA cases under the 3-negative policy in UVA hospital now. Blue curves and shaded regions are our simulated curves' mean value and 95% confidence interval. Note that the blue curve closely aligns to  the blue dots, and most black dots are within the confidence interval of the simulated curves (blue shadow area). Hence, the calibrated parameters fit the real-world number of detected MRSA cases well.</w:t>
      </w:r>
    </w:p>
    <w:p w14:paraId="0C31FA68" w14:textId="77777777" w:rsidR="0065439B" w:rsidRDefault="0065439B">
      <w:pPr>
        <w:rPr>
          <w:color w:val="000000" w:themeColor="text1"/>
          <w:lang w:val="en-GB"/>
        </w:rPr>
      </w:pPr>
      <w:r>
        <w:rPr>
          <w:color w:val="000000" w:themeColor="text1"/>
        </w:rPr>
        <w:br w:type="page"/>
      </w:r>
    </w:p>
    <w:p w14:paraId="1F2C4A27" w14:textId="748FFDFE" w:rsidR="008C738E" w:rsidRPr="00AE069D" w:rsidRDefault="007348E9" w:rsidP="008C738E">
      <w:pPr>
        <w:pStyle w:val="NormalWeb"/>
        <w:spacing w:before="0" w:beforeAutospacing="0" w:after="0" w:afterAutospacing="0" w:line="480" w:lineRule="auto"/>
        <w:rPr>
          <w:color w:val="000000" w:themeColor="text1"/>
        </w:rPr>
      </w:pPr>
      <w:r>
        <w:rPr>
          <w:noProof/>
          <w:color w:val="000000" w:themeColor="text1"/>
        </w:rPr>
        <w:lastRenderedPageBreak/>
        <w:drawing>
          <wp:inline distT="0" distB="0" distL="0" distR="0" wp14:anchorId="5310011E" wp14:editId="61613123">
            <wp:extent cx="5274310" cy="1757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5274310" cy="1757045"/>
                    </a:xfrm>
                    <a:prstGeom prst="rect">
                      <a:avLst/>
                    </a:prstGeom>
                  </pic:spPr>
                </pic:pic>
              </a:graphicData>
            </a:graphic>
          </wp:inline>
        </w:drawing>
      </w:r>
    </w:p>
    <w:p w14:paraId="66EACDBA" w14:textId="76D10737" w:rsidR="008C738E" w:rsidRPr="00AE069D" w:rsidRDefault="008C738E" w:rsidP="008C738E">
      <w:pPr>
        <w:spacing w:after="240"/>
        <w:rPr>
          <w:color w:val="000000" w:themeColor="text1"/>
        </w:rPr>
      </w:pPr>
      <w:r w:rsidRPr="00AE069D">
        <w:rPr>
          <w:b/>
          <w:bCs/>
          <w:color w:val="000000" w:themeColor="text1"/>
        </w:rPr>
        <w:t>Supplementary Figure 2.</w:t>
      </w:r>
      <w:r w:rsidRPr="00AE069D">
        <w:rPr>
          <w:color w:val="000000" w:themeColor="text1"/>
        </w:rPr>
        <w:t xml:space="preserve"> Our calibrated parameters fit the real-world number of detected MRSA cases well. Black dots represent the cumulative number of detected MRSA cases. The blue curves and shaded regions represent the mean value and 95% confidence interval for the cumulative number of detected MRSA cases based on the calibrated parameters. The x-axis is the date, while the y-axis is the cumulative value for the number of detected MRSA cases. Panels (a), (b), (c) correspond to 2017, 2018, 2019, respectively.</w:t>
      </w:r>
    </w:p>
    <w:p w14:paraId="4C0EC882" w14:textId="77777777" w:rsidR="00EA576E" w:rsidRPr="00AE069D" w:rsidRDefault="00EA576E" w:rsidP="008C738E">
      <w:pPr>
        <w:spacing w:after="240"/>
        <w:rPr>
          <w:color w:val="000000" w:themeColor="text1"/>
        </w:rPr>
      </w:pPr>
    </w:p>
    <w:p w14:paraId="243EE3A0" w14:textId="77777777" w:rsidR="00EA576E" w:rsidRPr="00AE069D" w:rsidRDefault="008C738E" w:rsidP="00EA576E">
      <w:pPr>
        <w:pStyle w:val="NormalWeb"/>
        <w:spacing w:before="0" w:beforeAutospacing="0" w:after="0" w:afterAutospacing="0" w:line="480" w:lineRule="auto"/>
        <w:rPr>
          <w:color w:val="000000" w:themeColor="text1"/>
        </w:rPr>
      </w:pPr>
      <w:r w:rsidRPr="00AE069D">
        <w:rPr>
          <w:b/>
          <w:bCs/>
          <w:color w:val="000000" w:themeColor="text1"/>
        </w:rPr>
        <w:t>Additional results:</w:t>
      </w:r>
    </w:p>
    <w:p w14:paraId="71B18660" w14:textId="0277217E" w:rsidR="0065439B" w:rsidRDefault="008C738E" w:rsidP="00EA576E">
      <w:pPr>
        <w:pStyle w:val="NormalWeb"/>
        <w:spacing w:before="0" w:beforeAutospacing="0" w:after="0" w:afterAutospacing="0" w:line="480" w:lineRule="auto"/>
        <w:rPr>
          <w:color w:val="000000" w:themeColor="text1"/>
        </w:rPr>
      </w:pPr>
      <w:r w:rsidRPr="00AE069D">
        <w:rPr>
          <w:color w:val="000000" w:themeColor="text1"/>
        </w:rPr>
        <w:t>As shown in Supplementary Figure 3, the 2-negative policy leads to 3.62% more MRSA cases (95% CI:</w:t>
      </w:r>
      <w:r w:rsidR="00F17260" w:rsidRPr="00AE069D">
        <w:rPr>
          <w:color w:val="000000" w:themeColor="text1"/>
          <w:lang w:val="en-US"/>
        </w:rPr>
        <w:t xml:space="preserve"> </w:t>
      </w:r>
      <w:r w:rsidRPr="00AE069D">
        <w:rPr>
          <w:color w:val="000000" w:themeColor="text1"/>
        </w:rPr>
        <w:t>-13.</w:t>
      </w:r>
      <w:r w:rsidR="007348E9">
        <w:rPr>
          <w:color w:val="000000" w:themeColor="text1"/>
        </w:rPr>
        <w:t>3</w:t>
      </w:r>
      <w:r w:rsidRPr="00AE069D">
        <w:rPr>
          <w:color w:val="000000" w:themeColor="text1"/>
        </w:rPr>
        <w:t>%</w:t>
      </w:r>
      <w:r w:rsidR="007348E9">
        <w:rPr>
          <w:color w:val="000000" w:themeColor="text1"/>
        </w:rPr>
        <w:t xml:space="preserve"> to </w:t>
      </w:r>
      <w:r w:rsidRPr="00AE069D">
        <w:rPr>
          <w:color w:val="000000" w:themeColor="text1"/>
        </w:rPr>
        <w:t>1</w:t>
      </w:r>
      <w:r w:rsidR="007348E9">
        <w:rPr>
          <w:color w:val="000000" w:themeColor="text1"/>
        </w:rPr>
        <w:t>8</w:t>
      </w:r>
      <w:r w:rsidRPr="00AE069D">
        <w:rPr>
          <w:color w:val="000000" w:themeColor="text1"/>
        </w:rPr>
        <w:t>.</w:t>
      </w:r>
      <w:r w:rsidR="007348E9">
        <w:rPr>
          <w:color w:val="000000" w:themeColor="text1"/>
        </w:rPr>
        <w:t>9</w:t>
      </w:r>
      <w:r w:rsidRPr="00AE069D">
        <w:rPr>
          <w:color w:val="000000" w:themeColor="text1"/>
        </w:rPr>
        <w:t>%,</w:t>
      </w:r>
      <w:r w:rsidR="00F17260" w:rsidRPr="00AE069D">
        <w:rPr>
          <w:color w:val="000000" w:themeColor="text1"/>
          <w:lang w:val="en-US"/>
        </w:rPr>
        <w:t xml:space="preserve"> </w:t>
      </w:r>
      <m:oMath>
        <m:r>
          <w:rPr>
            <w:rFonts w:ascii="Cambria Math" w:hAnsi="Cambria Math"/>
            <w:color w:val="000000" w:themeColor="text1"/>
          </w:rPr>
          <m:t>p&lt;0.001</m:t>
        </m:r>
      </m:oMath>
      <w:r w:rsidRPr="00AE069D">
        <w:rPr>
          <w:color w:val="000000" w:themeColor="text1"/>
        </w:rPr>
        <w:t xml:space="preserve">) than the 3-negative policy, while the 1-negative policy results in </w:t>
      </w:r>
      <w:r w:rsidR="007348E9">
        <w:rPr>
          <w:color w:val="000000" w:themeColor="text1"/>
        </w:rPr>
        <w:t>7.06</w:t>
      </w:r>
      <w:r w:rsidR="007348E9" w:rsidRPr="00AE069D">
        <w:rPr>
          <w:color w:val="000000" w:themeColor="text1"/>
        </w:rPr>
        <w:t xml:space="preserve"> </w:t>
      </w:r>
      <w:r w:rsidRPr="00AE069D">
        <w:rPr>
          <w:color w:val="000000" w:themeColor="text1"/>
        </w:rPr>
        <w:t>% more MRSA cases (95% CI:</w:t>
      </w:r>
      <w:r w:rsidR="00F17260" w:rsidRPr="00AE069D">
        <w:rPr>
          <w:color w:val="000000" w:themeColor="text1"/>
          <w:lang w:val="en-US"/>
        </w:rPr>
        <w:t xml:space="preserve"> </w:t>
      </w:r>
      <w:r w:rsidRPr="00AE069D">
        <w:rPr>
          <w:color w:val="000000" w:themeColor="text1"/>
        </w:rPr>
        <w:t>-1</w:t>
      </w:r>
      <w:r w:rsidR="007348E9">
        <w:rPr>
          <w:color w:val="000000" w:themeColor="text1"/>
        </w:rPr>
        <w:t>0</w:t>
      </w:r>
      <w:r w:rsidRPr="00AE069D">
        <w:rPr>
          <w:color w:val="000000" w:themeColor="text1"/>
        </w:rPr>
        <w:t>.</w:t>
      </w:r>
      <w:r w:rsidR="007348E9">
        <w:rPr>
          <w:color w:val="000000" w:themeColor="text1"/>
        </w:rPr>
        <w:t>7</w:t>
      </w:r>
      <w:r w:rsidRPr="00AE069D">
        <w:rPr>
          <w:color w:val="000000" w:themeColor="text1"/>
        </w:rPr>
        <w:t>%</w:t>
      </w:r>
      <w:r w:rsidR="007348E9">
        <w:rPr>
          <w:color w:val="000000" w:themeColor="text1"/>
        </w:rPr>
        <w:t xml:space="preserve"> to </w:t>
      </w:r>
      <w:r w:rsidRPr="00AE069D">
        <w:rPr>
          <w:color w:val="000000" w:themeColor="text1"/>
        </w:rPr>
        <w:t>2</w:t>
      </w:r>
      <w:r w:rsidR="007348E9">
        <w:rPr>
          <w:color w:val="000000" w:themeColor="text1"/>
        </w:rPr>
        <w:t>5</w:t>
      </w:r>
      <w:r w:rsidRPr="00AE069D">
        <w:rPr>
          <w:color w:val="000000" w:themeColor="text1"/>
        </w:rPr>
        <w:t>.</w:t>
      </w:r>
      <w:r w:rsidR="007348E9">
        <w:rPr>
          <w:color w:val="000000" w:themeColor="text1"/>
        </w:rPr>
        <w:t>4</w:t>
      </w:r>
      <w:r w:rsidRPr="00AE069D">
        <w:rPr>
          <w:color w:val="000000" w:themeColor="text1"/>
        </w:rPr>
        <w:t>%,</w:t>
      </w:r>
      <w:r w:rsidR="00F17260" w:rsidRPr="00AE069D">
        <w:rPr>
          <w:color w:val="000000" w:themeColor="text1"/>
          <w:lang w:val="en-US"/>
        </w:rPr>
        <w:t xml:space="preserve"> </w:t>
      </w:r>
      <m:oMath>
        <m:r>
          <w:rPr>
            <w:rFonts w:ascii="Cambria Math" w:hAnsi="Cambria Math"/>
            <w:color w:val="000000" w:themeColor="text1"/>
          </w:rPr>
          <m:t>p&lt;0.001</m:t>
        </m:r>
      </m:oMath>
      <w:r w:rsidRPr="00AE069D">
        <w:rPr>
          <w:color w:val="000000" w:themeColor="text1"/>
        </w:rPr>
        <w:t>) over the 2015-2016 period.</w:t>
      </w:r>
    </w:p>
    <w:p w14:paraId="2F4C9B51" w14:textId="77777777" w:rsidR="0065439B" w:rsidRDefault="0065439B">
      <w:pPr>
        <w:rPr>
          <w:color w:val="000000" w:themeColor="text1"/>
          <w:lang w:val="en-GB"/>
        </w:rPr>
      </w:pPr>
      <w:r>
        <w:rPr>
          <w:color w:val="000000" w:themeColor="text1"/>
        </w:rPr>
        <w:br w:type="page"/>
      </w:r>
    </w:p>
    <w:p w14:paraId="6DFAC304" w14:textId="53818344" w:rsidR="00250BFE" w:rsidRPr="00AE069D" w:rsidRDefault="007348E9" w:rsidP="008C738E">
      <w:pPr>
        <w:rPr>
          <w:b/>
          <w:bCs/>
          <w:color w:val="000000" w:themeColor="text1"/>
        </w:rPr>
      </w:pPr>
      <w:r>
        <w:rPr>
          <w:b/>
          <w:bCs/>
          <w:noProof/>
          <w:color w:val="000000" w:themeColor="text1"/>
        </w:rPr>
        <w:lastRenderedPageBreak/>
        <w:drawing>
          <wp:inline distT="0" distB="0" distL="0" distR="0" wp14:anchorId="2A95B241" wp14:editId="5D77B976">
            <wp:extent cx="5274310" cy="1757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a:fillRect/>
                    </a:stretch>
                  </pic:blipFill>
                  <pic:spPr>
                    <a:xfrm>
                      <a:off x="0" y="0"/>
                      <a:ext cx="5274310" cy="1757045"/>
                    </a:xfrm>
                    <a:prstGeom prst="rect">
                      <a:avLst/>
                    </a:prstGeom>
                  </pic:spPr>
                </pic:pic>
              </a:graphicData>
            </a:graphic>
          </wp:inline>
        </w:drawing>
      </w:r>
    </w:p>
    <w:p w14:paraId="427CFC79" w14:textId="287CF6C6" w:rsidR="008C738E" w:rsidRPr="00AE069D" w:rsidRDefault="008C738E" w:rsidP="008C738E">
      <w:pPr>
        <w:rPr>
          <w:color w:val="000000" w:themeColor="text1"/>
        </w:rPr>
      </w:pPr>
      <w:r w:rsidRPr="00AE069D">
        <w:rPr>
          <w:b/>
          <w:bCs/>
          <w:color w:val="000000" w:themeColor="text1"/>
        </w:rPr>
        <w:t xml:space="preserve">Supplementary Figure 3. </w:t>
      </w:r>
      <w:r w:rsidR="00F17260" w:rsidRPr="00AE069D">
        <w:rPr>
          <w:color w:val="000000" w:themeColor="text1"/>
        </w:rPr>
        <w:t xml:space="preserve">The 2-negative and 1-negative policies lead to more new detected MRSA cases compared to the current 3-negative policy. (a) Blue </w:t>
      </w:r>
      <w:r w:rsidR="00E0594F">
        <w:rPr>
          <w:color w:val="000000" w:themeColor="text1"/>
        </w:rPr>
        <w:t xml:space="preserve">solid </w:t>
      </w:r>
      <w:r w:rsidR="00F17260" w:rsidRPr="00AE069D">
        <w:rPr>
          <w:color w:val="000000" w:themeColor="text1"/>
        </w:rPr>
        <w:t xml:space="preserve">dots and error bars indicate the mean value and 95% confidence interval for detected MRSA cases per 10,000 patient-day under the 3-negative policy, as determined by calibration. The red </w:t>
      </w:r>
      <w:r w:rsidR="00E0594F">
        <w:rPr>
          <w:color w:val="000000" w:themeColor="text1"/>
        </w:rPr>
        <w:t xml:space="preserve">dashed </w:t>
      </w:r>
      <w:r w:rsidR="00F17260" w:rsidRPr="00AE069D">
        <w:rPr>
          <w:color w:val="000000" w:themeColor="text1"/>
        </w:rPr>
        <w:t xml:space="preserve">and green </w:t>
      </w:r>
      <w:r w:rsidR="00E0594F">
        <w:rPr>
          <w:color w:val="000000" w:themeColor="text1"/>
        </w:rPr>
        <w:t xml:space="preserve">dashdot </w:t>
      </w:r>
      <w:r w:rsidR="00F17260" w:rsidRPr="00AE069D">
        <w:rPr>
          <w:color w:val="000000" w:themeColor="text1"/>
        </w:rPr>
        <w:t>dots and error bars represent the estimated mean values and 95% confidence intervals for the number of detected MRSA cases per 10,000 patient-days under the 2-negative and 1-negative policies, respectively. To demonstrate the differences between the 3-negative policy and the 2-negative and 1-negative policies, we employ the 2-sample t-test (*</w:t>
      </w:r>
      <m:oMath>
        <m:r>
          <w:rPr>
            <w:rFonts w:ascii="Cambria Math" w:hAnsi="Cambria Math"/>
            <w:color w:val="000000" w:themeColor="text1"/>
          </w:rPr>
          <m:t>p&lt;0.05</m:t>
        </m:r>
      </m:oMath>
      <w:r w:rsidR="00F17260" w:rsidRPr="00AE069D">
        <w:rPr>
          <w:color w:val="000000" w:themeColor="text1"/>
        </w:rPr>
        <w:t>, **</w:t>
      </w:r>
      <m:oMath>
        <m:r>
          <w:rPr>
            <w:rFonts w:ascii="Cambria Math" w:hAnsi="Cambria Math"/>
            <w:color w:val="000000" w:themeColor="text1"/>
          </w:rPr>
          <m:t>p&lt;0.01</m:t>
        </m:r>
      </m:oMath>
      <w:r w:rsidR="00F17260" w:rsidRPr="00AE069D">
        <w:rPr>
          <w:color w:val="000000" w:themeColor="text1"/>
        </w:rPr>
        <w:t>, ***</w:t>
      </w:r>
      <m:oMath>
        <m:r>
          <w:rPr>
            <w:rFonts w:ascii="Cambria Math" w:hAnsi="Cambria Math"/>
            <w:color w:val="000000" w:themeColor="text1"/>
          </w:rPr>
          <m:t>p&lt;0.001</m:t>
        </m:r>
      </m:oMath>
      <w:r w:rsidR="00F17260" w:rsidRPr="00AE069D">
        <w:rPr>
          <w:color w:val="000000" w:themeColor="text1"/>
        </w:rPr>
        <w:t xml:space="preserve">). The x-axis is the number of detected MRSA cases per 10,000 patient-day, and the y-axis corresponds to </w:t>
      </w:r>
      <w:r w:rsidRPr="00AE069D">
        <w:rPr>
          <w:color w:val="000000" w:themeColor="text1"/>
        </w:rPr>
        <w:t>2015 and 2016. (b-</w:t>
      </w:r>
      <w:r w:rsidR="00F17260" w:rsidRPr="00AE069D">
        <w:rPr>
          <w:color w:val="000000" w:themeColor="text1"/>
          <w:lang w:val="en-US"/>
        </w:rPr>
        <w:t>c</w:t>
      </w:r>
      <w:r w:rsidRPr="00AE069D">
        <w:rPr>
          <w:color w:val="000000" w:themeColor="text1"/>
        </w:rPr>
        <w:t xml:space="preserve">) </w:t>
      </w:r>
      <w:r w:rsidR="00F17260" w:rsidRPr="00AE069D">
        <w:rPr>
          <w:color w:val="000000" w:themeColor="text1"/>
        </w:rPr>
        <w:t xml:space="preserve">The blue </w:t>
      </w:r>
      <w:r w:rsidR="00E0594F">
        <w:rPr>
          <w:color w:val="000000" w:themeColor="text1"/>
        </w:rPr>
        <w:t xml:space="preserve">solid </w:t>
      </w:r>
      <w:r w:rsidR="00F17260" w:rsidRPr="00AE069D">
        <w:rPr>
          <w:color w:val="000000" w:themeColor="text1"/>
        </w:rPr>
        <w:t xml:space="preserve">curves and shaded regions represent the mean value and 95% confidence interval for the cumulative number of detected MRSA cases under the 3-negative policy as determined by calibration. The red </w:t>
      </w:r>
      <w:r w:rsidR="00E0594F">
        <w:rPr>
          <w:color w:val="000000" w:themeColor="text1"/>
        </w:rPr>
        <w:t xml:space="preserve">dashed </w:t>
      </w:r>
      <w:r w:rsidR="00F17260" w:rsidRPr="00AE069D">
        <w:rPr>
          <w:color w:val="000000" w:themeColor="text1"/>
        </w:rPr>
        <w:t xml:space="preserve">and green </w:t>
      </w:r>
      <w:r w:rsidR="00E0594F">
        <w:rPr>
          <w:color w:val="000000" w:themeColor="text1"/>
        </w:rPr>
        <w:t xml:space="preserve">dashdot </w:t>
      </w:r>
      <w:r w:rsidR="00F17260" w:rsidRPr="00AE069D">
        <w:rPr>
          <w:color w:val="000000" w:themeColor="text1"/>
        </w:rPr>
        <w:t>curves and shaded areas represent the estimated number of detected MRSA cases for 2-negative and 1-negative policies, respectively. The x-axis is the date, while the y-axis is the cumulative value for detected MRSA cases</w:t>
      </w:r>
      <w:r w:rsidRPr="00AE069D">
        <w:rPr>
          <w:color w:val="000000" w:themeColor="text1"/>
        </w:rPr>
        <w:t>. Panels (b), (c) correspond to 2015, 2016, respectively.</w:t>
      </w:r>
    </w:p>
    <w:p w14:paraId="2469FA42" w14:textId="77777777" w:rsidR="008C738E" w:rsidRPr="00AE069D" w:rsidRDefault="008C738E" w:rsidP="008C738E">
      <w:pPr>
        <w:spacing w:after="240"/>
        <w:rPr>
          <w:color w:val="000000" w:themeColor="text1"/>
        </w:rPr>
      </w:pPr>
    </w:p>
    <w:p w14:paraId="141B98B8" w14:textId="2B92DBC5" w:rsidR="007A4121" w:rsidRPr="00AE069D" w:rsidRDefault="007348E9" w:rsidP="008C738E">
      <w:pPr>
        <w:rPr>
          <w:b/>
          <w:bCs/>
          <w:color w:val="000000" w:themeColor="text1"/>
        </w:rPr>
      </w:pPr>
      <w:r>
        <w:rPr>
          <w:b/>
          <w:bCs/>
          <w:noProof/>
          <w:color w:val="000000" w:themeColor="text1"/>
        </w:rPr>
        <w:drawing>
          <wp:inline distT="0" distB="0" distL="0" distR="0" wp14:anchorId="3C05D7A1" wp14:editId="432E97BA">
            <wp:extent cx="5274310" cy="2635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5274310" cy="2635250"/>
                    </a:xfrm>
                    <a:prstGeom prst="rect">
                      <a:avLst/>
                    </a:prstGeom>
                  </pic:spPr>
                </pic:pic>
              </a:graphicData>
            </a:graphic>
          </wp:inline>
        </w:drawing>
      </w:r>
    </w:p>
    <w:p w14:paraId="38E1DA5F" w14:textId="71E8B70D" w:rsidR="00FF6D0D" w:rsidRPr="00AE069D" w:rsidRDefault="008C738E" w:rsidP="00FF6D0D">
      <w:pPr>
        <w:rPr>
          <w:color w:val="000000" w:themeColor="text1"/>
        </w:rPr>
      </w:pPr>
      <w:r w:rsidRPr="00AE069D">
        <w:rPr>
          <w:b/>
          <w:bCs/>
          <w:color w:val="000000" w:themeColor="text1"/>
        </w:rPr>
        <w:t xml:space="preserve">Supplementary Figure 4. </w:t>
      </w:r>
      <w:r w:rsidR="00F17260" w:rsidRPr="00AE069D">
        <w:rPr>
          <w:color w:val="000000" w:themeColor="text1"/>
        </w:rPr>
        <w:t xml:space="preserve">Most MRSA cases are under contact precautions. The shaded areas represent the weekly number of in-hospital patients in C and Ccp states under the 1-negative policy. The gray and purple sections correspond to cases that are under or not under contact precautions, respectively. </w:t>
      </w:r>
      <w:r w:rsidRPr="00AE069D">
        <w:rPr>
          <w:color w:val="000000" w:themeColor="text1"/>
        </w:rPr>
        <w:t>Panels (a), (b) correspond to 2015, 2016, respectively.</w:t>
      </w:r>
    </w:p>
    <w:p w14:paraId="27DB10F2" w14:textId="68FA8ADB" w:rsidR="00670C78" w:rsidRPr="00AE069D" w:rsidRDefault="008C738E" w:rsidP="008C738E">
      <w:pPr>
        <w:spacing w:before="240" w:after="240" w:line="480" w:lineRule="auto"/>
        <w:rPr>
          <w:b/>
          <w:bCs/>
          <w:color w:val="000000" w:themeColor="text1"/>
        </w:rPr>
      </w:pPr>
      <w:r w:rsidRPr="00AE069D">
        <w:rPr>
          <w:color w:val="000000" w:themeColor="text1"/>
        </w:rPr>
        <w:lastRenderedPageBreak/>
        <w:t xml:space="preserve">As shown in Supplementary Figure 4, </w:t>
      </w:r>
      <w:r w:rsidR="007348E9">
        <w:rPr>
          <w:color w:val="000000"/>
        </w:rPr>
        <w:t>73.1% (95% CI: 71.23%-74.77%)</w:t>
      </w:r>
      <w:r w:rsidRPr="00AE069D">
        <w:rPr>
          <w:color w:val="000000" w:themeColor="text1"/>
        </w:rPr>
        <w:t xml:space="preserve"> of carriage patients from 2015 to 2016 remain under contact precautions.</w:t>
      </w:r>
    </w:p>
    <w:p w14:paraId="6C96F03E" w14:textId="622328BA" w:rsidR="00670C78" w:rsidRPr="00AE069D" w:rsidRDefault="007348E9">
      <w:pPr>
        <w:rPr>
          <w:b/>
          <w:bCs/>
          <w:color w:val="000000" w:themeColor="text1"/>
        </w:rPr>
      </w:pPr>
      <w:r>
        <w:rPr>
          <w:b/>
          <w:bCs/>
          <w:noProof/>
          <w:color w:val="000000" w:themeColor="text1"/>
        </w:rPr>
        <w:drawing>
          <wp:inline distT="0" distB="0" distL="0" distR="0" wp14:anchorId="79DE5650" wp14:editId="7144DA4F">
            <wp:extent cx="5274310" cy="2635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5274310" cy="2635250"/>
                    </a:xfrm>
                    <a:prstGeom prst="rect">
                      <a:avLst/>
                    </a:prstGeom>
                  </pic:spPr>
                </pic:pic>
              </a:graphicData>
            </a:graphic>
          </wp:inline>
        </w:drawing>
      </w:r>
    </w:p>
    <w:p w14:paraId="05F97AD7" w14:textId="7D2924F3" w:rsidR="008C738E" w:rsidRPr="00AE069D" w:rsidRDefault="008C738E" w:rsidP="008C738E">
      <w:pPr>
        <w:pStyle w:val="NormalWeb"/>
        <w:spacing w:before="240" w:beforeAutospacing="0" w:after="240" w:afterAutospacing="0"/>
        <w:rPr>
          <w:color w:val="000000" w:themeColor="text1"/>
        </w:rPr>
      </w:pPr>
      <w:r w:rsidRPr="00AE069D">
        <w:rPr>
          <w:b/>
          <w:bCs/>
          <w:color w:val="000000" w:themeColor="text1"/>
        </w:rPr>
        <w:t>Supplementary Figure 5.</w:t>
      </w:r>
      <w:r w:rsidRPr="00AE069D">
        <w:rPr>
          <w:color w:val="000000" w:themeColor="text1"/>
        </w:rPr>
        <w:t xml:space="preserve"> </w:t>
      </w:r>
      <w:r w:rsidR="00F17260" w:rsidRPr="00AE069D">
        <w:rPr>
          <w:color w:val="000000" w:themeColor="text1"/>
        </w:rPr>
        <w:t>Distribution for contact precaution durations related to MRSA. The blue</w:t>
      </w:r>
      <w:r w:rsidR="00E0594F">
        <w:rPr>
          <w:color w:val="000000" w:themeColor="text1"/>
        </w:rPr>
        <w:t xml:space="preserve"> solid</w:t>
      </w:r>
      <w:r w:rsidR="00F17260" w:rsidRPr="00AE069D">
        <w:rPr>
          <w:color w:val="000000" w:themeColor="text1"/>
        </w:rPr>
        <w:t>, red</w:t>
      </w:r>
      <w:r w:rsidR="00E0594F">
        <w:rPr>
          <w:color w:val="000000" w:themeColor="text1"/>
        </w:rPr>
        <w:t xml:space="preserve"> dashed</w:t>
      </w:r>
      <w:r w:rsidR="00F17260" w:rsidRPr="00AE069D">
        <w:rPr>
          <w:color w:val="000000" w:themeColor="text1"/>
        </w:rPr>
        <w:t xml:space="preserve">, and green </w:t>
      </w:r>
      <w:r w:rsidR="00E0594F">
        <w:rPr>
          <w:color w:val="000000" w:themeColor="text1"/>
        </w:rPr>
        <w:t xml:space="preserve">dashdot </w:t>
      </w:r>
      <w:r w:rsidR="00F17260" w:rsidRPr="00AE069D">
        <w:rPr>
          <w:color w:val="000000" w:themeColor="text1"/>
        </w:rPr>
        <w:t>curves represent the distribution for 3-, 2-, and 1-negative policies, respectively. The x-axis is the contact precaution durations in days, while the y-axis is the probability</w:t>
      </w:r>
      <w:r w:rsidRPr="00AE069D">
        <w:rPr>
          <w:color w:val="000000" w:themeColor="text1"/>
        </w:rPr>
        <w:t>. Panels (a), (b) correspond to 2015, 2016, respectively.</w:t>
      </w:r>
    </w:p>
    <w:p w14:paraId="7BC2ABDF" w14:textId="0169C8F0" w:rsidR="00C80572" w:rsidRDefault="008C738E" w:rsidP="00EA576E">
      <w:pPr>
        <w:pStyle w:val="NormalWeb"/>
        <w:spacing w:before="240" w:beforeAutospacing="0" w:after="240" w:afterAutospacing="0" w:line="480" w:lineRule="auto"/>
        <w:rPr>
          <w:color w:val="000000" w:themeColor="text1"/>
        </w:rPr>
      </w:pPr>
      <w:r w:rsidRPr="00AE069D">
        <w:rPr>
          <w:color w:val="000000" w:themeColor="text1"/>
        </w:rPr>
        <w:t xml:space="preserve">As shown in Supplementary Figure 5, the average duration time </w:t>
      </w:r>
      <w:r w:rsidR="00042484" w:rsidRPr="00AE069D">
        <w:rPr>
          <w:color w:val="000000" w:themeColor="text1"/>
          <w:lang w:val="en-US"/>
        </w:rPr>
        <w:t xml:space="preserve">under contact precautions </w:t>
      </w:r>
      <w:r w:rsidRPr="00AE069D">
        <w:rPr>
          <w:color w:val="000000" w:themeColor="text1"/>
        </w:rPr>
        <w:t>for 2015-2016 for 3-negative, 2-negative, and 1-negative policies are 6.</w:t>
      </w:r>
      <w:r w:rsidR="007348E9">
        <w:rPr>
          <w:color w:val="000000" w:themeColor="text1"/>
        </w:rPr>
        <w:t>51</w:t>
      </w:r>
      <w:r w:rsidR="00742A3F" w:rsidRPr="00AE069D">
        <w:rPr>
          <w:color w:val="000000" w:themeColor="text1"/>
          <w:lang w:val="en-US"/>
        </w:rPr>
        <w:t xml:space="preserve"> (SDs: </w:t>
      </w:r>
      <w:r w:rsidR="009B3972" w:rsidRPr="00AE069D">
        <w:rPr>
          <w:color w:val="000000" w:themeColor="text1"/>
          <w:lang w:val="en-US"/>
        </w:rPr>
        <w:t>5.08</w:t>
      </w:r>
      <w:r w:rsidR="00742A3F" w:rsidRPr="00AE069D">
        <w:rPr>
          <w:color w:val="000000" w:themeColor="text1"/>
          <w:lang w:val="en-US"/>
        </w:rPr>
        <w:t>)</w:t>
      </w:r>
      <w:r w:rsidRPr="00AE069D">
        <w:rPr>
          <w:color w:val="000000" w:themeColor="text1"/>
        </w:rPr>
        <w:t>, 6.</w:t>
      </w:r>
      <w:r w:rsidR="007348E9">
        <w:rPr>
          <w:color w:val="000000" w:themeColor="text1"/>
        </w:rPr>
        <w:t>1</w:t>
      </w:r>
      <w:r w:rsidRPr="00AE069D">
        <w:rPr>
          <w:color w:val="000000" w:themeColor="text1"/>
        </w:rPr>
        <w:t>5</w:t>
      </w:r>
      <w:r w:rsidR="00742A3F" w:rsidRPr="00AE069D">
        <w:rPr>
          <w:color w:val="000000" w:themeColor="text1"/>
          <w:lang w:val="en-US"/>
        </w:rPr>
        <w:t xml:space="preserve"> (SDs: </w:t>
      </w:r>
      <w:r w:rsidR="009B3972" w:rsidRPr="00AE069D">
        <w:rPr>
          <w:color w:val="000000" w:themeColor="text1"/>
          <w:lang w:val="en-US"/>
        </w:rPr>
        <w:t>4.63</w:t>
      </w:r>
      <w:r w:rsidR="00742A3F" w:rsidRPr="00AE069D">
        <w:rPr>
          <w:color w:val="000000" w:themeColor="text1"/>
          <w:lang w:val="en-US"/>
        </w:rPr>
        <w:t>)</w:t>
      </w:r>
      <w:r w:rsidRPr="00AE069D">
        <w:rPr>
          <w:color w:val="000000" w:themeColor="text1"/>
        </w:rPr>
        <w:t>, 5.</w:t>
      </w:r>
      <w:r w:rsidR="007348E9">
        <w:rPr>
          <w:color w:val="000000" w:themeColor="text1"/>
        </w:rPr>
        <w:t>71</w:t>
      </w:r>
      <w:r w:rsidR="00742A3F" w:rsidRPr="00AE069D">
        <w:rPr>
          <w:color w:val="000000" w:themeColor="text1"/>
          <w:lang w:val="en-US"/>
        </w:rPr>
        <w:t xml:space="preserve"> (SDs: </w:t>
      </w:r>
      <w:r w:rsidR="009B3972" w:rsidRPr="00AE069D">
        <w:rPr>
          <w:color w:val="000000" w:themeColor="text1"/>
          <w:lang w:val="en-US"/>
        </w:rPr>
        <w:t>4.24</w:t>
      </w:r>
      <w:r w:rsidR="00742A3F" w:rsidRPr="00AE069D">
        <w:rPr>
          <w:color w:val="000000" w:themeColor="text1"/>
          <w:lang w:val="en-US"/>
        </w:rPr>
        <w:t>)</w:t>
      </w:r>
      <w:r w:rsidRPr="00AE069D">
        <w:rPr>
          <w:color w:val="000000" w:themeColor="text1"/>
        </w:rPr>
        <w:t xml:space="preserve"> days.</w:t>
      </w:r>
    </w:p>
    <w:p w14:paraId="524E597B" w14:textId="10F08B31" w:rsidR="002417B2" w:rsidRDefault="002417B2" w:rsidP="00EA576E">
      <w:pPr>
        <w:pStyle w:val="NormalWeb"/>
        <w:spacing w:before="240" w:beforeAutospacing="0" w:after="240" w:afterAutospacing="0" w:line="480" w:lineRule="auto"/>
        <w:rPr>
          <w:color w:val="000000" w:themeColor="text1"/>
        </w:rPr>
      </w:pPr>
    </w:p>
    <w:p w14:paraId="7718A087" w14:textId="5C4A94D9" w:rsidR="002417B2" w:rsidRDefault="002417B2" w:rsidP="00EA576E">
      <w:pPr>
        <w:pStyle w:val="NormalWeb"/>
        <w:spacing w:before="240" w:beforeAutospacing="0" w:after="240" w:afterAutospacing="0" w:line="480" w:lineRule="auto"/>
        <w:rPr>
          <w:color w:val="000000" w:themeColor="text1"/>
        </w:rPr>
      </w:pPr>
    </w:p>
    <w:p w14:paraId="343D2A2A" w14:textId="43D47661" w:rsidR="002417B2" w:rsidRDefault="002417B2" w:rsidP="00EA576E">
      <w:pPr>
        <w:pStyle w:val="NormalWeb"/>
        <w:spacing w:before="240" w:beforeAutospacing="0" w:after="240" w:afterAutospacing="0" w:line="480" w:lineRule="auto"/>
        <w:rPr>
          <w:color w:val="000000" w:themeColor="text1"/>
        </w:rPr>
      </w:pPr>
    </w:p>
    <w:p w14:paraId="48CE4233" w14:textId="1CDEB1C4" w:rsidR="002417B2" w:rsidRDefault="002417B2" w:rsidP="00EA576E">
      <w:pPr>
        <w:pStyle w:val="NormalWeb"/>
        <w:spacing w:before="240" w:beforeAutospacing="0" w:after="240" w:afterAutospacing="0" w:line="480" w:lineRule="auto"/>
        <w:rPr>
          <w:color w:val="000000" w:themeColor="text1"/>
        </w:rPr>
      </w:pPr>
    </w:p>
    <w:p w14:paraId="265672DD" w14:textId="6B3F64BC" w:rsidR="002417B2" w:rsidRDefault="002417B2" w:rsidP="00EA576E">
      <w:pPr>
        <w:pStyle w:val="NormalWeb"/>
        <w:spacing w:before="240" w:beforeAutospacing="0" w:after="240" w:afterAutospacing="0" w:line="480" w:lineRule="auto"/>
        <w:rPr>
          <w:color w:val="000000" w:themeColor="text1"/>
        </w:rPr>
      </w:pPr>
    </w:p>
    <w:p w14:paraId="7A0860E0" w14:textId="77777777" w:rsidR="002417B2" w:rsidRPr="00AE069D" w:rsidRDefault="002417B2" w:rsidP="00EA576E">
      <w:pPr>
        <w:pStyle w:val="NormalWeb"/>
        <w:spacing w:before="240" w:beforeAutospacing="0" w:after="240" w:afterAutospacing="0" w:line="480" w:lineRule="auto"/>
        <w:rPr>
          <w:color w:val="000000" w:themeColor="text1"/>
        </w:rPr>
      </w:pPr>
    </w:p>
    <w:p w14:paraId="64DE9428" w14:textId="7E0FA7F9" w:rsidR="002417B2" w:rsidRPr="00AE069D" w:rsidRDefault="004871D4" w:rsidP="00322AE0">
      <w:pPr>
        <w:spacing w:before="240" w:after="240"/>
        <w:rPr>
          <w:color w:val="000000" w:themeColor="text1"/>
        </w:rPr>
      </w:pPr>
      <w:r>
        <w:rPr>
          <w:b/>
          <w:bCs/>
          <w:color w:val="000000" w:themeColor="text1"/>
          <w:lang w:val="en-US"/>
        </w:rPr>
        <w:lastRenderedPageBreak/>
        <w:t>Supplementary Table 4</w:t>
      </w:r>
      <w:r w:rsidR="00322AE0" w:rsidRPr="00AE069D">
        <w:rPr>
          <w:b/>
          <w:bCs/>
          <w:color w:val="000000" w:themeColor="text1"/>
        </w:rPr>
        <w:t xml:space="preserve">. </w:t>
      </w:r>
      <w:r w:rsidR="00F17260" w:rsidRPr="00AE069D">
        <w:rPr>
          <w:color w:val="000000" w:themeColor="text1"/>
          <w:lang w:val="en-US"/>
        </w:rPr>
        <w:t>E</w:t>
      </w:r>
      <w:r w:rsidR="00F17260" w:rsidRPr="00AE069D">
        <w:rPr>
          <w:color w:val="000000" w:themeColor="text1"/>
        </w:rPr>
        <w:t>stimated value for the average annual cost for 3-negative, 2-negative, and 1-negative policy for 201</w:t>
      </w:r>
      <w:r w:rsidR="00F17260" w:rsidRPr="00AE069D">
        <w:rPr>
          <w:color w:val="000000" w:themeColor="text1"/>
          <w:lang w:val="en-US"/>
        </w:rPr>
        <w:t>5</w:t>
      </w:r>
      <w:r w:rsidR="00F17260" w:rsidRPr="00AE069D">
        <w:rPr>
          <w:color w:val="000000" w:themeColor="text1"/>
        </w:rPr>
        <w:t>-2019 via simulation</w:t>
      </w:r>
      <w:r w:rsidR="00322AE0" w:rsidRPr="00AE069D">
        <w:rPr>
          <w:color w:val="000000" w:themeColor="text1"/>
        </w:rPr>
        <w:t xml:space="preserve"> (in USD)</w:t>
      </w:r>
    </w:p>
    <w:tbl>
      <w:tblPr>
        <w:tblStyle w:val="TableGrid"/>
        <w:tblW w:w="0" w:type="auto"/>
        <w:tblLook w:val="04A0" w:firstRow="1" w:lastRow="0" w:firstColumn="1" w:lastColumn="0" w:noHBand="0" w:noVBand="1"/>
      </w:tblPr>
      <w:tblGrid>
        <w:gridCol w:w="2258"/>
        <w:gridCol w:w="2088"/>
        <w:gridCol w:w="2088"/>
        <w:gridCol w:w="2088"/>
      </w:tblGrid>
      <w:tr w:rsidR="00AE069D" w:rsidRPr="00AE069D" w14:paraId="604650E7" w14:textId="77777777" w:rsidTr="00893ED7">
        <w:tc>
          <w:tcPr>
            <w:tcW w:w="2258" w:type="dxa"/>
          </w:tcPr>
          <w:p w14:paraId="1337F1D5" w14:textId="77777777" w:rsidR="00322AE0" w:rsidRPr="00AE069D" w:rsidRDefault="00322AE0" w:rsidP="00893ED7">
            <w:pPr>
              <w:pStyle w:val="NormalWeb"/>
              <w:spacing w:before="0" w:beforeAutospacing="0" w:after="0" w:afterAutospacing="0"/>
              <w:rPr>
                <w:color w:val="000000" w:themeColor="text1"/>
                <w:sz w:val="20"/>
                <w:szCs w:val="20"/>
                <w:lang w:val="en-US"/>
              </w:rPr>
            </w:pPr>
          </w:p>
        </w:tc>
        <w:tc>
          <w:tcPr>
            <w:tcW w:w="2088" w:type="dxa"/>
          </w:tcPr>
          <w:p w14:paraId="64452C9A" w14:textId="5EB4D50E" w:rsidR="00322AE0" w:rsidRPr="00AE069D" w:rsidRDefault="008C738E" w:rsidP="00B25868">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w:t>
            </w:r>
            <w:r w:rsidR="00322AE0" w:rsidRPr="00AE069D">
              <w:rPr>
                <w:b/>
                <w:bCs/>
                <w:color w:val="000000" w:themeColor="text1"/>
                <w:sz w:val="20"/>
                <w:szCs w:val="20"/>
                <w:lang w:val="en-US"/>
              </w:rPr>
              <w:t>-negative</w:t>
            </w:r>
          </w:p>
        </w:tc>
        <w:tc>
          <w:tcPr>
            <w:tcW w:w="2088" w:type="dxa"/>
          </w:tcPr>
          <w:p w14:paraId="4CCD00F0" w14:textId="77777777" w:rsidR="00322AE0" w:rsidRPr="00AE069D" w:rsidRDefault="00322AE0" w:rsidP="00893ED7">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6FA9CDBA" w14:textId="738F312F" w:rsidR="00322AE0" w:rsidRPr="00AE069D" w:rsidRDefault="008C738E" w:rsidP="00893ED7">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w:t>
            </w:r>
            <w:r w:rsidR="00322AE0" w:rsidRPr="00AE069D">
              <w:rPr>
                <w:b/>
                <w:bCs/>
                <w:color w:val="000000" w:themeColor="text1"/>
                <w:sz w:val="20"/>
                <w:szCs w:val="20"/>
                <w:lang w:val="en-US"/>
              </w:rPr>
              <w:t>-negative</w:t>
            </w:r>
          </w:p>
        </w:tc>
      </w:tr>
      <w:tr w:rsidR="002417B2" w:rsidRPr="00AE069D" w14:paraId="1F91C9E0" w14:textId="77777777" w:rsidTr="00893ED7">
        <w:tc>
          <w:tcPr>
            <w:tcW w:w="2258" w:type="dxa"/>
          </w:tcPr>
          <w:p w14:paraId="049AA356" w14:textId="1DAA595F"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cases</w:t>
            </w:r>
          </w:p>
        </w:tc>
        <w:tc>
          <w:tcPr>
            <w:tcW w:w="2088" w:type="dxa"/>
          </w:tcPr>
          <w:p w14:paraId="3B78BF8F" w14:textId="69B3A687" w:rsidR="002417B2" w:rsidRPr="00AE069D" w:rsidRDefault="002417B2" w:rsidP="002417B2">
            <w:pPr>
              <w:pStyle w:val="NormalWeb"/>
              <w:rPr>
                <w:color w:val="000000" w:themeColor="text1"/>
              </w:rPr>
            </w:pPr>
            <w:r w:rsidRPr="00B25868">
              <w:rPr>
                <w:color w:val="000000" w:themeColor="text1"/>
                <w:sz w:val="20"/>
                <w:szCs w:val="20"/>
                <w:lang w:val="en-US"/>
              </w:rPr>
              <w:t>231 (95% CI: 195-269)</w:t>
            </w:r>
          </w:p>
        </w:tc>
        <w:tc>
          <w:tcPr>
            <w:tcW w:w="2088" w:type="dxa"/>
          </w:tcPr>
          <w:p w14:paraId="225995F6" w14:textId="5B782ABC"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237 (95% CI: 200-275)</w:t>
            </w:r>
          </w:p>
        </w:tc>
        <w:tc>
          <w:tcPr>
            <w:tcW w:w="2088" w:type="dxa"/>
          </w:tcPr>
          <w:p w14:paraId="61DABD01" w14:textId="6F68EAAD"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248 (95% CI: 207-290)</w:t>
            </w:r>
          </w:p>
        </w:tc>
      </w:tr>
      <w:tr w:rsidR="002417B2" w:rsidRPr="00AE069D" w14:paraId="12F9BD5B" w14:textId="77777777" w:rsidTr="00893ED7">
        <w:tc>
          <w:tcPr>
            <w:tcW w:w="2258" w:type="dxa"/>
          </w:tcPr>
          <w:p w14:paraId="36FA492D" w14:textId="67934103"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infection cases</w:t>
            </w:r>
          </w:p>
        </w:tc>
        <w:tc>
          <w:tcPr>
            <w:tcW w:w="2088" w:type="dxa"/>
          </w:tcPr>
          <w:p w14:paraId="3AD62308" w14:textId="73830320"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26 (95% CI: 22-30)</w:t>
            </w:r>
          </w:p>
        </w:tc>
        <w:tc>
          <w:tcPr>
            <w:tcW w:w="2088" w:type="dxa"/>
          </w:tcPr>
          <w:p w14:paraId="440AC206" w14:textId="3D3B6C5E"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26 (95% CI: 22-30)</w:t>
            </w:r>
          </w:p>
        </w:tc>
        <w:tc>
          <w:tcPr>
            <w:tcW w:w="2088" w:type="dxa"/>
          </w:tcPr>
          <w:p w14:paraId="6BC22B08" w14:textId="77135A86" w:rsidR="002417B2" w:rsidRPr="00AE069D" w:rsidRDefault="002417B2" w:rsidP="002417B2">
            <w:pPr>
              <w:pStyle w:val="NormalWeb"/>
              <w:spacing w:before="0" w:beforeAutospacing="0" w:after="0" w:afterAutospacing="0"/>
              <w:rPr>
                <w:color w:val="000000" w:themeColor="text1"/>
                <w:sz w:val="20"/>
                <w:szCs w:val="20"/>
              </w:rPr>
            </w:pPr>
            <w:r w:rsidRPr="00B25868">
              <w:rPr>
                <w:color w:val="000000" w:themeColor="text1"/>
                <w:sz w:val="20"/>
                <w:szCs w:val="20"/>
                <w:lang w:val="en-US"/>
              </w:rPr>
              <w:t>28 (95% CI: 23-32)</w:t>
            </w:r>
          </w:p>
        </w:tc>
      </w:tr>
      <w:tr w:rsidR="002417B2" w:rsidRPr="00AE069D" w14:paraId="30794324" w14:textId="77777777" w:rsidTr="00893ED7">
        <w:tc>
          <w:tcPr>
            <w:tcW w:w="2258" w:type="dxa"/>
          </w:tcPr>
          <w:p w14:paraId="6D1C1245" w14:textId="62F5445F"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detected MRSA colonized cases</w:t>
            </w:r>
          </w:p>
        </w:tc>
        <w:tc>
          <w:tcPr>
            <w:tcW w:w="2088" w:type="dxa"/>
          </w:tcPr>
          <w:p w14:paraId="68F5C372" w14:textId="764CCCAC"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205 (95% CI: 173-239)</w:t>
            </w:r>
          </w:p>
        </w:tc>
        <w:tc>
          <w:tcPr>
            <w:tcW w:w="2088" w:type="dxa"/>
          </w:tcPr>
          <w:p w14:paraId="3757D949" w14:textId="7B54CC5B"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211 (95% CI: 178-244)</w:t>
            </w:r>
          </w:p>
        </w:tc>
        <w:tc>
          <w:tcPr>
            <w:tcW w:w="2088" w:type="dxa"/>
          </w:tcPr>
          <w:p w14:paraId="40379C70" w14:textId="7F30B23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220 (95% CI: 184-258)</w:t>
            </w:r>
          </w:p>
        </w:tc>
      </w:tr>
      <w:tr w:rsidR="002417B2" w:rsidRPr="00AE069D" w14:paraId="4615C6D5" w14:textId="77777777" w:rsidTr="00893ED7">
        <w:tc>
          <w:tcPr>
            <w:tcW w:w="2258" w:type="dxa"/>
          </w:tcPr>
          <w:p w14:paraId="594B6964" w14:textId="2E0FF9A5"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w:t>
            </w:r>
          </w:p>
        </w:tc>
        <w:tc>
          <w:tcPr>
            <w:tcW w:w="2088" w:type="dxa"/>
          </w:tcPr>
          <w:p w14:paraId="3D170B34" w14:textId="35E8F23A"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1,063 (95% CI: 866-1,286)</w:t>
            </w:r>
          </w:p>
        </w:tc>
        <w:tc>
          <w:tcPr>
            <w:tcW w:w="2088" w:type="dxa"/>
          </w:tcPr>
          <w:p w14:paraId="3815969E" w14:textId="44A17941"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1,035 (95% CI: 844-1,241)</w:t>
            </w:r>
          </w:p>
        </w:tc>
        <w:tc>
          <w:tcPr>
            <w:tcW w:w="2088" w:type="dxa"/>
          </w:tcPr>
          <w:p w14:paraId="2F40053D" w14:textId="01B598D2"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953 (95% CI: 773-1,139)</w:t>
            </w:r>
          </w:p>
        </w:tc>
      </w:tr>
      <w:tr w:rsidR="002417B2" w:rsidRPr="00AE069D" w14:paraId="2AE699A4" w14:textId="77777777" w:rsidTr="00893ED7">
        <w:tc>
          <w:tcPr>
            <w:tcW w:w="2258" w:type="dxa"/>
          </w:tcPr>
          <w:p w14:paraId="1A02CA99" w14:textId="60C26487"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infections)</w:t>
            </w:r>
          </w:p>
        </w:tc>
        <w:tc>
          <w:tcPr>
            <w:tcW w:w="2088" w:type="dxa"/>
          </w:tcPr>
          <w:p w14:paraId="7822FF9C" w14:textId="1C976F2E"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118 (95% CI: 96-143)</w:t>
            </w:r>
          </w:p>
        </w:tc>
        <w:tc>
          <w:tcPr>
            <w:tcW w:w="2088" w:type="dxa"/>
          </w:tcPr>
          <w:p w14:paraId="71B4EE11" w14:textId="7890ECE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115 (95% CI: 94-138)</w:t>
            </w:r>
          </w:p>
        </w:tc>
        <w:tc>
          <w:tcPr>
            <w:tcW w:w="2088" w:type="dxa"/>
          </w:tcPr>
          <w:p w14:paraId="451DFFAE" w14:textId="6ADD7F22"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106 (95% CI: 86-126)</w:t>
            </w:r>
          </w:p>
        </w:tc>
      </w:tr>
      <w:tr w:rsidR="002417B2" w:rsidRPr="00AE069D" w14:paraId="5BB95989" w14:textId="77777777" w:rsidTr="00893ED7">
        <w:tc>
          <w:tcPr>
            <w:tcW w:w="2258" w:type="dxa"/>
          </w:tcPr>
          <w:p w14:paraId="70538B26" w14:textId="72DD5EE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colonized)</w:t>
            </w:r>
          </w:p>
        </w:tc>
        <w:tc>
          <w:tcPr>
            <w:tcW w:w="2088" w:type="dxa"/>
          </w:tcPr>
          <w:p w14:paraId="500E368D" w14:textId="318EE89D"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945 (95% CI: 770-1,143)</w:t>
            </w:r>
          </w:p>
        </w:tc>
        <w:tc>
          <w:tcPr>
            <w:tcW w:w="2088" w:type="dxa"/>
          </w:tcPr>
          <w:p w14:paraId="4C4FA1E7" w14:textId="527E8C1A"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920 (95% CI: 750-1,103)</w:t>
            </w:r>
          </w:p>
        </w:tc>
        <w:tc>
          <w:tcPr>
            <w:tcW w:w="2088" w:type="dxa"/>
          </w:tcPr>
          <w:p w14:paraId="2602FD3A" w14:textId="5BD19CB5"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847 (95% CI: 687-1,013)</w:t>
            </w:r>
          </w:p>
        </w:tc>
      </w:tr>
      <w:tr w:rsidR="002417B2" w:rsidRPr="00AE069D" w14:paraId="2AE4FA50" w14:textId="77777777" w:rsidTr="00893ED7">
        <w:tc>
          <w:tcPr>
            <w:tcW w:w="2258" w:type="dxa"/>
          </w:tcPr>
          <w:p w14:paraId="63248C1A" w14:textId="7142215A"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treatment cost</w:t>
            </w:r>
          </w:p>
        </w:tc>
        <w:tc>
          <w:tcPr>
            <w:tcW w:w="2088" w:type="dxa"/>
          </w:tcPr>
          <w:p w14:paraId="0C1FBE21" w14:textId="11066080"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11,760 (95% CI: 9,931-13,710)</w:t>
            </w:r>
          </w:p>
        </w:tc>
        <w:tc>
          <w:tcPr>
            <w:tcW w:w="2088" w:type="dxa"/>
          </w:tcPr>
          <w:p w14:paraId="38CDB50E" w14:textId="3CB0CA12"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12,098 (95% CI: 10,207-13,991)</w:t>
            </w:r>
          </w:p>
        </w:tc>
        <w:tc>
          <w:tcPr>
            <w:tcW w:w="2088" w:type="dxa"/>
          </w:tcPr>
          <w:p w14:paraId="46A7B559" w14:textId="6544D786"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12,631 (95% CI: 10,553-14,770)</w:t>
            </w:r>
          </w:p>
        </w:tc>
      </w:tr>
      <w:tr w:rsidR="002417B2" w:rsidRPr="00AE069D" w14:paraId="32B4489B" w14:textId="77777777" w:rsidTr="00893ED7">
        <w:tc>
          <w:tcPr>
            <w:tcW w:w="2258" w:type="dxa"/>
          </w:tcPr>
          <w:p w14:paraId="39FAA4D1" w14:textId="40445B0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treatment cost</w:t>
            </w:r>
          </w:p>
        </w:tc>
        <w:tc>
          <w:tcPr>
            <w:tcW w:w="2088" w:type="dxa"/>
          </w:tcPr>
          <w:p w14:paraId="5F91BF17" w14:textId="19651390"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89,420 (95% CI: 75,511-104,247)</w:t>
            </w:r>
          </w:p>
        </w:tc>
        <w:tc>
          <w:tcPr>
            <w:tcW w:w="2088" w:type="dxa"/>
          </w:tcPr>
          <w:p w14:paraId="755CB509" w14:textId="55AC3635"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91,990 (95% CI: 77,612-106,380)</w:t>
            </w:r>
          </w:p>
        </w:tc>
        <w:tc>
          <w:tcPr>
            <w:tcW w:w="2088" w:type="dxa"/>
          </w:tcPr>
          <w:p w14:paraId="009A18C1" w14:textId="4AA86040"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96,043 (95% CI: 80,243-112,307)</w:t>
            </w:r>
          </w:p>
        </w:tc>
      </w:tr>
      <w:tr w:rsidR="002417B2" w:rsidRPr="00AE069D" w14:paraId="3AF5F843" w14:textId="77777777" w:rsidTr="00893ED7">
        <w:tc>
          <w:tcPr>
            <w:tcW w:w="2258" w:type="dxa"/>
          </w:tcPr>
          <w:p w14:paraId="4652C740" w14:textId="04FF917C"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precaution cost</w:t>
            </w:r>
          </w:p>
        </w:tc>
        <w:tc>
          <w:tcPr>
            <w:tcW w:w="2088" w:type="dxa"/>
          </w:tcPr>
          <w:p w14:paraId="70B2AEC0" w14:textId="5B7CF4C6"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249,160 (95% CI: 202,896-301,337)</w:t>
            </w:r>
          </w:p>
        </w:tc>
        <w:tc>
          <w:tcPr>
            <w:tcW w:w="2088" w:type="dxa"/>
          </w:tcPr>
          <w:p w14:paraId="11E6FE0E" w14:textId="63C728A5"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242,452 (95% CI: 197,803-290,697)</w:t>
            </w:r>
          </w:p>
        </w:tc>
        <w:tc>
          <w:tcPr>
            <w:tcW w:w="2088" w:type="dxa"/>
          </w:tcPr>
          <w:p w14:paraId="65AD0DC4" w14:textId="6A6F1E2D"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223,330 (95% CI: 181,040-266,995)</w:t>
            </w:r>
          </w:p>
        </w:tc>
      </w:tr>
      <w:tr w:rsidR="002417B2" w:rsidRPr="00AE069D" w14:paraId="4971DDDC" w14:textId="77777777" w:rsidTr="00893ED7">
        <w:tc>
          <w:tcPr>
            <w:tcW w:w="2258" w:type="dxa"/>
          </w:tcPr>
          <w:p w14:paraId="2DF1E824" w14:textId="4520AE0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precaution cost</w:t>
            </w:r>
          </w:p>
        </w:tc>
        <w:tc>
          <w:tcPr>
            <w:tcW w:w="2088" w:type="dxa"/>
          </w:tcPr>
          <w:p w14:paraId="34637DED" w14:textId="11C13A4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381,521 (95% CI: 310,681-461,416)</w:t>
            </w:r>
          </w:p>
        </w:tc>
        <w:tc>
          <w:tcPr>
            <w:tcW w:w="2088" w:type="dxa"/>
          </w:tcPr>
          <w:p w14:paraId="67E2C68F" w14:textId="3CE599AC"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371,250 (95% CI: 302,882-445,124)</w:t>
            </w:r>
          </w:p>
        </w:tc>
        <w:tc>
          <w:tcPr>
            <w:tcW w:w="2088" w:type="dxa"/>
          </w:tcPr>
          <w:p w14:paraId="01E85783" w14:textId="4F453A31"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341,970 (95% CI: 277,213-408,831)</w:t>
            </w:r>
          </w:p>
        </w:tc>
      </w:tr>
      <w:tr w:rsidR="002417B2" w:rsidRPr="00AE069D" w14:paraId="5600FC40" w14:textId="77777777" w:rsidTr="00893ED7">
        <w:tc>
          <w:tcPr>
            <w:tcW w:w="2258" w:type="dxa"/>
          </w:tcPr>
          <w:p w14:paraId="4E062AA7" w14:textId="55EACCEC"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Total cost</w:t>
            </w:r>
          </w:p>
        </w:tc>
        <w:tc>
          <w:tcPr>
            <w:tcW w:w="2088" w:type="dxa"/>
          </w:tcPr>
          <w:p w14:paraId="5D9F35C3" w14:textId="2BC46196"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731,843 (95% CI: 599,003-880,688)</w:t>
            </w:r>
          </w:p>
        </w:tc>
        <w:tc>
          <w:tcPr>
            <w:tcW w:w="2088" w:type="dxa"/>
          </w:tcPr>
          <w:p w14:paraId="3FDE65A9" w14:textId="27E087E4"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717,771 (95% CI: 588,489-856,169)**</w:t>
            </w:r>
          </w:p>
        </w:tc>
        <w:tc>
          <w:tcPr>
            <w:tcW w:w="2088" w:type="dxa"/>
          </w:tcPr>
          <w:p w14:paraId="51EEECD8" w14:textId="6BCA0BD8" w:rsidR="002417B2" w:rsidRPr="00B25868" w:rsidRDefault="002417B2" w:rsidP="002417B2">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673,955 (95% CI: 549,032-802,880)***</w:t>
            </w:r>
          </w:p>
        </w:tc>
      </w:tr>
    </w:tbl>
    <w:p w14:paraId="1FF9438B" w14:textId="77764301" w:rsidR="00322AE0" w:rsidRDefault="008C738E" w:rsidP="00A920FF">
      <w:pPr>
        <w:spacing w:line="480" w:lineRule="auto"/>
        <w:rPr>
          <w:color w:val="000000" w:themeColor="text1"/>
        </w:rPr>
      </w:pPr>
      <w:r w:rsidRPr="00AE069D">
        <w:rPr>
          <w:color w:val="000000" w:themeColor="text1"/>
        </w:rPr>
        <w:t>*</w:t>
      </w:r>
      <w:r w:rsidR="00B25868" w:rsidRPr="00B25868">
        <w:rPr>
          <w:color w:val="000000" w:themeColor="text1"/>
        </w:rPr>
        <w:t>* indicates that p&lt;0.005, and *** indicates that p&lt;0.001 compared with 3-negative policy total cost</w:t>
      </w:r>
    </w:p>
    <w:p w14:paraId="1D77E0E9" w14:textId="77777777" w:rsidR="00B25868" w:rsidRPr="00AE069D" w:rsidRDefault="00B25868" w:rsidP="00A920FF">
      <w:pPr>
        <w:spacing w:line="480" w:lineRule="auto"/>
        <w:rPr>
          <w:color w:val="000000" w:themeColor="text1"/>
        </w:rPr>
      </w:pPr>
    </w:p>
    <w:p w14:paraId="192DA525" w14:textId="233900EE" w:rsidR="00322AE0" w:rsidRPr="00AE069D" w:rsidRDefault="008C738E" w:rsidP="00650130">
      <w:pPr>
        <w:spacing w:line="480" w:lineRule="auto"/>
        <w:rPr>
          <w:color w:val="000000" w:themeColor="text1"/>
        </w:rPr>
      </w:pPr>
      <w:r w:rsidRPr="00AE069D">
        <w:rPr>
          <w:color w:val="000000" w:themeColor="text1"/>
        </w:rPr>
        <w:t>As shown in Supplementary Table 3 for 2015-2019, the 2-negative policy total cost ($</w:t>
      </w:r>
      <w:r w:rsidR="00D91020" w:rsidRPr="00D91020">
        <w:rPr>
          <w:color w:val="000000"/>
        </w:rPr>
        <w:t xml:space="preserve">447,518 (95% CI: </w:t>
      </w:r>
      <w:r w:rsidR="00D91020">
        <w:rPr>
          <w:color w:val="000000"/>
          <w:lang w:val="en-US"/>
        </w:rPr>
        <w:t>$</w:t>
      </w:r>
      <w:r w:rsidR="00D91020" w:rsidRPr="00D91020">
        <w:rPr>
          <w:color w:val="000000"/>
        </w:rPr>
        <w:t>371,925-</w:t>
      </w:r>
      <w:r w:rsidR="00D91020">
        <w:rPr>
          <w:color w:val="000000"/>
          <w:lang w:val="en-US"/>
        </w:rPr>
        <w:t>$</w:t>
      </w:r>
      <w:r w:rsidR="00D91020" w:rsidRPr="00D91020">
        <w:rPr>
          <w:color w:val="000000"/>
        </w:rPr>
        <w:t>526,145)</w:t>
      </w:r>
      <w:r w:rsidR="004871D4">
        <w:rPr>
          <w:color w:val="000000"/>
        </w:rPr>
        <w:t>)</w:t>
      </w:r>
      <w:r w:rsidRPr="00AE069D">
        <w:rPr>
          <w:color w:val="000000" w:themeColor="text1"/>
        </w:rPr>
        <w:t xml:space="preserve"> is marginally </w:t>
      </w:r>
      <w:r w:rsidR="00D91020">
        <w:rPr>
          <w:color w:val="000000" w:themeColor="text1"/>
          <w:lang w:val="en-US"/>
        </w:rPr>
        <w:t>higher</w:t>
      </w:r>
      <w:r w:rsidRPr="00AE069D">
        <w:rPr>
          <w:color w:val="000000" w:themeColor="text1"/>
        </w:rPr>
        <w:t xml:space="preserve"> than the 3-negative policy (</w:t>
      </w:r>
      <w:r w:rsidR="004871D4">
        <w:rPr>
          <w:color w:val="000000"/>
        </w:rPr>
        <w:t>$</w:t>
      </w:r>
      <w:r w:rsidR="00D91020" w:rsidRPr="00D91020">
        <w:rPr>
          <w:color w:val="000000"/>
        </w:rPr>
        <w:t xml:space="preserve">446,283 (95% CI: </w:t>
      </w:r>
      <w:r w:rsidR="00D91020">
        <w:rPr>
          <w:color w:val="000000"/>
          <w:lang w:val="en-US"/>
        </w:rPr>
        <w:t>$</w:t>
      </w:r>
      <w:r w:rsidR="00D91020" w:rsidRPr="00D91020">
        <w:rPr>
          <w:color w:val="000000"/>
        </w:rPr>
        <w:t>370,590-</w:t>
      </w:r>
      <w:r w:rsidR="00D91020">
        <w:rPr>
          <w:color w:val="000000"/>
          <w:lang w:val="en-US"/>
        </w:rPr>
        <w:t>$</w:t>
      </w:r>
      <w:r w:rsidR="00D91020" w:rsidRPr="00D91020">
        <w:rPr>
          <w:color w:val="000000"/>
        </w:rPr>
        <w:t>529,359)</w:t>
      </w:r>
      <w:r w:rsidRPr="00AE069D">
        <w:rPr>
          <w:color w:val="000000" w:themeColor="text1"/>
        </w:rPr>
        <w:t xml:space="preserve">). However, this difference is not </w:t>
      </w:r>
      <w:r w:rsidR="00042484" w:rsidRPr="00AE069D">
        <w:rPr>
          <w:color w:val="000000" w:themeColor="text1"/>
          <w:lang w:val="en-US"/>
        </w:rPr>
        <w:t xml:space="preserve">statistically </w:t>
      </w:r>
      <w:r w:rsidRPr="00AE069D">
        <w:rPr>
          <w:color w:val="000000" w:themeColor="text1"/>
        </w:rPr>
        <w:t>significant (</w:t>
      </w:r>
      <m:oMath>
        <m:r>
          <w:rPr>
            <w:rFonts w:ascii="Cambria Math" w:hAnsi="Cambria Math"/>
            <w:color w:val="000000" w:themeColor="text1"/>
          </w:rPr>
          <m:t>p=0.3</m:t>
        </m:r>
      </m:oMath>
      <w:r w:rsidRPr="00AE069D">
        <w:rPr>
          <w:color w:val="000000" w:themeColor="text1"/>
        </w:rPr>
        <w:t xml:space="preserve"> for 2-sample T-test). In contrast, the 1-negative policy exhibits a total cost (</w:t>
      </w:r>
      <w:r w:rsidR="004871D4">
        <w:rPr>
          <w:color w:val="000000"/>
        </w:rPr>
        <w:t>$</w:t>
      </w:r>
      <w:r w:rsidR="00D91020" w:rsidRPr="00D91020">
        <w:rPr>
          <w:color w:val="000000"/>
        </w:rPr>
        <w:t xml:space="preserve">442,324 (95% CI: </w:t>
      </w:r>
      <w:r w:rsidR="00D91020">
        <w:rPr>
          <w:color w:val="000000"/>
          <w:lang w:val="en-US"/>
        </w:rPr>
        <w:t>$</w:t>
      </w:r>
      <w:r w:rsidR="00D91020" w:rsidRPr="00D91020">
        <w:rPr>
          <w:color w:val="000000"/>
        </w:rPr>
        <w:t>364,918-</w:t>
      </w:r>
      <w:r w:rsidR="00D91020">
        <w:rPr>
          <w:color w:val="000000"/>
          <w:lang w:val="en-US"/>
        </w:rPr>
        <w:t>$</w:t>
      </w:r>
      <w:r w:rsidR="00D91020" w:rsidRPr="00D91020">
        <w:rPr>
          <w:color w:val="000000"/>
        </w:rPr>
        <w:t>522,114)</w:t>
      </w:r>
      <w:r w:rsidRPr="00AE069D">
        <w:rPr>
          <w:color w:val="000000" w:themeColor="text1"/>
        </w:rPr>
        <w:t>) that is significantly lower than the 3-negative policy (</w:t>
      </w:r>
      <m:oMath>
        <m:r>
          <w:rPr>
            <w:rFonts w:ascii="Cambria Math" w:hAnsi="Cambria Math"/>
            <w:color w:val="000000" w:themeColor="text1"/>
          </w:rPr>
          <m:t>p&lt;0.005</m:t>
        </m:r>
      </m:oMath>
      <w:r w:rsidRPr="00AE069D">
        <w:rPr>
          <w:color w:val="000000" w:themeColor="text1"/>
        </w:rPr>
        <w:t xml:space="preserve"> for 2-sample T-test).</w:t>
      </w:r>
    </w:p>
    <w:p w14:paraId="76464143" w14:textId="30A5F489" w:rsidR="00E10ABA" w:rsidRPr="00AE069D" w:rsidRDefault="00E10ABA" w:rsidP="00A920FF">
      <w:pPr>
        <w:spacing w:line="480" w:lineRule="auto"/>
        <w:rPr>
          <w:color w:val="000000" w:themeColor="text1"/>
        </w:rPr>
      </w:pPr>
    </w:p>
    <w:p w14:paraId="2028EF00" w14:textId="77777777" w:rsidR="004871D4" w:rsidRDefault="004871D4" w:rsidP="004871D4">
      <w:pPr>
        <w:pStyle w:val="NormalWeb"/>
        <w:spacing w:before="0" w:beforeAutospacing="0" w:after="0" w:afterAutospacing="0" w:line="480" w:lineRule="auto"/>
        <w:rPr>
          <w:color w:val="000000"/>
        </w:rPr>
      </w:pPr>
      <w:r>
        <w:rPr>
          <w:b/>
          <w:bCs/>
          <w:color w:val="000000"/>
        </w:rPr>
        <w:t>Sensitive analysis of contact precaution effectiveness:</w:t>
      </w:r>
    </w:p>
    <w:p w14:paraId="5D658713" w14:textId="1D0682C7" w:rsidR="004871D4" w:rsidRDefault="004871D4" w:rsidP="004871D4">
      <w:pPr>
        <w:pStyle w:val="NormalWeb"/>
        <w:spacing w:before="0" w:beforeAutospacing="0" w:after="0" w:afterAutospacing="0" w:line="480" w:lineRule="auto"/>
        <w:rPr>
          <w:color w:val="000000"/>
        </w:rPr>
      </w:pPr>
      <w:r>
        <w:rPr>
          <w:color w:val="000000"/>
        </w:rPr>
        <w:t xml:space="preserve">As described in the main article and previous text, we use a parameter </w:t>
      </w:r>
      <m:oMath>
        <m:sSub>
          <m:sSubPr>
            <m:ctrlPr>
              <w:rPr>
                <w:rFonts w:ascii="Cambria Math" w:hAnsi="Cambria Math"/>
                <w:i/>
                <w:color w:val="000000"/>
              </w:rPr>
            </m:ctrlPr>
          </m:sSubPr>
          <m:e>
            <m:r>
              <w:rPr>
                <w:rFonts w:ascii="Cambria Math" w:hAnsi="Cambria Math"/>
                <w:color w:val="000000"/>
              </w:rPr>
              <m:t>φ</m:t>
            </m:r>
          </m:e>
          <m:sub>
            <m:r>
              <w:rPr>
                <w:rFonts w:ascii="Cambria Math" w:hAnsi="Cambria Math"/>
                <w:color w:val="000000"/>
              </w:rPr>
              <m:t>eff</m:t>
            </m:r>
          </m:sub>
        </m:sSub>
      </m:oMath>
      <w:r>
        <w:rPr>
          <w:color w:val="000000"/>
        </w:rPr>
        <w:t xml:space="preserve"> to capture the contact precaution effectiveness, which assumes that when a patient i is put under contact precaution, the pathogen load transferred from node </w:t>
      </w:r>
      <m:oMath>
        <m:r>
          <w:rPr>
            <w:rFonts w:ascii="Cambria Math" w:hAnsi="Cambria Math"/>
            <w:color w:val="000000"/>
          </w:rPr>
          <m:t>i</m:t>
        </m:r>
      </m:oMath>
      <w:r>
        <w:rPr>
          <w:color w:val="000000"/>
        </w:rPr>
        <w:t xml:space="preserve"> to another node </w:t>
      </w:r>
      <m:oMath>
        <m:r>
          <w:rPr>
            <w:rFonts w:ascii="Cambria Math" w:hAnsi="Cambria Math"/>
            <w:color w:val="000000"/>
          </w:rPr>
          <m:t>j</m:t>
        </m:r>
      </m:oMath>
      <w:r>
        <w:rPr>
          <w:color w:val="000000"/>
        </w:rPr>
        <w:t xml:space="preserve">, or </w:t>
      </w:r>
      <w:r>
        <w:rPr>
          <w:color w:val="000000"/>
        </w:rPr>
        <w:lastRenderedPageBreak/>
        <w:t xml:space="preserve">from node </w:t>
      </w:r>
      <m:oMath>
        <m:r>
          <w:rPr>
            <w:rFonts w:ascii="Cambria Math" w:hAnsi="Cambria Math"/>
            <w:color w:val="000000"/>
          </w:rPr>
          <m:t>j</m:t>
        </m:r>
      </m:oMath>
      <w:r>
        <w:rPr>
          <w:color w:val="000000"/>
        </w:rPr>
        <w:t xml:space="preserve"> to </w:t>
      </w:r>
      <m:oMath>
        <m:r>
          <w:rPr>
            <w:rFonts w:ascii="Cambria Math" w:hAnsi="Cambria Math"/>
            <w:color w:val="000000"/>
          </w:rPr>
          <m:t>i</m:t>
        </m:r>
      </m:oMath>
      <w:r>
        <w:rPr>
          <w:color w:val="000000"/>
        </w:rPr>
        <w:t xml:space="preserve"> via contacts also reduce by </w:t>
      </w:r>
      <m:oMath>
        <m:sSub>
          <m:sSubPr>
            <m:ctrlPr>
              <w:rPr>
                <w:rFonts w:ascii="Cambria Math" w:hAnsi="Cambria Math"/>
                <w:i/>
                <w:color w:val="000000"/>
              </w:rPr>
            </m:ctrlPr>
          </m:sSubPr>
          <m:e>
            <m:r>
              <w:rPr>
                <w:rFonts w:ascii="Cambria Math" w:hAnsi="Cambria Math"/>
                <w:color w:val="000000"/>
              </w:rPr>
              <m:t>φ</m:t>
            </m:r>
          </m:e>
          <m:sub>
            <m:r>
              <w:rPr>
                <w:rFonts w:ascii="Cambria Math" w:hAnsi="Cambria Math"/>
                <w:color w:val="000000"/>
              </w:rPr>
              <m:t>eff</m:t>
            </m:r>
          </m:sub>
        </m:sSub>
      </m:oMath>
      <w:r>
        <w:rPr>
          <w:color w:val="000000"/>
        </w:rPr>
        <w:t xml:space="preserve">. In the experiments shown in the main article, we calibrated the 2-Mode-Precaution model to the current 3-negative policy situation in UVA hospital to get the value of </w:t>
      </w:r>
      <m:oMath>
        <m:sSub>
          <m:sSubPr>
            <m:ctrlPr>
              <w:rPr>
                <w:rFonts w:ascii="Cambria Math" w:hAnsi="Cambria Math"/>
                <w:i/>
                <w:color w:val="000000"/>
              </w:rPr>
            </m:ctrlPr>
          </m:sSubPr>
          <m:e>
            <m:r>
              <w:rPr>
                <w:rFonts w:ascii="Cambria Math" w:hAnsi="Cambria Math"/>
                <w:color w:val="000000"/>
              </w:rPr>
              <m:t>φ</m:t>
            </m:r>
          </m:e>
          <m:sub>
            <m:r>
              <w:rPr>
                <w:rFonts w:ascii="Cambria Math" w:hAnsi="Cambria Math"/>
                <w:color w:val="000000"/>
              </w:rPr>
              <m:t>eff</m:t>
            </m:r>
          </m:sub>
        </m:sSub>
      </m:oMath>
      <w:r>
        <w:rPr>
          <w:color w:val="000000"/>
        </w:rPr>
        <w:t xml:space="preserve">. In addition to the experiments shown in the main article, we also perform a sensitivity analysis by assuming different </w:t>
      </w:r>
      <m:oMath>
        <m:sSub>
          <m:sSubPr>
            <m:ctrlPr>
              <w:rPr>
                <w:rFonts w:ascii="Cambria Math" w:hAnsi="Cambria Math"/>
                <w:i/>
                <w:color w:val="000000"/>
              </w:rPr>
            </m:ctrlPr>
          </m:sSubPr>
          <m:e>
            <m:r>
              <w:rPr>
                <w:rFonts w:ascii="Cambria Math" w:hAnsi="Cambria Math"/>
                <w:color w:val="000000"/>
              </w:rPr>
              <m:t>φ</m:t>
            </m:r>
          </m:e>
          <m:sub>
            <m:r>
              <w:rPr>
                <w:rFonts w:ascii="Cambria Math" w:hAnsi="Cambria Math"/>
                <w:color w:val="000000"/>
              </w:rPr>
              <m:t>eff</m:t>
            </m:r>
          </m:sub>
        </m:sSub>
      </m:oMath>
      <w:r>
        <w:rPr>
          <w:color w:val="000000"/>
        </w:rPr>
        <w:t xml:space="preserve"> values to see how our experimental results can be influenced by different contact precaution effectiveness.</w:t>
      </w:r>
    </w:p>
    <w:p w14:paraId="69A2E610" w14:textId="1ACD6FAC" w:rsidR="00650130" w:rsidRPr="00AE069D" w:rsidRDefault="004871D4" w:rsidP="004871D4">
      <w:pPr>
        <w:spacing w:line="480" w:lineRule="auto"/>
        <w:rPr>
          <w:color w:val="000000" w:themeColor="text1"/>
        </w:rPr>
      </w:pPr>
      <w:r>
        <w:rPr>
          <w:color w:val="000000"/>
        </w:rPr>
        <w:t xml:space="preserve">Specifically, we run the new experiments with other parameters fixed (same as calibration results) but change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oMath>
      <w:r>
        <w:rPr>
          <w:color w:val="000000"/>
        </w:rPr>
        <w:t xml:space="preserve"> to 0.25, 0.5, 0.75, respectively. Results are shown in Supplementary Table 5-7. As shown in the tables, with lower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oMath>
      <w:r>
        <w:rPr>
          <w:color w:val="000000"/>
        </w:rPr>
        <w:t xml:space="preserve"> (which corresponds to less pathogen load transferred via contacts and higher contact precaution effectiveness), although both the number of detected MRSA cases and precaution days are decreasing for all policies, the 1-negative policy still consistently outperforms the current 3-negative policy in total cost.</w:t>
      </w:r>
    </w:p>
    <w:p w14:paraId="7C748931" w14:textId="0BA4E856" w:rsidR="004871D4" w:rsidRPr="00AE069D" w:rsidRDefault="004871D4" w:rsidP="004871D4">
      <w:pPr>
        <w:spacing w:before="240" w:after="240"/>
        <w:rPr>
          <w:color w:val="000000" w:themeColor="text1"/>
        </w:rPr>
      </w:pPr>
      <w:r>
        <w:rPr>
          <w:b/>
          <w:bCs/>
          <w:color w:val="000000" w:themeColor="text1"/>
          <w:lang w:val="en-US"/>
        </w:rPr>
        <w:t>Supplementary Table 5</w:t>
      </w:r>
      <w:r w:rsidRPr="00AE069D">
        <w:rPr>
          <w:b/>
          <w:bCs/>
          <w:color w:val="000000" w:themeColor="text1"/>
        </w:rPr>
        <w:t xml:space="preserve">. </w:t>
      </w:r>
      <w:r w:rsidRPr="00AE069D">
        <w:rPr>
          <w:color w:val="000000" w:themeColor="text1"/>
          <w:lang w:val="en-US"/>
        </w:rPr>
        <w:t>E</w:t>
      </w:r>
      <w:r w:rsidRPr="00AE069D">
        <w:rPr>
          <w:color w:val="000000" w:themeColor="text1"/>
        </w:rPr>
        <w:t>stimated value for the average annual cost for 3-negative, 2-negative, and 1-negative policy for 201</w:t>
      </w:r>
      <w:r>
        <w:rPr>
          <w:color w:val="000000" w:themeColor="text1"/>
          <w:lang w:val="en-US"/>
        </w:rPr>
        <w:t>7</w:t>
      </w:r>
      <w:r w:rsidRPr="00AE069D">
        <w:rPr>
          <w:color w:val="000000" w:themeColor="text1"/>
        </w:rPr>
        <w:t xml:space="preserve">-2019 </w:t>
      </w:r>
      <w:r>
        <w:rPr>
          <w:color w:val="000000" w:themeColor="text1"/>
          <w:lang w:val="en-US"/>
        </w:rPr>
        <w:t xml:space="preserve">with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r>
          <w:rPr>
            <w:rFonts w:ascii="Cambria Math" w:hAnsi="Cambria Math"/>
            <w:color w:val="000000"/>
            <w:lang w:val="en-GB"/>
          </w:rPr>
          <m:t>=0.25</m:t>
        </m:r>
      </m:oMath>
      <w:r>
        <w:rPr>
          <w:color w:val="000000"/>
        </w:rPr>
        <w:t xml:space="preserve"> </w:t>
      </w:r>
      <w:r w:rsidRPr="00AE069D">
        <w:rPr>
          <w:color w:val="000000" w:themeColor="text1"/>
        </w:rPr>
        <w:t>via simulation (in USD)</w:t>
      </w:r>
    </w:p>
    <w:tbl>
      <w:tblPr>
        <w:tblStyle w:val="TableGrid"/>
        <w:tblW w:w="0" w:type="auto"/>
        <w:tblLook w:val="04A0" w:firstRow="1" w:lastRow="0" w:firstColumn="1" w:lastColumn="0" w:noHBand="0" w:noVBand="1"/>
      </w:tblPr>
      <w:tblGrid>
        <w:gridCol w:w="2258"/>
        <w:gridCol w:w="2088"/>
        <w:gridCol w:w="2088"/>
        <w:gridCol w:w="2088"/>
      </w:tblGrid>
      <w:tr w:rsidR="002C7CD7" w:rsidRPr="00AE069D" w14:paraId="6C250ED1" w14:textId="77777777" w:rsidTr="004B6AD6">
        <w:tc>
          <w:tcPr>
            <w:tcW w:w="2258" w:type="dxa"/>
          </w:tcPr>
          <w:p w14:paraId="03048C57" w14:textId="77777777" w:rsidR="002C7CD7" w:rsidRPr="00AE069D" w:rsidRDefault="002C7CD7" w:rsidP="004B6AD6">
            <w:pPr>
              <w:pStyle w:val="NormalWeb"/>
              <w:spacing w:before="0" w:beforeAutospacing="0" w:after="0" w:afterAutospacing="0"/>
              <w:rPr>
                <w:color w:val="000000" w:themeColor="text1"/>
                <w:sz w:val="20"/>
                <w:szCs w:val="20"/>
                <w:lang w:val="en-US"/>
              </w:rPr>
            </w:pPr>
          </w:p>
        </w:tc>
        <w:tc>
          <w:tcPr>
            <w:tcW w:w="2088" w:type="dxa"/>
          </w:tcPr>
          <w:p w14:paraId="60888F44" w14:textId="77777777" w:rsidR="002C7CD7" w:rsidRPr="00AE069D" w:rsidRDefault="002C7CD7"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3-negative</w:t>
            </w:r>
          </w:p>
        </w:tc>
        <w:tc>
          <w:tcPr>
            <w:tcW w:w="2088" w:type="dxa"/>
          </w:tcPr>
          <w:p w14:paraId="71ECFD3E" w14:textId="77777777" w:rsidR="002C7CD7" w:rsidRPr="00AE069D" w:rsidRDefault="002C7CD7"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2BBC26B1" w14:textId="77777777" w:rsidR="002C7CD7" w:rsidRPr="00AE069D" w:rsidRDefault="002C7CD7"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1-negative</w:t>
            </w:r>
          </w:p>
        </w:tc>
      </w:tr>
      <w:tr w:rsidR="002C7CD7" w:rsidRPr="00AE069D" w14:paraId="1328DD72" w14:textId="77777777" w:rsidTr="004B6AD6">
        <w:tc>
          <w:tcPr>
            <w:tcW w:w="2258" w:type="dxa"/>
          </w:tcPr>
          <w:p w14:paraId="64B662CE" w14:textId="77777777" w:rsidR="002C7CD7" w:rsidRPr="00AE069D" w:rsidRDefault="002C7CD7"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cases</w:t>
            </w:r>
          </w:p>
        </w:tc>
        <w:tc>
          <w:tcPr>
            <w:tcW w:w="2088" w:type="dxa"/>
          </w:tcPr>
          <w:p w14:paraId="43F974D8" w14:textId="5AB9542A" w:rsidR="002C7CD7" w:rsidRPr="00AE069D" w:rsidRDefault="002C7CD7" w:rsidP="004B6AD6">
            <w:pPr>
              <w:pStyle w:val="NormalWeb"/>
              <w:rPr>
                <w:color w:val="000000" w:themeColor="text1"/>
              </w:rPr>
            </w:pPr>
            <w:r w:rsidRPr="002C7CD7">
              <w:rPr>
                <w:color w:val="000000" w:themeColor="text1"/>
                <w:sz w:val="20"/>
                <w:szCs w:val="20"/>
                <w:lang w:val="en-US"/>
              </w:rPr>
              <w:t>230 (95% CI: 194-266)</w:t>
            </w:r>
          </w:p>
        </w:tc>
        <w:tc>
          <w:tcPr>
            <w:tcW w:w="2088" w:type="dxa"/>
          </w:tcPr>
          <w:p w14:paraId="54044D8C" w14:textId="749C7400" w:rsidR="002C7CD7" w:rsidRPr="00AE069D" w:rsidRDefault="002C7CD7" w:rsidP="004B6AD6">
            <w:pPr>
              <w:pStyle w:val="NormalWeb"/>
              <w:spacing w:before="0" w:beforeAutospacing="0" w:after="0" w:afterAutospacing="0"/>
              <w:rPr>
                <w:color w:val="000000" w:themeColor="text1"/>
                <w:sz w:val="20"/>
                <w:szCs w:val="20"/>
              </w:rPr>
            </w:pPr>
            <w:r w:rsidRPr="002C7CD7">
              <w:rPr>
                <w:color w:val="000000" w:themeColor="text1"/>
                <w:sz w:val="20"/>
                <w:szCs w:val="20"/>
                <w:lang w:val="en-US"/>
              </w:rPr>
              <w:t>235 (95% CI: 197-273)</w:t>
            </w:r>
          </w:p>
        </w:tc>
        <w:tc>
          <w:tcPr>
            <w:tcW w:w="2088" w:type="dxa"/>
          </w:tcPr>
          <w:p w14:paraId="441FCDD9" w14:textId="5A5E15F8" w:rsidR="002C7CD7" w:rsidRPr="00AE069D" w:rsidRDefault="002C7CD7" w:rsidP="004B6AD6">
            <w:pPr>
              <w:pStyle w:val="NormalWeb"/>
              <w:spacing w:before="0" w:beforeAutospacing="0" w:after="0" w:afterAutospacing="0"/>
              <w:rPr>
                <w:color w:val="000000" w:themeColor="text1"/>
                <w:sz w:val="20"/>
                <w:szCs w:val="20"/>
              </w:rPr>
            </w:pPr>
            <w:r w:rsidRPr="002C7CD7">
              <w:rPr>
                <w:color w:val="000000" w:themeColor="text1"/>
                <w:sz w:val="20"/>
                <w:szCs w:val="20"/>
                <w:lang w:val="en-US"/>
              </w:rPr>
              <w:t>247 (95% CI: 210-288)</w:t>
            </w:r>
          </w:p>
        </w:tc>
      </w:tr>
      <w:tr w:rsidR="002C7CD7" w:rsidRPr="00AE069D" w14:paraId="223AEEFC" w14:textId="77777777" w:rsidTr="004B6AD6">
        <w:tc>
          <w:tcPr>
            <w:tcW w:w="2258" w:type="dxa"/>
          </w:tcPr>
          <w:p w14:paraId="21C40933" w14:textId="77777777" w:rsidR="002C7CD7" w:rsidRPr="00AE069D" w:rsidRDefault="002C7CD7"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infection cases</w:t>
            </w:r>
          </w:p>
        </w:tc>
        <w:tc>
          <w:tcPr>
            <w:tcW w:w="2088" w:type="dxa"/>
          </w:tcPr>
          <w:p w14:paraId="78A1B880" w14:textId="0FB8A1D2" w:rsidR="002C7CD7" w:rsidRPr="00AE069D" w:rsidRDefault="002C7CD7" w:rsidP="004B6AD6">
            <w:pPr>
              <w:pStyle w:val="NormalWeb"/>
              <w:spacing w:before="0" w:beforeAutospacing="0" w:after="0" w:afterAutospacing="0"/>
              <w:rPr>
                <w:color w:val="000000" w:themeColor="text1"/>
                <w:sz w:val="20"/>
                <w:szCs w:val="20"/>
              </w:rPr>
            </w:pPr>
            <w:r w:rsidRPr="002C7CD7">
              <w:rPr>
                <w:color w:val="000000" w:themeColor="text1"/>
                <w:sz w:val="20"/>
                <w:szCs w:val="20"/>
                <w:lang w:val="en-US"/>
              </w:rPr>
              <w:t>26 (95% CI: 22-30)</w:t>
            </w:r>
          </w:p>
        </w:tc>
        <w:tc>
          <w:tcPr>
            <w:tcW w:w="2088" w:type="dxa"/>
          </w:tcPr>
          <w:p w14:paraId="6F2FF192" w14:textId="12E8ADB3" w:rsidR="002C7CD7" w:rsidRPr="00AE069D" w:rsidRDefault="002C7CD7" w:rsidP="004B6AD6">
            <w:pPr>
              <w:pStyle w:val="NormalWeb"/>
              <w:spacing w:before="0" w:beforeAutospacing="0" w:after="0" w:afterAutospacing="0"/>
              <w:rPr>
                <w:color w:val="000000" w:themeColor="text1"/>
                <w:sz w:val="20"/>
                <w:szCs w:val="20"/>
              </w:rPr>
            </w:pPr>
            <w:r w:rsidRPr="002C7CD7">
              <w:rPr>
                <w:color w:val="000000" w:themeColor="text1"/>
                <w:sz w:val="20"/>
                <w:szCs w:val="20"/>
                <w:lang w:val="en-US"/>
              </w:rPr>
              <w:t>26 (95% CI: 22-30)</w:t>
            </w:r>
          </w:p>
        </w:tc>
        <w:tc>
          <w:tcPr>
            <w:tcW w:w="2088" w:type="dxa"/>
          </w:tcPr>
          <w:p w14:paraId="1D535D9C" w14:textId="0703CC13" w:rsidR="002C7CD7" w:rsidRPr="00AE069D" w:rsidRDefault="002C7CD7" w:rsidP="004B6AD6">
            <w:pPr>
              <w:pStyle w:val="NormalWeb"/>
              <w:spacing w:before="0" w:beforeAutospacing="0" w:after="0" w:afterAutospacing="0"/>
              <w:rPr>
                <w:color w:val="000000" w:themeColor="text1"/>
                <w:sz w:val="20"/>
                <w:szCs w:val="20"/>
              </w:rPr>
            </w:pPr>
            <w:r w:rsidRPr="002C7CD7">
              <w:rPr>
                <w:color w:val="000000" w:themeColor="text1"/>
                <w:sz w:val="20"/>
                <w:szCs w:val="20"/>
                <w:lang w:val="en-US"/>
              </w:rPr>
              <w:t>27 (95% CI: 23-32)</w:t>
            </w:r>
          </w:p>
        </w:tc>
      </w:tr>
      <w:tr w:rsidR="002C7CD7" w:rsidRPr="00AE069D" w14:paraId="0D2E8CA9" w14:textId="77777777" w:rsidTr="004B6AD6">
        <w:tc>
          <w:tcPr>
            <w:tcW w:w="2258" w:type="dxa"/>
          </w:tcPr>
          <w:p w14:paraId="49EEEDB2"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detected MRSA colonized cases</w:t>
            </w:r>
          </w:p>
        </w:tc>
        <w:tc>
          <w:tcPr>
            <w:tcW w:w="2088" w:type="dxa"/>
          </w:tcPr>
          <w:p w14:paraId="6E21AFAF" w14:textId="60CB4BD5"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204 (95% CI: 173-237)</w:t>
            </w:r>
          </w:p>
        </w:tc>
        <w:tc>
          <w:tcPr>
            <w:tcW w:w="2088" w:type="dxa"/>
          </w:tcPr>
          <w:p w14:paraId="1D5DCD9A" w14:textId="7C002B45"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209 (95% CI: 175-242)</w:t>
            </w:r>
          </w:p>
        </w:tc>
        <w:tc>
          <w:tcPr>
            <w:tcW w:w="2088" w:type="dxa"/>
          </w:tcPr>
          <w:p w14:paraId="32A55EB1" w14:textId="54B4FBCF"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220 (95% CI: 187-256)</w:t>
            </w:r>
          </w:p>
        </w:tc>
      </w:tr>
      <w:tr w:rsidR="002C7CD7" w:rsidRPr="00AE069D" w14:paraId="27295132" w14:textId="77777777" w:rsidTr="004B6AD6">
        <w:tc>
          <w:tcPr>
            <w:tcW w:w="2258" w:type="dxa"/>
          </w:tcPr>
          <w:p w14:paraId="4DD6F980"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w:t>
            </w:r>
          </w:p>
        </w:tc>
        <w:tc>
          <w:tcPr>
            <w:tcW w:w="2088" w:type="dxa"/>
          </w:tcPr>
          <w:p w14:paraId="4B2E6FA0" w14:textId="64CF8ED4"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1,008 (95% CI: 823-1,218)</w:t>
            </w:r>
          </w:p>
        </w:tc>
        <w:tc>
          <w:tcPr>
            <w:tcW w:w="2088" w:type="dxa"/>
          </w:tcPr>
          <w:p w14:paraId="4F7D3BF1" w14:textId="2C1F2DEE"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981 (95% CI: 796-1,176)</w:t>
            </w:r>
          </w:p>
        </w:tc>
        <w:tc>
          <w:tcPr>
            <w:tcW w:w="2088" w:type="dxa"/>
          </w:tcPr>
          <w:p w14:paraId="12717F32" w14:textId="169F4F1F"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877 (95% CI: 711-1,056)</w:t>
            </w:r>
          </w:p>
        </w:tc>
      </w:tr>
      <w:tr w:rsidR="002C7CD7" w:rsidRPr="00AE069D" w14:paraId="10262508" w14:textId="77777777" w:rsidTr="004B6AD6">
        <w:tc>
          <w:tcPr>
            <w:tcW w:w="2258" w:type="dxa"/>
          </w:tcPr>
          <w:p w14:paraId="771CAF32"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infections)</w:t>
            </w:r>
          </w:p>
        </w:tc>
        <w:tc>
          <w:tcPr>
            <w:tcW w:w="2088" w:type="dxa"/>
          </w:tcPr>
          <w:p w14:paraId="227A0EAC" w14:textId="72902F94"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112 (95% CI: 91-135)</w:t>
            </w:r>
          </w:p>
        </w:tc>
        <w:tc>
          <w:tcPr>
            <w:tcW w:w="2088" w:type="dxa"/>
          </w:tcPr>
          <w:p w14:paraId="3F91998D" w14:textId="60621972"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109 (95% CI: 88-131)</w:t>
            </w:r>
          </w:p>
        </w:tc>
        <w:tc>
          <w:tcPr>
            <w:tcW w:w="2088" w:type="dxa"/>
          </w:tcPr>
          <w:p w14:paraId="4FBC917C" w14:textId="245F1675"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97 (95% CI: 79-117)</w:t>
            </w:r>
          </w:p>
        </w:tc>
      </w:tr>
      <w:tr w:rsidR="002C7CD7" w:rsidRPr="00AE069D" w14:paraId="652A1C7B" w14:textId="77777777" w:rsidTr="004B6AD6">
        <w:tc>
          <w:tcPr>
            <w:tcW w:w="2258" w:type="dxa"/>
          </w:tcPr>
          <w:p w14:paraId="2267555C"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colonized)</w:t>
            </w:r>
          </w:p>
        </w:tc>
        <w:tc>
          <w:tcPr>
            <w:tcW w:w="2088" w:type="dxa"/>
          </w:tcPr>
          <w:p w14:paraId="71427FC3" w14:textId="199135AD"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896 (95% CI: 732-1,083)</w:t>
            </w:r>
          </w:p>
        </w:tc>
        <w:tc>
          <w:tcPr>
            <w:tcW w:w="2088" w:type="dxa"/>
          </w:tcPr>
          <w:p w14:paraId="1F2C57C6" w14:textId="2B559F1B"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872 (95% CI: 708-1,046)</w:t>
            </w:r>
          </w:p>
        </w:tc>
        <w:tc>
          <w:tcPr>
            <w:tcW w:w="2088" w:type="dxa"/>
          </w:tcPr>
          <w:p w14:paraId="03300B32" w14:textId="6751E0E8"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779 (95% CI: 632-939)</w:t>
            </w:r>
          </w:p>
        </w:tc>
      </w:tr>
      <w:tr w:rsidR="002C7CD7" w:rsidRPr="00AE069D" w14:paraId="15AB4D41" w14:textId="77777777" w:rsidTr="004B6AD6">
        <w:tc>
          <w:tcPr>
            <w:tcW w:w="2258" w:type="dxa"/>
          </w:tcPr>
          <w:p w14:paraId="1B93980B"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treatment cost</w:t>
            </w:r>
          </w:p>
        </w:tc>
        <w:tc>
          <w:tcPr>
            <w:tcW w:w="2088" w:type="dxa"/>
          </w:tcPr>
          <w:p w14:paraId="083CA40F" w14:textId="69D51E99"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11,710 (95% CI: 9,902-13,567)</w:t>
            </w:r>
          </w:p>
        </w:tc>
        <w:tc>
          <w:tcPr>
            <w:tcW w:w="2088" w:type="dxa"/>
          </w:tcPr>
          <w:p w14:paraId="196E808F" w14:textId="1AE464DF"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11,983 (95% CI: 10,022-13,889)</w:t>
            </w:r>
          </w:p>
        </w:tc>
        <w:tc>
          <w:tcPr>
            <w:tcW w:w="2088" w:type="dxa"/>
          </w:tcPr>
          <w:p w14:paraId="3F46AEC3" w14:textId="61F172A8"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12,608 (95% CI: 10,726-14,678)</w:t>
            </w:r>
          </w:p>
        </w:tc>
      </w:tr>
      <w:tr w:rsidR="002C7CD7" w:rsidRPr="00AE069D" w14:paraId="0AEFF763" w14:textId="77777777" w:rsidTr="004B6AD6">
        <w:tc>
          <w:tcPr>
            <w:tcW w:w="2258" w:type="dxa"/>
          </w:tcPr>
          <w:p w14:paraId="67BF64FE"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treatment cost</w:t>
            </w:r>
          </w:p>
        </w:tc>
        <w:tc>
          <w:tcPr>
            <w:tcW w:w="2088" w:type="dxa"/>
          </w:tcPr>
          <w:p w14:paraId="34924ED3" w14:textId="1B998FBD"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89,041 (95% CI: 75,292-103,157)</w:t>
            </w:r>
          </w:p>
        </w:tc>
        <w:tc>
          <w:tcPr>
            <w:tcW w:w="2088" w:type="dxa"/>
          </w:tcPr>
          <w:p w14:paraId="6BE6B35D" w14:textId="35635F7A"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91,115 (95% CI: 76,203-105,605)</w:t>
            </w:r>
          </w:p>
        </w:tc>
        <w:tc>
          <w:tcPr>
            <w:tcW w:w="2088" w:type="dxa"/>
          </w:tcPr>
          <w:p w14:paraId="0C7BF844" w14:textId="1336B2E6"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95,866 (95% CI: 81,554-111,608)</w:t>
            </w:r>
          </w:p>
        </w:tc>
      </w:tr>
      <w:tr w:rsidR="002C7CD7" w:rsidRPr="00AE069D" w14:paraId="366D7994" w14:textId="77777777" w:rsidTr="004B6AD6">
        <w:tc>
          <w:tcPr>
            <w:tcW w:w="2258" w:type="dxa"/>
          </w:tcPr>
          <w:p w14:paraId="32F24AA9"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precaution cost</w:t>
            </w:r>
          </w:p>
        </w:tc>
        <w:tc>
          <w:tcPr>
            <w:tcW w:w="2088" w:type="dxa"/>
          </w:tcPr>
          <w:p w14:paraId="142709FE" w14:textId="5BACFA9E"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236,085 (95% CI: 192,845-285,413)</w:t>
            </w:r>
          </w:p>
        </w:tc>
        <w:tc>
          <w:tcPr>
            <w:tcW w:w="2088" w:type="dxa"/>
          </w:tcPr>
          <w:p w14:paraId="38B70B86" w14:textId="639C58E8"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229,873 (95% CI: 186,550-275,650)</w:t>
            </w:r>
          </w:p>
        </w:tc>
        <w:tc>
          <w:tcPr>
            <w:tcW w:w="2088" w:type="dxa"/>
          </w:tcPr>
          <w:p w14:paraId="6141DAA3" w14:textId="2EDF6148"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205,434 (95% CI: 166,694-247,494)</w:t>
            </w:r>
          </w:p>
        </w:tc>
      </w:tr>
      <w:tr w:rsidR="002C7CD7" w:rsidRPr="00AE069D" w14:paraId="75EE0341" w14:textId="77777777" w:rsidTr="004B6AD6">
        <w:tc>
          <w:tcPr>
            <w:tcW w:w="2258" w:type="dxa"/>
          </w:tcPr>
          <w:p w14:paraId="20DDFEDB"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precaution cost</w:t>
            </w:r>
          </w:p>
        </w:tc>
        <w:tc>
          <w:tcPr>
            <w:tcW w:w="2088" w:type="dxa"/>
          </w:tcPr>
          <w:p w14:paraId="7F86D419" w14:textId="6254437E"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361,501 (95% CI: 295,290-437,033)</w:t>
            </w:r>
          </w:p>
        </w:tc>
        <w:tc>
          <w:tcPr>
            <w:tcW w:w="2088" w:type="dxa"/>
          </w:tcPr>
          <w:p w14:paraId="7283BA4A" w14:textId="63F21352"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351,988 (95% CI: 285,651-422,084)</w:t>
            </w:r>
          </w:p>
        </w:tc>
        <w:tc>
          <w:tcPr>
            <w:tcW w:w="2088" w:type="dxa"/>
          </w:tcPr>
          <w:p w14:paraId="428EA8C9" w14:textId="06184C37"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314,567 (95% CI: 255,247-378,970)</w:t>
            </w:r>
          </w:p>
        </w:tc>
      </w:tr>
      <w:tr w:rsidR="002C7CD7" w:rsidRPr="00AE069D" w14:paraId="583D4E16" w14:textId="77777777" w:rsidTr="004B6AD6">
        <w:tc>
          <w:tcPr>
            <w:tcW w:w="2258" w:type="dxa"/>
          </w:tcPr>
          <w:p w14:paraId="46FFC575" w14:textId="77777777" w:rsidR="002C7CD7" w:rsidRPr="00B25868" w:rsidRDefault="002C7CD7"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Total cost</w:t>
            </w:r>
          </w:p>
        </w:tc>
        <w:tc>
          <w:tcPr>
            <w:tcW w:w="2088" w:type="dxa"/>
          </w:tcPr>
          <w:p w14:paraId="5D46E242" w14:textId="4AAB540C"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t xml:space="preserve">698,318 (95% CI: </w:t>
            </w:r>
            <w:r w:rsidRPr="002C7CD7">
              <w:rPr>
                <w:color w:val="000000" w:themeColor="text1"/>
                <w:sz w:val="20"/>
                <w:szCs w:val="20"/>
                <w:lang w:val="en-US"/>
              </w:rPr>
              <w:lastRenderedPageBreak/>
              <w:t>573,314-839,149)</w:t>
            </w:r>
          </w:p>
        </w:tc>
        <w:tc>
          <w:tcPr>
            <w:tcW w:w="2088" w:type="dxa"/>
          </w:tcPr>
          <w:p w14:paraId="0362E622" w14:textId="3F17FBD9"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lastRenderedPageBreak/>
              <w:t xml:space="preserve">684,940 (95% CI: </w:t>
            </w:r>
            <w:r w:rsidRPr="002C7CD7">
              <w:rPr>
                <w:color w:val="000000" w:themeColor="text1"/>
                <w:sz w:val="20"/>
                <w:szCs w:val="20"/>
                <w:lang w:val="en-US"/>
              </w:rPr>
              <w:lastRenderedPageBreak/>
              <w:t>558,410-817,206)</w:t>
            </w:r>
            <w:r>
              <w:rPr>
                <w:color w:val="000000" w:themeColor="text1"/>
                <w:sz w:val="20"/>
                <w:szCs w:val="20"/>
                <w:lang w:val="en-US"/>
              </w:rPr>
              <w:t>**</w:t>
            </w:r>
          </w:p>
        </w:tc>
        <w:tc>
          <w:tcPr>
            <w:tcW w:w="2088" w:type="dxa"/>
          </w:tcPr>
          <w:p w14:paraId="042345E6" w14:textId="04234D39" w:rsidR="002C7CD7" w:rsidRPr="00B25868" w:rsidRDefault="002C7CD7" w:rsidP="004B6AD6">
            <w:pPr>
              <w:pStyle w:val="NormalWeb"/>
              <w:spacing w:before="0" w:beforeAutospacing="0" w:after="0" w:afterAutospacing="0"/>
              <w:rPr>
                <w:color w:val="000000" w:themeColor="text1"/>
                <w:sz w:val="20"/>
                <w:szCs w:val="20"/>
                <w:lang w:val="en-US"/>
              </w:rPr>
            </w:pPr>
            <w:r w:rsidRPr="002C7CD7">
              <w:rPr>
                <w:color w:val="000000" w:themeColor="text1"/>
                <w:sz w:val="20"/>
                <w:szCs w:val="20"/>
                <w:lang w:val="en-US"/>
              </w:rPr>
              <w:lastRenderedPageBreak/>
              <w:t xml:space="preserve">628,456 (95% CI: </w:t>
            </w:r>
            <w:r w:rsidRPr="002C7CD7">
              <w:rPr>
                <w:color w:val="000000" w:themeColor="text1"/>
                <w:sz w:val="20"/>
                <w:szCs w:val="20"/>
                <w:lang w:val="en-US"/>
              </w:rPr>
              <w:lastRenderedPageBreak/>
              <w:t>514,204-752,727)</w:t>
            </w:r>
            <w:r>
              <w:rPr>
                <w:color w:val="000000" w:themeColor="text1"/>
                <w:sz w:val="20"/>
                <w:szCs w:val="20"/>
                <w:lang w:val="en-US"/>
              </w:rPr>
              <w:t>***</w:t>
            </w:r>
          </w:p>
        </w:tc>
      </w:tr>
    </w:tbl>
    <w:p w14:paraId="3776B7C1" w14:textId="42E99169" w:rsidR="002C7CD7" w:rsidRPr="00AE069D" w:rsidRDefault="002C7CD7" w:rsidP="00A920FF">
      <w:pPr>
        <w:spacing w:line="480" w:lineRule="auto"/>
        <w:rPr>
          <w:color w:val="000000" w:themeColor="text1"/>
        </w:rPr>
      </w:pPr>
      <w:r w:rsidRPr="00AE069D">
        <w:rPr>
          <w:color w:val="000000" w:themeColor="text1"/>
        </w:rPr>
        <w:lastRenderedPageBreak/>
        <w:t>*</w:t>
      </w:r>
      <w:r w:rsidRPr="00B25868">
        <w:rPr>
          <w:color w:val="000000" w:themeColor="text1"/>
        </w:rPr>
        <w:t>* indicates that p&lt;0.005, and *** indicates that p&lt;0.001 compared with 3-negative</w:t>
      </w:r>
    </w:p>
    <w:p w14:paraId="793774D7" w14:textId="155A068B" w:rsidR="004871D4" w:rsidRPr="00AE069D" w:rsidRDefault="004871D4" w:rsidP="004871D4">
      <w:pPr>
        <w:spacing w:before="240" w:after="240"/>
        <w:rPr>
          <w:color w:val="000000" w:themeColor="text1"/>
        </w:rPr>
      </w:pPr>
      <w:r>
        <w:rPr>
          <w:b/>
          <w:bCs/>
          <w:color w:val="000000" w:themeColor="text1"/>
          <w:lang w:val="en-US"/>
        </w:rPr>
        <w:t>Supplementary Table 6</w:t>
      </w:r>
      <w:r w:rsidRPr="00AE069D">
        <w:rPr>
          <w:b/>
          <w:bCs/>
          <w:color w:val="000000" w:themeColor="text1"/>
        </w:rPr>
        <w:t xml:space="preserve">. </w:t>
      </w:r>
      <w:r w:rsidRPr="00AE069D">
        <w:rPr>
          <w:color w:val="000000" w:themeColor="text1"/>
          <w:lang w:val="en-US"/>
        </w:rPr>
        <w:t>E</w:t>
      </w:r>
      <w:r w:rsidRPr="00AE069D">
        <w:rPr>
          <w:color w:val="000000" w:themeColor="text1"/>
        </w:rPr>
        <w:t>stimated value for the average annual cost for 3-negative, 2-negative, and 1-negative policy for 201</w:t>
      </w:r>
      <w:r>
        <w:rPr>
          <w:color w:val="000000" w:themeColor="text1"/>
          <w:lang w:val="en-US"/>
        </w:rPr>
        <w:t>7</w:t>
      </w:r>
      <w:r w:rsidRPr="00AE069D">
        <w:rPr>
          <w:color w:val="000000" w:themeColor="text1"/>
        </w:rPr>
        <w:t xml:space="preserve">-2019 </w:t>
      </w:r>
      <w:r>
        <w:rPr>
          <w:color w:val="000000" w:themeColor="text1"/>
          <w:lang w:val="en-US"/>
        </w:rPr>
        <w:t xml:space="preserve">with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r>
          <w:rPr>
            <w:rFonts w:ascii="Cambria Math" w:hAnsi="Cambria Math"/>
            <w:color w:val="000000"/>
            <w:lang w:val="en-GB"/>
          </w:rPr>
          <m:t>=0.5</m:t>
        </m:r>
      </m:oMath>
      <w:r>
        <w:rPr>
          <w:color w:val="000000"/>
        </w:rPr>
        <w:t xml:space="preserve"> </w:t>
      </w:r>
      <w:r w:rsidRPr="00AE069D">
        <w:rPr>
          <w:color w:val="000000" w:themeColor="text1"/>
        </w:rPr>
        <w:t>via simulation (in USD)</w:t>
      </w:r>
    </w:p>
    <w:tbl>
      <w:tblPr>
        <w:tblStyle w:val="TableGrid"/>
        <w:tblW w:w="0" w:type="auto"/>
        <w:tblLook w:val="04A0" w:firstRow="1" w:lastRow="0" w:firstColumn="1" w:lastColumn="0" w:noHBand="0" w:noVBand="1"/>
      </w:tblPr>
      <w:tblGrid>
        <w:gridCol w:w="2258"/>
        <w:gridCol w:w="2088"/>
        <w:gridCol w:w="2088"/>
        <w:gridCol w:w="2088"/>
      </w:tblGrid>
      <w:tr w:rsidR="00BF7106" w:rsidRPr="00AE069D" w14:paraId="3D1B4AF0" w14:textId="77777777" w:rsidTr="004B6AD6">
        <w:tc>
          <w:tcPr>
            <w:tcW w:w="2258" w:type="dxa"/>
          </w:tcPr>
          <w:p w14:paraId="178772A3" w14:textId="77777777" w:rsidR="00BF7106" w:rsidRPr="00AE069D" w:rsidRDefault="00BF7106" w:rsidP="004B6AD6">
            <w:pPr>
              <w:pStyle w:val="NormalWeb"/>
              <w:spacing w:before="0" w:beforeAutospacing="0" w:after="0" w:afterAutospacing="0"/>
              <w:rPr>
                <w:color w:val="000000" w:themeColor="text1"/>
                <w:sz w:val="20"/>
                <w:szCs w:val="20"/>
                <w:lang w:val="en-US"/>
              </w:rPr>
            </w:pPr>
          </w:p>
        </w:tc>
        <w:tc>
          <w:tcPr>
            <w:tcW w:w="2088" w:type="dxa"/>
          </w:tcPr>
          <w:p w14:paraId="42459D20" w14:textId="77777777" w:rsidR="00BF7106" w:rsidRPr="00AE069D" w:rsidRDefault="00BF7106"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3-negative</w:t>
            </w:r>
          </w:p>
        </w:tc>
        <w:tc>
          <w:tcPr>
            <w:tcW w:w="2088" w:type="dxa"/>
          </w:tcPr>
          <w:p w14:paraId="03A99A2A" w14:textId="77777777" w:rsidR="00BF7106" w:rsidRPr="00AE069D" w:rsidRDefault="00BF7106"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1C8BDFF4" w14:textId="77777777" w:rsidR="00BF7106" w:rsidRPr="00AE069D" w:rsidRDefault="00BF7106"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1-negative</w:t>
            </w:r>
          </w:p>
        </w:tc>
      </w:tr>
      <w:tr w:rsidR="00BF7106" w:rsidRPr="00AE069D" w14:paraId="589A2801" w14:textId="77777777" w:rsidTr="004B6AD6">
        <w:tc>
          <w:tcPr>
            <w:tcW w:w="2258" w:type="dxa"/>
          </w:tcPr>
          <w:p w14:paraId="5B16B4F9" w14:textId="77777777" w:rsidR="00BF7106" w:rsidRPr="00AE069D" w:rsidRDefault="00BF7106"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cases</w:t>
            </w:r>
          </w:p>
        </w:tc>
        <w:tc>
          <w:tcPr>
            <w:tcW w:w="2088" w:type="dxa"/>
          </w:tcPr>
          <w:p w14:paraId="1129A1DB" w14:textId="4737DC67" w:rsidR="00BF7106" w:rsidRPr="00AE069D" w:rsidRDefault="00BF7106" w:rsidP="004B6AD6">
            <w:pPr>
              <w:pStyle w:val="NormalWeb"/>
              <w:rPr>
                <w:color w:val="000000" w:themeColor="text1"/>
              </w:rPr>
            </w:pPr>
            <w:r w:rsidRPr="00BF7106">
              <w:rPr>
                <w:color w:val="000000" w:themeColor="text1"/>
                <w:sz w:val="20"/>
                <w:szCs w:val="20"/>
                <w:lang w:val="en-US"/>
              </w:rPr>
              <w:t>233 (95% CI: 199-270)</w:t>
            </w:r>
          </w:p>
        </w:tc>
        <w:tc>
          <w:tcPr>
            <w:tcW w:w="2088" w:type="dxa"/>
          </w:tcPr>
          <w:p w14:paraId="05330988" w14:textId="0D3F9B38" w:rsidR="00BF7106" w:rsidRPr="00AE069D" w:rsidRDefault="00BF7106" w:rsidP="004B6AD6">
            <w:pPr>
              <w:pStyle w:val="NormalWeb"/>
              <w:spacing w:before="0" w:beforeAutospacing="0" w:after="0" w:afterAutospacing="0"/>
              <w:rPr>
                <w:color w:val="000000" w:themeColor="text1"/>
                <w:sz w:val="20"/>
                <w:szCs w:val="20"/>
              </w:rPr>
            </w:pPr>
            <w:r w:rsidRPr="00BF7106">
              <w:rPr>
                <w:color w:val="000000" w:themeColor="text1"/>
                <w:sz w:val="20"/>
                <w:szCs w:val="20"/>
                <w:lang w:val="en-US"/>
              </w:rPr>
              <w:t>240 (95% CI: 204-280)</w:t>
            </w:r>
          </w:p>
        </w:tc>
        <w:tc>
          <w:tcPr>
            <w:tcW w:w="2088" w:type="dxa"/>
          </w:tcPr>
          <w:p w14:paraId="12015803" w14:textId="459E9900" w:rsidR="00BF7106" w:rsidRPr="00AE069D" w:rsidRDefault="00BF7106" w:rsidP="004B6AD6">
            <w:pPr>
              <w:pStyle w:val="NormalWeb"/>
              <w:spacing w:before="0" w:beforeAutospacing="0" w:after="0" w:afterAutospacing="0"/>
              <w:rPr>
                <w:color w:val="000000" w:themeColor="text1"/>
                <w:sz w:val="20"/>
                <w:szCs w:val="20"/>
              </w:rPr>
            </w:pPr>
            <w:r w:rsidRPr="00BF7106">
              <w:rPr>
                <w:color w:val="000000" w:themeColor="text1"/>
                <w:sz w:val="20"/>
                <w:szCs w:val="20"/>
                <w:lang w:val="en-US"/>
              </w:rPr>
              <w:t>253 (95% CI: 212-294)</w:t>
            </w:r>
          </w:p>
        </w:tc>
      </w:tr>
      <w:tr w:rsidR="00BF7106" w:rsidRPr="00AE069D" w14:paraId="4C5FAB74" w14:textId="77777777" w:rsidTr="004B6AD6">
        <w:tc>
          <w:tcPr>
            <w:tcW w:w="2258" w:type="dxa"/>
          </w:tcPr>
          <w:p w14:paraId="2CFDA20E" w14:textId="77777777" w:rsidR="00BF7106" w:rsidRPr="00AE069D" w:rsidRDefault="00BF7106"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infection cases</w:t>
            </w:r>
          </w:p>
        </w:tc>
        <w:tc>
          <w:tcPr>
            <w:tcW w:w="2088" w:type="dxa"/>
          </w:tcPr>
          <w:p w14:paraId="193EB7F3" w14:textId="70BB076B" w:rsidR="00BF7106" w:rsidRPr="00AE069D" w:rsidRDefault="00BF7106" w:rsidP="004B6AD6">
            <w:pPr>
              <w:pStyle w:val="NormalWeb"/>
              <w:spacing w:before="0" w:beforeAutospacing="0" w:after="0" w:afterAutospacing="0"/>
              <w:rPr>
                <w:color w:val="000000" w:themeColor="text1"/>
                <w:sz w:val="20"/>
                <w:szCs w:val="20"/>
              </w:rPr>
            </w:pPr>
            <w:r w:rsidRPr="00BF7106">
              <w:rPr>
                <w:color w:val="000000" w:themeColor="text1"/>
                <w:sz w:val="20"/>
                <w:szCs w:val="20"/>
                <w:lang w:val="en-US"/>
              </w:rPr>
              <w:t>26 (95% CI: 22-30)</w:t>
            </w:r>
          </w:p>
        </w:tc>
        <w:tc>
          <w:tcPr>
            <w:tcW w:w="2088" w:type="dxa"/>
          </w:tcPr>
          <w:p w14:paraId="162395FC" w14:textId="22011413" w:rsidR="00BF7106" w:rsidRPr="00AE069D" w:rsidRDefault="00BF7106" w:rsidP="004B6AD6">
            <w:pPr>
              <w:pStyle w:val="NormalWeb"/>
              <w:spacing w:before="0" w:beforeAutospacing="0" w:after="0" w:afterAutospacing="0"/>
              <w:rPr>
                <w:color w:val="000000" w:themeColor="text1"/>
                <w:sz w:val="20"/>
                <w:szCs w:val="20"/>
              </w:rPr>
            </w:pPr>
            <w:r w:rsidRPr="00BF7106">
              <w:rPr>
                <w:color w:val="000000" w:themeColor="text1"/>
                <w:sz w:val="20"/>
                <w:szCs w:val="20"/>
                <w:lang w:val="en-US"/>
              </w:rPr>
              <w:t>27 (95% CI: 23-31)</w:t>
            </w:r>
          </w:p>
        </w:tc>
        <w:tc>
          <w:tcPr>
            <w:tcW w:w="2088" w:type="dxa"/>
          </w:tcPr>
          <w:p w14:paraId="6E3D9A91" w14:textId="4E5D518D" w:rsidR="00BF7106" w:rsidRPr="00AE069D" w:rsidRDefault="00BF7106" w:rsidP="004B6AD6">
            <w:pPr>
              <w:pStyle w:val="NormalWeb"/>
              <w:spacing w:before="0" w:beforeAutospacing="0" w:after="0" w:afterAutospacing="0"/>
              <w:rPr>
                <w:color w:val="000000" w:themeColor="text1"/>
                <w:sz w:val="20"/>
                <w:szCs w:val="20"/>
              </w:rPr>
            </w:pPr>
            <w:r w:rsidRPr="00BF7106">
              <w:rPr>
                <w:color w:val="000000" w:themeColor="text1"/>
                <w:sz w:val="20"/>
                <w:szCs w:val="20"/>
                <w:lang w:val="en-US"/>
              </w:rPr>
              <w:t>28 (95% CI: 24-33)</w:t>
            </w:r>
          </w:p>
        </w:tc>
      </w:tr>
      <w:tr w:rsidR="00BF7106" w:rsidRPr="00AE069D" w14:paraId="173B4616" w14:textId="77777777" w:rsidTr="004B6AD6">
        <w:tc>
          <w:tcPr>
            <w:tcW w:w="2258" w:type="dxa"/>
          </w:tcPr>
          <w:p w14:paraId="0D4167DF"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detected MRSA colonized cases</w:t>
            </w:r>
          </w:p>
        </w:tc>
        <w:tc>
          <w:tcPr>
            <w:tcW w:w="2088" w:type="dxa"/>
          </w:tcPr>
          <w:p w14:paraId="213A8A9D" w14:textId="7562DF73"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207 (95% CI: 177-240)</w:t>
            </w:r>
          </w:p>
        </w:tc>
        <w:tc>
          <w:tcPr>
            <w:tcW w:w="2088" w:type="dxa"/>
          </w:tcPr>
          <w:p w14:paraId="5DE47024" w14:textId="512C143F"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213 (95% CI: 182-249)</w:t>
            </w:r>
          </w:p>
        </w:tc>
        <w:tc>
          <w:tcPr>
            <w:tcW w:w="2088" w:type="dxa"/>
          </w:tcPr>
          <w:p w14:paraId="1FAEFD61" w14:textId="77F96B43"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225 (95% CI: 189-261)</w:t>
            </w:r>
          </w:p>
        </w:tc>
      </w:tr>
      <w:tr w:rsidR="00BF7106" w:rsidRPr="00AE069D" w14:paraId="14C32B02" w14:textId="77777777" w:rsidTr="004B6AD6">
        <w:tc>
          <w:tcPr>
            <w:tcW w:w="2258" w:type="dxa"/>
          </w:tcPr>
          <w:p w14:paraId="57FC7748"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w:t>
            </w:r>
          </w:p>
        </w:tc>
        <w:tc>
          <w:tcPr>
            <w:tcW w:w="2088" w:type="dxa"/>
          </w:tcPr>
          <w:p w14:paraId="0B78F554" w14:textId="4C074844"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1,027 (95% CI: 812-1,233)</w:t>
            </w:r>
          </w:p>
        </w:tc>
        <w:tc>
          <w:tcPr>
            <w:tcW w:w="2088" w:type="dxa"/>
          </w:tcPr>
          <w:p w14:paraId="3A6847C5" w14:textId="1AFC511C"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1,005 (95% CI: 808-1,196)</w:t>
            </w:r>
          </w:p>
        </w:tc>
        <w:tc>
          <w:tcPr>
            <w:tcW w:w="2088" w:type="dxa"/>
          </w:tcPr>
          <w:p w14:paraId="4D962981" w14:textId="37518E94"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900 (95% CI: 731-1,085)</w:t>
            </w:r>
          </w:p>
        </w:tc>
      </w:tr>
      <w:tr w:rsidR="00BF7106" w:rsidRPr="00AE069D" w14:paraId="6500AA8C" w14:textId="77777777" w:rsidTr="004B6AD6">
        <w:tc>
          <w:tcPr>
            <w:tcW w:w="2258" w:type="dxa"/>
          </w:tcPr>
          <w:p w14:paraId="1E55A9D8"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infections)</w:t>
            </w:r>
          </w:p>
        </w:tc>
        <w:tc>
          <w:tcPr>
            <w:tcW w:w="2088" w:type="dxa"/>
          </w:tcPr>
          <w:p w14:paraId="57618D32" w14:textId="6B722FA5"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114 (95% CI: 90-137)</w:t>
            </w:r>
          </w:p>
        </w:tc>
        <w:tc>
          <w:tcPr>
            <w:tcW w:w="2088" w:type="dxa"/>
          </w:tcPr>
          <w:p w14:paraId="5472AD2D" w14:textId="6506246B"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112 (95% CI: 90-133)</w:t>
            </w:r>
          </w:p>
        </w:tc>
        <w:tc>
          <w:tcPr>
            <w:tcW w:w="2088" w:type="dxa"/>
          </w:tcPr>
          <w:p w14:paraId="4E6A7468" w14:textId="451C691B"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100 (95% CI: 81-120)</w:t>
            </w:r>
          </w:p>
        </w:tc>
      </w:tr>
      <w:tr w:rsidR="00BF7106" w:rsidRPr="00AE069D" w14:paraId="0A9B5C94" w14:textId="77777777" w:rsidTr="004B6AD6">
        <w:tc>
          <w:tcPr>
            <w:tcW w:w="2258" w:type="dxa"/>
          </w:tcPr>
          <w:p w14:paraId="659BA4DC"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colonized)</w:t>
            </w:r>
          </w:p>
        </w:tc>
        <w:tc>
          <w:tcPr>
            <w:tcW w:w="2088" w:type="dxa"/>
          </w:tcPr>
          <w:p w14:paraId="1F106A42" w14:textId="459EF3FA"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913 (95% CI: 722-1,096)</w:t>
            </w:r>
          </w:p>
        </w:tc>
        <w:tc>
          <w:tcPr>
            <w:tcW w:w="2088" w:type="dxa"/>
          </w:tcPr>
          <w:p w14:paraId="53C933C0" w14:textId="389991E7"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894 (95% CI: 719-1,063)</w:t>
            </w:r>
          </w:p>
        </w:tc>
        <w:tc>
          <w:tcPr>
            <w:tcW w:w="2088" w:type="dxa"/>
          </w:tcPr>
          <w:p w14:paraId="68D33B6B" w14:textId="7B3FE627"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800 (95% CI: 650-965)</w:t>
            </w:r>
          </w:p>
        </w:tc>
      </w:tr>
      <w:tr w:rsidR="00BF7106" w:rsidRPr="00AE069D" w14:paraId="00C827EF" w14:textId="77777777" w:rsidTr="004B6AD6">
        <w:tc>
          <w:tcPr>
            <w:tcW w:w="2258" w:type="dxa"/>
          </w:tcPr>
          <w:p w14:paraId="053B520A"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treatment cost</w:t>
            </w:r>
          </w:p>
        </w:tc>
        <w:tc>
          <w:tcPr>
            <w:tcW w:w="2088" w:type="dxa"/>
          </w:tcPr>
          <w:p w14:paraId="4FC70CEB" w14:textId="29BC3ECB"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11,888 (95% CI: 10,123-13,753)</w:t>
            </w:r>
          </w:p>
        </w:tc>
        <w:tc>
          <w:tcPr>
            <w:tcW w:w="2088" w:type="dxa"/>
          </w:tcPr>
          <w:p w14:paraId="2247718F" w14:textId="5CE77134"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12,219 (95% CI: 10,412-14,274)</w:t>
            </w:r>
          </w:p>
        </w:tc>
        <w:tc>
          <w:tcPr>
            <w:tcW w:w="2088" w:type="dxa"/>
          </w:tcPr>
          <w:p w14:paraId="29DC3ACA" w14:textId="749B4849"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12,879 (95% CI: 10,811-14,968)</w:t>
            </w:r>
          </w:p>
        </w:tc>
      </w:tr>
      <w:tr w:rsidR="00BF7106" w:rsidRPr="00AE069D" w14:paraId="164578A2" w14:textId="77777777" w:rsidTr="004B6AD6">
        <w:tc>
          <w:tcPr>
            <w:tcW w:w="2258" w:type="dxa"/>
          </w:tcPr>
          <w:p w14:paraId="19B0B96B"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treatment cost</w:t>
            </w:r>
          </w:p>
        </w:tc>
        <w:tc>
          <w:tcPr>
            <w:tcW w:w="2088" w:type="dxa"/>
          </w:tcPr>
          <w:p w14:paraId="2BC5FD30" w14:textId="106098D8"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90,388 (95% CI: 76,972-104,572)</w:t>
            </w:r>
          </w:p>
        </w:tc>
        <w:tc>
          <w:tcPr>
            <w:tcW w:w="2088" w:type="dxa"/>
          </w:tcPr>
          <w:p w14:paraId="658EEC12" w14:textId="3910C167"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92,908 (95% CI: 79,168-108,534)</w:t>
            </w:r>
          </w:p>
        </w:tc>
        <w:tc>
          <w:tcPr>
            <w:tcW w:w="2088" w:type="dxa"/>
          </w:tcPr>
          <w:p w14:paraId="370357A0" w14:textId="643BCBA5"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97,928 (95% CI: 82,200-113,811)</w:t>
            </w:r>
          </w:p>
        </w:tc>
      </w:tr>
      <w:tr w:rsidR="00BF7106" w:rsidRPr="00AE069D" w14:paraId="1AFD42E7" w14:textId="77777777" w:rsidTr="004B6AD6">
        <w:tc>
          <w:tcPr>
            <w:tcW w:w="2258" w:type="dxa"/>
          </w:tcPr>
          <w:p w14:paraId="02319AB9"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precaution cost</w:t>
            </w:r>
          </w:p>
        </w:tc>
        <w:tc>
          <w:tcPr>
            <w:tcW w:w="2088" w:type="dxa"/>
          </w:tcPr>
          <w:p w14:paraId="440963B4" w14:textId="4EFA8BBC" w:rsidR="00BF7106" w:rsidRPr="00B25868" w:rsidRDefault="00BF7106" w:rsidP="004B6AD6">
            <w:pPr>
              <w:pStyle w:val="NormalWeb"/>
              <w:spacing w:before="0" w:beforeAutospacing="0" w:after="0" w:afterAutospacing="0"/>
              <w:rPr>
                <w:color w:val="000000" w:themeColor="text1"/>
                <w:sz w:val="20"/>
                <w:szCs w:val="20"/>
                <w:lang w:val="en-US"/>
              </w:rPr>
            </w:pPr>
            <w:r w:rsidRPr="00BF7106">
              <w:rPr>
                <w:color w:val="000000" w:themeColor="text1"/>
                <w:sz w:val="20"/>
                <w:szCs w:val="20"/>
                <w:lang w:val="en-US"/>
              </w:rPr>
              <w:t>240,603 (95% CI: 190,328-288,906)</w:t>
            </w:r>
          </w:p>
        </w:tc>
        <w:tc>
          <w:tcPr>
            <w:tcW w:w="2088" w:type="dxa"/>
          </w:tcPr>
          <w:p w14:paraId="3742C896" w14:textId="2E339759"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235,512 (95% CI: 189,418-280,213)</w:t>
            </w:r>
          </w:p>
        </w:tc>
        <w:tc>
          <w:tcPr>
            <w:tcW w:w="2088" w:type="dxa"/>
          </w:tcPr>
          <w:p w14:paraId="1815E4F5" w14:textId="6B33A461"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210,921 (95% CI: 171,347-254,250)</w:t>
            </w:r>
          </w:p>
        </w:tc>
      </w:tr>
      <w:tr w:rsidR="00BF7106" w:rsidRPr="00AE069D" w14:paraId="379A1850" w14:textId="77777777" w:rsidTr="004B6AD6">
        <w:tc>
          <w:tcPr>
            <w:tcW w:w="2258" w:type="dxa"/>
          </w:tcPr>
          <w:p w14:paraId="00FC5EBB"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precaution cost</w:t>
            </w:r>
          </w:p>
        </w:tc>
        <w:tc>
          <w:tcPr>
            <w:tcW w:w="2088" w:type="dxa"/>
          </w:tcPr>
          <w:p w14:paraId="6CCAD1FF" w14:textId="7332A5E5"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368,419 (95% CI: 291,436-442,382)</w:t>
            </w:r>
          </w:p>
        </w:tc>
        <w:tc>
          <w:tcPr>
            <w:tcW w:w="2088" w:type="dxa"/>
          </w:tcPr>
          <w:p w14:paraId="3BE707F8" w14:textId="35D906DC"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360,624 (95% CI: 290,043-429,071)</w:t>
            </w:r>
          </w:p>
        </w:tc>
        <w:tc>
          <w:tcPr>
            <w:tcW w:w="2088" w:type="dxa"/>
          </w:tcPr>
          <w:p w14:paraId="29297C81" w14:textId="549CBD44"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322,968 (95% CI: 262,372-389,315)</w:t>
            </w:r>
          </w:p>
        </w:tc>
      </w:tr>
      <w:tr w:rsidR="00BF7106" w:rsidRPr="00AE069D" w14:paraId="65416775" w14:textId="77777777" w:rsidTr="004B6AD6">
        <w:tc>
          <w:tcPr>
            <w:tcW w:w="2258" w:type="dxa"/>
          </w:tcPr>
          <w:p w14:paraId="2DA3786D" w14:textId="77777777" w:rsidR="00BF7106" w:rsidRPr="00B25868" w:rsidRDefault="00BF7106"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Total cost</w:t>
            </w:r>
          </w:p>
        </w:tc>
        <w:tc>
          <w:tcPr>
            <w:tcW w:w="2088" w:type="dxa"/>
          </w:tcPr>
          <w:p w14:paraId="734FAC62" w14:textId="6CE54ED3"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711,278 (95% CI: 568,843-849,591)</w:t>
            </w:r>
          </w:p>
        </w:tc>
        <w:tc>
          <w:tcPr>
            <w:tcW w:w="2088" w:type="dxa"/>
          </w:tcPr>
          <w:p w14:paraId="5295340C" w14:textId="7EC70E24"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701,244 (95% CI: 569,024-832,070)</w:t>
            </w:r>
            <w:r>
              <w:rPr>
                <w:color w:val="000000" w:themeColor="text1"/>
                <w:sz w:val="20"/>
                <w:szCs w:val="20"/>
                <w:lang w:val="en-US"/>
              </w:rPr>
              <w:t>**</w:t>
            </w:r>
          </w:p>
        </w:tc>
        <w:tc>
          <w:tcPr>
            <w:tcW w:w="2088" w:type="dxa"/>
          </w:tcPr>
          <w:p w14:paraId="40FA815B" w14:textId="7EDD4740" w:rsidR="00BF7106"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644,675 (95% CI: 526,712-772,320)</w:t>
            </w:r>
            <w:r>
              <w:rPr>
                <w:color w:val="000000" w:themeColor="text1"/>
                <w:sz w:val="20"/>
                <w:szCs w:val="20"/>
                <w:lang w:val="en-US"/>
              </w:rPr>
              <w:t>***</w:t>
            </w:r>
          </w:p>
        </w:tc>
      </w:tr>
    </w:tbl>
    <w:p w14:paraId="50FEAEF6" w14:textId="43DD357A" w:rsidR="00BF7106" w:rsidRPr="00AE069D" w:rsidRDefault="00BF7106" w:rsidP="00A920FF">
      <w:pPr>
        <w:spacing w:line="480" w:lineRule="auto"/>
        <w:rPr>
          <w:color w:val="000000" w:themeColor="text1"/>
        </w:rPr>
      </w:pPr>
      <w:r w:rsidRPr="00AE069D">
        <w:rPr>
          <w:color w:val="000000" w:themeColor="text1"/>
        </w:rPr>
        <w:t>*</w:t>
      </w:r>
      <w:r w:rsidRPr="00B25868">
        <w:rPr>
          <w:color w:val="000000" w:themeColor="text1"/>
        </w:rPr>
        <w:t>* indicates that p&lt;0.005, and *** indicates that p&lt;0.001 compared with 3-negative</w:t>
      </w:r>
    </w:p>
    <w:p w14:paraId="42395374" w14:textId="59E7C165" w:rsidR="00650130" w:rsidRDefault="004871D4" w:rsidP="00E36AC2">
      <w:pPr>
        <w:spacing w:before="240" w:after="240"/>
        <w:rPr>
          <w:color w:val="000000" w:themeColor="text1"/>
        </w:rPr>
      </w:pPr>
      <w:r>
        <w:rPr>
          <w:b/>
          <w:bCs/>
          <w:color w:val="000000" w:themeColor="text1"/>
          <w:lang w:val="en-US"/>
        </w:rPr>
        <w:t>Supplementary Table 7</w:t>
      </w:r>
      <w:r w:rsidRPr="00AE069D">
        <w:rPr>
          <w:b/>
          <w:bCs/>
          <w:color w:val="000000" w:themeColor="text1"/>
        </w:rPr>
        <w:t xml:space="preserve">. </w:t>
      </w:r>
      <w:r w:rsidRPr="00AE069D">
        <w:rPr>
          <w:color w:val="000000" w:themeColor="text1"/>
          <w:lang w:val="en-US"/>
        </w:rPr>
        <w:t>E</w:t>
      </w:r>
      <w:r w:rsidRPr="00AE069D">
        <w:rPr>
          <w:color w:val="000000" w:themeColor="text1"/>
        </w:rPr>
        <w:t>stimated value for the average annual cost for 3-negative, 2-negative, and 1-negative policy for 201</w:t>
      </w:r>
      <w:r>
        <w:rPr>
          <w:color w:val="000000" w:themeColor="text1"/>
          <w:lang w:val="en-US"/>
        </w:rPr>
        <w:t>7</w:t>
      </w:r>
      <w:r w:rsidRPr="00AE069D">
        <w:rPr>
          <w:color w:val="000000" w:themeColor="text1"/>
        </w:rPr>
        <w:t xml:space="preserve">-2019 </w:t>
      </w:r>
      <w:r>
        <w:rPr>
          <w:color w:val="000000" w:themeColor="text1"/>
          <w:lang w:val="en-US"/>
        </w:rPr>
        <w:t xml:space="preserve">with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eff</m:t>
            </m:r>
          </m:sub>
        </m:sSub>
        <m:r>
          <w:rPr>
            <w:rFonts w:ascii="Cambria Math" w:hAnsi="Cambria Math"/>
            <w:color w:val="000000"/>
            <w:lang w:val="en-GB"/>
          </w:rPr>
          <m:t>=0.75</m:t>
        </m:r>
      </m:oMath>
      <w:r>
        <w:rPr>
          <w:color w:val="000000"/>
        </w:rPr>
        <w:t xml:space="preserve"> </w:t>
      </w:r>
      <w:r w:rsidRPr="00AE069D">
        <w:rPr>
          <w:color w:val="000000" w:themeColor="text1"/>
        </w:rPr>
        <w:t>via simulation (in USD)</w:t>
      </w:r>
    </w:p>
    <w:tbl>
      <w:tblPr>
        <w:tblStyle w:val="TableGrid"/>
        <w:tblW w:w="0" w:type="auto"/>
        <w:tblLook w:val="04A0" w:firstRow="1" w:lastRow="0" w:firstColumn="1" w:lastColumn="0" w:noHBand="0" w:noVBand="1"/>
      </w:tblPr>
      <w:tblGrid>
        <w:gridCol w:w="2258"/>
        <w:gridCol w:w="2088"/>
        <w:gridCol w:w="2088"/>
        <w:gridCol w:w="2088"/>
      </w:tblGrid>
      <w:tr w:rsidR="00E36AC2" w:rsidRPr="00AE069D" w14:paraId="746AC7A7" w14:textId="77777777" w:rsidTr="004B6AD6">
        <w:tc>
          <w:tcPr>
            <w:tcW w:w="2258" w:type="dxa"/>
          </w:tcPr>
          <w:p w14:paraId="26D4F0FA" w14:textId="77777777" w:rsidR="00E36AC2" w:rsidRPr="00AE069D" w:rsidRDefault="00E36AC2" w:rsidP="004B6AD6">
            <w:pPr>
              <w:pStyle w:val="NormalWeb"/>
              <w:spacing w:before="0" w:beforeAutospacing="0" w:after="0" w:afterAutospacing="0"/>
              <w:rPr>
                <w:color w:val="000000" w:themeColor="text1"/>
                <w:sz w:val="20"/>
                <w:szCs w:val="20"/>
                <w:lang w:val="en-US"/>
              </w:rPr>
            </w:pPr>
          </w:p>
        </w:tc>
        <w:tc>
          <w:tcPr>
            <w:tcW w:w="2088" w:type="dxa"/>
          </w:tcPr>
          <w:p w14:paraId="522D6F33"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3-negative</w:t>
            </w:r>
          </w:p>
        </w:tc>
        <w:tc>
          <w:tcPr>
            <w:tcW w:w="2088" w:type="dxa"/>
          </w:tcPr>
          <w:p w14:paraId="340FE333"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608BF60A"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1-negative</w:t>
            </w:r>
          </w:p>
        </w:tc>
      </w:tr>
      <w:tr w:rsidR="00E36AC2" w:rsidRPr="00AE069D" w14:paraId="0D03C039" w14:textId="77777777" w:rsidTr="004B6AD6">
        <w:tc>
          <w:tcPr>
            <w:tcW w:w="2258" w:type="dxa"/>
          </w:tcPr>
          <w:p w14:paraId="3F7A52B2" w14:textId="77777777" w:rsidR="00E36AC2" w:rsidRPr="00AE069D" w:rsidRDefault="00E36AC2"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cases</w:t>
            </w:r>
          </w:p>
        </w:tc>
        <w:tc>
          <w:tcPr>
            <w:tcW w:w="2088" w:type="dxa"/>
          </w:tcPr>
          <w:p w14:paraId="52C34869" w14:textId="6CDFACA0" w:rsidR="00E36AC2" w:rsidRPr="00AE069D" w:rsidRDefault="00E36AC2" w:rsidP="004B6AD6">
            <w:pPr>
              <w:pStyle w:val="NormalWeb"/>
              <w:rPr>
                <w:color w:val="000000" w:themeColor="text1"/>
              </w:rPr>
            </w:pPr>
            <w:r w:rsidRPr="00E36AC2">
              <w:rPr>
                <w:color w:val="000000" w:themeColor="text1"/>
                <w:sz w:val="20"/>
                <w:szCs w:val="20"/>
                <w:lang w:val="en-US"/>
              </w:rPr>
              <w:t>238 (95% CI: 199-280)</w:t>
            </w:r>
          </w:p>
        </w:tc>
        <w:tc>
          <w:tcPr>
            <w:tcW w:w="2088" w:type="dxa"/>
          </w:tcPr>
          <w:p w14:paraId="28BDC481" w14:textId="0439744B" w:rsidR="00E36AC2" w:rsidRPr="00AE069D" w:rsidRDefault="00E36AC2" w:rsidP="004B6AD6">
            <w:pPr>
              <w:pStyle w:val="NormalWeb"/>
              <w:spacing w:before="0" w:beforeAutospacing="0" w:after="0" w:afterAutospacing="0"/>
              <w:rPr>
                <w:color w:val="000000" w:themeColor="text1"/>
                <w:sz w:val="20"/>
                <w:szCs w:val="20"/>
              </w:rPr>
            </w:pPr>
            <w:r w:rsidRPr="00E36AC2">
              <w:rPr>
                <w:color w:val="000000" w:themeColor="text1"/>
                <w:sz w:val="20"/>
                <w:szCs w:val="20"/>
                <w:lang w:val="en-US"/>
              </w:rPr>
              <w:t>245 (95% CI: 208-287)</w:t>
            </w:r>
          </w:p>
        </w:tc>
        <w:tc>
          <w:tcPr>
            <w:tcW w:w="2088" w:type="dxa"/>
          </w:tcPr>
          <w:p w14:paraId="132852F8" w14:textId="3CDFFBD6" w:rsidR="00E36AC2" w:rsidRPr="00AE069D" w:rsidRDefault="00E36AC2" w:rsidP="004B6AD6">
            <w:pPr>
              <w:pStyle w:val="NormalWeb"/>
              <w:spacing w:before="0" w:beforeAutospacing="0" w:after="0" w:afterAutospacing="0"/>
              <w:rPr>
                <w:color w:val="000000" w:themeColor="text1"/>
                <w:sz w:val="20"/>
                <w:szCs w:val="20"/>
              </w:rPr>
            </w:pPr>
            <w:r w:rsidRPr="00E36AC2">
              <w:rPr>
                <w:color w:val="000000" w:themeColor="text1"/>
                <w:sz w:val="20"/>
                <w:szCs w:val="20"/>
                <w:lang w:val="en-US"/>
              </w:rPr>
              <w:t>258 (95% CI: 217-298)</w:t>
            </w:r>
          </w:p>
        </w:tc>
      </w:tr>
      <w:tr w:rsidR="00E36AC2" w:rsidRPr="00AE069D" w14:paraId="1B754B64" w14:textId="77777777" w:rsidTr="004B6AD6">
        <w:tc>
          <w:tcPr>
            <w:tcW w:w="2258" w:type="dxa"/>
          </w:tcPr>
          <w:p w14:paraId="63F21329" w14:textId="77777777" w:rsidR="00E36AC2" w:rsidRPr="00AE069D" w:rsidRDefault="00E36AC2"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infection cases</w:t>
            </w:r>
          </w:p>
        </w:tc>
        <w:tc>
          <w:tcPr>
            <w:tcW w:w="2088" w:type="dxa"/>
          </w:tcPr>
          <w:p w14:paraId="58D5FE89" w14:textId="542018D7" w:rsidR="00E36AC2" w:rsidRPr="00AE069D" w:rsidRDefault="00E36AC2" w:rsidP="004B6AD6">
            <w:pPr>
              <w:pStyle w:val="NormalWeb"/>
              <w:spacing w:before="0" w:beforeAutospacing="0" w:after="0" w:afterAutospacing="0"/>
              <w:rPr>
                <w:color w:val="000000" w:themeColor="text1"/>
                <w:sz w:val="20"/>
                <w:szCs w:val="20"/>
              </w:rPr>
            </w:pPr>
            <w:r w:rsidRPr="00E36AC2">
              <w:rPr>
                <w:color w:val="000000" w:themeColor="text1"/>
                <w:sz w:val="20"/>
                <w:szCs w:val="20"/>
                <w:lang w:val="en-US"/>
              </w:rPr>
              <w:t>26 (95% CI: 22-31)</w:t>
            </w:r>
          </w:p>
        </w:tc>
        <w:tc>
          <w:tcPr>
            <w:tcW w:w="2088" w:type="dxa"/>
          </w:tcPr>
          <w:p w14:paraId="2492A42A" w14:textId="560EF7DF" w:rsidR="00E36AC2" w:rsidRPr="00AE069D" w:rsidRDefault="00E36AC2" w:rsidP="004B6AD6">
            <w:pPr>
              <w:pStyle w:val="NormalWeb"/>
              <w:spacing w:before="0" w:beforeAutospacing="0" w:after="0" w:afterAutospacing="0"/>
              <w:rPr>
                <w:color w:val="000000" w:themeColor="text1"/>
                <w:sz w:val="20"/>
                <w:szCs w:val="20"/>
              </w:rPr>
            </w:pPr>
            <w:r w:rsidRPr="00E36AC2">
              <w:rPr>
                <w:color w:val="000000" w:themeColor="text1"/>
                <w:sz w:val="20"/>
                <w:szCs w:val="20"/>
                <w:lang w:val="en-US"/>
              </w:rPr>
              <w:t>27 (95% CI: 23-32)</w:t>
            </w:r>
          </w:p>
        </w:tc>
        <w:tc>
          <w:tcPr>
            <w:tcW w:w="2088" w:type="dxa"/>
          </w:tcPr>
          <w:p w14:paraId="28B0A34B" w14:textId="78BA7777" w:rsidR="00E36AC2" w:rsidRPr="00AE069D" w:rsidRDefault="00E36AC2" w:rsidP="004B6AD6">
            <w:pPr>
              <w:pStyle w:val="NormalWeb"/>
              <w:spacing w:before="0" w:beforeAutospacing="0" w:after="0" w:afterAutospacing="0"/>
              <w:rPr>
                <w:color w:val="000000" w:themeColor="text1"/>
                <w:sz w:val="20"/>
                <w:szCs w:val="20"/>
              </w:rPr>
            </w:pPr>
            <w:r w:rsidRPr="00E36AC2">
              <w:rPr>
                <w:color w:val="000000" w:themeColor="text1"/>
                <w:sz w:val="20"/>
                <w:szCs w:val="20"/>
                <w:lang w:val="en-US"/>
              </w:rPr>
              <w:t>29 (95% CI: 24-33)</w:t>
            </w:r>
          </w:p>
        </w:tc>
      </w:tr>
      <w:tr w:rsidR="00E36AC2" w:rsidRPr="00AE069D" w14:paraId="572668A1" w14:textId="77777777" w:rsidTr="004B6AD6">
        <w:tc>
          <w:tcPr>
            <w:tcW w:w="2258" w:type="dxa"/>
          </w:tcPr>
          <w:p w14:paraId="7DD9F851"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detected MRSA colonized cases</w:t>
            </w:r>
          </w:p>
        </w:tc>
        <w:tc>
          <w:tcPr>
            <w:tcW w:w="2088" w:type="dxa"/>
          </w:tcPr>
          <w:p w14:paraId="2E183616" w14:textId="418B7543"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212 (95% CI: 177-249)</w:t>
            </w:r>
          </w:p>
        </w:tc>
        <w:tc>
          <w:tcPr>
            <w:tcW w:w="2088" w:type="dxa"/>
          </w:tcPr>
          <w:p w14:paraId="71DFAACD" w14:textId="3FF3FDD0"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217 (95% CI: 185-255)</w:t>
            </w:r>
          </w:p>
        </w:tc>
        <w:tc>
          <w:tcPr>
            <w:tcW w:w="2088" w:type="dxa"/>
          </w:tcPr>
          <w:p w14:paraId="2CA87F3F" w14:textId="3176AE3B"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229 (95% CI: 193-265)</w:t>
            </w:r>
          </w:p>
        </w:tc>
      </w:tr>
      <w:tr w:rsidR="00E36AC2" w:rsidRPr="00AE069D" w14:paraId="460CC674" w14:textId="77777777" w:rsidTr="004B6AD6">
        <w:tc>
          <w:tcPr>
            <w:tcW w:w="2258" w:type="dxa"/>
          </w:tcPr>
          <w:p w14:paraId="7788D309"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w:t>
            </w:r>
          </w:p>
        </w:tc>
        <w:tc>
          <w:tcPr>
            <w:tcW w:w="2088" w:type="dxa"/>
          </w:tcPr>
          <w:p w14:paraId="5714E559" w14:textId="0D96F002"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1,056 (95% CI: 849-1,281)</w:t>
            </w:r>
          </w:p>
        </w:tc>
        <w:tc>
          <w:tcPr>
            <w:tcW w:w="2088" w:type="dxa"/>
          </w:tcPr>
          <w:p w14:paraId="57AF6285" w14:textId="0CD6BD8A"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1,034 (95% CI: 857-1,246)</w:t>
            </w:r>
          </w:p>
        </w:tc>
        <w:tc>
          <w:tcPr>
            <w:tcW w:w="2088" w:type="dxa"/>
          </w:tcPr>
          <w:p w14:paraId="7E636453" w14:textId="6CDF8B0B"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925 (95% CI: 751-1,119)</w:t>
            </w:r>
          </w:p>
        </w:tc>
      </w:tr>
      <w:tr w:rsidR="00E36AC2" w:rsidRPr="00AE069D" w14:paraId="76978DC7" w14:textId="77777777" w:rsidTr="004B6AD6">
        <w:tc>
          <w:tcPr>
            <w:tcW w:w="2258" w:type="dxa"/>
          </w:tcPr>
          <w:p w14:paraId="7326252E"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infections)</w:t>
            </w:r>
          </w:p>
        </w:tc>
        <w:tc>
          <w:tcPr>
            <w:tcW w:w="2088" w:type="dxa"/>
          </w:tcPr>
          <w:p w14:paraId="196D5C23" w14:textId="5895D71C"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117 (95% CI: 94-142)</w:t>
            </w:r>
          </w:p>
        </w:tc>
        <w:tc>
          <w:tcPr>
            <w:tcW w:w="2088" w:type="dxa"/>
          </w:tcPr>
          <w:p w14:paraId="13745919" w14:textId="7D220335"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115 (95% CI: 95-138)</w:t>
            </w:r>
          </w:p>
        </w:tc>
        <w:tc>
          <w:tcPr>
            <w:tcW w:w="2088" w:type="dxa"/>
          </w:tcPr>
          <w:p w14:paraId="718AD844" w14:textId="14B1A5BE"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103 (95% CI: 83-124)</w:t>
            </w:r>
          </w:p>
        </w:tc>
      </w:tr>
      <w:tr w:rsidR="00E36AC2" w:rsidRPr="00AE069D" w14:paraId="66D03F4D" w14:textId="77777777" w:rsidTr="004B6AD6">
        <w:tc>
          <w:tcPr>
            <w:tcW w:w="2258" w:type="dxa"/>
          </w:tcPr>
          <w:p w14:paraId="2F270CD8"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colonized)</w:t>
            </w:r>
          </w:p>
        </w:tc>
        <w:tc>
          <w:tcPr>
            <w:tcW w:w="2088" w:type="dxa"/>
          </w:tcPr>
          <w:p w14:paraId="0824968F" w14:textId="6DD33991"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939 (95% CI: 755-1,138)</w:t>
            </w:r>
          </w:p>
        </w:tc>
        <w:tc>
          <w:tcPr>
            <w:tcW w:w="2088" w:type="dxa"/>
          </w:tcPr>
          <w:p w14:paraId="7EB0A87D" w14:textId="46F49CE3"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919 (95% CI: 762-1,107)</w:t>
            </w:r>
          </w:p>
        </w:tc>
        <w:tc>
          <w:tcPr>
            <w:tcW w:w="2088" w:type="dxa"/>
          </w:tcPr>
          <w:p w14:paraId="5A3CBA9F" w14:textId="5AF88A04"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823 (95% CI: 667-995)</w:t>
            </w:r>
          </w:p>
        </w:tc>
      </w:tr>
      <w:tr w:rsidR="00E36AC2" w:rsidRPr="00AE069D" w14:paraId="2DEEE2F3" w14:textId="77777777" w:rsidTr="004B6AD6">
        <w:tc>
          <w:tcPr>
            <w:tcW w:w="2258" w:type="dxa"/>
          </w:tcPr>
          <w:p w14:paraId="5E194922"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treatment cost</w:t>
            </w:r>
          </w:p>
        </w:tc>
        <w:tc>
          <w:tcPr>
            <w:tcW w:w="2088" w:type="dxa"/>
          </w:tcPr>
          <w:p w14:paraId="0B17873B" w14:textId="51AA6EC7"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12,144 (95% CI: 10,157-14,272)</w:t>
            </w:r>
          </w:p>
        </w:tc>
        <w:tc>
          <w:tcPr>
            <w:tcW w:w="2088" w:type="dxa"/>
          </w:tcPr>
          <w:p w14:paraId="20AB88CD" w14:textId="53A1FE36"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12,465 (95% CI: 10,599-14,636)</w:t>
            </w:r>
          </w:p>
        </w:tc>
        <w:tc>
          <w:tcPr>
            <w:tcW w:w="2088" w:type="dxa"/>
          </w:tcPr>
          <w:p w14:paraId="6FABD3F2" w14:textId="5F5296EE"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13,155 (95% CI: 11,083-15,207)</w:t>
            </w:r>
          </w:p>
        </w:tc>
      </w:tr>
      <w:tr w:rsidR="00E36AC2" w:rsidRPr="00AE069D" w14:paraId="7E50D9B6" w14:textId="77777777" w:rsidTr="004B6AD6">
        <w:tc>
          <w:tcPr>
            <w:tcW w:w="2258" w:type="dxa"/>
          </w:tcPr>
          <w:p w14:paraId="40855DD1"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treatment cost</w:t>
            </w:r>
          </w:p>
        </w:tc>
        <w:tc>
          <w:tcPr>
            <w:tcW w:w="2088" w:type="dxa"/>
          </w:tcPr>
          <w:p w14:paraId="576CF716" w14:textId="4E98878C"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92,335 (95% CI: 77,230-108,521)</w:t>
            </w:r>
          </w:p>
        </w:tc>
        <w:tc>
          <w:tcPr>
            <w:tcW w:w="2088" w:type="dxa"/>
          </w:tcPr>
          <w:p w14:paraId="0A4FF0DF" w14:textId="5DB210EA"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94,780 (95% CI: 80,588-111,289)</w:t>
            </w:r>
          </w:p>
        </w:tc>
        <w:tc>
          <w:tcPr>
            <w:tcW w:w="2088" w:type="dxa"/>
          </w:tcPr>
          <w:p w14:paraId="37D84160" w14:textId="28FD7067"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100,028 (95% CI: 84,273-115,625)</w:t>
            </w:r>
          </w:p>
        </w:tc>
      </w:tr>
      <w:tr w:rsidR="00E36AC2" w:rsidRPr="00AE069D" w14:paraId="1458F1DF" w14:textId="77777777" w:rsidTr="004B6AD6">
        <w:tc>
          <w:tcPr>
            <w:tcW w:w="2258" w:type="dxa"/>
          </w:tcPr>
          <w:p w14:paraId="7EBD1326"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precaution cost</w:t>
            </w:r>
          </w:p>
        </w:tc>
        <w:tc>
          <w:tcPr>
            <w:tcW w:w="2088" w:type="dxa"/>
          </w:tcPr>
          <w:p w14:paraId="369498B5" w14:textId="4FA28973"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247,460 (95% CI: 199,033-300,067)</w:t>
            </w:r>
          </w:p>
        </w:tc>
        <w:tc>
          <w:tcPr>
            <w:tcW w:w="2088" w:type="dxa"/>
          </w:tcPr>
          <w:p w14:paraId="7DB333FD" w14:textId="7D35EF06"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242,311 (95% CI: 200,735-291,862)</w:t>
            </w:r>
          </w:p>
        </w:tc>
        <w:tc>
          <w:tcPr>
            <w:tcW w:w="2088" w:type="dxa"/>
          </w:tcPr>
          <w:p w14:paraId="5EDE61C0" w14:textId="1B98C795"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216,818 (95% CI: 175,877-262,203)</w:t>
            </w:r>
          </w:p>
        </w:tc>
      </w:tr>
      <w:tr w:rsidR="00E36AC2" w:rsidRPr="00AE069D" w14:paraId="0CB34A3B" w14:textId="77777777" w:rsidTr="004B6AD6">
        <w:tc>
          <w:tcPr>
            <w:tcW w:w="2258" w:type="dxa"/>
          </w:tcPr>
          <w:p w14:paraId="3343B9CD"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lastRenderedPageBreak/>
              <w:t>MRSA colonized cases precaution cost</w:t>
            </w:r>
          </w:p>
        </w:tc>
        <w:tc>
          <w:tcPr>
            <w:tcW w:w="2088" w:type="dxa"/>
          </w:tcPr>
          <w:p w14:paraId="483BB361" w14:textId="5B2AD442"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378,919 (95% CI: 304,765-459,472)</w:t>
            </w:r>
          </w:p>
        </w:tc>
        <w:tc>
          <w:tcPr>
            <w:tcW w:w="2088" w:type="dxa"/>
          </w:tcPr>
          <w:p w14:paraId="355D7C23" w14:textId="12E994D0"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371,035 (95% CI: 307,372-446,909)</w:t>
            </w:r>
          </w:p>
        </w:tc>
        <w:tc>
          <w:tcPr>
            <w:tcW w:w="2088" w:type="dxa"/>
          </w:tcPr>
          <w:p w14:paraId="5E7013C5" w14:textId="09F9F467"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331,998 (95% CI: 269,308-401,493)</w:t>
            </w:r>
          </w:p>
        </w:tc>
      </w:tr>
      <w:tr w:rsidR="00E36AC2" w:rsidRPr="00AE069D" w14:paraId="7617D783" w14:textId="77777777" w:rsidTr="004B6AD6">
        <w:tc>
          <w:tcPr>
            <w:tcW w:w="2258" w:type="dxa"/>
          </w:tcPr>
          <w:p w14:paraId="55336EDB"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Total cost</w:t>
            </w:r>
          </w:p>
        </w:tc>
        <w:tc>
          <w:tcPr>
            <w:tcW w:w="2088" w:type="dxa"/>
          </w:tcPr>
          <w:p w14:paraId="3130B4F5" w14:textId="1A5DD651"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730,839 (95% CI: 591,169-882,310)</w:t>
            </w:r>
          </w:p>
        </w:tc>
        <w:tc>
          <w:tcPr>
            <w:tcW w:w="2088" w:type="dxa"/>
          </w:tcPr>
          <w:p w14:paraId="349AD5F9" w14:textId="4222C08D"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720,571 (95% CI: 599,278-864,673)</w:t>
            </w:r>
            <w:r>
              <w:rPr>
                <w:color w:val="000000" w:themeColor="text1"/>
                <w:sz w:val="20"/>
                <w:szCs w:val="20"/>
                <w:lang w:val="en-US"/>
              </w:rPr>
              <w:t>**</w:t>
            </w:r>
          </w:p>
        </w:tc>
        <w:tc>
          <w:tcPr>
            <w:tcW w:w="2088" w:type="dxa"/>
          </w:tcPr>
          <w:p w14:paraId="330F896D" w14:textId="494C94D6" w:rsidR="00E36AC2" w:rsidRPr="00B25868" w:rsidRDefault="00E36AC2" w:rsidP="004B6AD6">
            <w:pPr>
              <w:pStyle w:val="NormalWeb"/>
              <w:spacing w:before="0" w:beforeAutospacing="0" w:after="0" w:afterAutospacing="0"/>
              <w:rPr>
                <w:color w:val="000000" w:themeColor="text1"/>
                <w:sz w:val="20"/>
                <w:szCs w:val="20"/>
                <w:lang w:val="en-US"/>
              </w:rPr>
            </w:pPr>
            <w:r w:rsidRPr="00E36AC2">
              <w:rPr>
                <w:color w:val="000000" w:themeColor="text1"/>
                <w:sz w:val="20"/>
                <w:szCs w:val="20"/>
                <w:lang w:val="en-US"/>
              </w:rPr>
              <w:t>661,979 (95% CI: 540,524-794,503)</w:t>
            </w:r>
            <w:r>
              <w:rPr>
                <w:color w:val="000000" w:themeColor="text1"/>
                <w:sz w:val="20"/>
                <w:szCs w:val="20"/>
                <w:lang w:val="en-US"/>
              </w:rPr>
              <w:t>***</w:t>
            </w:r>
          </w:p>
        </w:tc>
      </w:tr>
    </w:tbl>
    <w:p w14:paraId="7477744A" w14:textId="429966EF" w:rsidR="00E36AC2" w:rsidRPr="00AE069D" w:rsidRDefault="00E36AC2" w:rsidP="00A920FF">
      <w:pPr>
        <w:spacing w:line="480" w:lineRule="auto"/>
        <w:rPr>
          <w:color w:val="000000" w:themeColor="text1"/>
        </w:rPr>
      </w:pPr>
      <w:r w:rsidRPr="00AE069D">
        <w:rPr>
          <w:color w:val="000000" w:themeColor="text1"/>
        </w:rPr>
        <w:t>*</w:t>
      </w:r>
      <w:r w:rsidRPr="00B25868">
        <w:rPr>
          <w:color w:val="000000" w:themeColor="text1"/>
        </w:rPr>
        <w:t>* indicates that p&lt;0.005, and *** indicates that p&lt;0.001 compared with 3-negative</w:t>
      </w:r>
    </w:p>
    <w:p w14:paraId="50024C3C" w14:textId="271FFCBB" w:rsidR="00650130" w:rsidRPr="00AE069D" w:rsidRDefault="004871D4" w:rsidP="00A920FF">
      <w:pPr>
        <w:spacing w:line="480" w:lineRule="auto"/>
        <w:rPr>
          <w:color w:val="000000" w:themeColor="text1"/>
        </w:rPr>
      </w:pPr>
      <w:r>
        <w:rPr>
          <w:color w:val="000000"/>
        </w:rPr>
        <w:t xml:space="preserve">We also perform another analysis by assuming that the </w:t>
      </w:r>
      <w:r w:rsidR="009A09FC">
        <w:rPr>
          <w:color w:val="000000"/>
          <w:lang w:val="en-US"/>
        </w:rPr>
        <w:t xml:space="preserve">disinfection (e.g., </w:t>
      </w:r>
      <w:r>
        <w:rPr>
          <w:color w:val="000000"/>
        </w:rPr>
        <w:t>cleaning practices</w:t>
      </w:r>
      <w:r w:rsidR="009A09FC">
        <w:rPr>
          <w:color w:val="000000"/>
          <w:lang w:val="en-US"/>
        </w:rPr>
        <w:t>)</w:t>
      </w:r>
      <w:r>
        <w:rPr>
          <w:color w:val="000000"/>
        </w:rPr>
        <w:t xml:space="preserve"> are also used during the contact precaution process, which will reduce the pathogen load on patients under contact precaution by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disinfection</m:t>
            </m:r>
          </m:sub>
        </m:sSub>
      </m:oMath>
      <w:r>
        <w:rPr>
          <w:color w:val="000000"/>
        </w:rPr>
        <w:t xml:space="preserve"> every day. Following the previous studies, we have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disinfection</m:t>
            </m:r>
          </m:sub>
        </m:sSub>
        <m:r>
          <w:rPr>
            <w:rFonts w:ascii="Cambria Math" w:hAnsi="Cambria Math"/>
            <w:color w:val="000000"/>
            <w:lang w:val="en-GB"/>
          </w:rPr>
          <m:t>=0.84</m:t>
        </m:r>
      </m:oMath>
      <w:r w:rsidR="002A6A1C">
        <w:rPr>
          <w:color w:val="000000"/>
          <w:lang w:val="en-US"/>
        </w:rPr>
        <w:t>.</w:t>
      </w:r>
      <w:r w:rsidR="006E7264">
        <w:rPr>
          <w:color w:val="000000"/>
          <w:lang w:val="en-US"/>
        </w:rPr>
        <w:fldChar w:fldCharType="begin"/>
      </w:r>
      <w:r w:rsidR="006E7264">
        <w:rPr>
          <w:color w:val="000000"/>
          <w:lang w:val="en-US"/>
        </w:rPr>
        <w:instrText xml:space="preserve"> ADDIN EN.CITE &lt;EndNote&gt;&lt;Cite&gt;&lt;Author&gt;Khader&lt;/Author&gt;&lt;Year&gt;2021&lt;/Year&gt;&lt;RecNum&gt;49&lt;/RecNum&gt;&lt;DisplayText&gt;&lt;style face="superscript"&gt;14&lt;/style&gt;&lt;/DisplayText&gt;&lt;record&gt;&lt;rec-number&gt;49&lt;/rec-number&gt;&lt;foreign-keys&gt;&lt;key app="EN" db-id="2a5p0tfvft9vskee0acxxxrwwvz2f5zavped" timestamp="1698214910"&gt;49&lt;/key&gt;&lt;/foreign-keys&gt;&lt;ref-type name="Journal Article"&gt;17&lt;/ref-type&gt;&lt;contributors&gt;&lt;authors&gt;&lt;author&gt;Khader, Karim&lt;/author&gt;&lt;author&gt;Thomas, Alun&lt;/author&gt;&lt;author&gt;Huskins, W Charles&lt;/author&gt;&lt;author&gt;Stevens, Vanessa&lt;/author&gt;&lt;author&gt;Keegan, Lindsay T&lt;/author&gt;&lt;author&gt;Visnovsky, Lindsay&lt;/author&gt;&lt;author&gt;Samore, Matthew H&lt;/author&gt;&lt;/authors&gt;&lt;/contributors&gt;&lt;titles&gt;&lt;title&gt;Effectiveness of contact precautions to prevent transmission of methicillin-resistant Staphylococcus aureus and vancomycin-resistant enterococci in intensive care units&lt;/title&gt;&lt;secondary-title&gt;Clinical Infectious Diseases&lt;/secondary-title&gt;&lt;/titles&gt;&lt;periodical&gt;&lt;full-title&gt;Clinical Infectious Diseases&lt;/full-title&gt;&lt;/periodical&gt;&lt;pages&gt;S42-S49&lt;/pages&gt;&lt;volume&gt;72&lt;/volume&gt;&lt;number&gt;Supplement_1&lt;/number&gt;&lt;dates&gt;&lt;year&gt;2021&lt;/year&gt;&lt;/dates&gt;&lt;isbn&gt;1058-4838&lt;/isbn&gt;&lt;urls&gt;&lt;/urls&gt;&lt;/record&gt;&lt;/Cite&gt;&lt;/EndNote&gt;</w:instrText>
      </w:r>
      <w:r w:rsidR="006E7264">
        <w:rPr>
          <w:color w:val="000000"/>
          <w:lang w:val="en-US"/>
        </w:rPr>
        <w:fldChar w:fldCharType="separate"/>
      </w:r>
      <w:r w:rsidR="006E7264" w:rsidRPr="006E7264">
        <w:rPr>
          <w:noProof/>
          <w:color w:val="000000"/>
          <w:vertAlign w:val="superscript"/>
          <w:lang w:val="en-US"/>
        </w:rPr>
        <w:t>14</w:t>
      </w:r>
      <w:r w:rsidR="006E7264">
        <w:rPr>
          <w:color w:val="000000"/>
          <w:lang w:val="en-US"/>
        </w:rPr>
        <w:fldChar w:fldCharType="end"/>
      </w:r>
      <w:r>
        <w:rPr>
          <w:color w:val="000000"/>
        </w:rPr>
        <w:t xml:space="preserve"> Therefore, we run the new experiments with other parameters fixed (same as calibration results, including the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edge</m:t>
            </m:r>
          </m:sub>
        </m:sSub>
      </m:oMath>
      <w:r>
        <w:rPr>
          <w:color w:val="000000"/>
        </w:rPr>
        <w:t xml:space="preserve">) and add the clearing practice into modeling by assuming </w:t>
      </w:r>
      <m:oMath>
        <m:sSub>
          <m:sSubPr>
            <m:ctrlPr>
              <w:rPr>
                <w:rFonts w:ascii="Cambria Math" w:hAnsi="Cambria Math"/>
                <w:i/>
                <w:color w:val="000000"/>
                <w:lang w:val="en-GB"/>
              </w:rPr>
            </m:ctrlPr>
          </m:sSubPr>
          <m:e>
            <m:r>
              <w:rPr>
                <w:rFonts w:ascii="Cambria Math" w:hAnsi="Cambria Math"/>
                <w:color w:val="000000"/>
              </w:rPr>
              <m:t>φ</m:t>
            </m:r>
          </m:e>
          <m:sub>
            <m:r>
              <w:rPr>
                <w:rFonts w:ascii="Cambria Math" w:hAnsi="Cambria Math"/>
                <w:color w:val="000000"/>
              </w:rPr>
              <m:t>disinfection</m:t>
            </m:r>
          </m:sub>
        </m:sSub>
        <m:r>
          <w:rPr>
            <w:rFonts w:ascii="Cambria Math" w:hAnsi="Cambria Math"/>
            <w:color w:val="000000"/>
            <w:lang w:val="en-GB"/>
          </w:rPr>
          <m:t>=0.84</m:t>
        </m:r>
      </m:oMath>
      <w:r>
        <w:rPr>
          <w:color w:val="000000"/>
        </w:rPr>
        <w:t>. Results are shown in Supplementary Table 8. Specifically, with the cleaning practice, although both the number of detected MRSA cases and precaution days are decreasing for all policies, the 1-negative policy still consistently outperforms the current 3-negative policy in total cost.</w:t>
      </w:r>
    </w:p>
    <w:p w14:paraId="3F3318FE" w14:textId="424160D4" w:rsidR="004871D4" w:rsidRPr="00AE069D" w:rsidRDefault="004871D4" w:rsidP="004871D4">
      <w:pPr>
        <w:spacing w:before="240" w:after="240"/>
        <w:rPr>
          <w:color w:val="000000" w:themeColor="text1"/>
        </w:rPr>
      </w:pPr>
      <w:r>
        <w:rPr>
          <w:b/>
          <w:bCs/>
          <w:color w:val="000000" w:themeColor="text1"/>
          <w:lang w:val="en-US"/>
        </w:rPr>
        <w:t>Supplementary Table 8</w:t>
      </w:r>
      <w:r w:rsidRPr="00AE069D">
        <w:rPr>
          <w:b/>
          <w:bCs/>
          <w:color w:val="000000" w:themeColor="text1"/>
        </w:rPr>
        <w:t xml:space="preserve">. </w:t>
      </w:r>
      <w:r w:rsidRPr="00AE069D">
        <w:rPr>
          <w:color w:val="000000" w:themeColor="text1"/>
          <w:lang w:val="en-US"/>
        </w:rPr>
        <w:t>E</w:t>
      </w:r>
      <w:r w:rsidRPr="00AE069D">
        <w:rPr>
          <w:color w:val="000000" w:themeColor="text1"/>
        </w:rPr>
        <w:t>stimated value for the average annual cost for 3-negative, 2-negative, and 1-negative policy for 201</w:t>
      </w:r>
      <w:r>
        <w:rPr>
          <w:color w:val="000000" w:themeColor="text1"/>
          <w:lang w:val="en-US"/>
        </w:rPr>
        <w:t>7</w:t>
      </w:r>
      <w:r w:rsidRPr="00AE069D">
        <w:rPr>
          <w:color w:val="000000" w:themeColor="text1"/>
        </w:rPr>
        <w:t xml:space="preserve">-2019 </w:t>
      </w:r>
      <w:r>
        <w:rPr>
          <w:color w:val="000000" w:themeColor="text1"/>
          <w:lang w:val="en-US"/>
        </w:rPr>
        <w:t xml:space="preserve">with cleaning practice </w:t>
      </w:r>
      <w:r w:rsidRPr="00AE069D">
        <w:rPr>
          <w:color w:val="000000" w:themeColor="text1"/>
        </w:rPr>
        <w:t>via simulation (in USD)</w:t>
      </w:r>
    </w:p>
    <w:tbl>
      <w:tblPr>
        <w:tblStyle w:val="TableGrid"/>
        <w:tblW w:w="0" w:type="auto"/>
        <w:tblLook w:val="04A0" w:firstRow="1" w:lastRow="0" w:firstColumn="1" w:lastColumn="0" w:noHBand="0" w:noVBand="1"/>
      </w:tblPr>
      <w:tblGrid>
        <w:gridCol w:w="2258"/>
        <w:gridCol w:w="2088"/>
        <w:gridCol w:w="2088"/>
        <w:gridCol w:w="2088"/>
      </w:tblGrid>
      <w:tr w:rsidR="004871D4" w:rsidRPr="00AE069D" w14:paraId="16202696" w14:textId="77777777" w:rsidTr="00E86679">
        <w:tc>
          <w:tcPr>
            <w:tcW w:w="2258" w:type="dxa"/>
          </w:tcPr>
          <w:p w14:paraId="26529EE4" w14:textId="77777777" w:rsidR="004871D4" w:rsidRPr="00AE069D" w:rsidRDefault="004871D4" w:rsidP="00E86679">
            <w:pPr>
              <w:pStyle w:val="NormalWeb"/>
              <w:spacing w:before="0" w:beforeAutospacing="0" w:after="0" w:afterAutospacing="0"/>
              <w:rPr>
                <w:color w:val="000000" w:themeColor="text1"/>
                <w:sz w:val="20"/>
                <w:szCs w:val="20"/>
                <w:lang w:val="en-US"/>
              </w:rPr>
            </w:pPr>
          </w:p>
        </w:tc>
        <w:tc>
          <w:tcPr>
            <w:tcW w:w="2088" w:type="dxa"/>
          </w:tcPr>
          <w:p w14:paraId="4AA669C5" w14:textId="77777777" w:rsidR="004871D4" w:rsidRPr="00AE069D" w:rsidRDefault="004871D4" w:rsidP="00E86679">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3-negative</w:t>
            </w:r>
          </w:p>
        </w:tc>
        <w:tc>
          <w:tcPr>
            <w:tcW w:w="2088" w:type="dxa"/>
          </w:tcPr>
          <w:p w14:paraId="6D347558" w14:textId="77777777" w:rsidR="004871D4" w:rsidRPr="00AE069D" w:rsidRDefault="004871D4" w:rsidP="00E86679">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10869573" w14:textId="77777777" w:rsidR="004871D4" w:rsidRPr="00AE069D" w:rsidRDefault="004871D4" w:rsidP="00E86679">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1-negative</w:t>
            </w:r>
          </w:p>
        </w:tc>
      </w:tr>
      <w:tr w:rsidR="004871D4" w:rsidRPr="00AE069D" w14:paraId="39329F4D" w14:textId="77777777" w:rsidTr="00E86679">
        <w:tc>
          <w:tcPr>
            <w:tcW w:w="2258" w:type="dxa"/>
          </w:tcPr>
          <w:p w14:paraId="6A74F8BE" w14:textId="77777777" w:rsidR="004871D4" w:rsidRPr="00AE069D" w:rsidRDefault="004871D4" w:rsidP="004871D4">
            <w:pPr>
              <w:pStyle w:val="NormalWeb"/>
              <w:spacing w:before="0" w:beforeAutospacing="0" w:after="0" w:afterAutospacing="0"/>
              <w:rPr>
                <w:color w:val="000000" w:themeColor="text1"/>
                <w:sz w:val="20"/>
                <w:szCs w:val="20"/>
              </w:rPr>
            </w:pPr>
            <w:r w:rsidRPr="00AE069D">
              <w:rPr>
                <w:color w:val="000000" w:themeColor="text1"/>
                <w:sz w:val="20"/>
                <w:szCs w:val="20"/>
              </w:rPr>
              <w:t xml:space="preserve">Number of </w:t>
            </w:r>
            <w:r w:rsidRPr="00AE069D">
              <w:rPr>
                <w:color w:val="000000" w:themeColor="text1"/>
                <w:sz w:val="20"/>
                <w:szCs w:val="20"/>
                <w:lang w:val="en-US"/>
              </w:rPr>
              <w:t xml:space="preserve">detected </w:t>
            </w:r>
            <w:r w:rsidRPr="00AE069D">
              <w:rPr>
                <w:color w:val="000000" w:themeColor="text1"/>
                <w:sz w:val="20"/>
                <w:szCs w:val="20"/>
              </w:rPr>
              <w:t>MRSA cases</w:t>
            </w:r>
          </w:p>
        </w:tc>
        <w:tc>
          <w:tcPr>
            <w:tcW w:w="2088" w:type="dxa"/>
          </w:tcPr>
          <w:p w14:paraId="24779054" w14:textId="157E7865" w:rsidR="004871D4" w:rsidRPr="00AE069D" w:rsidRDefault="004871D4" w:rsidP="004871D4">
            <w:pPr>
              <w:pStyle w:val="NormalWeb"/>
              <w:rPr>
                <w:color w:val="000000" w:themeColor="text1"/>
              </w:rPr>
            </w:pPr>
            <w:r>
              <w:rPr>
                <w:color w:val="000000"/>
                <w:sz w:val="20"/>
                <w:szCs w:val="20"/>
              </w:rPr>
              <w:t>229 (95% CI: 176-266)</w:t>
            </w:r>
          </w:p>
        </w:tc>
        <w:tc>
          <w:tcPr>
            <w:tcW w:w="2088" w:type="dxa"/>
          </w:tcPr>
          <w:p w14:paraId="19E8B14C" w14:textId="73EE94EE" w:rsidR="004871D4" w:rsidRPr="00AE069D" w:rsidRDefault="004871D4" w:rsidP="004871D4">
            <w:pPr>
              <w:pStyle w:val="NormalWeb"/>
              <w:spacing w:before="0" w:beforeAutospacing="0" w:after="0" w:afterAutospacing="0"/>
              <w:rPr>
                <w:color w:val="000000" w:themeColor="text1"/>
                <w:sz w:val="20"/>
                <w:szCs w:val="20"/>
              </w:rPr>
            </w:pPr>
            <w:r>
              <w:rPr>
                <w:color w:val="000000"/>
                <w:sz w:val="20"/>
                <w:szCs w:val="20"/>
              </w:rPr>
              <w:t>236 (95% CI: 200-277)</w:t>
            </w:r>
          </w:p>
        </w:tc>
        <w:tc>
          <w:tcPr>
            <w:tcW w:w="2088" w:type="dxa"/>
          </w:tcPr>
          <w:p w14:paraId="0EE66EBA" w14:textId="5D0F6AFA" w:rsidR="004871D4" w:rsidRPr="00AE069D" w:rsidRDefault="004871D4" w:rsidP="004871D4">
            <w:pPr>
              <w:pStyle w:val="NormalWeb"/>
              <w:spacing w:before="0" w:beforeAutospacing="0" w:after="0" w:afterAutospacing="0"/>
              <w:rPr>
                <w:color w:val="000000" w:themeColor="text1"/>
                <w:sz w:val="20"/>
                <w:szCs w:val="20"/>
              </w:rPr>
            </w:pPr>
            <w:r>
              <w:rPr>
                <w:color w:val="000000"/>
                <w:sz w:val="20"/>
                <w:szCs w:val="20"/>
              </w:rPr>
              <w:t>247 (95% CI: 209-287)</w:t>
            </w:r>
          </w:p>
        </w:tc>
      </w:tr>
      <w:tr w:rsidR="004871D4" w:rsidRPr="00AE069D" w14:paraId="1E982433" w14:textId="77777777" w:rsidTr="00E86679">
        <w:tc>
          <w:tcPr>
            <w:tcW w:w="2258" w:type="dxa"/>
          </w:tcPr>
          <w:p w14:paraId="66161C9F" w14:textId="77777777" w:rsidR="004871D4" w:rsidRPr="00AE069D" w:rsidRDefault="004871D4" w:rsidP="004871D4">
            <w:pPr>
              <w:pStyle w:val="NormalWeb"/>
              <w:spacing w:before="0" w:beforeAutospacing="0" w:after="0" w:afterAutospacing="0"/>
              <w:rPr>
                <w:color w:val="000000" w:themeColor="text1"/>
                <w:sz w:val="20"/>
                <w:szCs w:val="20"/>
              </w:rPr>
            </w:pPr>
            <w:r w:rsidRPr="00AE069D">
              <w:rPr>
                <w:color w:val="000000" w:themeColor="text1"/>
                <w:sz w:val="20"/>
                <w:szCs w:val="20"/>
              </w:rPr>
              <w:t>Number of precaution days</w:t>
            </w:r>
          </w:p>
        </w:tc>
        <w:tc>
          <w:tcPr>
            <w:tcW w:w="2088" w:type="dxa"/>
          </w:tcPr>
          <w:p w14:paraId="7954DCD2" w14:textId="44114305" w:rsidR="004871D4" w:rsidRPr="00AE069D" w:rsidRDefault="004871D4" w:rsidP="004871D4">
            <w:pPr>
              <w:pStyle w:val="NormalWeb"/>
              <w:spacing w:before="0" w:beforeAutospacing="0" w:after="0" w:afterAutospacing="0"/>
              <w:rPr>
                <w:color w:val="000000" w:themeColor="text1"/>
                <w:sz w:val="20"/>
                <w:szCs w:val="20"/>
              </w:rPr>
            </w:pPr>
            <w:r>
              <w:rPr>
                <w:color w:val="000000"/>
                <w:sz w:val="20"/>
                <w:szCs w:val="20"/>
              </w:rPr>
              <w:t>1,002 (95% CI: 824-1,208)</w:t>
            </w:r>
          </w:p>
        </w:tc>
        <w:tc>
          <w:tcPr>
            <w:tcW w:w="2088" w:type="dxa"/>
          </w:tcPr>
          <w:p w14:paraId="47A8550E" w14:textId="48C8F3CA" w:rsidR="004871D4" w:rsidRPr="00AE069D" w:rsidRDefault="004871D4" w:rsidP="004871D4">
            <w:pPr>
              <w:pStyle w:val="NormalWeb"/>
              <w:spacing w:before="0" w:beforeAutospacing="0" w:after="0" w:afterAutospacing="0"/>
              <w:rPr>
                <w:color w:val="000000" w:themeColor="text1"/>
                <w:sz w:val="20"/>
                <w:szCs w:val="20"/>
              </w:rPr>
            </w:pPr>
            <w:r>
              <w:rPr>
                <w:color w:val="000000"/>
                <w:sz w:val="20"/>
                <w:szCs w:val="20"/>
              </w:rPr>
              <w:t>985 (95% CI: 801-1,193)</w:t>
            </w:r>
          </w:p>
        </w:tc>
        <w:tc>
          <w:tcPr>
            <w:tcW w:w="2088" w:type="dxa"/>
          </w:tcPr>
          <w:p w14:paraId="1FD3E22A" w14:textId="45CC4E93" w:rsidR="004871D4" w:rsidRPr="00AE069D" w:rsidRDefault="004871D4" w:rsidP="004871D4">
            <w:pPr>
              <w:pStyle w:val="NormalWeb"/>
              <w:spacing w:before="0" w:beforeAutospacing="0" w:after="0" w:afterAutospacing="0"/>
              <w:rPr>
                <w:color w:val="000000" w:themeColor="text1"/>
                <w:sz w:val="20"/>
                <w:szCs w:val="20"/>
              </w:rPr>
            </w:pPr>
            <w:r>
              <w:rPr>
                <w:color w:val="000000"/>
                <w:sz w:val="20"/>
                <w:szCs w:val="20"/>
              </w:rPr>
              <w:t>872 (95% CI: 710-1,059)</w:t>
            </w:r>
          </w:p>
        </w:tc>
      </w:tr>
      <w:tr w:rsidR="004871D4" w:rsidRPr="00AE069D" w14:paraId="333AE7BD" w14:textId="77777777" w:rsidTr="00E86679">
        <w:tc>
          <w:tcPr>
            <w:tcW w:w="2258" w:type="dxa"/>
          </w:tcPr>
          <w:p w14:paraId="4DB1822E" w14:textId="77777777" w:rsidR="004871D4" w:rsidRPr="00AE069D" w:rsidRDefault="004871D4" w:rsidP="004871D4">
            <w:pPr>
              <w:pStyle w:val="NormalWeb"/>
              <w:spacing w:before="0" w:beforeAutospacing="0" w:after="0" w:afterAutospacing="0"/>
              <w:rPr>
                <w:color w:val="000000" w:themeColor="text1"/>
                <w:sz w:val="20"/>
                <w:szCs w:val="20"/>
              </w:rPr>
            </w:pPr>
            <w:r w:rsidRPr="00AE069D">
              <w:rPr>
                <w:color w:val="000000" w:themeColor="text1"/>
                <w:sz w:val="20"/>
                <w:szCs w:val="20"/>
              </w:rPr>
              <w:t xml:space="preserve">MRSA </w:t>
            </w:r>
            <w:r w:rsidRPr="00AE069D">
              <w:rPr>
                <w:color w:val="000000" w:themeColor="text1"/>
                <w:sz w:val="20"/>
                <w:szCs w:val="20"/>
                <w:lang w:val="en-US"/>
              </w:rPr>
              <w:t xml:space="preserve">detected </w:t>
            </w:r>
            <w:r w:rsidRPr="00AE069D">
              <w:rPr>
                <w:color w:val="000000" w:themeColor="text1"/>
                <w:sz w:val="20"/>
                <w:szCs w:val="20"/>
              </w:rPr>
              <w:t>cases cost</w:t>
            </w:r>
          </w:p>
        </w:tc>
        <w:tc>
          <w:tcPr>
            <w:tcW w:w="2088" w:type="dxa"/>
          </w:tcPr>
          <w:p w14:paraId="2DDC0DC2" w14:textId="586D604C"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236</w:t>
            </w:r>
            <w:r w:rsidR="00863756">
              <w:rPr>
                <w:color w:val="000000"/>
                <w:sz w:val="20"/>
                <w:szCs w:val="20"/>
              </w:rPr>
              <w:t>,</w:t>
            </w:r>
            <w:r w:rsidRPr="00DA5BDB">
              <w:rPr>
                <w:color w:val="000000"/>
                <w:sz w:val="20"/>
                <w:szCs w:val="20"/>
              </w:rPr>
              <w:t>66</w:t>
            </w:r>
            <w:r>
              <w:rPr>
                <w:color w:val="000000"/>
                <w:sz w:val="20"/>
                <w:szCs w:val="20"/>
              </w:rPr>
              <w:t>2</w:t>
            </w:r>
            <w:r w:rsidRPr="00DA5BDB">
              <w:rPr>
                <w:color w:val="000000"/>
                <w:sz w:val="20"/>
                <w:szCs w:val="20"/>
              </w:rPr>
              <w:t xml:space="preserve"> </w:t>
            </w:r>
            <w:r w:rsidR="004871D4">
              <w:rPr>
                <w:color w:val="000000"/>
                <w:sz w:val="20"/>
                <w:szCs w:val="20"/>
              </w:rPr>
              <w:t>(95% CI:</w:t>
            </w:r>
            <w:r>
              <w:t xml:space="preserve"> </w:t>
            </w:r>
            <w:r w:rsidRPr="00DA5BDB">
              <w:rPr>
                <w:color w:val="000000"/>
                <w:sz w:val="20"/>
                <w:szCs w:val="20"/>
              </w:rPr>
              <w:t>202</w:t>
            </w:r>
            <w:r w:rsidR="00863756">
              <w:rPr>
                <w:color w:val="000000"/>
                <w:sz w:val="20"/>
                <w:szCs w:val="20"/>
              </w:rPr>
              <w:t>,</w:t>
            </w:r>
            <w:r w:rsidRPr="00DA5BDB">
              <w:rPr>
                <w:color w:val="000000"/>
                <w:sz w:val="20"/>
                <w:szCs w:val="20"/>
              </w:rPr>
              <w:t>495</w:t>
            </w:r>
            <w:r w:rsidR="004871D4">
              <w:rPr>
                <w:color w:val="000000"/>
                <w:sz w:val="20"/>
                <w:szCs w:val="20"/>
              </w:rPr>
              <w:t>-</w:t>
            </w:r>
            <w:r w:rsidRPr="00DA5BDB">
              <w:rPr>
                <w:color w:val="000000"/>
                <w:sz w:val="20"/>
                <w:szCs w:val="20"/>
              </w:rPr>
              <w:t>274</w:t>
            </w:r>
            <w:r w:rsidR="00863756">
              <w:rPr>
                <w:color w:val="000000"/>
                <w:sz w:val="20"/>
                <w:szCs w:val="20"/>
              </w:rPr>
              <w:t>,</w:t>
            </w:r>
            <w:r w:rsidRPr="00DA5BDB">
              <w:rPr>
                <w:color w:val="000000"/>
                <w:sz w:val="20"/>
                <w:szCs w:val="20"/>
              </w:rPr>
              <w:t>756</w:t>
            </w:r>
            <w:r w:rsidR="004871D4">
              <w:rPr>
                <w:color w:val="000000"/>
                <w:sz w:val="20"/>
                <w:szCs w:val="20"/>
              </w:rPr>
              <w:t>)</w:t>
            </w:r>
          </w:p>
        </w:tc>
        <w:tc>
          <w:tcPr>
            <w:tcW w:w="2088" w:type="dxa"/>
          </w:tcPr>
          <w:p w14:paraId="6E08864B" w14:textId="479DE0FD"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243</w:t>
            </w:r>
            <w:r w:rsidR="00863756">
              <w:rPr>
                <w:color w:val="000000"/>
                <w:sz w:val="20"/>
                <w:szCs w:val="20"/>
              </w:rPr>
              <w:t>,</w:t>
            </w:r>
            <w:r w:rsidRPr="00DA5BDB">
              <w:rPr>
                <w:color w:val="000000"/>
                <w:sz w:val="20"/>
                <w:szCs w:val="20"/>
              </w:rPr>
              <w:t>47</w:t>
            </w:r>
            <w:r>
              <w:rPr>
                <w:color w:val="000000"/>
                <w:sz w:val="20"/>
                <w:szCs w:val="20"/>
              </w:rPr>
              <w:t>7</w:t>
            </w:r>
            <w:r w:rsidRPr="00DA5BDB">
              <w:rPr>
                <w:color w:val="000000"/>
                <w:sz w:val="20"/>
                <w:szCs w:val="20"/>
              </w:rPr>
              <w:t xml:space="preserve"> </w:t>
            </w:r>
            <w:r w:rsidR="004871D4">
              <w:rPr>
                <w:color w:val="000000"/>
                <w:sz w:val="20"/>
                <w:szCs w:val="20"/>
              </w:rPr>
              <w:t xml:space="preserve">(95% CI: </w:t>
            </w:r>
            <w:r w:rsidRPr="00DA5BDB">
              <w:rPr>
                <w:color w:val="000000"/>
                <w:sz w:val="20"/>
                <w:szCs w:val="20"/>
              </w:rPr>
              <w:t>206</w:t>
            </w:r>
            <w:r w:rsidR="00863756">
              <w:rPr>
                <w:color w:val="000000"/>
                <w:sz w:val="20"/>
                <w:szCs w:val="20"/>
              </w:rPr>
              <w:t>,</w:t>
            </w:r>
            <w:r w:rsidRPr="00DA5BDB">
              <w:rPr>
                <w:color w:val="000000"/>
                <w:sz w:val="20"/>
                <w:szCs w:val="20"/>
              </w:rPr>
              <w:t>80</w:t>
            </w:r>
            <w:r>
              <w:rPr>
                <w:color w:val="000000"/>
                <w:sz w:val="20"/>
                <w:szCs w:val="20"/>
              </w:rPr>
              <w:t>2</w:t>
            </w:r>
            <w:r w:rsidR="004871D4">
              <w:rPr>
                <w:color w:val="000000"/>
                <w:sz w:val="20"/>
                <w:szCs w:val="20"/>
              </w:rPr>
              <w:t>-</w:t>
            </w:r>
            <w:r w:rsidRPr="00DA5BDB">
              <w:rPr>
                <w:color w:val="000000"/>
                <w:sz w:val="20"/>
                <w:szCs w:val="20"/>
              </w:rPr>
              <w:t>286</w:t>
            </w:r>
            <w:r w:rsidR="00863756">
              <w:rPr>
                <w:color w:val="000000"/>
                <w:sz w:val="20"/>
                <w:szCs w:val="20"/>
              </w:rPr>
              <w:t>,</w:t>
            </w:r>
            <w:r w:rsidRPr="00DA5BDB">
              <w:rPr>
                <w:color w:val="000000"/>
                <w:sz w:val="20"/>
                <w:szCs w:val="20"/>
              </w:rPr>
              <w:t>103</w:t>
            </w:r>
            <w:r w:rsidR="004871D4">
              <w:rPr>
                <w:color w:val="000000"/>
                <w:sz w:val="20"/>
                <w:szCs w:val="20"/>
              </w:rPr>
              <w:t>)</w:t>
            </w:r>
          </w:p>
        </w:tc>
        <w:tc>
          <w:tcPr>
            <w:tcW w:w="2088" w:type="dxa"/>
          </w:tcPr>
          <w:p w14:paraId="5814DBA3" w14:textId="22270DB5" w:rsidR="004871D4" w:rsidRPr="00AE069D" w:rsidRDefault="00863756" w:rsidP="004871D4">
            <w:pPr>
              <w:pStyle w:val="NormalWeb"/>
              <w:spacing w:before="0" w:beforeAutospacing="0" w:after="0" w:afterAutospacing="0"/>
              <w:rPr>
                <w:color w:val="000000" w:themeColor="text1"/>
                <w:sz w:val="20"/>
                <w:szCs w:val="20"/>
              </w:rPr>
            </w:pPr>
            <w:r w:rsidRPr="00863756">
              <w:rPr>
                <w:color w:val="000000"/>
                <w:sz w:val="20"/>
                <w:szCs w:val="20"/>
              </w:rPr>
              <w:t>255</w:t>
            </w:r>
            <w:r>
              <w:rPr>
                <w:color w:val="000000"/>
                <w:sz w:val="20"/>
                <w:szCs w:val="20"/>
              </w:rPr>
              <w:t>,</w:t>
            </w:r>
            <w:r w:rsidRPr="00863756">
              <w:rPr>
                <w:color w:val="000000"/>
                <w:sz w:val="20"/>
                <w:szCs w:val="20"/>
              </w:rPr>
              <w:t>08</w:t>
            </w:r>
            <w:r>
              <w:rPr>
                <w:color w:val="000000"/>
                <w:sz w:val="20"/>
                <w:szCs w:val="20"/>
              </w:rPr>
              <w:t>8</w:t>
            </w:r>
            <w:r w:rsidRPr="00863756">
              <w:rPr>
                <w:color w:val="000000"/>
                <w:sz w:val="20"/>
                <w:szCs w:val="20"/>
              </w:rPr>
              <w:t xml:space="preserve"> </w:t>
            </w:r>
            <w:r w:rsidR="004871D4">
              <w:rPr>
                <w:color w:val="000000"/>
                <w:sz w:val="20"/>
                <w:szCs w:val="20"/>
              </w:rPr>
              <w:t xml:space="preserve">(95% CI: </w:t>
            </w:r>
            <w:r w:rsidRPr="00863756">
              <w:rPr>
                <w:color w:val="000000"/>
                <w:sz w:val="20"/>
                <w:szCs w:val="20"/>
              </w:rPr>
              <w:t>215</w:t>
            </w:r>
            <w:r>
              <w:rPr>
                <w:color w:val="000000"/>
                <w:sz w:val="20"/>
                <w:szCs w:val="20"/>
              </w:rPr>
              <w:t>,</w:t>
            </w:r>
            <w:r w:rsidRPr="00863756">
              <w:rPr>
                <w:color w:val="000000"/>
                <w:sz w:val="20"/>
                <w:szCs w:val="20"/>
              </w:rPr>
              <w:t>23</w:t>
            </w:r>
            <w:r>
              <w:rPr>
                <w:color w:val="000000"/>
                <w:sz w:val="20"/>
                <w:szCs w:val="20"/>
              </w:rPr>
              <w:t>5</w:t>
            </w:r>
            <w:r w:rsidR="004871D4">
              <w:rPr>
                <w:color w:val="000000"/>
                <w:sz w:val="20"/>
                <w:szCs w:val="20"/>
              </w:rPr>
              <w:t>-</w:t>
            </w:r>
            <w:r w:rsidRPr="00863756">
              <w:rPr>
                <w:color w:val="000000"/>
                <w:sz w:val="20"/>
                <w:szCs w:val="20"/>
              </w:rPr>
              <w:t>296</w:t>
            </w:r>
            <w:r>
              <w:rPr>
                <w:color w:val="000000"/>
                <w:sz w:val="20"/>
                <w:szCs w:val="20"/>
              </w:rPr>
              <w:t>,</w:t>
            </w:r>
            <w:r w:rsidRPr="00863756">
              <w:rPr>
                <w:color w:val="000000"/>
                <w:sz w:val="20"/>
                <w:szCs w:val="20"/>
              </w:rPr>
              <w:t>2</w:t>
            </w:r>
            <w:r>
              <w:rPr>
                <w:color w:val="000000"/>
                <w:sz w:val="20"/>
                <w:szCs w:val="20"/>
              </w:rPr>
              <w:t>90</w:t>
            </w:r>
            <w:r w:rsidR="004871D4">
              <w:rPr>
                <w:color w:val="000000"/>
                <w:sz w:val="20"/>
                <w:szCs w:val="20"/>
              </w:rPr>
              <w:t>)</w:t>
            </w:r>
          </w:p>
        </w:tc>
      </w:tr>
      <w:tr w:rsidR="004871D4" w:rsidRPr="00AE069D" w14:paraId="38167FC7" w14:textId="77777777" w:rsidTr="00E86679">
        <w:tc>
          <w:tcPr>
            <w:tcW w:w="2258" w:type="dxa"/>
          </w:tcPr>
          <w:p w14:paraId="75D90A3C" w14:textId="77777777" w:rsidR="004871D4" w:rsidRPr="00AE069D" w:rsidRDefault="004871D4" w:rsidP="004871D4">
            <w:pPr>
              <w:pStyle w:val="NormalWeb"/>
              <w:spacing w:before="0" w:beforeAutospacing="0" w:after="0" w:afterAutospacing="0"/>
              <w:rPr>
                <w:color w:val="000000" w:themeColor="text1"/>
                <w:sz w:val="20"/>
                <w:szCs w:val="20"/>
              </w:rPr>
            </w:pPr>
            <w:r w:rsidRPr="00AE069D">
              <w:rPr>
                <w:color w:val="000000" w:themeColor="text1"/>
                <w:sz w:val="20"/>
                <w:szCs w:val="20"/>
                <w:lang w:val="en-US"/>
              </w:rPr>
              <w:t>P</w:t>
            </w:r>
            <w:r w:rsidRPr="00AE069D">
              <w:rPr>
                <w:color w:val="000000" w:themeColor="text1"/>
                <w:sz w:val="20"/>
                <w:szCs w:val="20"/>
              </w:rPr>
              <w:t>recaution cost</w:t>
            </w:r>
          </w:p>
        </w:tc>
        <w:tc>
          <w:tcPr>
            <w:tcW w:w="2088" w:type="dxa"/>
          </w:tcPr>
          <w:p w14:paraId="226A9211" w14:textId="561A6C51"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196</w:t>
            </w:r>
            <w:r w:rsidR="00863756">
              <w:rPr>
                <w:color w:val="000000"/>
                <w:sz w:val="20"/>
                <w:szCs w:val="20"/>
              </w:rPr>
              <w:t>,</w:t>
            </w:r>
            <w:r w:rsidRPr="00DA5BDB">
              <w:rPr>
                <w:color w:val="000000"/>
                <w:sz w:val="20"/>
                <w:szCs w:val="20"/>
              </w:rPr>
              <w:t xml:space="preserve">256 </w:t>
            </w:r>
            <w:r w:rsidR="004871D4">
              <w:rPr>
                <w:color w:val="000000"/>
                <w:sz w:val="20"/>
                <w:szCs w:val="20"/>
              </w:rPr>
              <w:t xml:space="preserve">(95% CI: </w:t>
            </w:r>
            <w:r w:rsidRPr="00DA5BDB">
              <w:rPr>
                <w:color w:val="000000"/>
                <w:sz w:val="20"/>
                <w:szCs w:val="20"/>
              </w:rPr>
              <w:t>161</w:t>
            </w:r>
            <w:r w:rsidR="00863756">
              <w:rPr>
                <w:color w:val="000000"/>
                <w:sz w:val="20"/>
                <w:szCs w:val="20"/>
              </w:rPr>
              <w:t>,</w:t>
            </w:r>
            <w:r w:rsidRPr="00DA5BDB">
              <w:rPr>
                <w:color w:val="000000"/>
                <w:sz w:val="20"/>
                <w:szCs w:val="20"/>
              </w:rPr>
              <w:t>266</w:t>
            </w:r>
            <w:r w:rsidR="004871D4">
              <w:rPr>
                <w:color w:val="000000"/>
                <w:sz w:val="20"/>
                <w:szCs w:val="20"/>
              </w:rPr>
              <w:t>-</w:t>
            </w:r>
            <w:r w:rsidRPr="00DA5BDB">
              <w:rPr>
                <w:color w:val="000000"/>
                <w:sz w:val="20"/>
                <w:szCs w:val="20"/>
              </w:rPr>
              <w:t>236</w:t>
            </w:r>
            <w:r w:rsidR="00863756">
              <w:rPr>
                <w:color w:val="000000"/>
                <w:sz w:val="20"/>
                <w:szCs w:val="20"/>
              </w:rPr>
              <w:t>,</w:t>
            </w:r>
            <w:r w:rsidRPr="00DA5BDB">
              <w:rPr>
                <w:color w:val="000000"/>
                <w:sz w:val="20"/>
                <w:szCs w:val="20"/>
              </w:rPr>
              <w:t>52</w:t>
            </w:r>
            <w:r>
              <w:rPr>
                <w:color w:val="000000"/>
                <w:sz w:val="20"/>
                <w:szCs w:val="20"/>
              </w:rPr>
              <w:t>7</w:t>
            </w:r>
            <w:r w:rsidR="004871D4">
              <w:rPr>
                <w:color w:val="000000"/>
                <w:sz w:val="20"/>
                <w:szCs w:val="20"/>
              </w:rPr>
              <w:t>)</w:t>
            </w:r>
          </w:p>
        </w:tc>
        <w:tc>
          <w:tcPr>
            <w:tcW w:w="2088" w:type="dxa"/>
          </w:tcPr>
          <w:p w14:paraId="6D7249CD" w14:textId="1C7AB9F3"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192</w:t>
            </w:r>
            <w:r w:rsidR="00863756">
              <w:rPr>
                <w:color w:val="000000"/>
                <w:sz w:val="20"/>
                <w:szCs w:val="20"/>
              </w:rPr>
              <w:t>,</w:t>
            </w:r>
            <w:r w:rsidRPr="00DA5BDB">
              <w:rPr>
                <w:color w:val="000000"/>
                <w:sz w:val="20"/>
                <w:szCs w:val="20"/>
              </w:rPr>
              <w:t>8</w:t>
            </w:r>
            <w:r>
              <w:rPr>
                <w:color w:val="000000"/>
                <w:sz w:val="20"/>
                <w:szCs w:val="20"/>
              </w:rPr>
              <w:t>10</w:t>
            </w:r>
            <w:r w:rsidRPr="00DA5BDB">
              <w:rPr>
                <w:color w:val="000000"/>
                <w:sz w:val="20"/>
                <w:szCs w:val="20"/>
              </w:rPr>
              <w:t xml:space="preserve"> </w:t>
            </w:r>
            <w:r w:rsidR="004871D4">
              <w:rPr>
                <w:color w:val="000000"/>
                <w:sz w:val="20"/>
                <w:szCs w:val="20"/>
              </w:rPr>
              <w:t xml:space="preserve">(95% CI: </w:t>
            </w:r>
            <w:r w:rsidRPr="00DA5BDB">
              <w:rPr>
                <w:color w:val="000000"/>
                <w:sz w:val="20"/>
                <w:szCs w:val="20"/>
              </w:rPr>
              <w:t>156</w:t>
            </w:r>
            <w:r w:rsidR="00863756">
              <w:rPr>
                <w:color w:val="000000"/>
                <w:sz w:val="20"/>
                <w:szCs w:val="20"/>
              </w:rPr>
              <w:t>,</w:t>
            </w:r>
            <w:r w:rsidRPr="00DA5BDB">
              <w:rPr>
                <w:color w:val="000000"/>
                <w:sz w:val="20"/>
                <w:szCs w:val="20"/>
              </w:rPr>
              <w:t>83</w:t>
            </w:r>
            <w:r>
              <w:rPr>
                <w:color w:val="000000"/>
                <w:sz w:val="20"/>
                <w:szCs w:val="20"/>
              </w:rPr>
              <w:t>4</w:t>
            </w:r>
            <w:r w:rsidR="004871D4">
              <w:rPr>
                <w:color w:val="000000"/>
                <w:sz w:val="20"/>
                <w:szCs w:val="20"/>
              </w:rPr>
              <w:t>-</w:t>
            </w:r>
            <w:r w:rsidRPr="00DA5BDB">
              <w:rPr>
                <w:color w:val="000000"/>
                <w:sz w:val="20"/>
                <w:szCs w:val="20"/>
              </w:rPr>
              <w:t>233</w:t>
            </w:r>
            <w:r w:rsidR="00863756">
              <w:rPr>
                <w:color w:val="000000"/>
                <w:sz w:val="20"/>
                <w:szCs w:val="20"/>
              </w:rPr>
              <w:t>,</w:t>
            </w:r>
            <w:r w:rsidRPr="00DA5BDB">
              <w:rPr>
                <w:color w:val="000000"/>
                <w:sz w:val="20"/>
                <w:szCs w:val="20"/>
              </w:rPr>
              <w:t>661</w:t>
            </w:r>
            <w:r w:rsidR="004871D4">
              <w:rPr>
                <w:color w:val="000000"/>
                <w:sz w:val="20"/>
                <w:szCs w:val="20"/>
              </w:rPr>
              <w:t>)</w:t>
            </w:r>
          </w:p>
        </w:tc>
        <w:tc>
          <w:tcPr>
            <w:tcW w:w="2088" w:type="dxa"/>
          </w:tcPr>
          <w:p w14:paraId="54861D15" w14:textId="4CC7A58E" w:rsidR="004871D4" w:rsidRPr="00AE069D" w:rsidRDefault="00863756" w:rsidP="004871D4">
            <w:pPr>
              <w:pStyle w:val="NormalWeb"/>
              <w:spacing w:before="0" w:beforeAutospacing="0" w:after="0" w:afterAutospacing="0"/>
              <w:rPr>
                <w:color w:val="000000" w:themeColor="text1"/>
                <w:sz w:val="20"/>
                <w:szCs w:val="20"/>
              </w:rPr>
            </w:pPr>
            <w:r>
              <w:rPr>
                <w:color w:val="000000"/>
                <w:sz w:val="20"/>
                <w:szCs w:val="20"/>
              </w:rPr>
              <w:t>1</w:t>
            </w:r>
            <w:r w:rsidRPr="00863756">
              <w:rPr>
                <w:color w:val="000000"/>
                <w:sz w:val="20"/>
                <w:szCs w:val="20"/>
              </w:rPr>
              <w:t>70</w:t>
            </w:r>
            <w:r>
              <w:rPr>
                <w:color w:val="000000"/>
                <w:sz w:val="20"/>
                <w:szCs w:val="20"/>
              </w:rPr>
              <w:t>,</w:t>
            </w:r>
            <w:r w:rsidRPr="00863756">
              <w:rPr>
                <w:color w:val="000000"/>
                <w:sz w:val="20"/>
                <w:szCs w:val="20"/>
              </w:rPr>
              <w:t>70</w:t>
            </w:r>
            <w:r>
              <w:rPr>
                <w:color w:val="000000"/>
                <w:sz w:val="20"/>
                <w:szCs w:val="20"/>
              </w:rPr>
              <w:t>2</w:t>
            </w:r>
            <w:r w:rsidRPr="00863756">
              <w:rPr>
                <w:color w:val="000000"/>
                <w:sz w:val="20"/>
                <w:szCs w:val="20"/>
              </w:rPr>
              <w:t xml:space="preserve"> </w:t>
            </w:r>
            <w:r w:rsidR="004871D4">
              <w:rPr>
                <w:color w:val="000000"/>
                <w:sz w:val="20"/>
                <w:szCs w:val="20"/>
              </w:rPr>
              <w:t xml:space="preserve">(95% CI: </w:t>
            </w:r>
            <w:r w:rsidRPr="00863756">
              <w:rPr>
                <w:color w:val="000000"/>
                <w:sz w:val="20"/>
                <w:szCs w:val="20"/>
              </w:rPr>
              <w:t>138</w:t>
            </w:r>
            <w:r>
              <w:rPr>
                <w:color w:val="000000"/>
                <w:sz w:val="20"/>
                <w:szCs w:val="20"/>
              </w:rPr>
              <w:t>,</w:t>
            </w:r>
            <w:r w:rsidRPr="00863756">
              <w:rPr>
                <w:color w:val="000000"/>
                <w:sz w:val="20"/>
                <w:szCs w:val="20"/>
              </w:rPr>
              <w:t>98</w:t>
            </w:r>
            <w:r>
              <w:rPr>
                <w:color w:val="000000"/>
                <w:sz w:val="20"/>
                <w:szCs w:val="20"/>
              </w:rPr>
              <w:t>9</w:t>
            </w:r>
            <w:r w:rsidR="004871D4">
              <w:rPr>
                <w:color w:val="000000"/>
                <w:sz w:val="20"/>
                <w:szCs w:val="20"/>
              </w:rPr>
              <w:t>-</w:t>
            </w:r>
            <w:r w:rsidRPr="00863756">
              <w:rPr>
                <w:color w:val="000000"/>
                <w:sz w:val="20"/>
                <w:szCs w:val="20"/>
              </w:rPr>
              <w:t>207</w:t>
            </w:r>
            <w:r>
              <w:rPr>
                <w:color w:val="000000"/>
                <w:sz w:val="20"/>
                <w:szCs w:val="20"/>
              </w:rPr>
              <w:t>,</w:t>
            </w:r>
            <w:r w:rsidRPr="00863756">
              <w:rPr>
                <w:color w:val="000000"/>
                <w:sz w:val="20"/>
                <w:szCs w:val="20"/>
              </w:rPr>
              <w:t>457</w:t>
            </w:r>
            <w:r w:rsidR="004871D4">
              <w:rPr>
                <w:color w:val="000000"/>
                <w:sz w:val="20"/>
                <w:szCs w:val="20"/>
              </w:rPr>
              <w:t>)</w:t>
            </w:r>
          </w:p>
        </w:tc>
      </w:tr>
      <w:tr w:rsidR="004871D4" w:rsidRPr="00AE069D" w14:paraId="41AA1AF4" w14:textId="77777777" w:rsidTr="00E86679">
        <w:tc>
          <w:tcPr>
            <w:tcW w:w="2258" w:type="dxa"/>
          </w:tcPr>
          <w:p w14:paraId="5230C444" w14:textId="77777777" w:rsidR="004871D4" w:rsidRPr="00AE069D" w:rsidRDefault="004871D4" w:rsidP="004871D4">
            <w:pPr>
              <w:pStyle w:val="NormalWeb"/>
              <w:spacing w:before="0" w:beforeAutospacing="0" w:after="0" w:afterAutospacing="0"/>
              <w:rPr>
                <w:color w:val="000000" w:themeColor="text1"/>
                <w:sz w:val="20"/>
                <w:szCs w:val="20"/>
                <w:lang w:val="en-US"/>
              </w:rPr>
            </w:pPr>
            <w:r w:rsidRPr="00AE069D">
              <w:rPr>
                <w:color w:val="000000" w:themeColor="text1"/>
                <w:sz w:val="20"/>
                <w:szCs w:val="20"/>
              </w:rPr>
              <w:t>Total</w:t>
            </w:r>
            <w:r w:rsidRPr="00AE069D">
              <w:rPr>
                <w:color w:val="000000" w:themeColor="text1"/>
                <w:sz w:val="20"/>
                <w:szCs w:val="20"/>
                <w:lang w:val="en-US"/>
              </w:rPr>
              <w:t xml:space="preserve"> cost</w:t>
            </w:r>
          </w:p>
        </w:tc>
        <w:tc>
          <w:tcPr>
            <w:tcW w:w="2088" w:type="dxa"/>
          </w:tcPr>
          <w:p w14:paraId="33E64FC7" w14:textId="44EE4E21"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432</w:t>
            </w:r>
            <w:r w:rsidR="00863756">
              <w:rPr>
                <w:color w:val="000000"/>
                <w:sz w:val="20"/>
                <w:szCs w:val="20"/>
              </w:rPr>
              <w:t>,</w:t>
            </w:r>
            <w:r w:rsidRPr="00DA5BDB">
              <w:rPr>
                <w:color w:val="000000"/>
                <w:sz w:val="20"/>
                <w:szCs w:val="20"/>
              </w:rPr>
              <w:t xml:space="preserve">918 </w:t>
            </w:r>
            <w:r w:rsidR="004871D4">
              <w:rPr>
                <w:color w:val="000000"/>
                <w:sz w:val="20"/>
                <w:szCs w:val="20"/>
              </w:rPr>
              <w:t xml:space="preserve">(95% CI: </w:t>
            </w:r>
            <w:r w:rsidRPr="00DA5BDB">
              <w:rPr>
                <w:color w:val="000000"/>
                <w:sz w:val="20"/>
                <w:szCs w:val="20"/>
              </w:rPr>
              <w:t>363</w:t>
            </w:r>
            <w:r w:rsidR="00863756">
              <w:rPr>
                <w:color w:val="000000"/>
                <w:sz w:val="20"/>
                <w:szCs w:val="20"/>
              </w:rPr>
              <w:t>,</w:t>
            </w:r>
            <w:r w:rsidRPr="00DA5BDB">
              <w:rPr>
                <w:color w:val="000000"/>
                <w:sz w:val="20"/>
                <w:szCs w:val="20"/>
              </w:rPr>
              <w:t>761</w:t>
            </w:r>
            <w:r w:rsidR="004871D4">
              <w:rPr>
                <w:color w:val="000000"/>
                <w:sz w:val="20"/>
                <w:szCs w:val="20"/>
              </w:rPr>
              <w:t>-</w:t>
            </w:r>
            <w:r w:rsidRPr="00DA5BDB">
              <w:rPr>
                <w:color w:val="000000"/>
                <w:sz w:val="20"/>
                <w:szCs w:val="20"/>
              </w:rPr>
              <w:t>511</w:t>
            </w:r>
            <w:r w:rsidR="00863756">
              <w:rPr>
                <w:color w:val="000000"/>
                <w:sz w:val="20"/>
                <w:szCs w:val="20"/>
              </w:rPr>
              <w:t>,</w:t>
            </w:r>
            <w:r w:rsidRPr="00DA5BDB">
              <w:rPr>
                <w:color w:val="000000"/>
                <w:sz w:val="20"/>
                <w:szCs w:val="20"/>
              </w:rPr>
              <w:t>28</w:t>
            </w:r>
            <w:r>
              <w:rPr>
                <w:color w:val="000000"/>
                <w:sz w:val="20"/>
                <w:szCs w:val="20"/>
              </w:rPr>
              <w:t>3</w:t>
            </w:r>
            <w:r w:rsidR="004871D4">
              <w:rPr>
                <w:color w:val="000000"/>
                <w:sz w:val="20"/>
                <w:szCs w:val="20"/>
              </w:rPr>
              <w:t>)</w:t>
            </w:r>
          </w:p>
        </w:tc>
        <w:tc>
          <w:tcPr>
            <w:tcW w:w="2088" w:type="dxa"/>
          </w:tcPr>
          <w:p w14:paraId="258F4E6D" w14:textId="6878C531" w:rsidR="004871D4" w:rsidRPr="00AE069D" w:rsidRDefault="00DA5BDB" w:rsidP="004871D4">
            <w:pPr>
              <w:pStyle w:val="NormalWeb"/>
              <w:spacing w:before="0" w:beforeAutospacing="0" w:after="0" w:afterAutospacing="0"/>
              <w:rPr>
                <w:color w:val="000000" w:themeColor="text1"/>
                <w:sz w:val="20"/>
                <w:szCs w:val="20"/>
              </w:rPr>
            </w:pPr>
            <w:r w:rsidRPr="00DA5BDB">
              <w:rPr>
                <w:color w:val="000000"/>
                <w:sz w:val="20"/>
                <w:szCs w:val="20"/>
              </w:rPr>
              <w:t>436</w:t>
            </w:r>
            <w:r w:rsidR="00863756">
              <w:rPr>
                <w:color w:val="000000"/>
                <w:sz w:val="20"/>
                <w:szCs w:val="20"/>
              </w:rPr>
              <w:t>,</w:t>
            </w:r>
            <w:r w:rsidRPr="00DA5BDB">
              <w:rPr>
                <w:color w:val="000000"/>
                <w:sz w:val="20"/>
                <w:szCs w:val="20"/>
              </w:rPr>
              <w:t xml:space="preserve">286 </w:t>
            </w:r>
            <w:r w:rsidR="004871D4">
              <w:rPr>
                <w:color w:val="000000"/>
                <w:sz w:val="20"/>
                <w:szCs w:val="20"/>
              </w:rPr>
              <w:t xml:space="preserve">(95% CI: </w:t>
            </w:r>
            <w:r w:rsidRPr="00DA5BDB">
              <w:rPr>
                <w:color w:val="000000"/>
                <w:sz w:val="20"/>
                <w:szCs w:val="20"/>
              </w:rPr>
              <w:t>363</w:t>
            </w:r>
            <w:r w:rsidR="00863756">
              <w:rPr>
                <w:color w:val="000000"/>
                <w:sz w:val="20"/>
                <w:szCs w:val="20"/>
              </w:rPr>
              <w:t>,</w:t>
            </w:r>
            <w:r w:rsidRPr="00DA5BDB">
              <w:rPr>
                <w:color w:val="000000"/>
                <w:sz w:val="20"/>
                <w:szCs w:val="20"/>
              </w:rPr>
              <w:t>63</w:t>
            </w:r>
            <w:r>
              <w:rPr>
                <w:color w:val="000000"/>
                <w:sz w:val="20"/>
                <w:szCs w:val="20"/>
              </w:rPr>
              <w:t>6</w:t>
            </w:r>
            <w:r w:rsidR="004871D4">
              <w:rPr>
                <w:color w:val="000000"/>
                <w:sz w:val="20"/>
                <w:szCs w:val="20"/>
              </w:rPr>
              <w:t>-</w:t>
            </w:r>
            <w:r w:rsidRPr="00DA5BDB">
              <w:rPr>
                <w:color w:val="000000"/>
                <w:sz w:val="20"/>
                <w:szCs w:val="20"/>
              </w:rPr>
              <w:t>519</w:t>
            </w:r>
            <w:r w:rsidR="00863756">
              <w:rPr>
                <w:color w:val="000000"/>
                <w:sz w:val="20"/>
                <w:szCs w:val="20"/>
              </w:rPr>
              <w:t>,</w:t>
            </w:r>
            <w:r w:rsidRPr="00DA5BDB">
              <w:rPr>
                <w:color w:val="000000"/>
                <w:sz w:val="20"/>
                <w:szCs w:val="20"/>
              </w:rPr>
              <w:t>764</w:t>
            </w:r>
            <w:r w:rsidR="004871D4">
              <w:rPr>
                <w:color w:val="000000"/>
                <w:sz w:val="20"/>
                <w:szCs w:val="20"/>
              </w:rPr>
              <w:t>)</w:t>
            </w:r>
          </w:p>
        </w:tc>
        <w:tc>
          <w:tcPr>
            <w:tcW w:w="2088" w:type="dxa"/>
          </w:tcPr>
          <w:p w14:paraId="05C069DE" w14:textId="5B19E8BB" w:rsidR="004871D4" w:rsidRPr="00AE069D" w:rsidRDefault="00863756" w:rsidP="004871D4">
            <w:pPr>
              <w:pStyle w:val="NormalWeb"/>
              <w:spacing w:before="0" w:beforeAutospacing="0" w:after="0" w:afterAutospacing="0"/>
              <w:rPr>
                <w:color w:val="000000" w:themeColor="text1"/>
                <w:sz w:val="20"/>
                <w:szCs w:val="20"/>
                <w:lang w:val="en-US"/>
              </w:rPr>
            </w:pPr>
            <w:r w:rsidRPr="00863756">
              <w:rPr>
                <w:color w:val="000000"/>
                <w:sz w:val="20"/>
                <w:szCs w:val="20"/>
              </w:rPr>
              <w:t>425</w:t>
            </w:r>
            <w:r>
              <w:rPr>
                <w:color w:val="000000"/>
                <w:sz w:val="20"/>
                <w:szCs w:val="20"/>
              </w:rPr>
              <w:t>,</w:t>
            </w:r>
            <w:r w:rsidRPr="00863756">
              <w:rPr>
                <w:color w:val="000000"/>
                <w:sz w:val="20"/>
                <w:szCs w:val="20"/>
              </w:rPr>
              <w:t xml:space="preserve">789 </w:t>
            </w:r>
            <w:r w:rsidR="004871D4">
              <w:rPr>
                <w:color w:val="000000"/>
                <w:sz w:val="20"/>
                <w:szCs w:val="20"/>
              </w:rPr>
              <w:t xml:space="preserve">(95% CI: </w:t>
            </w:r>
            <w:r w:rsidRPr="00863756">
              <w:rPr>
                <w:color w:val="000000"/>
                <w:sz w:val="20"/>
                <w:szCs w:val="20"/>
              </w:rPr>
              <w:t>354</w:t>
            </w:r>
            <w:r>
              <w:rPr>
                <w:color w:val="000000"/>
                <w:sz w:val="20"/>
                <w:szCs w:val="20"/>
              </w:rPr>
              <w:t>,</w:t>
            </w:r>
            <w:r w:rsidRPr="00863756">
              <w:rPr>
                <w:color w:val="000000"/>
                <w:sz w:val="20"/>
                <w:szCs w:val="20"/>
              </w:rPr>
              <w:t>22</w:t>
            </w:r>
            <w:r>
              <w:rPr>
                <w:color w:val="000000"/>
                <w:sz w:val="20"/>
                <w:szCs w:val="20"/>
              </w:rPr>
              <w:t>3</w:t>
            </w:r>
            <w:r w:rsidR="004871D4">
              <w:rPr>
                <w:color w:val="000000"/>
                <w:sz w:val="20"/>
                <w:szCs w:val="20"/>
              </w:rPr>
              <w:t>-</w:t>
            </w:r>
            <w:r w:rsidRPr="00863756">
              <w:rPr>
                <w:color w:val="000000"/>
                <w:sz w:val="20"/>
                <w:szCs w:val="20"/>
              </w:rPr>
              <w:t>503</w:t>
            </w:r>
            <w:r>
              <w:rPr>
                <w:color w:val="000000"/>
                <w:sz w:val="20"/>
                <w:szCs w:val="20"/>
              </w:rPr>
              <w:t>,</w:t>
            </w:r>
            <w:r w:rsidRPr="00863756">
              <w:rPr>
                <w:color w:val="000000"/>
                <w:sz w:val="20"/>
                <w:szCs w:val="20"/>
              </w:rPr>
              <w:t>747</w:t>
            </w:r>
            <w:r w:rsidR="004871D4">
              <w:rPr>
                <w:color w:val="000000"/>
                <w:sz w:val="20"/>
                <w:szCs w:val="20"/>
              </w:rPr>
              <w:t>)***</w:t>
            </w:r>
          </w:p>
        </w:tc>
      </w:tr>
    </w:tbl>
    <w:p w14:paraId="257B047D" w14:textId="2C7ABAF6" w:rsidR="00650130" w:rsidRDefault="00650130" w:rsidP="00A920FF">
      <w:pPr>
        <w:spacing w:line="480" w:lineRule="auto"/>
        <w:rPr>
          <w:color w:val="000000" w:themeColor="text1"/>
        </w:rPr>
      </w:pPr>
    </w:p>
    <w:tbl>
      <w:tblPr>
        <w:tblStyle w:val="TableGrid"/>
        <w:tblW w:w="0" w:type="auto"/>
        <w:tblLook w:val="04A0" w:firstRow="1" w:lastRow="0" w:firstColumn="1" w:lastColumn="0" w:noHBand="0" w:noVBand="1"/>
      </w:tblPr>
      <w:tblGrid>
        <w:gridCol w:w="2258"/>
        <w:gridCol w:w="2088"/>
        <w:gridCol w:w="2088"/>
        <w:gridCol w:w="2088"/>
      </w:tblGrid>
      <w:tr w:rsidR="00E36AC2" w:rsidRPr="00AE069D" w14:paraId="48EB910F" w14:textId="77777777" w:rsidTr="004B6AD6">
        <w:tc>
          <w:tcPr>
            <w:tcW w:w="2258" w:type="dxa"/>
          </w:tcPr>
          <w:p w14:paraId="6BB090E3" w14:textId="77777777" w:rsidR="00E36AC2" w:rsidRPr="00AE069D" w:rsidRDefault="00E36AC2" w:rsidP="004B6AD6">
            <w:pPr>
              <w:pStyle w:val="NormalWeb"/>
              <w:spacing w:before="0" w:beforeAutospacing="0" w:after="0" w:afterAutospacing="0"/>
              <w:rPr>
                <w:color w:val="000000" w:themeColor="text1"/>
                <w:sz w:val="20"/>
                <w:szCs w:val="20"/>
                <w:lang w:val="en-US"/>
              </w:rPr>
            </w:pPr>
          </w:p>
        </w:tc>
        <w:tc>
          <w:tcPr>
            <w:tcW w:w="2088" w:type="dxa"/>
          </w:tcPr>
          <w:p w14:paraId="6FB34B26"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3-negative</w:t>
            </w:r>
          </w:p>
        </w:tc>
        <w:tc>
          <w:tcPr>
            <w:tcW w:w="2088" w:type="dxa"/>
          </w:tcPr>
          <w:p w14:paraId="4C56E638"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2-negative</w:t>
            </w:r>
          </w:p>
        </w:tc>
        <w:tc>
          <w:tcPr>
            <w:tcW w:w="2088" w:type="dxa"/>
          </w:tcPr>
          <w:p w14:paraId="3CCABE19" w14:textId="77777777" w:rsidR="00E36AC2" w:rsidRPr="00AE069D" w:rsidRDefault="00E36AC2" w:rsidP="004B6AD6">
            <w:pPr>
              <w:pStyle w:val="NormalWeb"/>
              <w:spacing w:before="0" w:beforeAutospacing="0" w:after="0" w:afterAutospacing="0"/>
              <w:rPr>
                <w:b/>
                <w:bCs/>
                <w:color w:val="000000" w:themeColor="text1"/>
                <w:sz w:val="20"/>
                <w:szCs w:val="20"/>
                <w:lang w:val="en-US"/>
              </w:rPr>
            </w:pPr>
            <w:r w:rsidRPr="00AE069D">
              <w:rPr>
                <w:b/>
                <w:bCs/>
                <w:color w:val="000000" w:themeColor="text1"/>
                <w:sz w:val="20"/>
                <w:szCs w:val="20"/>
                <w:lang w:val="en-US"/>
              </w:rPr>
              <w:t>1-negative</w:t>
            </w:r>
          </w:p>
        </w:tc>
      </w:tr>
      <w:tr w:rsidR="00E36AC2" w:rsidRPr="00AE069D" w14:paraId="06B50BCD" w14:textId="77777777" w:rsidTr="004B6AD6">
        <w:tc>
          <w:tcPr>
            <w:tcW w:w="2258" w:type="dxa"/>
          </w:tcPr>
          <w:p w14:paraId="1028CD56" w14:textId="77777777" w:rsidR="00E36AC2" w:rsidRPr="00AE069D" w:rsidRDefault="00E36AC2"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cases</w:t>
            </w:r>
          </w:p>
        </w:tc>
        <w:tc>
          <w:tcPr>
            <w:tcW w:w="2088" w:type="dxa"/>
          </w:tcPr>
          <w:p w14:paraId="085A0A67" w14:textId="71EC9C11" w:rsidR="00E36AC2" w:rsidRPr="00AE069D" w:rsidRDefault="009C153D" w:rsidP="004B6AD6">
            <w:pPr>
              <w:pStyle w:val="NormalWeb"/>
              <w:rPr>
                <w:color w:val="000000" w:themeColor="text1"/>
              </w:rPr>
            </w:pPr>
            <w:r w:rsidRPr="009C153D">
              <w:rPr>
                <w:color w:val="000000" w:themeColor="text1"/>
                <w:sz w:val="20"/>
                <w:szCs w:val="20"/>
                <w:lang w:val="en-US"/>
              </w:rPr>
              <w:t>229 (95% CI: 196-266)</w:t>
            </w:r>
          </w:p>
        </w:tc>
        <w:tc>
          <w:tcPr>
            <w:tcW w:w="2088" w:type="dxa"/>
          </w:tcPr>
          <w:p w14:paraId="014DC0B4" w14:textId="30754CFD" w:rsidR="00E36AC2" w:rsidRPr="00AE069D" w:rsidRDefault="009C153D" w:rsidP="004B6AD6">
            <w:pPr>
              <w:pStyle w:val="NormalWeb"/>
              <w:spacing w:before="0" w:beforeAutospacing="0" w:after="0" w:afterAutospacing="0"/>
              <w:rPr>
                <w:color w:val="000000" w:themeColor="text1"/>
                <w:sz w:val="20"/>
                <w:szCs w:val="20"/>
              </w:rPr>
            </w:pPr>
            <w:r w:rsidRPr="009C153D">
              <w:rPr>
                <w:color w:val="000000" w:themeColor="text1"/>
                <w:sz w:val="20"/>
                <w:szCs w:val="20"/>
                <w:lang w:val="en-US"/>
              </w:rPr>
              <w:t>236 (95% CI: 200-277)</w:t>
            </w:r>
          </w:p>
        </w:tc>
        <w:tc>
          <w:tcPr>
            <w:tcW w:w="2088" w:type="dxa"/>
          </w:tcPr>
          <w:p w14:paraId="1EE65E1C" w14:textId="26E8F2AA" w:rsidR="00E36AC2" w:rsidRPr="00AE069D" w:rsidRDefault="009C153D" w:rsidP="004B6AD6">
            <w:pPr>
              <w:pStyle w:val="NormalWeb"/>
              <w:spacing w:before="0" w:beforeAutospacing="0" w:after="0" w:afterAutospacing="0"/>
              <w:rPr>
                <w:color w:val="000000" w:themeColor="text1"/>
                <w:sz w:val="20"/>
                <w:szCs w:val="20"/>
              </w:rPr>
            </w:pPr>
            <w:r w:rsidRPr="009C153D">
              <w:rPr>
                <w:color w:val="000000" w:themeColor="text1"/>
                <w:sz w:val="20"/>
                <w:szCs w:val="20"/>
                <w:lang w:val="en-US"/>
              </w:rPr>
              <w:t>247 (95% CI: 209-287)</w:t>
            </w:r>
          </w:p>
        </w:tc>
      </w:tr>
      <w:tr w:rsidR="00E36AC2" w:rsidRPr="00AE069D" w14:paraId="59BA83A8" w14:textId="77777777" w:rsidTr="004B6AD6">
        <w:tc>
          <w:tcPr>
            <w:tcW w:w="2258" w:type="dxa"/>
          </w:tcPr>
          <w:p w14:paraId="6A927C38" w14:textId="77777777" w:rsidR="00E36AC2" w:rsidRPr="00AE069D" w:rsidRDefault="00E36AC2" w:rsidP="004B6AD6">
            <w:pPr>
              <w:pStyle w:val="NormalWeb"/>
              <w:spacing w:before="0" w:beforeAutospacing="0" w:after="0" w:afterAutospacing="0"/>
              <w:rPr>
                <w:color w:val="000000" w:themeColor="text1"/>
                <w:sz w:val="20"/>
                <w:szCs w:val="20"/>
              </w:rPr>
            </w:pPr>
            <w:r w:rsidRPr="00B25868">
              <w:rPr>
                <w:color w:val="000000" w:themeColor="text1"/>
                <w:sz w:val="20"/>
                <w:szCs w:val="20"/>
                <w:lang w:val="en-US"/>
              </w:rPr>
              <w:t>Number of detected MRSA infection cases</w:t>
            </w:r>
          </w:p>
        </w:tc>
        <w:tc>
          <w:tcPr>
            <w:tcW w:w="2088" w:type="dxa"/>
          </w:tcPr>
          <w:p w14:paraId="10B45025" w14:textId="42E9FA01" w:rsidR="00E36AC2" w:rsidRPr="00AE069D" w:rsidRDefault="009C153D" w:rsidP="004B6AD6">
            <w:pPr>
              <w:pStyle w:val="NormalWeb"/>
              <w:spacing w:before="0" w:beforeAutospacing="0" w:after="0" w:afterAutospacing="0"/>
              <w:rPr>
                <w:color w:val="000000" w:themeColor="text1"/>
                <w:sz w:val="20"/>
                <w:szCs w:val="20"/>
              </w:rPr>
            </w:pPr>
            <w:r w:rsidRPr="009C153D">
              <w:rPr>
                <w:color w:val="000000" w:themeColor="text1"/>
                <w:sz w:val="20"/>
                <w:szCs w:val="20"/>
                <w:lang w:val="en-US"/>
              </w:rPr>
              <w:t>25 (95% CI: 22-30)</w:t>
            </w:r>
          </w:p>
        </w:tc>
        <w:tc>
          <w:tcPr>
            <w:tcW w:w="2088" w:type="dxa"/>
          </w:tcPr>
          <w:p w14:paraId="70734480" w14:textId="36F7301C" w:rsidR="00E36AC2" w:rsidRPr="00AE069D" w:rsidRDefault="009C153D" w:rsidP="004B6AD6">
            <w:pPr>
              <w:pStyle w:val="NormalWeb"/>
              <w:spacing w:before="0" w:beforeAutospacing="0" w:after="0" w:afterAutospacing="0"/>
              <w:rPr>
                <w:color w:val="000000" w:themeColor="text1"/>
                <w:sz w:val="20"/>
                <w:szCs w:val="20"/>
              </w:rPr>
            </w:pPr>
            <w:r w:rsidRPr="009C153D">
              <w:rPr>
                <w:color w:val="000000" w:themeColor="text1"/>
                <w:sz w:val="20"/>
                <w:szCs w:val="20"/>
                <w:lang w:val="en-US"/>
              </w:rPr>
              <w:t>26 (95% CI: 22-31)</w:t>
            </w:r>
          </w:p>
        </w:tc>
        <w:tc>
          <w:tcPr>
            <w:tcW w:w="2088" w:type="dxa"/>
          </w:tcPr>
          <w:p w14:paraId="1117D106" w14:textId="615B7D5B" w:rsidR="00E36AC2" w:rsidRPr="00AE069D" w:rsidRDefault="009C153D" w:rsidP="004B6AD6">
            <w:pPr>
              <w:pStyle w:val="NormalWeb"/>
              <w:spacing w:before="0" w:beforeAutospacing="0" w:after="0" w:afterAutospacing="0"/>
              <w:rPr>
                <w:color w:val="000000" w:themeColor="text1"/>
                <w:sz w:val="20"/>
                <w:szCs w:val="20"/>
              </w:rPr>
            </w:pPr>
            <w:r w:rsidRPr="009C153D">
              <w:rPr>
                <w:color w:val="000000" w:themeColor="text1"/>
                <w:sz w:val="20"/>
                <w:szCs w:val="20"/>
                <w:lang w:val="en-US"/>
              </w:rPr>
              <w:t>27 (95% CI: 23-32)</w:t>
            </w:r>
          </w:p>
        </w:tc>
      </w:tr>
      <w:tr w:rsidR="00E36AC2" w:rsidRPr="00AE069D" w14:paraId="4823A148" w14:textId="77777777" w:rsidTr="004B6AD6">
        <w:tc>
          <w:tcPr>
            <w:tcW w:w="2258" w:type="dxa"/>
          </w:tcPr>
          <w:p w14:paraId="6359B1E0"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detected MRSA colonized cases</w:t>
            </w:r>
          </w:p>
        </w:tc>
        <w:tc>
          <w:tcPr>
            <w:tcW w:w="2088" w:type="dxa"/>
          </w:tcPr>
          <w:p w14:paraId="0309C328" w14:textId="022F7D64"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204 (95% CI: 175-237)</w:t>
            </w:r>
          </w:p>
        </w:tc>
        <w:tc>
          <w:tcPr>
            <w:tcW w:w="2088" w:type="dxa"/>
          </w:tcPr>
          <w:p w14:paraId="289094C6" w14:textId="691164CE"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210 (95% CI: 178-247)</w:t>
            </w:r>
          </w:p>
        </w:tc>
        <w:tc>
          <w:tcPr>
            <w:tcW w:w="2088" w:type="dxa"/>
          </w:tcPr>
          <w:p w14:paraId="4DA82F19" w14:textId="6FBC97A9"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220 (95% CI: 185-255)</w:t>
            </w:r>
          </w:p>
        </w:tc>
      </w:tr>
      <w:tr w:rsidR="00E36AC2" w:rsidRPr="00AE069D" w14:paraId="765251C5" w14:textId="77777777" w:rsidTr="004B6AD6">
        <w:tc>
          <w:tcPr>
            <w:tcW w:w="2258" w:type="dxa"/>
          </w:tcPr>
          <w:p w14:paraId="19EF20C6"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w:t>
            </w:r>
          </w:p>
        </w:tc>
        <w:tc>
          <w:tcPr>
            <w:tcW w:w="2088" w:type="dxa"/>
          </w:tcPr>
          <w:p w14:paraId="05C908B3" w14:textId="78D8EAA4"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1,002 (95% CI: 824-1,208)</w:t>
            </w:r>
          </w:p>
        </w:tc>
        <w:tc>
          <w:tcPr>
            <w:tcW w:w="2088" w:type="dxa"/>
          </w:tcPr>
          <w:p w14:paraId="0C5F7A6C" w14:textId="481F29A7"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985 (95% CI: 801-1,193)</w:t>
            </w:r>
          </w:p>
        </w:tc>
        <w:tc>
          <w:tcPr>
            <w:tcW w:w="2088" w:type="dxa"/>
          </w:tcPr>
          <w:p w14:paraId="45E827F9" w14:textId="1EDBC6FE"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872 (95% CI: 710-1,059)</w:t>
            </w:r>
          </w:p>
        </w:tc>
      </w:tr>
      <w:tr w:rsidR="00E36AC2" w:rsidRPr="00AE069D" w14:paraId="5C66C3F6" w14:textId="77777777" w:rsidTr="004B6AD6">
        <w:tc>
          <w:tcPr>
            <w:tcW w:w="2258" w:type="dxa"/>
          </w:tcPr>
          <w:p w14:paraId="4F17FC5C"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lastRenderedPageBreak/>
              <w:t>Number of precaution days (for infections)</w:t>
            </w:r>
          </w:p>
        </w:tc>
        <w:tc>
          <w:tcPr>
            <w:tcW w:w="2088" w:type="dxa"/>
          </w:tcPr>
          <w:p w14:paraId="663930C2" w14:textId="32DB7D91"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111 (95% CI: 91-134)</w:t>
            </w:r>
          </w:p>
        </w:tc>
        <w:tc>
          <w:tcPr>
            <w:tcW w:w="2088" w:type="dxa"/>
          </w:tcPr>
          <w:p w14:paraId="3B106C6D" w14:textId="7E66705F"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109 (95% CI: 89-132)</w:t>
            </w:r>
          </w:p>
        </w:tc>
        <w:tc>
          <w:tcPr>
            <w:tcW w:w="2088" w:type="dxa"/>
          </w:tcPr>
          <w:p w14:paraId="001C654C" w14:textId="3D3139C7"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97 (95% CI: 79-118)</w:t>
            </w:r>
          </w:p>
        </w:tc>
      </w:tr>
      <w:tr w:rsidR="00E36AC2" w:rsidRPr="00AE069D" w14:paraId="4037F43B" w14:textId="77777777" w:rsidTr="004B6AD6">
        <w:tc>
          <w:tcPr>
            <w:tcW w:w="2258" w:type="dxa"/>
          </w:tcPr>
          <w:p w14:paraId="6D78ACC7"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Number of precaution days (for colonized)</w:t>
            </w:r>
          </w:p>
        </w:tc>
        <w:tc>
          <w:tcPr>
            <w:tcW w:w="2088" w:type="dxa"/>
          </w:tcPr>
          <w:p w14:paraId="4989328C" w14:textId="2938C251"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891 (95% CI: 732-1,074)</w:t>
            </w:r>
          </w:p>
        </w:tc>
        <w:tc>
          <w:tcPr>
            <w:tcW w:w="2088" w:type="dxa"/>
          </w:tcPr>
          <w:p w14:paraId="2F650033" w14:textId="6296C929"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875 (95% CI: 712-1,061)</w:t>
            </w:r>
          </w:p>
        </w:tc>
        <w:tc>
          <w:tcPr>
            <w:tcW w:w="2088" w:type="dxa"/>
          </w:tcPr>
          <w:p w14:paraId="50C5681D" w14:textId="467BB840"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775 (95% CI: 631-942)</w:t>
            </w:r>
          </w:p>
        </w:tc>
      </w:tr>
      <w:tr w:rsidR="00E36AC2" w:rsidRPr="00AE069D" w14:paraId="4991914B" w14:textId="77777777" w:rsidTr="004B6AD6">
        <w:tc>
          <w:tcPr>
            <w:tcW w:w="2258" w:type="dxa"/>
          </w:tcPr>
          <w:p w14:paraId="3DA15127"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treatment cost</w:t>
            </w:r>
          </w:p>
        </w:tc>
        <w:tc>
          <w:tcPr>
            <w:tcW w:w="2088" w:type="dxa"/>
          </w:tcPr>
          <w:p w14:paraId="70B31736" w14:textId="5DAE2ED1"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11,692 (95% CI: 10,004-13,574)</w:t>
            </w:r>
          </w:p>
        </w:tc>
        <w:tc>
          <w:tcPr>
            <w:tcW w:w="2088" w:type="dxa"/>
          </w:tcPr>
          <w:p w14:paraId="218E6EDA" w14:textId="32DC2758"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12,029 (95% CI: 10,217-14,135)</w:t>
            </w:r>
          </w:p>
        </w:tc>
        <w:tc>
          <w:tcPr>
            <w:tcW w:w="2088" w:type="dxa"/>
          </w:tcPr>
          <w:p w14:paraId="703F5AF6" w14:textId="1DA1171C"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12,602 (95% CI: 10,634-14,638)</w:t>
            </w:r>
          </w:p>
        </w:tc>
      </w:tr>
      <w:tr w:rsidR="00E36AC2" w:rsidRPr="00AE069D" w14:paraId="70CA7C67" w14:textId="77777777" w:rsidTr="004B6AD6">
        <w:tc>
          <w:tcPr>
            <w:tcW w:w="2258" w:type="dxa"/>
          </w:tcPr>
          <w:p w14:paraId="707FC2E2"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treatment cost</w:t>
            </w:r>
          </w:p>
        </w:tc>
        <w:tc>
          <w:tcPr>
            <w:tcW w:w="2088" w:type="dxa"/>
          </w:tcPr>
          <w:p w14:paraId="706453BB" w14:textId="5C441360"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88,902 (95% CI: 76,067-103,212)</w:t>
            </w:r>
          </w:p>
        </w:tc>
        <w:tc>
          <w:tcPr>
            <w:tcW w:w="2088" w:type="dxa"/>
          </w:tcPr>
          <w:p w14:paraId="53ED220C" w14:textId="599B0508"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91,462 (95% CI: 77,685-107,475)</w:t>
            </w:r>
          </w:p>
        </w:tc>
        <w:tc>
          <w:tcPr>
            <w:tcW w:w="2088" w:type="dxa"/>
          </w:tcPr>
          <w:p w14:paraId="4B3FFC9A" w14:textId="1C3BFA95"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95,824 (95% CI: 80,853-111,301)</w:t>
            </w:r>
          </w:p>
        </w:tc>
      </w:tr>
      <w:tr w:rsidR="00E36AC2" w:rsidRPr="00AE069D" w14:paraId="3323C617" w14:textId="77777777" w:rsidTr="004B6AD6">
        <w:tc>
          <w:tcPr>
            <w:tcW w:w="2258" w:type="dxa"/>
          </w:tcPr>
          <w:p w14:paraId="2313812B"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infection cases precaution cost</w:t>
            </w:r>
          </w:p>
        </w:tc>
        <w:tc>
          <w:tcPr>
            <w:tcW w:w="2088" w:type="dxa"/>
          </w:tcPr>
          <w:p w14:paraId="3E4F0AF0" w14:textId="2C57BA8F"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234,820 (95% CI: 192,954-283,003)</w:t>
            </w:r>
          </w:p>
        </w:tc>
        <w:tc>
          <w:tcPr>
            <w:tcW w:w="2088" w:type="dxa"/>
          </w:tcPr>
          <w:p w14:paraId="79637B7E" w14:textId="16128D5C"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230,696 (95% CI: 187,651-279,575)</w:t>
            </w:r>
          </w:p>
        </w:tc>
        <w:tc>
          <w:tcPr>
            <w:tcW w:w="2088" w:type="dxa"/>
          </w:tcPr>
          <w:p w14:paraId="78857699" w14:textId="254214AC"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204,244 (95% CI: 166,299-248,222)</w:t>
            </w:r>
          </w:p>
        </w:tc>
      </w:tr>
      <w:tr w:rsidR="00E36AC2" w:rsidRPr="00AE069D" w14:paraId="6F970858" w14:textId="77777777" w:rsidTr="004B6AD6">
        <w:tc>
          <w:tcPr>
            <w:tcW w:w="2258" w:type="dxa"/>
          </w:tcPr>
          <w:p w14:paraId="7E733997"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MRSA colonized cases precaution cost</w:t>
            </w:r>
          </w:p>
        </w:tc>
        <w:tc>
          <w:tcPr>
            <w:tcW w:w="2088" w:type="dxa"/>
          </w:tcPr>
          <w:p w14:paraId="257562DF" w14:textId="76A3B08E"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359,564 (95% CI: 295,457-433,344)</w:t>
            </w:r>
          </w:p>
        </w:tc>
        <w:tc>
          <w:tcPr>
            <w:tcW w:w="2088" w:type="dxa"/>
          </w:tcPr>
          <w:p w14:paraId="235ED929" w14:textId="467C9E50"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353,249 (95% CI: 287,337-428,093)</w:t>
            </w:r>
          </w:p>
        </w:tc>
        <w:tc>
          <w:tcPr>
            <w:tcW w:w="2088" w:type="dxa"/>
          </w:tcPr>
          <w:p w14:paraId="08BDACB3" w14:textId="7C2AB86C"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312,744 (95% CI: 254,643-380,085)</w:t>
            </w:r>
          </w:p>
        </w:tc>
      </w:tr>
      <w:tr w:rsidR="00E36AC2" w:rsidRPr="00AE069D" w14:paraId="15DC24E1" w14:textId="77777777" w:rsidTr="004B6AD6">
        <w:tc>
          <w:tcPr>
            <w:tcW w:w="2258" w:type="dxa"/>
          </w:tcPr>
          <w:p w14:paraId="10281673" w14:textId="77777777" w:rsidR="00E36AC2" w:rsidRPr="00B25868" w:rsidRDefault="00E36AC2" w:rsidP="004B6AD6">
            <w:pPr>
              <w:pStyle w:val="NormalWeb"/>
              <w:spacing w:before="0" w:beforeAutospacing="0" w:after="0" w:afterAutospacing="0"/>
              <w:rPr>
                <w:color w:val="000000" w:themeColor="text1"/>
                <w:sz w:val="20"/>
                <w:szCs w:val="20"/>
                <w:lang w:val="en-US"/>
              </w:rPr>
            </w:pPr>
            <w:r w:rsidRPr="00B25868">
              <w:rPr>
                <w:color w:val="000000" w:themeColor="text1"/>
                <w:sz w:val="20"/>
                <w:szCs w:val="20"/>
                <w:lang w:val="en-US"/>
              </w:rPr>
              <w:t>Total cost</w:t>
            </w:r>
          </w:p>
        </w:tc>
        <w:tc>
          <w:tcPr>
            <w:tcW w:w="2088" w:type="dxa"/>
          </w:tcPr>
          <w:p w14:paraId="6CF204A1" w14:textId="2E413A80" w:rsidR="00E36AC2" w:rsidRPr="00B25868" w:rsidRDefault="009C153D" w:rsidP="004B6AD6">
            <w:pPr>
              <w:pStyle w:val="NormalWeb"/>
              <w:spacing w:before="0" w:beforeAutospacing="0" w:after="0" w:afterAutospacing="0"/>
              <w:rPr>
                <w:color w:val="000000" w:themeColor="text1"/>
                <w:sz w:val="20"/>
                <w:szCs w:val="20"/>
                <w:lang w:val="en-US"/>
              </w:rPr>
            </w:pPr>
            <w:r>
              <w:rPr>
                <w:color w:val="000000" w:themeColor="text1"/>
                <w:sz w:val="20"/>
                <w:szCs w:val="20"/>
                <w:lang w:val="en-US"/>
              </w:rPr>
              <w:t>6</w:t>
            </w:r>
            <w:r w:rsidRPr="009C153D">
              <w:rPr>
                <w:color w:val="000000" w:themeColor="text1"/>
                <w:sz w:val="20"/>
                <w:szCs w:val="20"/>
                <w:lang w:val="en-US"/>
              </w:rPr>
              <w:t>94,960 (95% CI: 574,468-833,112)</w:t>
            </w:r>
          </w:p>
        </w:tc>
        <w:tc>
          <w:tcPr>
            <w:tcW w:w="2088" w:type="dxa"/>
          </w:tcPr>
          <w:p w14:paraId="1BA87FF0" w14:textId="62CD605E"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687,417 (95% CI: 562,874-829,255)</w:t>
            </w:r>
            <w:r>
              <w:rPr>
                <w:color w:val="000000" w:themeColor="text1"/>
                <w:sz w:val="20"/>
                <w:szCs w:val="20"/>
                <w:lang w:val="en-US"/>
              </w:rPr>
              <w:t>**</w:t>
            </w:r>
          </w:p>
        </w:tc>
        <w:tc>
          <w:tcPr>
            <w:tcW w:w="2088" w:type="dxa"/>
          </w:tcPr>
          <w:p w14:paraId="2A40DFF3" w14:textId="7B6BCE71" w:rsidR="00E36AC2" w:rsidRPr="00B25868" w:rsidRDefault="009C153D" w:rsidP="004B6AD6">
            <w:pPr>
              <w:pStyle w:val="NormalWeb"/>
              <w:spacing w:before="0" w:beforeAutospacing="0" w:after="0" w:afterAutospacing="0"/>
              <w:rPr>
                <w:color w:val="000000" w:themeColor="text1"/>
                <w:sz w:val="20"/>
                <w:szCs w:val="20"/>
                <w:lang w:val="en-US"/>
              </w:rPr>
            </w:pPr>
            <w:r w:rsidRPr="009C153D">
              <w:rPr>
                <w:color w:val="000000" w:themeColor="text1"/>
                <w:sz w:val="20"/>
                <w:szCs w:val="20"/>
                <w:lang w:val="en-US"/>
              </w:rPr>
              <w:t>625,395 (95% CI: 512,412-754,224)</w:t>
            </w:r>
            <w:r>
              <w:rPr>
                <w:color w:val="000000" w:themeColor="text1"/>
                <w:sz w:val="20"/>
                <w:szCs w:val="20"/>
                <w:lang w:val="en-US"/>
              </w:rPr>
              <w:t>***</w:t>
            </w:r>
          </w:p>
        </w:tc>
      </w:tr>
    </w:tbl>
    <w:p w14:paraId="397F76AC" w14:textId="77777777" w:rsidR="00E36AC2" w:rsidRPr="00AE069D" w:rsidRDefault="00E36AC2" w:rsidP="00E36AC2">
      <w:pPr>
        <w:spacing w:line="480" w:lineRule="auto"/>
        <w:rPr>
          <w:color w:val="000000" w:themeColor="text1"/>
        </w:rPr>
      </w:pPr>
      <w:r w:rsidRPr="00AE069D">
        <w:rPr>
          <w:color w:val="000000" w:themeColor="text1"/>
        </w:rPr>
        <w:t>*</w:t>
      </w:r>
      <w:r w:rsidRPr="00B25868">
        <w:rPr>
          <w:color w:val="000000" w:themeColor="text1"/>
        </w:rPr>
        <w:t>* indicates that p&lt;0.005, and *** indicates that p&lt;0.001 compared with 3-negative</w:t>
      </w:r>
    </w:p>
    <w:p w14:paraId="7B632E3B" w14:textId="77777777" w:rsidR="0065439B" w:rsidRPr="00AE069D" w:rsidRDefault="0065439B" w:rsidP="00A920FF">
      <w:pPr>
        <w:spacing w:line="480" w:lineRule="auto"/>
        <w:rPr>
          <w:color w:val="000000" w:themeColor="text1"/>
        </w:rPr>
      </w:pPr>
    </w:p>
    <w:p w14:paraId="69BEA02B" w14:textId="28E69319" w:rsidR="00E10ABA" w:rsidRPr="00AE069D" w:rsidRDefault="00322AE0" w:rsidP="00A920FF">
      <w:pPr>
        <w:spacing w:line="480" w:lineRule="auto"/>
        <w:rPr>
          <w:color w:val="000000" w:themeColor="text1"/>
          <w:lang w:val="en-US"/>
        </w:rPr>
      </w:pPr>
      <w:r w:rsidRPr="00AE069D">
        <w:rPr>
          <w:b/>
          <w:bCs/>
          <w:color w:val="000000" w:themeColor="text1"/>
        </w:rPr>
        <w:t>References:</w:t>
      </w:r>
    </w:p>
    <w:p w14:paraId="741066F2" w14:textId="77777777" w:rsidR="00FF6D0D" w:rsidRPr="00AE069D" w:rsidRDefault="00FF6D0D" w:rsidP="00FF6D0D">
      <w:pPr>
        <w:pStyle w:val="EndNoteBibliography"/>
        <w:rPr>
          <w:noProof/>
          <w:color w:val="000000" w:themeColor="text1"/>
        </w:rPr>
      </w:pPr>
      <w:r w:rsidRPr="00AE069D">
        <w:rPr>
          <w:noProof/>
          <w:color w:val="000000" w:themeColor="text1"/>
        </w:rPr>
        <w:t>1.</w:t>
      </w:r>
      <w:r w:rsidRPr="00AE069D">
        <w:rPr>
          <w:noProof/>
          <w:color w:val="000000" w:themeColor="text1"/>
        </w:rPr>
        <w:tab/>
        <w:t>Jang H, Justice S, Polgreen PM, Segre AM, Sewell DK, Pemmaraju SV. Evaluating architectural changes to alter pathogen dynamics in a dialysis unit: for the CDC MInD-healthcare group. 2019:961-968.</w:t>
      </w:r>
    </w:p>
    <w:p w14:paraId="30F3A395" w14:textId="77777777" w:rsidR="00FF6D0D" w:rsidRPr="00AE069D" w:rsidRDefault="00FF6D0D" w:rsidP="00FF6D0D">
      <w:pPr>
        <w:pStyle w:val="EndNoteBibliography"/>
        <w:rPr>
          <w:noProof/>
          <w:color w:val="000000" w:themeColor="text1"/>
        </w:rPr>
      </w:pPr>
      <w:r w:rsidRPr="00AE069D">
        <w:rPr>
          <w:noProof/>
          <w:color w:val="000000" w:themeColor="text1"/>
        </w:rPr>
        <w:t>2.</w:t>
      </w:r>
      <w:r w:rsidRPr="00AE069D">
        <w:rPr>
          <w:noProof/>
          <w:color w:val="000000" w:themeColor="text1"/>
        </w:rPr>
        <w:tab/>
        <w:t xml:space="preserve">Pei S, Morone F, Liljeros F, Makse H, Shaman JL. Inference and control of the nosocomial transmission of methicillin-resistant Staphylococcus aureus. </w:t>
      </w:r>
      <w:r w:rsidRPr="00AE069D">
        <w:rPr>
          <w:i/>
          <w:noProof/>
          <w:color w:val="000000" w:themeColor="text1"/>
        </w:rPr>
        <w:t>Elife</w:t>
      </w:r>
      <w:r w:rsidRPr="00AE069D">
        <w:rPr>
          <w:noProof/>
          <w:color w:val="000000" w:themeColor="text1"/>
        </w:rPr>
        <w:t xml:space="preserve">. 2018;7:e40977. </w:t>
      </w:r>
    </w:p>
    <w:p w14:paraId="538102F4" w14:textId="77777777" w:rsidR="00FF6D0D" w:rsidRPr="00AE069D" w:rsidRDefault="00FF6D0D" w:rsidP="00FF6D0D">
      <w:pPr>
        <w:pStyle w:val="EndNoteBibliography"/>
        <w:rPr>
          <w:noProof/>
          <w:color w:val="000000" w:themeColor="text1"/>
        </w:rPr>
      </w:pPr>
      <w:r w:rsidRPr="00AE069D">
        <w:rPr>
          <w:noProof/>
          <w:color w:val="000000" w:themeColor="text1"/>
        </w:rPr>
        <w:t>3.</w:t>
      </w:r>
      <w:r w:rsidRPr="00AE069D">
        <w:rPr>
          <w:noProof/>
          <w:color w:val="000000" w:themeColor="text1"/>
        </w:rPr>
        <w:tab/>
        <w:t xml:space="preserve">Pei S, Liljeros F, Shaman J. Identifying asymptomatic spreaders of antimicrobial-resistant pathogens in hospital settings. </w:t>
      </w:r>
      <w:r w:rsidRPr="00AE069D">
        <w:rPr>
          <w:i/>
          <w:noProof/>
          <w:color w:val="000000" w:themeColor="text1"/>
        </w:rPr>
        <w:t>Proceedings of the National Academy of Sciences</w:t>
      </w:r>
      <w:r w:rsidRPr="00AE069D">
        <w:rPr>
          <w:noProof/>
          <w:color w:val="000000" w:themeColor="text1"/>
        </w:rPr>
        <w:t xml:space="preserve">. 2021;118(37):e2111190118. </w:t>
      </w:r>
    </w:p>
    <w:p w14:paraId="1F9EA855" w14:textId="77777777" w:rsidR="00FF6D0D" w:rsidRPr="00AE069D" w:rsidRDefault="00FF6D0D" w:rsidP="00FF6D0D">
      <w:pPr>
        <w:pStyle w:val="EndNoteBibliography"/>
        <w:rPr>
          <w:noProof/>
          <w:color w:val="000000" w:themeColor="text1"/>
        </w:rPr>
      </w:pPr>
      <w:r w:rsidRPr="00AE069D">
        <w:rPr>
          <w:noProof/>
          <w:color w:val="000000" w:themeColor="text1"/>
        </w:rPr>
        <w:t>4.</w:t>
      </w:r>
      <w:r w:rsidRPr="00AE069D">
        <w:rPr>
          <w:noProof/>
          <w:color w:val="000000" w:themeColor="text1"/>
        </w:rPr>
        <w:tab/>
        <w:t xml:space="preserve">Pei S, Kandula S, Shaman J. Differential effects of intervention timing on COVID-19 spread in the United States. </w:t>
      </w:r>
      <w:r w:rsidRPr="00AE069D">
        <w:rPr>
          <w:i/>
          <w:noProof/>
          <w:color w:val="000000" w:themeColor="text1"/>
        </w:rPr>
        <w:t>Science advances</w:t>
      </w:r>
      <w:r w:rsidRPr="00AE069D">
        <w:rPr>
          <w:noProof/>
          <w:color w:val="000000" w:themeColor="text1"/>
        </w:rPr>
        <w:t xml:space="preserve">. 2020;6(49):eabd6370. </w:t>
      </w:r>
    </w:p>
    <w:p w14:paraId="1AB8D16F" w14:textId="77777777" w:rsidR="00FF6D0D" w:rsidRPr="00AE069D" w:rsidRDefault="00FF6D0D" w:rsidP="00FF6D0D">
      <w:pPr>
        <w:pStyle w:val="EndNoteBibliography"/>
        <w:rPr>
          <w:noProof/>
          <w:color w:val="000000" w:themeColor="text1"/>
        </w:rPr>
      </w:pPr>
      <w:r w:rsidRPr="00AE069D">
        <w:rPr>
          <w:noProof/>
          <w:color w:val="000000" w:themeColor="text1"/>
        </w:rPr>
        <w:t>5.</w:t>
      </w:r>
      <w:r w:rsidRPr="00AE069D">
        <w:rPr>
          <w:noProof/>
          <w:color w:val="000000" w:themeColor="text1"/>
        </w:rPr>
        <w:tab/>
        <w:t xml:space="preserve">Li R, Pei S, Chen B, et al. Substantial undocumented infection facilitates the rapid dissemination of novel coronavirus (SARS-CoV-2). </w:t>
      </w:r>
      <w:r w:rsidRPr="00AE069D">
        <w:rPr>
          <w:i/>
          <w:noProof/>
          <w:color w:val="000000" w:themeColor="text1"/>
        </w:rPr>
        <w:t>Science</w:t>
      </w:r>
      <w:r w:rsidRPr="00AE069D">
        <w:rPr>
          <w:noProof/>
          <w:color w:val="000000" w:themeColor="text1"/>
        </w:rPr>
        <w:t xml:space="preserve">. 2020;368(6490):489-493. </w:t>
      </w:r>
    </w:p>
    <w:p w14:paraId="322011B5" w14:textId="77777777" w:rsidR="006E7264" w:rsidRPr="006E7264" w:rsidRDefault="00AA1093" w:rsidP="006E7264">
      <w:pPr>
        <w:pStyle w:val="EndNoteBibliography"/>
        <w:rPr>
          <w:noProof/>
        </w:rPr>
      </w:pPr>
      <w:r>
        <w:rPr>
          <w:color w:val="000000" w:themeColor="text1"/>
        </w:rPr>
        <w:lastRenderedPageBreak/>
        <w:fldChar w:fldCharType="begin"/>
      </w:r>
      <w:r>
        <w:rPr>
          <w:color w:val="000000" w:themeColor="text1"/>
        </w:rPr>
        <w:instrText xml:space="preserve"> ADDIN EN.REFLIST </w:instrText>
      </w:r>
      <w:r>
        <w:rPr>
          <w:color w:val="000000" w:themeColor="text1"/>
        </w:rPr>
        <w:fldChar w:fldCharType="separate"/>
      </w:r>
      <w:r w:rsidR="006E7264" w:rsidRPr="006E7264">
        <w:rPr>
          <w:noProof/>
        </w:rPr>
        <w:t>1.</w:t>
      </w:r>
      <w:r w:rsidR="006E7264" w:rsidRPr="006E7264">
        <w:rPr>
          <w:noProof/>
        </w:rPr>
        <w:tab/>
        <w:t xml:space="preserve">Roth VR, Longpre T, Coyle D, et al. Cost analysis of universal screening vs. risk factor-based screening for methicillin-resistant Staphylococcus aureus (MRSA). </w:t>
      </w:r>
      <w:r w:rsidR="006E7264" w:rsidRPr="006E7264">
        <w:rPr>
          <w:i/>
          <w:noProof/>
        </w:rPr>
        <w:t>PLOS ONE</w:t>
      </w:r>
      <w:r w:rsidR="006E7264" w:rsidRPr="006E7264">
        <w:rPr>
          <w:noProof/>
        </w:rPr>
        <w:t xml:space="preserve">. 2016;11(7):e0159667. </w:t>
      </w:r>
    </w:p>
    <w:p w14:paraId="1DFFD5B8" w14:textId="77777777" w:rsidR="006E7264" w:rsidRPr="006E7264" w:rsidRDefault="006E7264" w:rsidP="006E7264">
      <w:pPr>
        <w:pStyle w:val="EndNoteBibliography"/>
        <w:rPr>
          <w:noProof/>
        </w:rPr>
      </w:pPr>
      <w:r w:rsidRPr="006E7264">
        <w:rPr>
          <w:noProof/>
        </w:rPr>
        <w:t>2.</w:t>
      </w:r>
      <w:r w:rsidRPr="006E7264">
        <w:rPr>
          <w:noProof/>
        </w:rPr>
        <w:tab/>
        <w:t xml:space="preserve">Wagner R, Agusto FB. Transmission dynamics for Methicilin-resistant Staphalococous areus with injection drug user. </w:t>
      </w:r>
      <w:r w:rsidRPr="006E7264">
        <w:rPr>
          <w:i/>
          <w:noProof/>
        </w:rPr>
        <w:t>BMC Infectious Diseases</w:t>
      </w:r>
      <w:r w:rsidRPr="006E7264">
        <w:rPr>
          <w:noProof/>
        </w:rPr>
        <w:t xml:space="preserve">. 2018;18(1):1-18. </w:t>
      </w:r>
    </w:p>
    <w:p w14:paraId="5522F2CB" w14:textId="77777777" w:rsidR="006E7264" w:rsidRPr="006E7264" w:rsidRDefault="006E7264" w:rsidP="006E7264">
      <w:pPr>
        <w:pStyle w:val="EndNoteBibliography"/>
        <w:rPr>
          <w:noProof/>
        </w:rPr>
      </w:pPr>
      <w:r w:rsidRPr="006E7264">
        <w:rPr>
          <w:noProof/>
        </w:rPr>
        <w:t>3.</w:t>
      </w:r>
      <w:r w:rsidRPr="006E7264">
        <w:rPr>
          <w:noProof/>
        </w:rPr>
        <w:tab/>
        <w:t xml:space="preserve">Wang X, Panchanathan S, Chowell G. A data-driven mathematical model of CA-MRSA transmission among age groups: evaluating the effect of control interventions. </w:t>
      </w:r>
      <w:r w:rsidRPr="006E7264">
        <w:rPr>
          <w:i/>
          <w:noProof/>
        </w:rPr>
        <w:t>PLoS Computational Biology</w:t>
      </w:r>
      <w:r w:rsidRPr="006E7264">
        <w:rPr>
          <w:noProof/>
        </w:rPr>
        <w:t xml:space="preserve">. 2013;9(11):e1003328. </w:t>
      </w:r>
    </w:p>
    <w:p w14:paraId="610EE0B0" w14:textId="77777777" w:rsidR="006E7264" w:rsidRPr="006E7264" w:rsidRDefault="006E7264" w:rsidP="006E7264">
      <w:pPr>
        <w:pStyle w:val="EndNoteBibliography"/>
        <w:rPr>
          <w:noProof/>
        </w:rPr>
      </w:pPr>
      <w:r w:rsidRPr="006E7264">
        <w:rPr>
          <w:noProof/>
        </w:rPr>
        <w:t>4.</w:t>
      </w:r>
      <w:r w:rsidRPr="006E7264">
        <w:rPr>
          <w:noProof/>
        </w:rPr>
        <w:tab/>
        <w:t xml:space="preserve">Macal CM, North MJ, Collier N, et al. Modeling the transmission of community-associated methicillin-resistant Staphylococcus aureus: a dynamic agent-based simulation. </w:t>
      </w:r>
      <w:r w:rsidRPr="006E7264">
        <w:rPr>
          <w:i/>
          <w:noProof/>
        </w:rPr>
        <w:t>Journal of Translational Medicine</w:t>
      </w:r>
      <w:r w:rsidRPr="006E7264">
        <w:rPr>
          <w:noProof/>
        </w:rPr>
        <w:t xml:space="preserve">. 2014;12(1):1-12. </w:t>
      </w:r>
    </w:p>
    <w:p w14:paraId="1F0489E4" w14:textId="77777777" w:rsidR="006E7264" w:rsidRPr="006E7264" w:rsidRDefault="006E7264" w:rsidP="006E7264">
      <w:pPr>
        <w:pStyle w:val="EndNoteBibliography"/>
        <w:rPr>
          <w:noProof/>
        </w:rPr>
      </w:pPr>
      <w:r w:rsidRPr="006E7264">
        <w:rPr>
          <w:noProof/>
        </w:rPr>
        <w:t>5.</w:t>
      </w:r>
      <w:r w:rsidRPr="006E7264">
        <w:rPr>
          <w:noProof/>
        </w:rPr>
        <w:tab/>
        <w:t xml:space="preserve">Hethcote HW. The mathematics of infectious diseases. </w:t>
      </w:r>
      <w:r w:rsidRPr="006E7264">
        <w:rPr>
          <w:i/>
          <w:noProof/>
        </w:rPr>
        <w:t>SIAM review</w:t>
      </w:r>
      <w:r w:rsidRPr="006E7264">
        <w:rPr>
          <w:noProof/>
        </w:rPr>
        <w:t xml:space="preserve">. 2000;42(4):599-653. </w:t>
      </w:r>
    </w:p>
    <w:p w14:paraId="4BF1257A" w14:textId="77777777" w:rsidR="006E7264" w:rsidRPr="006E7264" w:rsidRDefault="006E7264" w:rsidP="006E7264">
      <w:pPr>
        <w:pStyle w:val="EndNoteBibliography"/>
        <w:rPr>
          <w:noProof/>
        </w:rPr>
      </w:pPr>
      <w:r w:rsidRPr="006E7264">
        <w:rPr>
          <w:noProof/>
        </w:rPr>
        <w:t>6.</w:t>
      </w:r>
      <w:r w:rsidRPr="006E7264">
        <w:rPr>
          <w:noProof/>
        </w:rPr>
        <w:tab/>
        <w:t>Jang H, Justice S, Polgreen PM, Segre AM, Sewell DK, Pemmaraju SV. Evaluating architectural changes to alter pathogen dynamics in a dialysis unit: for the CDC MInD-healthcare group. 2019:961-968.</w:t>
      </w:r>
    </w:p>
    <w:p w14:paraId="232113D1" w14:textId="77777777" w:rsidR="006E7264" w:rsidRPr="006E7264" w:rsidRDefault="006E7264" w:rsidP="006E7264">
      <w:pPr>
        <w:pStyle w:val="EndNoteBibliography"/>
        <w:rPr>
          <w:noProof/>
        </w:rPr>
      </w:pPr>
      <w:r w:rsidRPr="006E7264">
        <w:rPr>
          <w:noProof/>
        </w:rPr>
        <w:t>7.</w:t>
      </w:r>
      <w:r w:rsidRPr="006E7264">
        <w:rPr>
          <w:noProof/>
        </w:rPr>
        <w:tab/>
        <w:t xml:space="preserve">Plipat N, Spicknall IH, Koopman JS, Eisenberg JN. The dynamics of methicillin-resistant Staphylococcus aureusexposure in a hospital model and the potential for environmental intervention. </w:t>
      </w:r>
      <w:r w:rsidRPr="006E7264">
        <w:rPr>
          <w:i/>
          <w:noProof/>
        </w:rPr>
        <w:t>BMC infectious diseases</w:t>
      </w:r>
      <w:r w:rsidRPr="006E7264">
        <w:rPr>
          <w:noProof/>
        </w:rPr>
        <w:t xml:space="preserve">. 2013;13(1):1-11. </w:t>
      </w:r>
    </w:p>
    <w:p w14:paraId="32E7B9C9" w14:textId="77777777" w:rsidR="006E7264" w:rsidRPr="006E7264" w:rsidRDefault="006E7264" w:rsidP="006E7264">
      <w:pPr>
        <w:pStyle w:val="EndNoteBibliography"/>
        <w:rPr>
          <w:noProof/>
        </w:rPr>
      </w:pPr>
      <w:r w:rsidRPr="006E7264">
        <w:rPr>
          <w:noProof/>
        </w:rPr>
        <w:t>8.</w:t>
      </w:r>
      <w:r w:rsidRPr="006E7264">
        <w:rPr>
          <w:noProof/>
        </w:rPr>
        <w:tab/>
        <w:t xml:space="preserve">Li S, Eisenberg JN, Spicknall IH, Koopman JS. Dynamics and control of infections transmitted from person to person through the environment. </w:t>
      </w:r>
      <w:r w:rsidRPr="006E7264">
        <w:rPr>
          <w:i/>
          <w:noProof/>
        </w:rPr>
        <w:t>American Journal of Epidemiology</w:t>
      </w:r>
      <w:r w:rsidRPr="006E7264">
        <w:rPr>
          <w:noProof/>
        </w:rPr>
        <w:t xml:space="preserve">. 2009;170(2):257-265. </w:t>
      </w:r>
    </w:p>
    <w:p w14:paraId="0DD1ADC4" w14:textId="77777777" w:rsidR="006E7264" w:rsidRPr="006E7264" w:rsidRDefault="006E7264" w:rsidP="006E7264">
      <w:pPr>
        <w:pStyle w:val="EndNoteBibliography"/>
        <w:rPr>
          <w:noProof/>
        </w:rPr>
      </w:pPr>
      <w:r w:rsidRPr="006E7264">
        <w:rPr>
          <w:noProof/>
        </w:rPr>
        <w:t>9.</w:t>
      </w:r>
      <w:r w:rsidRPr="006E7264">
        <w:rPr>
          <w:noProof/>
        </w:rPr>
        <w:tab/>
        <w:t xml:space="preserve">Giardina J, Bilinski A, Fitzpatrick MC, et al. Model-estimated association between simulated US elementary school–related SARS-CoV-2 transmission, </w:t>
      </w:r>
      <w:r w:rsidRPr="006E7264">
        <w:rPr>
          <w:noProof/>
        </w:rPr>
        <w:lastRenderedPageBreak/>
        <w:t xml:space="preserve">mitigation interventions, and vaccine coverage across local incidence levels. </w:t>
      </w:r>
      <w:r w:rsidRPr="006E7264">
        <w:rPr>
          <w:i/>
          <w:noProof/>
        </w:rPr>
        <w:t>JAMA Network Open</w:t>
      </w:r>
      <w:r w:rsidRPr="006E7264">
        <w:rPr>
          <w:noProof/>
        </w:rPr>
        <w:t xml:space="preserve">. 2022;5(2):e2147827-e2147827. </w:t>
      </w:r>
    </w:p>
    <w:p w14:paraId="74D67CF4" w14:textId="77777777" w:rsidR="006E7264" w:rsidRPr="006E7264" w:rsidRDefault="006E7264" w:rsidP="006E7264">
      <w:pPr>
        <w:pStyle w:val="EndNoteBibliography"/>
        <w:rPr>
          <w:noProof/>
        </w:rPr>
      </w:pPr>
      <w:r w:rsidRPr="006E7264">
        <w:rPr>
          <w:noProof/>
        </w:rPr>
        <w:t>10.</w:t>
      </w:r>
      <w:r w:rsidRPr="006E7264">
        <w:rPr>
          <w:noProof/>
        </w:rPr>
        <w:tab/>
        <w:t xml:space="preserve">Li R, Pei S, Chen B, et al. Substantial undocumented infection facilitates the rapid dissemination of novel coronavirus (SARS-CoV-2). </w:t>
      </w:r>
      <w:r w:rsidRPr="006E7264">
        <w:rPr>
          <w:i/>
          <w:noProof/>
        </w:rPr>
        <w:t>Science</w:t>
      </w:r>
      <w:r w:rsidRPr="006E7264">
        <w:rPr>
          <w:noProof/>
        </w:rPr>
        <w:t xml:space="preserve">. 2020;368(6490):489-493. </w:t>
      </w:r>
    </w:p>
    <w:p w14:paraId="5F3DB38F" w14:textId="77777777" w:rsidR="006E7264" w:rsidRPr="006E7264" w:rsidRDefault="006E7264" w:rsidP="006E7264">
      <w:pPr>
        <w:pStyle w:val="EndNoteBibliography"/>
        <w:rPr>
          <w:noProof/>
        </w:rPr>
      </w:pPr>
      <w:r w:rsidRPr="006E7264">
        <w:rPr>
          <w:noProof/>
        </w:rPr>
        <w:t>11.</w:t>
      </w:r>
      <w:r w:rsidRPr="006E7264">
        <w:rPr>
          <w:noProof/>
        </w:rPr>
        <w:tab/>
        <w:t xml:space="preserve">Pei S, Liljeros F, Shaman J. Identifying asymptomatic spreaders of antimicrobial-resistant pathogens in hospital settings. </w:t>
      </w:r>
      <w:r w:rsidRPr="006E7264">
        <w:rPr>
          <w:i/>
          <w:noProof/>
        </w:rPr>
        <w:t>Proceedings of the National Academy of Sciences</w:t>
      </w:r>
      <w:r w:rsidRPr="006E7264">
        <w:rPr>
          <w:noProof/>
        </w:rPr>
        <w:t xml:space="preserve">. 2021;118(37):e2111190118. </w:t>
      </w:r>
    </w:p>
    <w:p w14:paraId="303A090E" w14:textId="77777777" w:rsidR="006E7264" w:rsidRPr="006E7264" w:rsidRDefault="006E7264" w:rsidP="006E7264">
      <w:pPr>
        <w:pStyle w:val="EndNoteBibliography"/>
        <w:rPr>
          <w:noProof/>
        </w:rPr>
      </w:pPr>
      <w:r w:rsidRPr="006E7264">
        <w:rPr>
          <w:noProof/>
        </w:rPr>
        <w:t>12.</w:t>
      </w:r>
      <w:r w:rsidRPr="006E7264">
        <w:rPr>
          <w:noProof/>
        </w:rPr>
        <w:tab/>
        <w:t xml:space="preserve">Pei S, Kandula S, Shaman J. Differential effects of intervention timing on COVID-19 spread in the United States. </w:t>
      </w:r>
      <w:r w:rsidRPr="006E7264">
        <w:rPr>
          <w:i/>
          <w:noProof/>
        </w:rPr>
        <w:t>Science Advances</w:t>
      </w:r>
      <w:r w:rsidRPr="006E7264">
        <w:rPr>
          <w:noProof/>
        </w:rPr>
        <w:t xml:space="preserve">. 2020;6(49):eabd6370. </w:t>
      </w:r>
    </w:p>
    <w:p w14:paraId="11CF32A8" w14:textId="77777777" w:rsidR="006E7264" w:rsidRPr="006E7264" w:rsidRDefault="006E7264" w:rsidP="006E7264">
      <w:pPr>
        <w:pStyle w:val="EndNoteBibliography"/>
        <w:rPr>
          <w:noProof/>
        </w:rPr>
      </w:pPr>
      <w:r w:rsidRPr="006E7264">
        <w:rPr>
          <w:noProof/>
        </w:rPr>
        <w:t>13.</w:t>
      </w:r>
      <w:r w:rsidRPr="006E7264">
        <w:rPr>
          <w:noProof/>
        </w:rPr>
        <w:tab/>
        <w:t xml:space="preserve">Pei S, Morone F, Liljeros F, Makse H, Shaman JL. Inference and control of the nosocomial transmission of methicillin-resistant Staphylococcus aureus. </w:t>
      </w:r>
      <w:r w:rsidRPr="006E7264">
        <w:rPr>
          <w:i/>
          <w:noProof/>
        </w:rPr>
        <w:t>Elife</w:t>
      </w:r>
      <w:r w:rsidRPr="006E7264">
        <w:rPr>
          <w:noProof/>
        </w:rPr>
        <w:t xml:space="preserve">. 2018;7:e40977. </w:t>
      </w:r>
    </w:p>
    <w:p w14:paraId="611FE782" w14:textId="77777777" w:rsidR="006E7264" w:rsidRPr="006E7264" w:rsidRDefault="006E7264" w:rsidP="006E7264">
      <w:pPr>
        <w:pStyle w:val="EndNoteBibliography"/>
        <w:rPr>
          <w:noProof/>
        </w:rPr>
      </w:pPr>
      <w:r w:rsidRPr="006E7264">
        <w:rPr>
          <w:noProof/>
        </w:rPr>
        <w:t>14.</w:t>
      </w:r>
      <w:r w:rsidRPr="006E7264">
        <w:rPr>
          <w:noProof/>
        </w:rPr>
        <w:tab/>
        <w:t xml:space="preserve">Khader K, Thomas A, Huskins WC, et al. Effectiveness of contact precautions to prevent transmission of methicillin-resistant Staphylococcus aureus and vancomycin-resistant enterococci in intensive care units. </w:t>
      </w:r>
      <w:r w:rsidRPr="006E7264">
        <w:rPr>
          <w:i/>
          <w:noProof/>
        </w:rPr>
        <w:t>Clinical Infectious Diseases</w:t>
      </w:r>
      <w:r w:rsidRPr="006E7264">
        <w:rPr>
          <w:noProof/>
        </w:rPr>
        <w:t xml:space="preserve">. 2021;72(Supplement_1):S42-S49. </w:t>
      </w:r>
    </w:p>
    <w:p w14:paraId="7838AE36" w14:textId="597E661A" w:rsidR="00A920FF" w:rsidRPr="00AE069D" w:rsidRDefault="00AA1093" w:rsidP="00BE2223">
      <w:pPr>
        <w:rPr>
          <w:color w:val="000000" w:themeColor="text1"/>
          <w:lang w:val="en-US"/>
        </w:rPr>
      </w:pPr>
      <w:r>
        <w:rPr>
          <w:color w:val="000000" w:themeColor="text1"/>
          <w:lang w:val="en-US"/>
        </w:rPr>
        <w:fldChar w:fldCharType="end"/>
      </w:r>
    </w:p>
    <w:sectPr w:rsidR="00A920FF" w:rsidRPr="00AE069D" w:rsidSect="00212735">
      <w:footerReference w:type="even" r:id="rId12"/>
      <w:footerReference w:type="default" r:id="rId13"/>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C6AD" w14:textId="77777777" w:rsidR="009C5A00" w:rsidRDefault="009C5A00" w:rsidP="004D3E78">
      <w:r>
        <w:separator/>
      </w:r>
    </w:p>
  </w:endnote>
  <w:endnote w:type="continuationSeparator" w:id="0">
    <w:p w14:paraId="0E4B684C" w14:textId="77777777" w:rsidR="009C5A00" w:rsidRDefault="009C5A00"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7D4A" w14:textId="2D05701B" w:rsidR="006754E0" w:rsidRDefault="006754E0"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ABA">
      <w:rPr>
        <w:rStyle w:val="PageNumber"/>
        <w:noProof/>
      </w:rPr>
      <w:t>1</w:t>
    </w:r>
    <w:r>
      <w:rPr>
        <w:rStyle w:val="PageNumber"/>
      </w:rPr>
      <w:fldChar w:fldCharType="end"/>
    </w:r>
  </w:p>
  <w:p w14:paraId="49265F1E" w14:textId="77777777" w:rsidR="006754E0" w:rsidRDefault="0067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5C42" w14:textId="77777777" w:rsidR="006754E0" w:rsidRDefault="006754E0"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237">
      <w:rPr>
        <w:rStyle w:val="PageNumber"/>
        <w:noProof/>
      </w:rPr>
      <w:t>1</w:t>
    </w:r>
    <w:r>
      <w:rPr>
        <w:rStyle w:val="PageNumber"/>
      </w:rPr>
      <w:fldChar w:fldCharType="end"/>
    </w:r>
  </w:p>
  <w:p w14:paraId="46F712D0" w14:textId="77777777" w:rsidR="006754E0" w:rsidRDefault="006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343D" w14:textId="77777777" w:rsidR="009C5A00" w:rsidRDefault="009C5A00" w:rsidP="004D3E78">
      <w:r>
        <w:separator/>
      </w:r>
    </w:p>
  </w:footnote>
  <w:footnote w:type="continuationSeparator" w:id="0">
    <w:p w14:paraId="52AFF423" w14:textId="77777777" w:rsidR="009C5A00" w:rsidRDefault="009C5A00" w:rsidP="004D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41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a5p0tfvft9vskee0acxxxrwwvz2f5zavped&quot;&gt;My EndNote Library&lt;record-ids&gt;&lt;item&gt;9&lt;/item&gt;&lt;item&gt;13&lt;/item&gt;&lt;item&gt;14&lt;/item&gt;&lt;item&gt;15&lt;/item&gt;&lt;item&gt;29&lt;/item&gt;&lt;item&gt;30&lt;/item&gt;&lt;item&gt;31&lt;/item&gt;&lt;item&gt;32&lt;/item&gt;&lt;item&gt;33&lt;/item&gt;&lt;item&gt;35&lt;/item&gt;&lt;item&gt;37&lt;/item&gt;&lt;item&gt;38&lt;/item&gt;&lt;item&gt;47&lt;/item&gt;&lt;item&gt;49&lt;/item&gt;&lt;/record-ids&gt;&lt;/item&gt;&lt;/Libraries&gt;"/>
  </w:docVars>
  <w:rsids>
    <w:rsidRoot w:val="00182DE4"/>
    <w:rsid w:val="00034847"/>
    <w:rsid w:val="00042484"/>
    <w:rsid w:val="0008765C"/>
    <w:rsid w:val="000B3D12"/>
    <w:rsid w:val="000E278E"/>
    <w:rsid w:val="00103D4A"/>
    <w:rsid w:val="00106FCB"/>
    <w:rsid w:val="00114396"/>
    <w:rsid w:val="00135A9F"/>
    <w:rsid w:val="0017294A"/>
    <w:rsid w:val="00182DE4"/>
    <w:rsid w:val="00185A20"/>
    <w:rsid w:val="001A2C4C"/>
    <w:rsid w:val="001A7273"/>
    <w:rsid w:val="001E5820"/>
    <w:rsid w:val="00212735"/>
    <w:rsid w:val="002417B2"/>
    <w:rsid w:val="002450FB"/>
    <w:rsid w:val="00250BFE"/>
    <w:rsid w:val="002A3396"/>
    <w:rsid w:val="002A6A1C"/>
    <w:rsid w:val="002C05C1"/>
    <w:rsid w:val="002C7CD7"/>
    <w:rsid w:val="002D73CB"/>
    <w:rsid w:val="002E129E"/>
    <w:rsid w:val="0030492B"/>
    <w:rsid w:val="00322AE0"/>
    <w:rsid w:val="003851EA"/>
    <w:rsid w:val="003F0FE0"/>
    <w:rsid w:val="00407D14"/>
    <w:rsid w:val="00444DD6"/>
    <w:rsid w:val="004871D4"/>
    <w:rsid w:val="0048781E"/>
    <w:rsid w:val="004D3E78"/>
    <w:rsid w:val="00524884"/>
    <w:rsid w:val="005F0ACD"/>
    <w:rsid w:val="00614871"/>
    <w:rsid w:val="00635CFA"/>
    <w:rsid w:val="00650130"/>
    <w:rsid w:val="0065439B"/>
    <w:rsid w:val="00661DAC"/>
    <w:rsid w:val="00670C78"/>
    <w:rsid w:val="00671B85"/>
    <w:rsid w:val="006754E0"/>
    <w:rsid w:val="006A3904"/>
    <w:rsid w:val="006A70EE"/>
    <w:rsid w:val="006B19F2"/>
    <w:rsid w:val="006D1E47"/>
    <w:rsid w:val="006E7264"/>
    <w:rsid w:val="006E78CC"/>
    <w:rsid w:val="006F5DA3"/>
    <w:rsid w:val="007224E5"/>
    <w:rsid w:val="00732346"/>
    <w:rsid w:val="007348E9"/>
    <w:rsid w:val="00742A3F"/>
    <w:rsid w:val="007A4121"/>
    <w:rsid w:val="008026A1"/>
    <w:rsid w:val="00832106"/>
    <w:rsid w:val="00863756"/>
    <w:rsid w:val="00876B5A"/>
    <w:rsid w:val="008C738E"/>
    <w:rsid w:val="008D784D"/>
    <w:rsid w:val="00945B1F"/>
    <w:rsid w:val="0097458E"/>
    <w:rsid w:val="00997B29"/>
    <w:rsid w:val="00997E8E"/>
    <w:rsid w:val="009A09FC"/>
    <w:rsid w:val="009B3972"/>
    <w:rsid w:val="009C153D"/>
    <w:rsid w:val="009C5A00"/>
    <w:rsid w:val="009D6EE0"/>
    <w:rsid w:val="00A11C2C"/>
    <w:rsid w:val="00A52E18"/>
    <w:rsid w:val="00A565DF"/>
    <w:rsid w:val="00A920FF"/>
    <w:rsid w:val="00AA1093"/>
    <w:rsid w:val="00AA39C2"/>
    <w:rsid w:val="00AE069D"/>
    <w:rsid w:val="00B25868"/>
    <w:rsid w:val="00B316CB"/>
    <w:rsid w:val="00BE2223"/>
    <w:rsid w:val="00BF7106"/>
    <w:rsid w:val="00C24739"/>
    <w:rsid w:val="00C80572"/>
    <w:rsid w:val="00C82533"/>
    <w:rsid w:val="00CE0CC2"/>
    <w:rsid w:val="00CF3237"/>
    <w:rsid w:val="00D113D4"/>
    <w:rsid w:val="00D13C05"/>
    <w:rsid w:val="00D52143"/>
    <w:rsid w:val="00D82F89"/>
    <w:rsid w:val="00D91020"/>
    <w:rsid w:val="00DA5BDB"/>
    <w:rsid w:val="00E0594F"/>
    <w:rsid w:val="00E10ABA"/>
    <w:rsid w:val="00E36AC2"/>
    <w:rsid w:val="00EA4717"/>
    <w:rsid w:val="00EA576E"/>
    <w:rsid w:val="00F047EB"/>
    <w:rsid w:val="00F17260"/>
    <w:rsid w:val="00F23A1C"/>
    <w:rsid w:val="00F348E1"/>
    <w:rsid w:val="00F41152"/>
    <w:rsid w:val="00FA2EB8"/>
    <w:rsid w:val="00FC5CF3"/>
    <w:rsid w:val="00FD0867"/>
    <w:rsid w:val="00FF6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D4"/>
    <w:rPr>
      <w:rFonts w:ascii="Times New Roman" w:eastAsia="Times New Roman" w:hAnsi="Times New Roman" w:cs="Times New Roman"/>
      <w:lang w:val="en-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eastAsiaTheme="minorEastAsia"/>
      <w:lang w:val="en-US" w:eastAsia="en-US"/>
    </w:rPr>
  </w:style>
  <w:style w:type="paragraph" w:customStyle="1" w:styleId="EndNoteBibliography">
    <w:name w:val="EndNote Bibliography"/>
    <w:basedOn w:val="Normal"/>
    <w:rsid w:val="00661DAC"/>
    <w:pPr>
      <w:spacing w:line="480" w:lineRule="auto"/>
    </w:pPr>
    <w:rPr>
      <w:rFonts w:eastAsiaTheme="minorEastAsia"/>
      <w:lang w:val="en-US" w:eastAsia="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 w:type="paragraph" w:styleId="ListParagraph">
    <w:name w:val="List Paragraph"/>
    <w:basedOn w:val="Normal"/>
    <w:uiPriority w:val="34"/>
    <w:qFormat/>
    <w:rsid w:val="00671B85"/>
    <w:pPr>
      <w:ind w:left="720"/>
      <w:contextualSpacing/>
    </w:pPr>
    <w:rPr>
      <w:rFonts w:asciiTheme="minorHAnsi" w:eastAsiaTheme="minorEastAsia" w:hAnsiTheme="minorHAnsi" w:cstheme="minorBidi"/>
      <w:lang w:val="en-GB" w:eastAsia="en-US"/>
    </w:rPr>
  </w:style>
  <w:style w:type="paragraph" w:styleId="NormalWeb">
    <w:name w:val="Normal (Web)"/>
    <w:basedOn w:val="Normal"/>
    <w:uiPriority w:val="99"/>
    <w:unhideWhenUsed/>
    <w:rsid w:val="00E10ABA"/>
    <w:pPr>
      <w:spacing w:before="100" w:beforeAutospacing="1" w:after="100" w:afterAutospacing="1"/>
    </w:pPr>
    <w:rPr>
      <w:lang w:val="en-GB"/>
    </w:rPr>
  </w:style>
  <w:style w:type="character" w:styleId="PlaceholderText">
    <w:name w:val="Placeholder Text"/>
    <w:basedOn w:val="DefaultParagraphFont"/>
    <w:uiPriority w:val="99"/>
    <w:semiHidden/>
    <w:rsid w:val="00E10ABA"/>
    <w:rPr>
      <w:color w:val="808080"/>
    </w:rPr>
  </w:style>
  <w:style w:type="table" w:styleId="TableGrid">
    <w:name w:val="Table Grid"/>
    <w:basedOn w:val="TableNormal"/>
    <w:uiPriority w:val="59"/>
    <w:rsid w:val="0032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1093"/>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2A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060">
      <w:bodyDiv w:val="1"/>
      <w:marLeft w:val="0"/>
      <w:marRight w:val="0"/>
      <w:marTop w:val="0"/>
      <w:marBottom w:val="0"/>
      <w:divBdr>
        <w:top w:val="none" w:sz="0" w:space="0" w:color="auto"/>
        <w:left w:val="none" w:sz="0" w:space="0" w:color="auto"/>
        <w:bottom w:val="none" w:sz="0" w:space="0" w:color="auto"/>
        <w:right w:val="none" w:sz="0" w:space="0" w:color="auto"/>
      </w:divBdr>
    </w:div>
    <w:div w:id="68697185">
      <w:bodyDiv w:val="1"/>
      <w:marLeft w:val="0"/>
      <w:marRight w:val="0"/>
      <w:marTop w:val="0"/>
      <w:marBottom w:val="0"/>
      <w:divBdr>
        <w:top w:val="none" w:sz="0" w:space="0" w:color="auto"/>
        <w:left w:val="none" w:sz="0" w:space="0" w:color="auto"/>
        <w:bottom w:val="none" w:sz="0" w:space="0" w:color="auto"/>
        <w:right w:val="none" w:sz="0" w:space="0" w:color="auto"/>
      </w:divBdr>
    </w:div>
    <w:div w:id="132144816">
      <w:bodyDiv w:val="1"/>
      <w:marLeft w:val="0"/>
      <w:marRight w:val="0"/>
      <w:marTop w:val="0"/>
      <w:marBottom w:val="0"/>
      <w:divBdr>
        <w:top w:val="none" w:sz="0" w:space="0" w:color="auto"/>
        <w:left w:val="none" w:sz="0" w:space="0" w:color="auto"/>
        <w:bottom w:val="none" w:sz="0" w:space="0" w:color="auto"/>
        <w:right w:val="none" w:sz="0" w:space="0" w:color="auto"/>
      </w:divBdr>
    </w:div>
    <w:div w:id="189952515">
      <w:bodyDiv w:val="1"/>
      <w:marLeft w:val="0"/>
      <w:marRight w:val="0"/>
      <w:marTop w:val="0"/>
      <w:marBottom w:val="0"/>
      <w:divBdr>
        <w:top w:val="none" w:sz="0" w:space="0" w:color="auto"/>
        <w:left w:val="none" w:sz="0" w:space="0" w:color="auto"/>
        <w:bottom w:val="none" w:sz="0" w:space="0" w:color="auto"/>
        <w:right w:val="none" w:sz="0" w:space="0" w:color="auto"/>
      </w:divBdr>
    </w:div>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219899834">
      <w:bodyDiv w:val="1"/>
      <w:marLeft w:val="0"/>
      <w:marRight w:val="0"/>
      <w:marTop w:val="0"/>
      <w:marBottom w:val="0"/>
      <w:divBdr>
        <w:top w:val="none" w:sz="0" w:space="0" w:color="auto"/>
        <w:left w:val="none" w:sz="0" w:space="0" w:color="auto"/>
        <w:bottom w:val="none" w:sz="0" w:space="0" w:color="auto"/>
        <w:right w:val="none" w:sz="0" w:space="0" w:color="auto"/>
      </w:divBdr>
    </w:div>
    <w:div w:id="277832095">
      <w:bodyDiv w:val="1"/>
      <w:marLeft w:val="0"/>
      <w:marRight w:val="0"/>
      <w:marTop w:val="0"/>
      <w:marBottom w:val="0"/>
      <w:divBdr>
        <w:top w:val="none" w:sz="0" w:space="0" w:color="auto"/>
        <w:left w:val="none" w:sz="0" w:space="0" w:color="auto"/>
        <w:bottom w:val="none" w:sz="0" w:space="0" w:color="auto"/>
        <w:right w:val="none" w:sz="0" w:space="0" w:color="auto"/>
      </w:divBdr>
    </w:div>
    <w:div w:id="395980848">
      <w:bodyDiv w:val="1"/>
      <w:marLeft w:val="0"/>
      <w:marRight w:val="0"/>
      <w:marTop w:val="0"/>
      <w:marBottom w:val="0"/>
      <w:divBdr>
        <w:top w:val="none" w:sz="0" w:space="0" w:color="auto"/>
        <w:left w:val="none" w:sz="0" w:space="0" w:color="auto"/>
        <w:bottom w:val="none" w:sz="0" w:space="0" w:color="auto"/>
        <w:right w:val="none" w:sz="0" w:space="0" w:color="auto"/>
      </w:divBdr>
    </w:div>
    <w:div w:id="494998790">
      <w:bodyDiv w:val="1"/>
      <w:marLeft w:val="0"/>
      <w:marRight w:val="0"/>
      <w:marTop w:val="0"/>
      <w:marBottom w:val="0"/>
      <w:divBdr>
        <w:top w:val="none" w:sz="0" w:space="0" w:color="auto"/>
        <w:left w:val="none" w:sz="0" w:space="0" w:color="auto"/>
        <w:bottom w:val="none" w:sz="0" w:space="0" w:color="auto"/>
        <w:right w:val="none" w:sz="0" w:space="0" w:color="auto"/>
      </w:divBdr>
    </w:div>
    <w:div w:id="798107210">
      <w:bodyDiv w:val="1"/>
      <w:marLeft w:val="0"/>
      <w:marRight w:val="0"/>
      <w:marTop w:val="0"/>
      <w:marBottom w:val="0"/>
      <w:divBdr>
        <w:top w:val="none" w:sz="0" w:space="0" w:color="auto"/>
        <w:left w:val="none" w:sz="0" w:space="0" w:color="auto"/>
        <w:bottom w:val="none" w:sz="0" w:space="0" w:color="auto"/>
        <w:right w:val="none" w:sz="0" w:space="0" w:color="auto"/>
      </w:divBdr>
    </w:div>
    <w:div w:id="828985181">
      <w:bodyDiv w:val="1"/>
      <w:marLeft w:val="0"/>
      <w:marRight w:val="0"/>
      <w:marTop w:val="0"/>
      <w:marBottom w:val="0"/>
      <w:divBdr>
        <w:top w:val="none" w:sz="0" w:space="0" w:color="auto"/>
        <w:left w:val="none" w:sz="0" w:space="0" w:color="auto"/>
        <w:bottom w:val="none" w:sz="0" w:space="0" w:color="auto"/>
        <w:right w:val="none" w:sz="0" w:space="0" w:color="auto"/>
      </w:divBdr>
    </w:div>
    <w:div w:id="879434512">
      <w:bodyDiv w:val="1"/>
      <w:marLeft w:val="0"/>
      <w:marRight w:val="0"/>
      <w:marTop w:val="0"/>
      <w:marBottom w:val="0"/>
      <w:divBdr>
        <w:top w:val="none" w:sz="0" w:space="0" w:color="auto"/>
        <w:left w:val="none" w:sz="0" w:space="0" w:color="auto"/>
        <w:bottom w:val="none" w:sz="0" w:space="0" w:color="auto"/>
        <w:right w:val="none" w:sz="0" w:space="0" w:color="auto"/>
      </w:divBdr>
    </w:div>
    <w:div w:id="962619566">
      <w:bodyDiv w:val="1"/>
      <w:marLeft w:val="0"/>
      <w:marRight w:val="0"/>
      <w:marTop w:val="0"/>
      <w:marBottom w:val="0"/>
      <w:divBdr>
        <w:top w:val="none" w:sz="0" w:space="0" w:color="auto"/>
        <w:left w:val="none" w:sz="0" w:space="0" w:color="auto"/>
        <w:bottom w:val="none" w:sz="0" w:space="0" w:color="auto"/>
        <w:right w:val="none" w:sz="0" w:space="0" w:color="auto"/>
      </w:divBdr>
    </w:div>
    <w:div w:id="1009722058">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204292410">
      <w:bodyDiv w:val="1"/>
      <w:marLeft w:val="0"/>
      <w:marRight w:val="0"/>
      <w:marTop w:val="0"/>
      <w:marBottom w:val="0"/>
      <w:divBdr>
        <w:top w:val="none" w:sz="0" w:space="0" w:color="auto"/>
        <w:left w:val="none" w:sz="0" w:space="0" w:color="auto"/>
        <w:bottom w:val="none" w:sz="0" w:space="0" w:color="auto"/>
        <w:right w:val="none" w:sz="0" w:space="0" w:color="auto"/>
      </w:divBdr>
    </w:div>
    <w:div w:id="1206674834">
      <w:bodyDiv w:val="1"/>
      <w:marLeft w:val="0"/>
      <w:marRight w:val="0"/>
      <w:marTop w:val="0"/>
      <w:marBottom w:val="0"/>
      <w:divBdr>
        <w:top w:val="none" w:sz="0" w:space="0" w:color="auto"/>
        <w:left w:val="none" w:sz="0" w:space="0" w:color="auto"/>
        <w:bottom w:val="none" w:sz="0" w:space="0" w:color="auto"/>
        <w:right w:val="none" w:sz="0" w:space="0" w:color="auto"/>
      </w:divBdr>
    </w:div>
    <w:div w:id="1210537769">
      <w:bodyDiv w:val="1"/>
      <w:marLeft w:val="0"/>
      <w:marRight w:val="0"/>
      <w:marTop w:val="0"/>
      <w:marBottom w:val="0"/>
      <w:divBdr>
        <w:top w:val="none" w:sz="0" w:space="0" w:color="auto"/>
        <w:left w:val="none" w:sz="0" w:space="0" w:color="auto"/>
        <w:bottom w:val="none" w:sz="0" w:space="0" w:color="auto"/>
        <w:right w:val="none" w:sz="0" w:space="0" w:color="auto"/>
      </w:divBdr>
    </w:div>
    <w:div w:id="1221482951">
      <w:bodyDiv w:val="1"/>
      <w:marLeft w:val="0"/>
      <w:marRight w:val="0"/>
      <w:marTop w:val="0"/>
      <w:marBottom w:val="0"/>
      <w:divBdr>
        <w:top w:val="none" w:sz="0" w:space="0" w:color="auto"/>
        <w:left w:val="none" w:sz="0" w:space="0" w:color="auto"/>
        <w:bottom w:val="none" w:sz="0" w:space="0" w:color="auto"/>
        <w:right w:val="none" w:sz="0" w:space="0" w:color="auto"/>
      </w:divBdr>
    </w:div>
    <w:div w:id="1311010209">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439522546">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730768940">
      <w:bodyDiv w:val="1"/>
      <w:marLeft w:val="0"/>
      <w:marRight w:val="0"/>
      <w:marTop w:val="0"/>
      <w:marBottom w:val="0"/>
      <w:divBdr>
        <w:top w:val="none" w:sz="0" w:space="0" w:color="auto"/>
        <w:left w:val="none" w:sz="0" w:space="0" w:color="auto"/>
        <w:bottom w:val="none" w:sz="0" w:space="0" w:color="auto"/>
        <w:right w:val="none" w:sz="0" w:space="0" w:color="auto"/>
      </w:divBdr>
    </w:div>
    <w:div w:id="1822304840">
      <w:bodyDiv w:val="1"/>
      <w:marLeft w:val="0"/>
      <w:marRight w:val="0"/>
      <w:marTop w:val="0"/>
      <w:marBottom w:val="0"/>
      <w:divBdr>
        <w:top w:val="none" w:sz="0" w:space="0" w:color="auto"/>
        <w:left w:val="none" w:sz="0" w:space="0" w:color="auto"/>
        <w:bottom w:val="none" w:sz="0" w:space="0" w:color="auto"/>
        <w:right w:val="none" w:sz="0" w:space="0" w:color="auto"/>
      </w:divBdr>
    </w:div>
    <w:div w:id="2002806981">
      <w:bodyDiv w:val="1"/>
      <w:marLeft w:val="0"/>
      <w:marRight w:val="0"/>
      <w:marTop w:val="0"/>
      <w:marBottom w:val="0"/>
      <w:divBdr>
        <w:top w:val="none" w:sz="0" w:space="0" w:color="auto"/>
        <w:left w:val="none" w:sz="0" w:space="0" w:color="auto"/>
        <w:bottom w:val="none" w:sz="0" w:space="0" w:color="auto"/>
        <w:right w:val="none" w:sz="0" w:space="0" w:color="auto"/>
      </w:divBdr>
    </w:div>
    <w:div w:id="211061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2023-10-25T18:54:00Z</dcterms:created>
  <dcterms:modified xsi:type="dcterms:W3CDTF">2023-12-26T03:29:00Z</dcterms:modified>
</cp:coreProperties>
</file>