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880" w:rsidRDefault="00DF0880" w:rsidP="00DF0880">
      <w:pPr>
        <w:pStyle w:val="EndnoteText"/>
        <w:spacing w:line="480" w:lineRule="auto"/>
        <w:jc w:val="both"/>
        <w:rPr>
          <w:rFonts w:ascii="Times New Roman" w:hAnsi="Times New Roman" w:cs="Times New Roman"/>
          <w:sz w:val="22"/>
          <w:szCs w:val="22"/>
        </w:rPr>
      </w:pPr>
    </w:p>
    <w:p w:rsidR="00DF0880" w:rsidRPr="006444CA" w:rsidRDefault="00DF0880" w:rsidP="00DF0880">
      <w:pPr>
        <w:spacing w:line="480" w:lineRule="auto"/>
        <w:jc w:val="center"/>
        <w:rPr>
          <w:rFonts w:ascii="Times New Roman" w:hAnsi="Times New Roman" w:cs="Times New Roman"/>
          <w:b/>
          <w:bCs/>
          <w:sz w:val="24"/>
        </w:rPr>
      </w:pPr>
      <w:r w:rsidRPr="006444CA">
        <w:rPr>
          <w:rFonts w:ascii="Times New Roman" w:hAnsi="Times New Roman" w:cs="Times New Roman" w:hint="eastAsia"/>
          <w:b/>
          <w:bCs/>
          <w:sz w:val="24"/>
        </w:rPr>
        <w:t>A</w:t>
      </w:r>
      <w:r w:rsidRPr="006444CA">
        <w:rPr>
          <w:rFonts w:ascii="Times New Roman" w:hAnsi="Times New Roman" w:cs="Times New Roman"/>
          <w:b/>
          <w:bCs/>
          <w:sz w:val="24"/>
        </w:rPr>
        <w:t>ppendix</w:t>
      </w:r>
    </w:p>
    <w:p w:rsidR="00DF0880" w:rsidRPr="006444CA" w:rsidRDefault="00DF0880" w:rsidP="00DF0880">
      <w:pPr>
        <w:spacing w:line="480" w:lineRule="auto"/>
        <w:ind w:firstLineChars="200" w:firstLine="480"/>
        <w:rPr>
          <w:rFonts w:ascii="Times New Roman" w:hAnsi="Times New Roman" w:cs="Times New Roman"/>
          <w:sz w:val="24"/>
        </w:rPr>
      </w:pPr>
      <w:r w:rsidRPr="006444CA">
        <w:rPr>
          <w:rFonts w:ascii="Times New Roman" w:hAnsi="Times New Roman" w:cs="Times New Roman"/>
          <w:sz w:val="24"/>
        </w:rPr>
        <w:t>In this appendix, we present additional descriptions of empirical methods and statistical tests to check the robustness of the main results. Table A1 and Table A2</w:t>
      </w:r>
      <w:r>
        <w:rPr>
          <w:rFonts w:ascii="Times New Roman" w:hAnsi="Times New Roman" w:cs="Times New Roman"/>
          <w:sz w:val="24"/>
        </w:rPr>
        <w:t>,</w:t>
      </w:r>
      <w:r w:rsidRPr="006444CA">
        <w:rPr>
          <w:rFonts w:ascii="Times New Roman" w:hAnsi="Times New Roman" w:cs="Times New Roman"/>
          <w:sz w:val="24"/>
        </w:rPr>
        <w:t xml:space="preserve"> respectively</w:t>
      </w:r>
      <w:r>
        <w:rPr>
          <w:rFonts w:ascii="Times New Roman" w:hAnsi="Times New Roman" w:cs="Times New Roman"/>
          <w:sz w:val="24"/>
        </w:rPr>
        <w:t>,</w:t>
      </w:r>
      <w:r w:rsidRPr="006444CA">
        <w:rPr>
          <w:rFonts w:ascii="Times New Roman" w:hAnsi="Times New Roman" w:cs="Times New Roman"/>
          <w:sz w:val="24"/>
        </w:rPr>
        <w:t xml:space="preserve"> report the variable descriptions in quantitative research and the demographic information of interviewees in qualitative research. </w:t>
      </w:r>
      <w:r w:rsidRPr="006444CA">
        <w:rPr>
          <w:rFonts w:ascii="Times New Roman" w:hAnsi="Times New Roman" w:cs="Times New Roman" w:hint="eastAsia"/>
          <w:sz w:val="24"/>
        </w:rPr>
        <w:t>T</w:t>
      </w:r>
      <w:r w:rsidRPr="006444CA">
        <w:rPr>
          <w:rFonts w:ascii="Times New Roman" w:hAnsi="Times New Roman" w:cs="Times New Roman"/>
          <w:sz w:val="24"/>
        </w:rPr>
        <w:t>able A3 reports the</w:t>
      </w:r>
      <w:r w:rsidRPr="006444CA">
        <w:rPr>
          <w:rFonts w:ascii="Times New Roman" w:hAnsi="Times New Roman" w:cs="Times New Roman"/>
          <w:color w:val="000000" w:themeColor="text1"/>
          <w:sz w:val="24"/>
        </w:rPr>
        <w:t xml:space="preserve"> marginal effects of each coefficient in the logistic regression. Table A4 and Figure A1-2 report the performance metrics, including sensitivity, specificity, the ROC curve, and AUC. </w:t>
      </w:r>
      <w:r w:rsidRPr="006444CA">
        <w:rPr>
          <w:rFonts w:ascii="Times New Roman" w:hAnsi="Times New Roman" w:cs="Times New Roman"/>
          <w:sz w:val="24"/>
        </w:rPr>
        <w:t>Table A5-A8 reports the outcomes of several additional statistical tests conducted to assess the robustness of our main empirical findings.</w:t>
      </w:r>
    </w:p>
    <w:p w:rsidR="00DF0880" w:rsidRPr="006444CA" w:rsidRDefault="00DF0880" w:rsidP="00DF0880">
      <w:pPr>
        <w:spacing w:line="480" w:lineRule="auto"/>
        <w:ind w:firstLineChars="200" w:firstLine="480"/>
        <w:rPr>
          <w:rFonts w:ascii="Times New Roman" w:hAnsi="Times New Roman" w:cs="Times New Roman"/>
          <w:sz w:val="24"/>
        </w:rPr>
      </w:pPr>
      <w:r w:rsidRPr="006444CA">
        <w:rPr>
          <w:rFonts w:ascii="Times New Roman" w:hAnsi="Times New Roman" w:cs="Times New Roman"/>
          <w:sz w:val="24"/>
        </w:rPr>
        <w:t xml:space="preserve">In the robustness checks, we examined the impact of alternative definitions for our key variables: moneylender identification, litigation experience, debtor activeness, and case outcomes. The main empirical results remained robust. </w:t>
      </w:r>
    </w:p>
    <w:p w:rsidR="00DF0880" w:rsidRPr="006444CA" w:rsidRDefault="00DF0880" w:rsidP="00DF0880">
      <w:pPr>
        <w:widowControl w:val="0"/>
        <w:numPr>
          <w:ilvl w:val="0"/>
          <w:numId w:val="1"/>
        </w:numPr>
        <w:spacing w:after="0" w:line="480" w:lineRule="auto"/>
        <w:jc w:val="both"/>
        <w:rPr>
          <w:rFonts w:ascii="Times New Roman" w:hAnsi="Times New Roman" w:cs="Times New Roman"/>
          <w:sz w:val="24"/>
        </w:rPr>
      </w:pPr>
      <w:r w:rsidRPr="006444CA">
        <w:rPr>
          <w:rFonts w:ascii="Times New Roman" w:hAnsi="Times New Roman" w:cs="Times New Roman"/>
          <w:b/>
          <w:bCs/>
          <w:sz w:val="24"/>
        </w:rPr>
        <w:t>Case Outcome Measurement</w:t>
      </w:r>
      <w:r w:rsidRPr="006444CA">
        <w:rPr>
          <w:rFonts w:ascii="Times New Roman" w:hAnsi="Times New Roman" w:cs="Times New Roman"/>
          <w:sz w:val="24"/>
        </w:rPr>
        <w:t>: We recoded the dependent variable (case outcome)</w:t>
      </w:r>
      <w:r w:rsidRPr="006444CA">
        <w:rPr>
          <w:rFonts w:ascii="Times New Roman" w:hAnsi="Times New Roman" w:cs="Times New Roman" w:hint="eastAsia"/>
          <w:sz w:val="24"/>
        </w:rPr>
        <w:t xml:space="preserve"> </w:t>
      </w:r>
      <w:r w:rsidRPr="006444CA">
        <w:rPr>
          <w:rFonts w:ascii="Times New Roman" w:hAnsi="Times New Roman" w:cs="Times New Roman"/>
          <w:sz w:val="24"/>
        </w:rPr>
        <w:t xml:space="preserve">by </w:t>
      </w:r>
      <w:r w:rsidRPr="006444CA">
        <w:rPr>
          <w:rFonts w:ascii="Times New Roman" w:hAnsi="Times New Roman" w:cs="Times New Roman" w:hint="eastAsia"/>
          <w:sz w:val="24"/>
        </w:rPr>
        <w:t>t</w:t>
      </w:r>
      <w:r w:rsidRPr="006444CA">
        <w:rPr>
          <w:rFonts w:ascii="Times New Roman" w:hAnsi="Times New Roman" w:cs="Times New Roman"/>
          <w:sz w:val="24"/>
        </w:rPr>
        <w:t xml:space="preserve">reating it </w:t>
      </w:r>
      <w:r w:rsidRPr="006444CA">
        <w:rPr>
          <w:rFonts w:ascii="Times New Roman" w:hAnsi="Times New Roman" w:cs="Times New Roman"/>
          <w:color w:val="000000" w:themeColor="text1"/>
          <w:sz w:val="24"/>
        </w:rPr>
        <w:t xml:space="preserve">as an ordered categorical variable (win, partially </w:t>
      </w:r>
      <w:r w:rsidRPr="006444CA">
        <w:rPr>
          <w:rFonts w:ascii="Times New Roman" w:hAnsi="Times New Roman" w:cs="Times New Roman" w:hint="eastAsia"/>
          <w:color w:val="000000" w:themeColor="text1"/>
          <w:sz w:val="24"/>
        </w:rPr>
        <w:t>win</w:t>
      </w:r>
      <w:r w:rsidRPr="006444CA">
        <w:rPr>
          <w:rFonts w:ascii="Times New Roman" w:hAnsi="Times New Roman" w:cs="Times New Roman"/>
          <w:color w:val="000000" w:themeColor="text1"/>
          <w:sz w:val="24"/>
        </w:rPr>
        <w:t>, and lose) and regressing it in an ordered logistic model (Table A5).</w:t>
      </w:r>
      <w:r w:rsidRPr="006444CA">
        <w:rPr>
          <w:rFonts w:ascii="Times New Roman" w:hAnsi="Times New Roman" w:cs="Times New Roman" w:hint="eastAsia"/>
          <w:sz w:val="24"/>
        </w:rPr>
        <w:t xml:space="preserve"> </w:t>
      </w:r>
    </w:p>
    <w:p w:rsidR="00DF0880" w:rsidRPr="006444CA" w:rsidRDefault="00DF0880" w:rsidP="00DF0880">
      <w:pPr>
        <w:widowControl w:val="0"/>
        <w:numPr>
          <w:ilvl w:val="0"/>
          <w:numId w:val="1"/>
        </w:numPr>
        <w:spacing w:after="0" w:line="480" w:lineRule="auto"/>
        <w:jc w:val="both"/>
        <w:rPr>
          <w:rFonts w:ascii="Times New Roman" w:hAnsi="Times New Roman" w:cs="Times New Roman"/>
          <w:sz w:val="24"/>
        </w:rPr>
      </w:pPr>
      <w:r w:rsidRPr="006444CA">
        <w:rPr>
          <w:rFonts w:ascii="Times New Roman" w:hAnsi="Times New Roman" w:cs="Times New Roman"/>
          <w:b/>
          <w:bCs/>
          <w:sz w:val="24"/>
        </w:rPr>
        <w:t>Alternative Definition of “Moneylender”</w:t>
      </w:r>
      <w:r>
        <w:rPr>
          <w:rFonts w:ascii="Times New Roman" w:hAnsi="Times New Roman" w:cs="Times New Roman"/>
          <w:sz w:val="24"/>
        </w:rPr>
        <w:t>:</w:t>
      </w:r>
      <w:r w:rsidRPr="006444CA">
        <w:rPr>
          <w:rFonts w:ascii="Times New Roman" w:hAnsi="Times New Roman" w:cs="Times New Roman"/>
          <w:sz w:val="24"/>
        </w:rPr>
        <w:t xml:space="preserve"> We proposed an alternative criterion for identifying a “moneylender.” Under this criterion, if a plaintiff files more than </w:t>
      </w:r>
      <w:r>
        <w:rPr>
          <w:rFonts w:ascii="Times New Roman" w:hAnsi="Times New Roman" w:cs="Times New Roman"/>
          <w:sz w:val="24"/>
        </w:rPr>
        <w:t>fifteen</w:t>
      </w:r>
      <w:r w:rsidRPr="006444CA">
        <w:rPr>
          <w:rFonts w:ascii="Times New Roman" w:hAnsi="Times New Roman" w:cs="Times New Roman"/>
          <w:sz w:val="24"/>
        </w:rPr>
        <w:t xml:space="preserve"> lawsuits in any calendar year, we classified the creditor as a moneylender and the associated lawsuits as moneylender lawsuits. Table A6 presents the result. </w:t>
      </w:r>
    </w:p>
    <w:p w:rsidR="00DF0880" w:rsidRPr="006444CA" w:rsidRDefault="00DF0880" w:rsidP="00DF0880">
      <w:pPr>
        <w:widowControl w:val="0"/>
        <w:numPr>
          <w:ilvl w:val="0"/>
          <w:numId w:val="1"/>
        </w:numPr>
        <w:spacing w:after="0" w:line="480" w:lineRule="auto"/>
        <w:jc w:val="both"/>
        <w:rPr>
          <w:rFonts w:ascii="Times New Roman" w:hAnsi="Times New Roman" w:cs="Times New Roman"/>
          <w:sz w:val="24"/>
        </w:rPr>
      </w:pPr>
      <w:r w:rsidRPr="006444CA">
        <w:rPr>
          <w:rFonts w:ascii="Times New Roman" w:hAnsi="Times New Roman" w:cs="Times New Roman"/>
          <w:b/>
          <w:bCs/>
          <w:sz w:val="24"/>
        </w:rPr>
        <w:t>Litigation Experience Measurement</w:t>
      </w:r>
      <w:r w:rsidRPr="006444CA">
        <w:rPr>
          <w:rFonts w:ascii="Times New Roman" w:hAnsi="Times New Roman" w:cs="Times New Roman"/>
          <w:sz w:val="24"/>
        </w:rPr>
        <w:t xml:space="preserve">: We used an alternative measurement of litigation experience from a sequential count of a party’s appearances to a constant value of the total frequency. For example, a party’s fifth appearance was previously recorded as an experience level of five. Now, a party’s experience is uniformly coded as the total number of appearances </w:t>
      </w:r>
      <w:r w:rsidRPr="006444CA">
        <w:rPr>
          <w:rFonts w:ascii="Times New Roman" w:hAnsi="Times New Roman" w:cs="Times New Roman" w:hint="eastAsia"/>
          <w:sz w:val="24"/>
        </w:rPr>
        <w:t>t</w:t>
      </w:r>
      <w:r w:rsidRPr="006444CA">
        <w:rPr>
          <w:rFonts w:ascii="Times New Roman" w:hAnsi="Times New Roman" w:cs="Times New Roman"/>
          <w:sz w:val="24"/>
        </w:rPr>
        <w:t xml:space="preserve">o reflect the party’s overall litigation capability. </w:t>
      </w:r>
      <w:r w:rsidRPr="006444CA">
        <w:rPr>
          <w:rFonts w:ascii="Times New Roman" w:hAnsi="Times New Roman" w:cs="Times New Roman"/>
          <w:sz w:val="24"/>
        </w:rPr>
        <w:lastRenderedPageBreak/>
        <w:t>Table A7 presents the result.</w:t>
      </w:r>
    </w:p>
    <w:p w:rsidR="00DF0880" w:rsidRDefault="00DF0880" w:rsidP="00DF0880">
      <w:pPr>
        <w:widowControl w:val="0"/>
        <w:numPr>
          <w:ilvl w:val="0"/>
          <w:numId w:val="1"/>
        </w:numPr>
        <w:spacing w:after="0" w:line="480" w:lineRule="auto"/>
        <w:jc w:val="both"/>
        <w:rPr>
          <w:rFonts w:ascii="Times New Roman" w:hAnsi="Times New Roman" w:cs="Times New Roman"/>
          <w:color w:val="000000" w:themeColor="text1"/>
          <w:sz w:val="24"/>
        </w:rPr>
      </w:pPr>
      <w:r w:rsidRPr="006444CA">
        <w:rPr>
          <w:rFonts w:ascii="Times New Roman" w:hAnsi="Times New Roman" w:cs="Times New Roman"/>
          <w:b/>
          <w:bCs/>
          <w:color w:val="000000" w:themeColor="text1"/>
          <w:sz w:val="24"/>
        </w:rPr>
        <w:t>Subsample (Individual Debtors Only)</w:t>
      </w:r>
      <w:r w:rsidRPr="006444CA">
        <w:rPr>
          <w:rFonts w:ascii="Times New Roman" w:hAnsi="Times New Roman" w:cs="Times New Roman"/>
          <w:color w:val="000000" w:themeColor="text1"/>
          <w:sz w:val="24"/>
        </w:rPr>
        <w:t>: We re-estimated the model using a subsample limited to cases in which the debtor was an individual. These cases typically reflect household or consumer debt. Results from this subsample, Table A8, confirm the consistency of our findings.</w:t>
      </w:r>
    </w:p>
    <w:p w:rsidR="00DF0880" w:rsidRPr="00FC11E7" w:rsidRDefault="00DF0880" w:rsidP="00DF0880">
      <w:pPr>
        <w:pStyle w:val="ListParagraph"/>
        <w:numPr>
          <w:ilvl w:val="0"/>
          <w:numId w:val="1"/>
        </w:numPr>
        <w:spacing w:line="480" w:lineRule="auto"/>
        <w:ind w:firstLineChars="0"/>
        <w:rPr>
          <w:rFonts w:ascii="Times New Roman" w:hAnsi="Times New Roman" w:cs="Times New Roman"/>
          <w:color w:val="000000" w:themeColor="text1"/>
          <w:sz w:val="24"/>
        </w:rPr>
      </w:pPr>
      <w:r w:rsidRPr="00FC11E7">
        <w:rPr>
          <w:rFonts w:ascii="Times New Roman" w:hAnsi="Times New Roman" w:cs="Times New Roman"/>
          <w:b/>
          <w:bCs/>
          <w:kern w:val="0"/>
          <w:sz w:val="24"/>
          <w:szCs w:val="22"/>
          <w14:ligatures w14:val="none"/>
        </w:rPr>
        <w:t>Reference Level of Debtor Activeness</w:t>
      </w:r>
      <w:r w:rsidRPr="00FC11E7">
        <w:rPr>
          <w:rFonts w:ascii="Times New Roman" w:hAnsi="Times New Roman" w:cs="Times New Roman"/>
          <w:kern w:val="0"/>
          <w:sz w:val="24"/>
          <w:szCs w:val="22"/>
          <w14:ligatures w14:val="none"/>
        </w:rPr>
        <w:t xml:space="preserve">. We set the reference level of debtor activeness to </w:t>
      </w:r>
      <w:r w:rsidRPr="00FC11E7">
        <w:rPr>
          <w:rFonts w:ascii="Times New Roman" w:hAnsi="Times New Roman" w:cs="Times New Roman" w:hint="cs"/>
          <w:kern w:val="0"/>
          <w:sz w:val="24"/>
          <w:szCs w:val="22"/>
          <w14:ligatures w14:val="none"/>
        </w:rPr>
        <w:t>“</w:t>
      </w:r>
      <w:r w:rsidRPr="00FC11E7">
        <w:rPr>
          <w:rFonts w:ascii="Times New Roman" w:hAnsi="Times New Roman" w:cs="Times New Roman"/>
          <w:kern w:val="0"/>
          <w:sz w:val="24"/>
          <w:szCs w:val="22"/>
          <w14:ligatures w14:val="none"/>
        </w:rPr>
        <w:t>medium activeness</w:t>
      </w:r>
      <w:r w:rsidRPr="00FC11E7">
        <w:rPr>
          <w:rFonts w:ascii="Times New Roman" w:hAnsi="Times New Roman" w:cs="Times New Roman" w:hint="cs"/>
          <w:kern w:val="0"/>
          <w:sz w:val="24"/>
          <w:szCs w:val="22"/>
          <w14:ligatures w14:val="none"/>
        </w:rPr>
        <w:t>”</w:t>
      </w:r>
      <w:r w:rsidRPr="00FC11E7">
        <w:rPr>
          <w:rFonts w:ascii="Times New Roman" w:hAnsi="Times New Roman" w:cs="Times New Roman"/>
          <w:kern w:val="0"/>
          <w:sz w:val="24"/>
          <w:szCs w:val="22"/>
          <w14:ligatures w14:val="none"/>
        </w:rPr>
        <w:t xml:space="preserve"> (attending trials alone without legal representation). The adjustment of the reference level is to confirm that the marginal effect of obtaining legal representation (compared with attending trials alone) remains statistically significant. Table A9 presents the result.</w:t>
      </w:r>
    </w:p>
    <w:p w:rsidR="00DF0880" w:rsidRPr="006444CA" w:rsidRDefault="00DF0880" w:rsidP="00DF0880">
      <w:pPr>
        <w:spacing w:line="480" w:lineRule="auto"/>
        <w:ind w:firstLineChars="200" w:firstLine="480"/>
        <w:rPr>
          <w:rFonts w:ascii="Times New Roman" w:hAnsi="Times New Roman" w:cs="Times New Roman"/>
          <w:color w:val="000000" w:themeColor="text1"/>
          <w:sz w:val="24"/>
        </w:rPr>
      </w:pPr>
    </w:p>
    <w:p w:rsidR="00DF0880" w:rsidRPr="006444CA" w:rsidRDefault="00DF0880" w:rsidP="00DF0880">
      <w:pPr>
        <w:spacing w:line="360" w:lineRule="auto"/>
        <w:jc w:val="center"/>
        <w:rPr>
          <w:rFonts w:ascii="Times New Roman" w:eastAsia="Times New Roman" w:hAnsi="Times New Roman" w:cs="Times New Roman"/>
          <w:sz w:val="24"/>
        </w:rPr>
      </w:pPr>
      <w:r w:rsidRPr="006444CA">
        <w:rPr>
          <w:rFonts w:ascii="Times New Roman" w:eastAsia="Times New Roman" w:hAnsi="Times New Roman" w:cs="Times New Roman" w:hint="eastAsia"/>
          <w:b/>
          <w:bCs/>
          <w:sz w:val="24"/>
        </w:rPr>
        <w:t xml:space="preserve">Table </w:t>
      </w:r>
      <w:r w:rsidRPr="006444CA">
        <w:rPr>
          <w:rFonts w:ascii="Times New Roman" w:eastAsia="Times New Roman" w:hAnsi="Times New Roman" w:cs="Times New Roman"/>
          <w:b/>
          <w:bCs/>
          <w:sz w:val="24"/>
        </w:rPr>
        <w:t>A1</w:t>
      </w:r>
      <w:r>
        <w:rPr>
          <w:rFonts w:ascii="Times New Roman" w:eastAsia="Times New Roman" w:hAnsi="Times New Roman" w:cs="Times New Roman"/>
          <w:b/>
          <w:bCs/>
          <w:sz w:val="24"/>
        </w:rPr>
        <w:t>:</w:t>
      </w:r>
      <w:r w:rsidRPr="006444CA">
        <w:rPr>
          <w:rFonts w:ascii="Times New Roman" w:eastAsia="Times New Roman" w:hAnsi="Times New Roman" w:cs="Times New Roman" w:hint="eastAsia"/>
          <w:sz w:val="24"/>
        </w:rPr>
        <w:t xml:space="preserve"> Variable Description</w:t>
      </w:r>
      <w:r w:rsidRPr="006444CA">
        <w:rPr>
          <w:rFonts w:ascii="Times New Roman" w:eastAsia="Times New Roman" w:hAnsi="Times New Roman" w:cs="Times New Roman"/>
          <w:sz w:val="24"/>
        </w:rPr>
        <w:t>s</w:t>
      </w:r>
    </w:p>
    <w:tbl>
      <w:tblPr>
        <w:tblW w:w="4997" w:type="pct"/>
        <w:tblBorders>
          <w:top w:val="single" w:sz="4" w:space="0" w:color="auto"/>
          <w:bottom w:val="single" w:sz="4" w:space="0" w:color="auto"/>
        </w:tblBorders>
        <w:tblLayout w:type="fixed"/>
        <w:tblLook w:val="04A0" w:firstRow="1" w:lastRow="0" w:firstColumn="1" w:lastColumn="0" w:noHBand="0" w:noVBand="1"/>
      </w:tblPr>
      <w:tblGrid>
        <w:gridCol w:w="2834"/>
        <w:gridCol w:w="1561"/>
        <w:gridCol w:w="4626"/>
      </w:tblGrid>
      <w:tr w:rsidR="00DF0880" w:rsidRPr="006444CA" w:rsidTr="005E7672">
        <w:tc>
          <w:tcPr>
            <w:tcW w:w="1571" w:type="pct"/>
            <w:tcBorders>
              <w:bottom w:val="single" w:sz="4" w:space="0" w:color="auto"/>
              <w:tl2br w:val="nil"/>
              <w:tr2bl w:val="nil"/>
            </w:tcBorders>
            <w:vAlign w:val="center"/>
          </w:tcPr>
          <w:p w:rsidR="00DF0880" w:rsidRPr="006444CA" w:rsidRDefault="00DF0880" w:rsidP="005E7672">
            <w:pPr>
              <w:snapToGrid w:val="0"/>
              <w:spacing w:line="360" w:lineRule="auto"/>
              <w:rPr>
                <w:rFonts w:ascii="Times New Roman" w:eastAsia="Times New Roman" w:hAnsi="Times New Roman" w:cs="Times New Roman"/>
                <w:b/>
                <w:bCs/>
                <w:sz w:val="24"/>
              </w:rPr>
            </w:pPr>
            <w:r w:rsidRPr="006444CA">
              <w:rPr>
                <w:rFonts w:ascii="Times New Roman" w:eastAsia="Times New Roman" w:hAnsi="Times New Roman" w:cs="Times New Roman" w:hint="eastAsia"/>
                <w:b/>
                <w:bCs/>
                <w:sz w:val="24"/>
              </w:rPr>
              <w:t>Variables</w:t>
            </w:r>
          </w:p>
        </w:tc>
        <w:tc>
          <w:tcPr>
            <w:tcW w:w="865" w:type="pct"/>
            <w:tcBorders>
              <w:bottom w:val="single" w:sz="4" w:space="0" w:color="auto"/>
              <w:tl2br w:val="nil"/>
              <w:tr2bl w:val="nil"/>
            </w:tcBorders>
            <w:vAlign w:val="center"/>
          </w:tcPr>
          <w:p w:rsidR="00DF0880" w:rsidRPr="006444CA" w:rsidRDefault="00DF0880" w:rsidP="005E7672">
            <w:pPr>
              <w:snapToGrid w:val="0"/>
              <w:spacing w:line="360" w:lineRule="auto"/>
              <w:rPr>
                <w:rFonts w:ascii="Times New Roman" w:eastAsia="Times New Roman" w:hAnsi="Times New Roman" w:cs="Times New Roman"/>
                <w:b/>
                <w:bCs/>
                <w:sz w:val="24"/>
              </w:rPr>
            </w:pPr>
            <w:r w:rsidRPr="006444CA">
              <w:rPr>
                <w:rFonts w:ascii="Times New Roman" w:eastAsia="Times New Roman" w:hAnsi="Times New Roman" w:cs="Times New Roman" w:hint="eastAsia"/>
                <w:b/>
                <w:bCs/>
                <w:sz w:val="24"/>
              </w:rPr>
              <w:t>Type</w:t>
            </w:r>
          </w:p>
        </w:tc>
        <w:tc>
          <w:tcPr>
            <w:tcW w:w="2564" w:type="pct"/>
            <w:tcBorders>
              <w:bottom w:val="single" w:sz="4" w:space="0" w:color="auto"/>
              <w:tl2br w:val="nil"/>
              <w:tr2bl w:val="nil"/>
            </w:tcBorders>
            <w:vAlign w:val="center"/>
          </w:tcPr>
          <w:p w:rsidR="00DF0880" w:rsidRPr="006444CA" w:rsidRDefault="00DF0880" w:rsidP="005E7672">
            <w:pPr>
              <w:snapToGrid w:val="0"/>
              <w:spacing w:line="360" w:lineRule="auto"/>
              <w:rPr>
                <w:rFonts w:ascii="Times New Roman" w:eastAsia="Times New Roman" w:hAnsi="Times New Roman" w:cs="Times New Roman"/>
                <w:b/>
                <w:bCs/>
                <w:sz w:val="24"/>
              </w:rPr>
            </w:pPr>
            <w:r w:rsidRPr="006444CA">
              <w:rPr>
                <w:rFonts w:ascii="Times New Roman" w:eastAsia="Times New Roman" w:hAnsi="Times New Roman" w:cs="Times New Roman" w:hint="eastAsia"/>
                <w:b/>
                <w:bCs/>
                <w:sz w:val="24"/>
              </w:rPr>
              <w:t>Explanation</w:t>
            </w:r>
          </w:p>
        </w:tc>
      </w:tr>
      <w:tr w:rsidR="00DF0880" w:rsidRPr="006444CA" w:rsidTr="005E7672">
        <w:trPr>
          <w:trHeight w:val="216"/>
        </w:trPr>
        <w:tc>
          <w:tcPr>
            <w:tcW w:w="1571" w:type="pct"/>
            <w:tcBorders>
              <w:top w:val="single" w:sz="4" w:space="0" w:color="auto"/>
              <w:tl2br w:val="nil"/>
              <w:tr2bl w:val="nil"/>
            </w:tcBorders>
            <w:vAlign w:val="center"/>
          </w:tcPr>
          <w:p w:rsidR="00DF0880" w:rsidRPr="006444CA" w:rsidRDefault="00DF0880" w:rsidP="005E7672">
            <w:pPr>
              <w:snapToGrid w:val="0"/>
              <w:spacing w:line="360" w:lineRule="auto"/>
              <w:rPr>
                <w:rFonts w:ascii="Times New Roman" w:eastAsia="Times New Roman" w:hAnsi="Times New Roman" w:cs="Times New Roman"/>
                <w:sz w:val="24"/>
              </w:rPr>
            </w:pPr>
            <w:r w:rsidRPr="006444CA">
              <w:rPr>
                <w:rFonts w:ascii="Times New Roman" w:eastAsia="Times New Roman" w:hAnsi="Times New Roman" w:cs="Times New Roman"/>
                <w:sz w:val="24"/>
              </w:rPr>
              <w:t>Creditor’s</w:t>
            </w:r>
            <w:r w:rsidRPr="006444CA">
              <w:rPr>
                <w:rFonts w:ascii="Times New Roman" w:eastAsia="Times New Roman" w:hAnsi="Times New Roman" w:cs="Times New Roman" w:hint="eastAsia"/>
                <w:sz w:val="24"/>
              </w:rPr>
              <w:t xml:space="preserve"> Win Rate</w:t>
            </w:r>
          </w:p>
        </w:tc>
        <w:tc>
          <w:tcPr>
            <w:tcW w:w="865" w:type="pct"/>
            <w:tcBorders>
              <w:top w:val="single" w:sz="4" w:space="0" w:color="auto"/>
              <w:tl2br w:val="nil"/>
              <w:tr2bl w:val="nil"/>
            </w:tcBorders>
            <w:vAlign w:val="center"/>
          </w:tcPr>
          <w:p w:rsidR="00DF0880" w:rsidRPr="006444CA" w:rsidRDefault="00DF0880" w:rsidP="005E7672">
            <w:pPr>
              <w:snapToGrid w:val="0"/>
              <w:spacing w:line="360" w:lineRule="auto"/>
              <w:rPr>
                <w:rFonts w:ascii="Times New Roman" w:eastAsia="Times New Roman" w:hAnsi="Times New Roman" w:cs="Times New Roman"/>
                <w:b/>
                <w:bCs/>
                <w:sz w:val="24"/>
              </w:rPr>
            </w:pPr>
            <w:r w:rsidRPr="006444CA">
              <w:rPr>
                <w:rFonts w:ascii="Times New Roman" w:eastAsia="Times New Roman" w:hAnsi="Times New Roman" w:cs="Times New Roman" w:hint="eastAsia"/>
                <w:sz w:val="24"/>
              </w:rPr>
              <w:t>Dummy</w:t>
            </w:r>
          </w:p>
        </w:tc>
        <w:tc>
          <w:tcPr>
            <w:tcW w:w="2564" w:type="pct"/>
            <w:tcBorders>
              <w:top w:val="single" w:sz="4" w:space="0" w:color="auto"/>
              <w:tl2br w:val="nil"/>
              <w:tr2bl w:val="nil"/>
            </w:tcBorders>
            <w:vAlign w:val="center"/>
          </w:tcPr>
          <w:p w:rsidR="00DF0880" w:rsidRPr="006444CA" w:rsidRDefault="00DF0880" w:rsidP="005E7672">
            <w:pPr>
              <w:snapToGrid w:val="0"/>
              <w:spacing w:line="360" w:lineRule="auto"/>
              <w:rPr>
                <w:rFonts w:ascii="Times New Roman" w:eastAsia="Times New Roman" w:hAnsi="Times New Roman" w:cs="Times New Roman"/>
                <w:sz w:val="24"/>
              </w:rPr>
            </w:pPr>
            <w:r w:rsidRPr="006444CA">
              <w:rPr>
                <w:rFonts w:ascii="Times New Roman" w:eastAsia="Times New Roman" w:hAnsi="Times New Roman" w:cs="Times New Roman"/>
                <w:sz w:val="24"/>
              </w:rPr>
              <w:t>Equals one if t</w:t>
            </w:r>
            <w:r w:rsidRPr="006444CA">
              <w:rPr>
                <w:rFonts w:ascii="Times New Roman" w:eastAsia="Times New Roman" w:hAnsi="Times New Roman" w:cs="Times New Roman" w:hint="eastAsia"/>
                <w:sz w:val="24"/>
              </w:rPr>
              <w:t xml:space="preserve">he </w:t>
            </w:r>
            <w:r w:rsidRPr="006444CA">
              <w:rPr>
                <w:rFonts w:ascii="Times New Roman" w:eastAsia="Times New Roman" w:hAnsi="Times New Roman" w:cs="Times New Roman"/>
                <w:sz w:val="24"/>
              </w:rPr>
              <w:t>creditor</w:t>
            </w:r>
            <w:r w:rsidRPr="006444CA">
              <w:rPr>
                <w:rFonts w:ascii="Times New Roman" w:eastAsia="Times New Roman" w:hAnsi="Times New Roman" w:cs="Times New Roman" w:hint="eastAsia"/>
                <w:sz w:val="24"/>
              </w:rPr>
              <w:t xml:space="preserve"> completely wins the case</w:t>
            </w:r>
          </w:p>
        </w:tc>
      </w:tr>
      <w:tr w:rsidR="00DF0880" w:rsidRPr="006444CA" w:rsidTr="005E7672">
        <w:trPr>
          <w:trHeight w:val="216"/>
        </w:trPr>
        <w:tc>
          <w:tcPr>
            <w:tcW w:w="1571" w:type="pct"/>
            <w:tcBorders>
              <w:tl2br w:val="nil"/>
              <w:tr2bl w:val="nil"/>
            </w:tcBorders>
            <w:vAlign w:val="center"/>
          </w:tcPr>
          <w:p w:rsidR="00DF0880" w:rsidRPr="006444CA" w:rsidRDefault="00DF0880" w:rsidP="005E7672">
            <w:pPr>
              <w:snapToGrid w:val="0"/>
              <w:spacing w:line="360" w:lineRule="auto"/>
              <w:rPr>
                <w:rFonts w:ascii="Times New Roman" w:eastAsia="Times New Roman" w:hAnsi="Times New Roman" w:cs="Times New Roman"/>
                <w:sz w:val="24"/>
              </w:rPr>
            </w:pPr>
            <w:r w:rsidRPr="006444CA">
              <w:rPr>
                <w:rFonts w:ascii="Times New Roman" w:eastAsia="SimSun" w:hAnsi="Times New Roman" w:cs="Times New Roman"/>
                <w:sz w:val="24"/>
              </w:rPr>
              <w:t>Creditor</w:t>
            </w:r>
            <w:r w:rsidRPr="006444CA">
              <w:rPr>
                <w:rFonts w:ascii="Times New Roman" w:eastAsia="SimSun" w:hAnsi="Times New Roman" w:cs="Times New Roman" w:hint="eastAsia"/>
                <w:sz w:val="24"/>
              </w:rPr>
              <w:t xml:space="preserve"> Representation</w:t>
            </w:r>
          </w:p>
        </w:tc>
        <w:tc>
          <w:tcPr>
            <w:tcW w:w="865" w:type="pct"/>
            <w:tcBorders>
              <w:tl2br w:val="nil"/>
              <w:tr2bl w:val="nil"/>
            </w:tcBorders>
            <w:vAlign w:val="center"/>
          </w:tcPr>
          <w:p w:rsidR="00DF0880" w:rsidRPr="006444CA" w:rsidRDefault="00DF0880" w:rsidP="005E7672">
            <w:pPr>
              <w:snapToGrid w:val="0"/>
              <w:spacing w:line="360" w:lineRule="auto"/>
              <w:rPr>
                <w:rFonts w:ascii="Times New Roman" w:eastAsia="Times New Roman" w:hAnsi="Times New Roman" w:cs="Times New Roman"/>
                <w:sz w:val="24"/>
              </w:rPr>
            </w:pPr>
            <w:r w:rsidRPr="006444CA">
              <w:rPr>
                <w:rFonts w:ascii="Times New Roman" w:eastAsia="Times New Roman" w:hAnsi="Times New Roman" w:cs="Times New Roman" w:hint="eastAsia"/>
                <w:sz w:val="24"/>
              </w:rPr>
              <w:t>Dummy</w:t>
            </w:r>
          </w:p>
        </w:tc>
        <w:tc>
          <w:tcPr>
            <w:tcW w:w="2564" w:type="pct"/>
            <w:tcBorders>
              <w:tl2br w:val="nil"/>
              <w:tr2bl w:val="nil"/>
            </w:tcBorders>
            <w:vAlign w:val="center"/>
          </w:tcPr>
          <w:p w:rsidR="00DF0880" w:rsidRPr="006444CA" w:rsidRDefault="00DF0880" w:rsidP="005E7672">
            <w:pPr>
              <w:snapToGrid w:val="0"/>
              <w:spacing w:line="360" w:lineRule="auto"/>
              <w:rPr>
                <w:rFonts w:ascii="Times New Roman" w:eastAsia="Times New Roman" w:hAnsi="Times New Roman" w:cs="Times New Roman"/>
                <w:sz w:val="24"/>
              </w:rPr>
            </w:pPr>
            <w:r w:rsidRPr="006444CA">
              <w:rPr>
                <w:rFonts w:ascii="Times New Roman" w:eastAsia="Times New Roman" w:hAnsi="Times New Roman" w:cs="Times New Roman"/>
                <w:sz w:val="24"/>
              </w:rPr>
              <w:t>Equals one if</w:t>
            </w:r>
            <w:r w:rsidRPr="006444CA">
              <w:rPr>
                <w:rFonts w:ascii="Times New Roman" w:eastAsia="SimSun" w:hAnsi="Times New Roman" w:cs="Times New Roman" w:hint="eastAsia"/>
                <w:sz w:val="24"/>
              </w:rPr>
              <w:t xml:space="preserve"> </w:t>
            </w:r>
            <w:r w:rsidRPr="006444CA">
              <w:rPr>
                <w:rFonts w:ascii="Times New Roman" w:eastAsia="SimSun" w:hAnsi="Times New Roman" w:cs="Times New Roman"/>
                <w:sz w:val="24"/>
              </w:rPr>
              <w:t>the creditor</w:t>
            </w:r>
            <w:r w:rsidRPr="006444CA">
              <w:rPr>
                <w:rFonts w:ascii="Times New Roman" w:eastAsia="SimSun" w:hAnsi="Times New Roman" w:cs="Times New Roman" w:hint="eastAsia"/>
                <w:sz w:val="24"/>
              </w:rPr>
              <w:t xml:space="preserve"> </w:t>
            </w:r>
            <w:r w:rsidRPr="006444CA">
              <w:rPr>
                <w:rFonts w:ascii="Times New Roman" w:eastAsia="SimSun" w:hAnsi="Times New Roman" w:cs="Times New Roman"/>
                <w:sz w:val="24"/>
              </w:rPr>
              <w:t>is</w:t>
            </w:r>
            <w:r w:rsidRPr="006444CA">
              <w:rPr>
                <w:rFonts w:ascii="Times New Roman" w:eastAsia="SimSun" w:hAnsi="Times New Roman" w:cs="Times New Roman" w:hint="eastAsia"/>
                <w:sz w:val="24"/>
              </w:rPr>
              <w:t xml:space="preserve"> represent</w:t>
            </w:r>
            <w:r w:rsidRPr="006444CA">
              <w:rPr>
                <w:rFonts w:ascii="Times New Roman" w:eastAsia="SimSun" w:hAnsi="Times New Roman" w:cs="Times New Roman"/>
                <w:sz w:val="24"/>
              </w:rPr>
              <w:t>ed</w:t>
            </w:r>
          </w:p>
        </w:tc>
      </w:tr>
      <w:tr w:rsidR="00DF0880" w:rsidRPr="006444CA" w:rsidTr="005E7672">
        <w:tc>
          <w:tcPr>
            <w:tcW w:w="1571" w:type="pct"/>
            <w:tcBorders>
              <w:tl2br w:val="nil"/>
              <w:tr2bl w:val="nil"/>
            </w:tcBorders>
            <w:vAlign w:val="center"/>
          </w:tcPr>
          <w:p w:rsidR="00DF0880" w:rsidRPr="006444CA" w:rsidRDefault="00DF0880" w:rsidP="005E7672">
            <w:pPr>
              <w:snapToGrid w:val="0"/>
              <w:spacing w:line="360" w:lineRule="auto"/>
              <w:rPr>
                <w:rFonts w:ascii="Times New Roman" w:eastAsia="SimSun" w:hAnsi="Times New Roman" w:cs="Times New Roman"/>
                <w:sz w:val="24"/>
              </w:rPr>
            </w:pPr>
            <w:r w:rsidRPr="006444CA">
              <w:rPr>
                <w:rFonts w:ascii="Times New Roman" w:eastAsia="SimSun" w:hAnsi="Times New Roman" w:cs="Times New Roman"/>
                <w:sz w:val="24"/>
              </w:rPr>
              <w:t xml:space="preserve">Log </w:t>
            </w:r>
            <w:r w:rsidRPr="006444CA">
              <w:rPr>
                <w:rFonts w:ascii="Times New Roman" w:eastAsia="SimSun" w:hAnsi="Times New Roman" w:cs="Times New Roman" w:hint="eastAsia"/>
                <w:sz w:val="24"/>
              </w:rPr>
              <w:t>Litigation Experience</w:t>
            </w:r>
          </w:p>
        </w:tc>
        <w:tc>
          <w:tcPr>
            <w:tcW w:w="865" w:type="pct"/>
            <w:tcBorders>
              <w:tl2br w:val="nil"/>
              <w:tr2bl w:val="nil"/>
            </w:tcBorders>
            <w:vAlign w:val="center"/>
          </w:tcPr>
          <w:p w:rsidR="00DF0880" w:rsidRPr="006444CA" w:rsidRDefault="00DF0880" w:rsidP="005E7672">
            <w:pPr>
              <w:snapToGrid w:val="0"/>
              <w:spacing w:line="360" w:lineRule="auto"/>
              <w:rPr>
                <w:rFonts w:ascii="Times New Roman" w:eastAsia="Times New Roman" w:hAnsi="Times New Roman" w:cs="Times New Roman"/>
                <w:sz w:val="24"/>
              </w:rPr>
            </w:pPr>
            <w:r w:rsidRPr="006444CA">
              <w:rPr>
                <w:rFonts w:ascii="Times New Roman" w:eastAsia="SimSun" w:hAnsi="Times New Roman" w:cs="Times New Roman" w:hint="eastAsia"/>
                <w:sz w:val="24"/>
              </w:rPr>
              <w:t>Continuous</w:t>
            </w:r>
          </w:p>
        </w:tc>
        <w:tc>
          <w:tcPr>
            <w:tcW w:w="2564" w:type="pct"/>
            <w:tcBorders>
              <w:tl2br w:val="nil"/>
              <w:tr2bl w:val="nil"/>
            </w:tcBorders>
            <w:vAlign w:val="center"/>
          </w:tcPr>
          <w:p w:rsidR="00DF0880" w:rsidRPr="006444CA" w:rsidRDefault="00DF0880" w:rsidP="005E7672">
            <w:pPr>
              <w:snapToGrid w:val="0"/>
              <w:spacing w:line="360" w:lineRule="auto"/>
              <w:rPr>
                <w:rFonts w:ascii="Times New Roman" w:eastAsia="SimSun" w:hAnsi="Times New Roman" w:cs="Times New Roman"/>
                <w:sz w:val="24"/>
              </w:rPr>
            </w:pPr>
            <w:r w:rsidRPr="006444CA">
              <w:rPr>
                <w:rFonts w:ascii="Times New Roman" w:eastAsia="Times New Roman" w:hAnsi="Times New Roman" w:cs="Times New Roman"/>
                <w:sz w:val="24"/>
              </w:rPr>
              <w:t>Natural log of t</w:t>
            </w:r>
            <w:r w:rsidRPr="006444CA">
              <w:rPr>
                <w:rFonts w:ascii="Times New Roman" w:eastAsia="Times New Roman" w:hAnsi="Times New Roman" w:cs="Times New Roman" w:hint="eastAsia"/>
                <w:sz w:val="24"/>
              </w:rPr>
              <w:t xml:space="preserve">he times that the party has </w:t>
            </w:r>
            <w:r w:rsidRPr="006444CA">
              <w:rPr>
                <w:rFonts w:ascii="Times New Roman" w:eastAsia="Times New Roman" w:hAnsi="Times New Roman" w:cs="Times New Roman"/>
                <w:sz w:val="24"/>
              </w:rPr>
              <w:t>been involved in a lawsuit</w:t>
            </w:r>
          </w:p>
        </w:tc>
      </w:tr>
      <w:tr w:rsidR="00DF0880" w:rsidRPr="006444CA" w:rsidTr="005E7672">
        <w:tc>
          <w:tcPr>
            <w:tcW w:w="1571" w:type="pct"/>
            <w:tcBorders>
              <w:tl2br w:val="nil"/>
              <w:tr2bl w:val="nil"/>
            </w:tcBorders>
            <w:vAlign w:val="center"/>
          </w:tcPr>
          <w:p w:rsidR="00DF0880" w:rsidRPr="006444CA" w:rsidRDefault="00DF0880" w:rsidP="005E7672">
            <w:pPr>
              <w:snapToGrid w:val="0"/>
              <w:spacing w:line="360" w:lineRule="auto"/>
              <w:rPr>
                <w:rFonts w:ascii="Times New Roman" w:eastAsia="SimSun" w:hAnsi="Times New Roman" w:cs="Times New Roman"/>
                <w:sz w:val="24"/>
              </w:rPr>
            </w:pPr>
            <w:r w:rsidRPr="006444CA">
              <w:rPr>
                <w:rFonts w:ascii="Times New Roman" w:eastAsia="SimSun" w:hAnsi="Times New Roman" w:cs="Times New Roman"/>
                <w:sz w:val="24"/>
              </w:rPr>
              <w:t>Log Law Firm</w:t>
            </w:r>
            <w:r w:rsidRPr="006444CA">
              <w:rPr>
                <w:rFonts w:ascii="Times New Roman" w:eastAsia="SimSun" w:hAnsi="Times New Roman" w:cs="Times New Roman" w:hint="eastAsia"/>
                <w:sz w:val="24"/>
              </w:rPr>
              <w:t xml:space="preserve"> Experience</w:t>
            </w:r>
          </w:p>
        </w:tc>
        <w:tc>
          <w:tcPr>
            <w:tcW w:w="865" w:type="pct"/>
            <w:tcBorders>
              <w:tl2br w:val="nil"/>
              <w:tr2bl w:val="nil"/>
            </w:tcBorders>
            <w:vAlign w:val="center"/>
          </w:tcPr>
          <w:p w:rsidR="00DF0880" w:rsidRPr="006444CA" w:rsidRDefault="00DF0880" w:rsidP="005E7672">
            <w:pPr>
              <w:snapToGrid w:val="0"/>
              <w:spacing w:line="360" w:lineRule="auto"/>
              <w:rPr>
                <w:rFonts w:ascii="Times New Roman" w:eastAsia="SimSun" w:hAnsi="Times New Roman" w:cs="Times New Roman"/>
                <w:sz w:val="24"/>
              </w:rPr>
            </w:pPr>
            <w:r w:rsidRPr="006444CA">
              <w:rPr>
                <w:rFonts w:ascii="Times New Roman" w:eastAsia="SimSun" w:hAnsi="Times New Roman" w:cs="Times New Roman" w:hint="eastAsia"/>
                <w:sz w:val="24"/>
              </w:rPr>
              <w:t>Continuous</w:t>
            </w:r>
          </w:p>
        </w:tc>
        <w:tc>
          <w:tcPr>
            <w:tcW w:w="2564" w:type="pct"/>
            <w:tcBorders>
              <w:tl2br w:val="nil"/>
              <w:tr2bl w:val="nil"/>
            </w:tcBorders>
            <w:vAlign w:val="center"/>
          </w:tcPr>
          <w:p w:rsidR="00DF0880" w:rsidRPr="006444CA" w:rsidRDefault="00DF0880" w:rsidP="005E7672">
            <w:pPr>
              <w:snapToGrid w:val="0"/>
              <w:spacing w:line="360" w:lineRule="auto"/>
              <w:rPr>
                <w:rFonts w:ascii="Times New Roman" w:eastAsia="Times New Roman" w:hAnsi="Times New Roman" w:cs="Times New Roman"/>
                <w:sz w:val="24"/>
              </w:rPr>
            </w:pPr>
            <w:r w:rsidRPr="006444CA">
              <w:rPr>
                <w:rFonts w:ascii="Times New Roman" w:eastAsia="Times New Roman" w:hAnsi="Times New Roman" w:cs="Times New Roman"/>
                <w:sz w:val="24"/>
              </w:rPr>
              <w:t>Natural log of t</w:t>
            </w:r>
            <w:r w:rsidRPr="006444CA">
              <w:rPr>
                <w:rFonts w:ascii="Times New Roman" w:eastAsia="Times New Roman" w:hAnsi="Times New Roman" w:cs="Times New Roman" w:hint="eastAsia"/>
                <w:sz w:val="24"/>
              </w:rPr>
              <w:t xml:space="preserve">he times that the </w:t>
            </w:r>
            <w:r w:rsidRPr="006444CA">
              <w:rPr>
                <w:rFonts w:ascii="Times New Roman" w:eastAsia="Times New Roman" w:hAnsi="Times New Roman" w:cs="Times New Roman"/>
                <w:sz w:val="24"/>
              </w:rPr>
              <w:t>law firm</w:t>
            </w:r>
            <w:r w:rsidRPr="006444CA">
              <w:rPr>
                <w:rFonts w:ascii="Times New Roman" w:eastAsia="Times New Roman" w:hAnsi="Times New Roman" w:cs="Times New Roman" w:hint="eastAsia"/>
                <w:sz w:val="24"/>
              </w:rPr>
              <w:t xml:space="preserve"> has </w:t>
            </w:r>
            <w:r w:rsidRPr="006444CA">
              <w:rPr>
                <w:rFonts w:ascii="Times New Roman" w:eastAsia="Times New Roman" w:hAnsi="Times New Roman" w:cs="Times New Roman"/>
                <w:sz w:val="24"/>
              </w:rPr>
              <w:t>been involved in a lawsuit</w:t>
            </w:r>
          </w:p>
        </w:tc>
      </w:tr>
      <w:tr w:rsidR="00DF0880" w:rsidRPr="006444CA" w:rsidTr="005E7672">
        <w:tc>
          <w:tcPr>
            <w:tcW w:w="1571" w:type="pct"/>
            <w:tcBorders>
              <w:tl2br w:val="nil"/>
              <w:tr2bl w:val="nil"/>
            </w:tcBorders>
            <w:vAlign w:val="center"/>
          </w:tcPr>
          <w:p w:rsidR="00DF0880" w:rsidRPr="006444CA" w:rsidRDefault="00DF0880" w:rsidP="005E7672">
            <w:pPr>
              <w:snapToGrid w:val="0"/>
              <w:spacing w:line="360" w:lineRule="auto"/>
              <w:rPr>
                <w:rFonts w:ascii="Times New Roman" w:eastAsia="SimSun" w:hAnsi="Times New Roman" w:cs="Times New Roman"/>
                <w:sz w:val="24"/>
              </w:rPr>
            </w:pPr>
            <w:r w:rsidRPr="006444CA">
              <w:rPr>
                <w:rFonts w:ascii="Times New Roman" w:eastAsia="SimSun" w:hAnsi="Times New Roman" w:cs="Times New Roman" w:hint="eastAsia"/>
                <w:sz w:val="24"/>
              </w:rPr>
              <w:t>D</w:t>
            </w:r>
            <w:r w:rsidRPr="006444CA">
              <w:rPr>
                <w:rFonts w:ascii="Times New Roman" w:eastAsia="SimSun" w:hAnsi="Times New Roman" w:cs="Times New Roman"/>
                <w:sz w:val="24"/>
              </w:rPr>
              <w:t>ebtor’s Activeness</w:t>
            </w:r>
          </w:p>
        </w:tc>
        <w:tc>
          <w:tcPr>
            <w:tcW w:w="865" w:type="pct"/>
            <w:tcBorders>
              <w:tl2br w:val="nil"/>
              <w:tr2bl w:val="nil"/>
            </w:tcBorders>
            <w:vAlign w:val="center"/>
          </w:tcPr>
          <w:p w:rsidR="00DF0880" w:rsidRPr="006444CA" w:rsidRDefault="00DF0880" w:rsidP="005E7672">
            <w:pPr>
              <w:snapToGrid w:val="0"/>
              <w:spacing w:line="360" w:lineRule="auto"/>
              <w:rPr>
                <w:rFonts w:ascii="Times New Roman" w:eastAsia="SimSun" w:hAnsi="Times New Roman" w:cs="Times New Roman"/>
                <w:sz w:val="24"/>
              </w:rPr>
            </w:pPr>
            <w:r w:rsidRPr="006444CA">
              <w:rPr>
                <w:rFonts w:ascii="Times New Roman" w:eastAsia="SimSun" w:hAnsi="Times New Roman" w:cs="Times New Roman" w:hint="eastAsia"/>
                <w:sz w:val="24"/>
              </w:rPr>
              <w:t>O</w:t>
            </w:r>
            <w:r w:rsidRPr="006444CA">
              <w:rPr>
                <w:rFonts w:ascii="Times New Roman" w:eastAsia="SimSun" w:hAnsi="Times New Roman" w:cs="Times New Roman"/>
                <w:sz w:val="24"/>
              </w:rPr>
              <w:t>rdered</w:t>
            </w:r>
          </w:p>
        </w:tc>
        <w:tc>
          <w:tcPr>
            <w:tcW w:w="2564" w:type="pct"/>
            <w:tcBorders>
              <w:tl2br w:val="nil"/>
              <w:tr2bl w:val="nil"/>
            </w:tcBorders>
            <w:vAlign w:val="center"/>
          </w:tcPr>
          <w:p w:rsidR="00DF0880" w:rsidRPr="006444CA" w:rsidRDefault="00DF0880" w:rsidP="005E7672">
            <w:pPr>
              <w:snapToGrid w:val="0"/>
              <w:spacing w:line="360" w:lineRule="auto"/>
              <w:rPr>
                <w:rFonts w:ascii="Times New Roman" w:eastAsia="Times New Roman" w:hAnsi="Times New Roman" w:cs="Times New Roman"/>
                <w:sz w:val="24"/>
              </w:rPr>
            </w:pPr>
            <w:r w:rsidRPr="006444CA">
              <w:rPr>
                <w:rFonts w:ascii="Times New Roman" w:eastAsia="Times New Roman" w:hAnsi="Times New Roman" w:cs="Times New Roman"/>
                <w:sz w:val="24"/>
              </w:rPr>
              <w:t>“low” if = neither attending trial nor represented;</w:t>
            </w:r>
          </w:p>
          <w:p w:rsidR="00DF0880" w:rsidRPr="006444CA" w:rsidRDefault="00DF0880" w:rsidP="005E7672">
            <w:pPr>
              <w:snapToGrid w:val="0"/>
              <w:spacing w:line="360" w:lineRule="auto"/>
              <w:rPr>
                <w:rFonts w:ascii="Times New Roman" w:eastAsia="Times New Roman" w:hAnsi="Times New Roman" w:cs="Times New Roman"/>
                <w:sz w:val="24"/>
              </w:rPr>
            </w:pPr>
            <w:r w:rsidRPr="006444CA">
              <w:rPr>
                <w:rFonts w:ascii="Times New Roman" w:eastAsia="Times New Roman" w:hAnsi="Times New Roman" w:cs="Times New Roman"/>
                <w:sz w:val="24"/>
              </w:rPr>
              <w:t xml:space="preserve">“medium” if = attending trial without representation; </w:t>
            </w:r>
          </w:p>
          <w:p w:rsidR="00DF0880" w:rsidRPr="006444CA" w:rsidRDefault="00DF0880" w:rsidP="005E7672">
            <w:pPr>
              <w:snapToGrid w:val="0"/>
              <w:spacing w:line="360" w:lineRule="auto"/>
              <w:rPr>
                <w:rFonts w:ascii="Times New Roman" w:eastAsia="Times New Roman" w:hAnsi="Times New Roman" w:cs="Times New Roman"/>
                <w:sz w:val="24"/>
              </w:rPr>
            </w:pPr>
            <w:r w:rsidRPr="006444CA">
              <w:rPr>
                <w:rFonts w:ascii="Times New Roman" w:eastAsia="Times New Roman" w:hAnsi="Times New Roman" w:cs="Times New Roman"/>
                <w:sz w:val="24"/>
              </w:rPr>
              <w:t>“high” if = obtaining legal representation</w:t>
            </w:r>
          </w:p>
        </w:tc>
      </w:tr>
      <w:tr w:rsidR="00DF0880" w:rsidRPr="006444CA" w:rsidTr="005E7672">
        <w:tc>
          <w:tcPr>
            <w:tcW w:w="1571" w:type="pct"/>
            <w:tcBorders>
              <w:tl2br w:val="nil"/>
              <w:tr2bl w:val="nil"/>
            </w:tcBorders>
            <w:vAlign w:val="center"/>
          </w:tcPr>
          <w:p w:rsidR="00DF0880" w:rsidRPr="006444CA" w:rsidRDefault="00DF0880" w:rsidP="005E7672">
            <w:pPr>
              <w:snapToGrid w:val="0"/>
              <w:spacing w:line="360" w:lineRule="auto"/>
              <w:rPr>
                <w:rFonts w:ascii="Times New Roman" w:eastAsia="Times New Roman" w:hAnsi="Times New Roman" w:cs="Times New Roman"/>
                <w:sz w:val="24"/>
              </w:rPr>
            </w:pPr>
            <w:r w:rsidRPr="006444CA">
              <w:rPr>
                <w:rFonts w:ascii="Times New Roman" w:eastAsia="Times New Roman" w:hAnsi="Times New Roman" w:cs="Times New Roman" w:hint="eastAsia"/>
                <w:sz w:val="24"/>
              </w:rPr>
              <w:lastRenderedPageBreak/>
              <w:t>Log</w:t>
            </w:r>
            <w:bookmarkStart w:id="0" w:name="_GoBack"/>
            <w:bookmarkEnd w:id="0"/>
            <w:r w:rsidRPr="006444CA">
              <w:rPr>
                <w:rFonts w:ascii="Times New Roman" w:eastAsia="Times New Roman" w:hAnsi="Times New Roman" w:cs="Times New Roman" w:hint="eastAsia"/>
                <w:sz w:val="24"/>
              </w:rPr>
              <w:t xml:space="preserve"> </w:t>
            </w:r>
            <w:r w:rsidRPr="006444CA">
              <w:rPr>
                <w:rFonts w:ascii="Times New Roman" w:eastAsia="SimSun" w:hAnsi="Times New Roman" w:cs="Times New Roman"/>
                <w:sz w:val="24"/>
              </w:rPr>
              <w:t>Filing</w:t>
            </w:r>
            <w:r w:rsidRPr="006444CA">
              <w:rPr>
                <w:rFonts w:ascii="Times New Roman" w:eastAsia="Times New Roman" w:hAnsi="Times New Roman" w:cs="Times New Roman" w:hint="eastAsia"/>
                <w:sz w:val="24"/>
              </w:rPr>
              <w:t xml:space="preserve"> Fee</w:t>
            </w:r>
          </w:p>
        </w:tc>
        <w:tc>
          <w:tcPr>
            <w:tcW w:w="865" w:type="pct"/>
            <w:tcBorders>
              <w:tl2br w:val="nil"/>
              <w:tr2bl w:val="nil"/>
            </w:tcBorders>
            <w:vAlign w:val="center"/>
          </w:tcPr>
          <w:p w:rsidR="00DF0880" w:rsidRPr="006444CA" w:rsidRDefault="00DF0880" w:rsidP="005E7672">
            <w:pPr>
              <w:snapToGrid w:val="0"/>
              <w:spacing w:line="360" w:lineRule="auto"/>
              <w:rPr>
                <w:rFonts w:ascii="Times New Roman" w:eastAsia="Times New Roman" w:hAnsi="Times New Roman" w:cs="Times New Roman"/>
                <w:sz w:val="24"/>
              </w:rPr>
            </w:pPr>
            <w:r w:rsidRPr="006444CA">
              <w:rPr>
                <w:rFonts w:ascii="Times New Roman" w:eastAsia="Times New Roman" w:hAnsi="Times New Roman" w:cs="Times New Roman" w:hint="eastAsia"/>
                <w:sz w:val="24"/>
              </w:rPr>
              <w:t>Continuous</w:t>
            </w:r>
          </w:p>
        </w:tc>
        <w:tc>
          <w:tcPr>
            <w:tcW w:w="2564" w:type="pct"/>
            <w:tcBorders>
              <w:tl2br w:val="nil"/>
              <w:tr2bl w:val="nil"/>
            </w:tcBorders>
            <w:vAlign w:val="center"/>
          </w:tcPr>
          <w:p w:rsidR="00DF0880" w:rsidRPr="006444CA" w:rsidRDefault="00DF0880" w:rsidP="005E7672">
            <w:pPr>
              <w:snapToGrid w:val="0"/>
              <w:spacing w:line="360" w:lineRule="auto"/>
              <w:rPr>
                <w:rFonts w:ascii="Times New Roman" w:eastAsia="Times New Roman" w:hAnsi="Times New Roman" w:cs="Times New Roman"/>
                <w:sz w:val="24"/>
              </w:rPr>
            </w:pPr>
            <w:r w:rsidRPr="006444CA">
              <w:rPr>
                <w:rFonts w:ascii="Times New Roman" w:eastAsia="Times New Roman" w:hAnsi="Times New Roman" w:cs="Times New Roman" w:hint="eastAsia"/>
                <w:sz w:val="24"/>
              </w:rPr>
              <w:t xml:space="preserve">Natural log of the </w:t>
            </w:r>
            <w:r w:rsidRPr="006444CA">
              <w:rPr>
                <w:rFonts w:ascii="Times New Roman" w:eastAsia="Times New Roman" w:hAnsi="Times New Roman" w:cs="Times New Roman"/>
                <w:sz w:val="24"/>
              </w:rPr>
              <w:t>filing</w:t>
            </w:r>
            <w:r w:rsidRPr="006444CA">
              <w:rPr>
                <w:rFonts w:ascii="Times New Roman" w:eastAsia="Times New Roman" w:hAnsi="Times New Roman" w:cs="Times New Roman" w:hint="eastAsia"/>
                <w:sz w:val="24"/>
              </w:rPr>
              <w:t xml:space="preserve"> fee</w:t>
            </w:r>
            <w:r w:rsidRPr="006444CA">
              <w:rPr>
                <w:rFonts w:ascii="Times New Roman" w:eastAsia="Times New Roman" w:hAnsi="Times New Roman" w:cs="Times New Roman"/>
                <w:sz w:val="24"/>
              </w:rPr>
              <w:t xml:space="preserve"> (in proxy of debt value)</w:t>
            </w:r>
          </w:p>
        </w:tc>
      </w:tr>
      <w:tr w:rsidR="00DF0880" w:rsidRPr="006444CA" w:rsidTr="005E7672">
        <w:tc>
          <w:tcPr>
            <w:tcW w:w="1571" w:type="pct"/>
            <w:tcBorders>
              <w:tl2br w:val="nil"/>
              <w:tr2bl w:val="nil"/>
            </w:tcBorders>
            <w:vAlign w:val="center"/>
          </w:tcPr>
          <w:p w:rsidR="00DF0880" w:rsidRPr="006444CA" w:rsidRDefault="00DF0880" w:rsidP="005E7672">
            <w:pPr>
              <w:snapToGrid w:val="0"/>
              <w:spacing w:line="360" w:lineRule="auto"/>
              <w:rPr>
                <w:rFonts w:ascii="Times New Roman" w:eastAsia="SimSun" w:hAnsi="Times New Roman" w:cs="Times New Roman"/>
                <w:sz w:val="24"/>
              </w:rPr>
            </w:pPr>
            <w:r w:rsidRPr="006444CA">
              <w:rPr>
                <w:rFonts w:ascii="Times New Roman" w:eastAsia="SimSun" w:hAnsi="Times New Roman" w:cs="Times New Roman" w:hint="eastAsia"/>
                <w:sz w:val="24"/>
              </w:rPr>
              <w:t>Interest Agreement</w:t>
            </w:r>
          </w:p>
        </w:tc>
        <w:tc>
          <w:tcPr>
            <w:tcW w:w="865" w:type="pct"/>
            <w:tcBorders>
              <w:tl2br w:val="nil"/>
              <w:tr2bl w:val="nil"/>
            </w:tcBorders>
            <w:vAlign w:val="center"/>
          </w:tcPr>
          <w:p w:rsidR="00DF0880" w:rsidRPr="006444CA" w:rsidRDefault="00DF0880" w:rsidP="005E7672">
            <w:pPr>
              <w:snapToGrid w:val="0"/>
              <w:spacing w:line="360" w:lineRule="auto"/>
              <w:rPr>
                <w:rFonts w:ascii="Times New Roman" w:eastAsia="SimSun" w:hAnsi="Times New Roman" w:cs="Times New Roman"/>
                <w:sz w:val="24"/>
              </w:rPr>
            </w:pPr>
            <w:r w:rsidRPr="006444CA">
              <w:rPr>
                <w:rFonts w:ascii="Times New Roman" w:eastAsia="Times New Roman" w:hAnsi="Times New Roman" w:cs="Times New Roman" w:hint="eastAsia"/>
                <w:sz w:val="24"/>
              </w:rPr>
              <w:t>Dummy</w:t>
            </w:r>
          </w:p>
        </w:tc>
        <w:tc>
          <w:tcPr>
            <w:tcW w:w="2564" w:type="pct"/>
            <w:tcBorders>
              <w:tl2br w:val="nil"/>
              <w:tr2bl w:val="nil"/>
            </w:tcBorders>
            <w:vAlign w:val="center"/>
          </w:tcPr>
          <w:p w:rsidR="00DF0880" w:rsidRPr="006444CA" w:rsidRDefault="00DF0880" w:rsidP="005E7672">
            <w:pPr>
              <w:snapToGrid w:val="0"/>
              <w:spacing w:line="360" w:lineRule="auto"/>
              <w:rPr>
                <w:rFonts w:ascii="Times New Roman" w:eastAsia="Times New Roman" w:hAnsi="Times New Roman" w:cs="Times New Roman"/>
                <w:sz w:val="24"/>
              </w:rPr>
            </w:pPr>
            <w:r w:rsidRPr="006444CA">
              <w:rPr>
                <w:rFonts w:ascii="Times New Roman" w:eastAsia="Times New Roman" w:hAnsi="Times New Roman" w:cs="Times New Roman"/>
                <w:sz w:val="24"/>
              </w:rPr>
              <w:t xml:space="preserve">Equals one if there’s agreement on </w:t>
            </w:r>
            <w:r>
              <w:rPr>
                <w:rFonts w:ascii="Times New Roman" w:eastAsia="Times New Roman" w:hAnsi="Times New Roman" w:cs="Times New Roman"/>
                <w:sz w:val="24"/>
              </w:rPr>
              <w:t xml:space="preserve">the </w:t>
            </w:r>
            <w:r w:rsidRPr="006444CA">
              <w:rPr>
                <w:rFonts w:ascii="Times New Roman" w:eastAsia="Times New Roman" w:hAnsi="Times New Roman" w:cs="Times New Roman" w:hint="eastAsia"/>
                <w:sz w:val="24"/>
              </w:rPr>
              <w:t xml:space="preserve">interest </w:t>
            </w:r>
            <w:r w:rsidRPr="006444CA">
              <w:rPr>
                <w:rFonts w:ascii="Times New Roman" w:eastAsia="Times New Roman" w:hAnsi="Times New Roman" w:cs="Times New Roman"/>
                <w:sz w:val="24"/>
              </w:rPr>
              <w:t>rate</w:t>
            </w:r>
          </w:p>
        </w:tc>
      </w:tr>
      <w:tr w:rsidR="00DF0880" w:rsidRPr="006444CA" w:rsidTr="005E7672">
        <w:tc>
          <w:tcPr>
            <w:tcW w:w="1571" w:type="pct"/>
            <w:tcBorders>
              <w:tl2br w:val="nil"/>
              <w:tr2bl w:val="nil"/>
            </w:tcBorders>
            <w:vAlign w:val="center"/>
          </w:tcPr>
          <w:p w:rsidR="00DF0880" w:rsidRPr="006444CA" w:rsidRDefault="00DF0880" w:rsidP="005E7672">
            <w:pPr>
              <w:snapToGrid w:val="0"/>
              <w:spacing w:line="360" w:lineRule="auto"/>
              <w:rPr>
                <w:rFonts w:ascii="Times New Roman" w:eastAsia="Times New Roman" w:hAnsi="Times New Roman" w:cs="Times New Roman"/>
                <w:sz w:val="24"/>
              </w:rPr>
            </w:pPr>
            <w:r w:rsidRPr="006444CA">
              <w:rPr>
                <w:rFonts w:ascii="Times New Roman" w:eastAsia="Times New Roman" w:hAnsi="Times New Roman" w:cs="Times New Roman" w:hint="eastAsia"/>
                <w:sz w:val="24"/>
              </w:rPr>
              <w:t>Guarantee Agreement</w:t>
            </w:r>
          </w:p>
        </w:tc>
        <w:tc>
          <w:tcPr>
            <w:tcW w:w="865" w:type="pct"/>
            <w:tcBorders>
              <w:tl2br w:val="nil"/>
              <w:tr2bl w:val="nil"/>
            </w:tcBorders>
            <w:vAlign w:val="center"/>
          </w:tcPr>
          <w:p w:rsidR="00DF0880" w:rsidRPr="006444CA" w:rsidRDefault="00DF0880" w:rsidP="005E7672">
            <w:pPr>
              <w:snapToGrid w:val="0"/>
              <w:spacing w:line="360" w:lineRule="auto"/>
              <w:rPr>
                <w:rFonts w:ascii="Times New Roman" w:eastAsia="Times New Roman" w:hAnsi="Times New Roman" w:cs="Times New Roman"/>
                <w:sz w:val="24"/>
              </w:rPr>
            </w:pPr>
            <w:r w:rsidRPr="006444CA">
              <w:rPr>
                <w:rFonts w:ascii="Times New Roman" w:eastAsia="Times New Roman" w:hAnsi="Times New Roman" w:cs="Times New Roman" w:hint="eastAsia"/>
                <w:sz w:val="24"/>
              </w:rPr>
              <w:t>Dummy</w:t>
            </w:r>
          </w:p>
        </w:tc>
        <w:tc>
          <w:tcPr>
            <w:tcW w:w="2564" w:type="pct"/>
            <w:tcBorders>
              <w:tl2br w:val="nil"/>
              <w:tr2bl w:val="nil"/>
            </w:tcBorders>
            <w:vAlign w:val="center"/>
          </w:tcPr>
          <w:p w:rsidR="00DF0880" w:rsidRPr="006444CA" w:rsidRDefault="00DF0880" w:rsidP="005E7672">
            <w:pPr>
              <w:snapToGrid w:val="0"/>
              <w:spacing w:line="360" w:lineRule="auto"/>
              <w:rPr>
                <w:rFonts w:ascii="Times New Roman" w:eastAsia="Times New Roman" w:hAnsi="Times New Roman" w:cs="Times New Roman"/>
                <w:sz w:val="24"/>
              </w:rPr>
            </w:pPr>
            <w:r w:rsidRPr="006444CA">
              <w:rPr>
                <w:rFonts w:ascii="Times New Roman" w:eastAsia="Times New Roman" w:hAnsi="Times New Roman" w:cs="Times New Roman"/>
                <w:sz w:val="24"/>
              </w:rPr>
              <w:t xml:space="preserve">Equals one if there’s agreement on </w:t>
            </w:r>
            <w:r>
              <w:rPr>
                <w:rFonts w:ascii="Times New Roman" w:eastAsia="Times New Roman" w:hAnsi="Times New Roman" w:cs="Times New Roman"/>
                <w:sz w:val="24"/>
              </w:rPr>
              <w:t xml:space="preserve">the </w:t>
            </w:r>
            <w:r w:rsidRPr="006444CA">
              <w:rPr>
                <w:rFonts w:ascii="Times New Roman" w:eastAsia="Times New Roman" w:hAnsi="Times New Roman" w:cs="Times New Roman"/>
                <w:sz w:val="24"/>
              </w:rPr>
              <w:t>guarantee measure</w:t>
            </w:r>
          </w:p>
        </w:tc>
      </w:tr>
      <w:tr w:rsidR="00DF0880" w:rsidRPr="006444CA" w:rsidTr="005E7672">
        <w:tc>
          <w:tcPr>
            <w:tcW w:w="1571" w:type="pct"/>
            <w:tcBorders>
              <w:tl2br w:val="nil"/>
              <w:tr2bl w:val="nil"/>
            </w:tcBorders>
            <w:vAlign w:val="center"/>
          </w:tcPr>
          <w:p w:rsidR="00DF0880" w:rsidRPr="006444CA" w:rsidRDefault="00DF0880" w:rsidP="005E7672">
            <w:pPr>
              <w:snapToGrid w:val="0"/>
              <w:spacing w:line="360" w:lineRule="auto"/>
              <w:rPr>
                <w:rFonts w:ascii="Times New Roman" w:eastAsia="Times New Roman" w:hAnsi="Times New Roman" w:cs="Times New Roman"/>
                <w:sz w:val="24"/>
              </w:rPr>
            </w:pPr>
            <w:r w:rsidRPr="006444CA">
              <w:rPr>
                <w:rFonts w:ascii="Times New Roman" w:eastAsia="Times New Roman" w:hAnsi="Times New Roman" w:cs="Times New Roman" w:hint="eastAsia"/>
                <w:sz w:val="24"/>
              </w:rPr>
              <w:t>M</w:t>
            </w:r>
            <w:r w:rsidRPr="006444CA">
              <w:rPr>
                <w:rFonts w:ascii="Times New Roman" w:eastAsia="Times New Roman" w:hAnsi="Times New Roman" w:cs="Times New Roman"/>
                <w:sz w:val="24"/>
              </w:rPr>
              <w:t>ulti-Judge</w:t>
            </w:r>
          </w:p>
        </w:tc>
        <w:tc>
          <w:tcPr>
            <w:tcW w:w="865" w:type="pct"/>
            <w:tcBorders>
              <w:tl2br w:val="nil"/>
              <w:tr2bl w:val="nil"/>
            </w:tcBorders>
            <w:vAlign w:val="center"/>
          </w:tcPr>
          <w:p w:rsidR="00DF0880" w:rsidRPr="006444CA" w:rsidRDefault="00DF0880" w:rsidP="005E7672">
            <w:pPr>
              <w:snapToGrid w:val="0"/>
              <w:spacing w:line="360" w:lineRule="auto"/>
              <w:rPr>
                <w:rFonts w:ascii="Times New Roman" w:eastAsia="Times New Roman" w:hAnsi="Times New Roman" w:cs="Times New Roman"/>
                <w:sz w:val="24"/>
              </w:rPr>
            </w:pPr>
            <w:r w:rsidRPr="006444CA">
              <w:rPr>
                <w:rFonts w:ascii="Times New Roman" w:eastAsia="Times New Roman" w:hAnsi="Times New Roman" w:cs="Times New Roman" w:hint="eastAsia"/>
                <w:sz w:val="24"/>
              </w:rPr>
              <w:t>D</w:t>
            </w:r>
            <w:r w:rsidRPr="006444CA">
              <w:rPr>
                <w:rFonts w:ascii="Times New Roman" w:eastAsia="Times New Roman" w:hAnsi="Times New Roman" w:cs="Times New Roman"/>
                <w:sz w:val="24"/>
              </w:rPr>
              <w:t>ummy</w:t>
            </w:r>
          </w:p>
        </w:tc>
        <w:tc>
          <w:tcPr>
            <w:tcW w:w="2564" w:type="pct"/>
            <w:tcBorders>
              <w:tl2br w:val="nil"/>
              <w:tr2bl w:val="nil"/>
            </w:tcBorders>
            <w:vAlign w:val="center"/>
          </w:tcPr>
          <w:p w:rsidR="00DF0880" w:rsidRPr="006444CA" w:rsidRDefault="00DF0880" w:rsidP="005E7672">
            <w:pPr>
              <w:snapToGrid w:val="0"/>
              <w:spacing w:line="360" w:lineRule="auto"/>
              <w:rPr>
                <w:rFonts w:ascii="Times New Roman" w:eastAsia="Times New Roman" w:hAnsi="Times New Roman" w:cs="Times New Roman"/>
                <w:sz w:val="24"/>
              </w:rPr>
            </w:pPr>
            <w:r w:rsidRPr="006444CA">
              <w:rPr>
                <w:rFonts w:ascii="Times New Roman" w:eastAsia="Times New Roman" w:hAnsi="Times New Roman" w:cs="Times New Roman" w:hint="eastAsia"/>
                <w:sz w:val="24"/>
              </w:rPr>
              <w:t>E</w:t>
            </w:r>
            <w:r w:rsidRPr="006444CA">
              <w:rPr>
                <w:rFonts w:ascii="Times New Roman" w:eastAsia="Times New Roman" w:hAnsi="Times New Roman" w:cs="Times New Roman"/>
                <w:sz w:val="24"/>
              </w:rPr>
              <w:t>quals one if there are multiple judges on the bench</w:t>
            </w:r>
          </w:p>
        </w:tc>
      </w:tr>
    </w:tbl>
    <w:p w:rsidR="00813F30" w:rsidRDefault="00813F30"/>
    <w:sectPr w:rsidR="00813F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927628"/>
    <w:multiLevelType w:val="multilevel"/>
    <w:tmpl w:val="3DCC1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880"/>
    <w:rsid w:val="000305CA"/>
    <w:rsid w:val="000317E2"/>
    <w:rsid w:val="00044CCE"/>
    <w:rsid w:val="00084CCC"/>
    <w:rsid w:val="00096D12"/>
    <w:rsid w:val="000C2879"/>
    <w:rsid w:val="000C6CEE"/>
    <w:rsid w:val="000E376C"/>
    <w:rsid w:val="000F2E92"/>
    <w:rsid w:val="00102788"/>
    <w:rsid w:val="00107EA7"/>
    <w:rsid w:val="002053B5"/>
    <w:rsid w:val="00241959"/>
    <w:rsid w:val="002D26AB"/>
    <w:rsid w:val="002D55C0"/>
    <w:rsid w:val="002F2366"/>
    <w:rsid w:val="0033238E"/>
    <w:rsid w:val="003D4324"/>
    <w:rsid w:val="004656CF"/>
    <w:rsid w:val="00471F10"/>
    <w:rsid w:val="004C4D15"/>
    <w:rsid w:val="004D5C5B"/>
    <w:rsid w:val="00500EFB"/>
    <w:rsid w:val="00513A13"/>
    <w:rsid w:val="00523F73"/>
    <w:rsid w:val="005330D8"/>
    <w:rsid w:val="005A0A0B"/>
    <w:rsid w:val="005A26AC"/>
    <w:rsid w:val="00615ECD"/>
    <w:rsid w:val="00662613"/>
    <w:rsid w:val="00670AB0"/>
    <w:rsid w:val="00683539"/>
    <w:rsid w:val="00692A3D"/>
    <w:rsid w:val="006A371C"/>
    <w:rsid w:val="006B7D64"/>
    <w:rsid w:val="006C5AE1"/>
    <w:rsid w:val="00724155"/>
    <w:rsid w:val="00735FA7"/>
    <w:rsid w:val="007457CE"/>
    <w:rsid w:val="007478B8"/>
    <w:rsid w:val="007F329E"/>
    <w:rsid w:val="00802144"/>
    <w:rsid w:val="00813F30"/>
    <w:rsid w:val="008154EB"/>
    <w:rsid w:val="00834B3F"/>
    <w:rsid w:val="0083615E"/>
    <w:rsid w:val="008910A4"/>
    <w:rsid w:val="008A2436"/>
    <w:rsid w:val="008C468F"/>
    <w:rsid w:val="008F22E3"/>
    <w:rsid w:val="00915A4E"/>
    <w:rsid w:val="00977D6A"/>
    <w:rsid w:val="00991FDE"/>
    <w:rsid w:val="009939A0"/>
    <w:rsid w:val="00A61BAB"/>
    <w:rsid w:val="00A82184"/>
    <w:rsid w:val="00AC2E19"/>
    <w:rsid w:val="00AC4939"/>
    <w:rsid w:val="00AF5CD6"/>
    <w:rsid w:val="00B864A9"/>
    <w:rsid w:val="00BB0D06"/>
    <w:rsid w:val="00BE174E"/>
    <w:rsid w:val="00BF421D"/>
    <w:rsid w:val="00C109F5"/>
    <w:rsid w:val="00C40C01"/>
    <w:rsid w:val="00C61B8C"/>
    <w:rsid w:val="00C83B07"/>
    <w:rsid w:val="00C94BCB"/>
    <w:rsid w:val="00CA1892"/>
    <w:rsid w:val="00CA77E5"/>
    <w:rsid w:val="00CE6798"/>
    <w:rsid w:val="00D12E91"/>
    <w:rsid w:val="00D235F2"/>
    <w:rsid w:val="00DF0880"/>
    <w:rsid w:val="00E81DDA"/>
    <w:rsid w:val="00E879D8"/>
    <w:rsid w:val="00F142C6"/>
    <w:rsid w:val="00F14AE9"/>
    <w:rsid w:val="00F25703"/>
    <w:rsid w:val="00F26DF7"/>
    <w:rsid w:val="00F30E8F"/>
    <w:rsid w:val="00F741A6"/>
    <w:rsid w:val="00F9306C"/>
    <w:rsid w:val="00FB39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067038-ADE4-44CA-8E01-8ED7CE53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880"/>
    <w:pPr>
      <w:widowControl w:val="0"/>
      <w:spacing w:after="0" w:line="240" w:lineRule="auto"/>
      <w:ind w:firstLineChars="200" w:firstLine="420"/>
      <w:jc w:val="both"/>
    </w:pPr>
    <w:rPr>
      <w:rFonts w:eastAsiaTheme="minorEastAsia"/>
      <w:kern w:val="2"/>
      <w:sz w:val="21"/>
      <w:szCs w:val="24"/>
      <w:lang w:val="en-US" w:eastAsia="zh-CN"/>
      <w14:ligatures w14:val="standardContextual"/>
    </w:rPr>
  </w:style>
  <w:style w:type="paragraph" w:styleId="EndnoteText">
    <w:name w:val="endnote text"/>
    <w:basedOn w:val="Normal"/>
    <w:link w:val="EndnoteTextChar"/>
    <w:uiPriority w:val="99"/>
    <w:semiHidden/>
    <w:unhideWhenUsed/>
    <w:rsid w:val="00DF0880"/>
    <w:pPr>
      <w:widowControl w:val="0"/>
      <w:snapToGrid w:val="0"/>
      <w:spacing w:after="0" w:line="240" w:lineRule="auto"/>
    </w:pPr>
    <w:rPr>
      <w:rFonts w:eastAsiaTheme="minorEastAsia"/>
      <w:kern w:val="2"/>
      <w:sz w:val="21"/>
      <w:szCs w:val="24"/>
      <w:lang w:val="en-US" w:eastAsia="zh-CN"/>
      <w14:ligatures w14:val="standardContextual"/>
    </w:rPr>
  </w:style>
  <w:style w:type="character" w:customStyle="1" w:styleId="EndnoteTextChar">
    <w:name w:val="Endnote Text Char"/>
    <w:basedOn w:val="DefaultParagraphFont"/>
    <w:link w:val="EndnoteText"/>
    <w:uiPriority w:val="99"/>
    <w:semiHidden/>
    <w:rsid w:val="00DF0880"/>
    <w:rPr>
      <w:rFonts w:eastAsiaTheme="minorEastAsia"/>
      <w:kern w:val="2"/>
      <w:sz w:val="21"/>
      <w:szCs w:val="24"/>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511</Words>
  <Characters>2962</Characters>
  <Application>Microsoft Office Word</Application>
  <DocSecurity>0</DocSecurity>
  <Lines>53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c:creator>
  <cp:keywords/>
  <dc:description/>
  <cp:lastModifiedBy>CE</cp:lastModifiedBy>
  <cp:revision>1</cp:revision>
  <dcterms:created xsi:type="dcterms:W3CDTF">2025-12-14T06:42:00Z</dcterms:created>
  <dcterms:modified xsi:type="dcterms:W3CDTF">2025-12-14T06:43:00Z</dcterms:modified>
</cp:coreProperties>
</file>