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F73AF" w14:textId="77777777" w:rsidR="00AE1C71" w:rsidRDefault="00AE1C71" w:rsidP="00AE1C71">
      <w:pPr>
        <w:spacing w:line="360" w:lineRule="auto"/>
        <w:rPr>
          <w:rFonts w:ascii="Times New Roman" w:hAnsi="Times New Roman" w:cs="Times New Roman"/>
          <w:b/>
          <w:sz w:val="28"/>
        </w:rPr>
      </w:pPr>
      <w:r>
        <w:rPr>
          <w:rFonts w:ascii="Times New Roman" w:hAnsi="Times New Roman" w:cs="Times New Roman"/>
          <w:b/>
          <w:sz w:val="28"/>
        </w:rPr>
        <w:t>Supplementary Material 1</w:t>
      </w:r>
    </w:p>
    <w:p w14:paraId="07977F20" w14:textId="7C992FE6" w:rsidR="00B31A29" w:rsidRDefault="00000000" w:rsidP="00AE1C71">
      <w:pPr>
        <w:spacing w:line="360" w:lineRule="auto"/>
        <w:rPr>
          <w:rFonts w:ascii="Times New Roman" w:hAnsi="Times New Roman" w:cs="Times New Roman"/>
          <w:b/>
          <w:sz w:val="28"/>
        </w:rPr>
      </w:pPr>
      <w:r>
        <w:rPr>
          <w:rFonts w:ascii="Times New Roman" w:hAnsi="Times New Roman" w:cs="Times New Roman"/>
          <w:b/>
          <w:sz w:val="28"/>
        </w:rPr>
        <w:t>Estimation Methodology: Direct and Indirect Emissions</w:t>
      </w:r>
    </w:p>
    <w:p w14:paraId="59F4913E" w14:textId="3BD94189" w:rsidR="00B31A29" w:rsidRDefault="00000000" w:rsidP="00B31A29">
      <w:pPr>
        <w:rPr>
          <w:rFonts w:ascii="Times New Roman" w:hAnsi="Times New Roman" w:cs="Times New Roman"/>
          <w:b/>
          <w:bCs/>
          <w:sz w:val="24"/>
          <w:szCs w:val="24"/>
        </w:rPr>
      </w:pPr>
      <w:r>
        <w:rPr>
          <w:rFonts w:ascii="Times New Roman" w:hAnsi="Times New Roman" w:cs="Times New Roman"/>
          <w:sz w:val="24"/>
        </w:rPr>
        <w:t>Figure A1 illustrates the methodology behind estimating the direct and indirect emissions of Turkish households using HBS and EXIOBASE.</w:t>
      </w:r>
    </w:p>
    <w:p w14:paraId="1674CE38" w14:textId="77777777" w:rsidR="00B31A29" w:rsidRDefault="00B31A29" w:rsidP="00B31A29">
      <w:pPr>
        <w:rPr>
          <w:rFonts w:ascii="Times New Roman" w:hAnsi="Times New Roman" w:cs="Times New Roman"/>
          <w:b/>
          <w:bCs/>
          <w:sz w:val="24"/>
          <w:szCs w:val="24"/>
        </w:rPr>
      </w:pPr>
    </w:p>
    <w:p w14:paraId="1A17F3E4" w14:textId="5348D9AA" w:rsidR="00B31A29" w:rsidRPr="00B31A29" w:rsidRDefault="00000000" w:rsidP="00B31A29">
      <w:pPr>
        <w:rPr>
          <w:rFonts w:ascii="Times New Roman" w:hAnsi="Times New Roman" w:cs="Times New Roman"/>
          <w:b/>
          <w:bCs/>
          <w:sz w:val="24"/>
          <w:szCs w:val="24"/>
        </w:rPr>
      </w:pPr>
      <w:r w:rsidRPr="000E7F59">
        <w:rPr>
          <w:rFonts w:ascii="Times New Roman" w:hAnsi="Times New Roman" w:cs="Times New Roman"/>
          <w:b/>
          <w:bCs/>
          <w:sz w:val="24"/>
          <w:szCs w:val="24"/>
        </w:rPr>
        <w:t xml:space="preserve">Figure </w:t>
      </w:r>
      <w:r w:rsidR="005120E2" w:rsidRPr="000E7F59">
        <w:rPr>
          <w:rFonts w:ascii="Times New Roman" w:hAnsi="Times New Roman" w:cs="Times New Roman"/>
          <w:b/>
          <w:bCs/>
          <w:sz w:val="24"/>
          <w:szCs w:val="24"/>
        </w:rPr>
        <w:t>A1</w:t>
      </w:r>
      <w:r w:rsidRPr="000E7F59">
        <w:rPr>
          <w:rFonts w:ascii="Times New Roman" w:hAnsi="Times New Roman" w:cs="Times New Roman"/>
          <w:b/>
          <w:bCs/>
          <w:sz w:val="24"/>
          <w:szCs w:val="24"/>
        </w:rPr>
        <w:t>. Household expenditures and CO2 direct and indirect emissions</w:t>
      </w:r>
      <w:r w:rsidRPr="00602A9E">
        <w:rPr>
          <w:rFonts w:ascii="Times New Roman" w:hAnsi="Times New Roman" w:cs="Times New Roman"/>
          <w:b/>
          <w:bCs/>
          <w:sz w:val="24"/>
          <w:szCs w:val="24"/>
        </w:rPr>
        <w:t xml:space="preserve"> </w:t>
      </w:r>
    </w:p>
    <w:p w14:paraId="23F4387D" w14:textId="77777777" w:rsidR="00B31A29" w:rsidRDefault="00000000" w:rsidP="009778C6">
      <w:pPr>
        <w:spacing w:line="360" w:lineRule="auto"/>
        <w:rPr>
          <w:rFonts w:ascii="Times New Roman" w:hAnsi="Times New Roman" w:cs="Times New Roman"/>
          <w:b/>
          <w:sz w:val="28"/>
        </w:rPr>
      </w:pPr>
      <w:r w:rsidRPr="00602A9E">
        <w:rPr>
          <w:rFonts w:ascii="Times New Roman" w:hAnsi="Times New Roman" w:cs="Times New Roman"/>
          <w:noProof/>
          <w:sz w:val="24"/>
          <w:szCs w:val="24"/>
        </w:rPr>
        <w:drawing>
          <wp:inline distT="0" distB="0" distL="0" distR="0" wp14:anchorId="3B2E058D" wp14:editId="6F97CC95">
            <wp:extent cx="5768340" cy="5251450"/>
            <wp:effectExtent l="0" t="0" r="381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467720" name="Picture 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768340" cy="5251450"/>
                    </a:xfrm>
                    <a:prstGeom prst="rect">
                      <a:avLst/>
                    </a:prstGeom>
                    <a:noFill/>
                    <a:ln>
                      <a:noFill/>
                    </a:ln>
                  </pic:spPr>
                </pic:pic>
              </a:graphicData>
            </a:graphic>
          </wp:inline>
        </w:drawing>
      </w:r>
    </w:p>
    <w:p w14:paraId="71AC5120" w14:textId="77777777" w:rsidR="00B31A29" w:rsidRDefault="00B31A29" w:rsidP="009778C6">
      <w:pPr>
        <w:spacing w:line="360" w:lineRule="auto"/>
        <w:rPr>
          <w:rFonts w:ascii="Times New Roman" w:hAnsi="Times New Roman" w:cs="Times New Roman"/>
          <w:b/>
          <w:sz w:val="28"/>
        </w:rPr>
      </w:pPr>
    </w:p>
    <w:p w14:paraId="7AB11A1A" w14:textId="77777777" w:rsidR="00B31A29" w:rsidRDefault="00B31A29" w:rsidP="009778C6">
      <w:pPr>
        <w:spacing w:line="360" w:lineRule="auto"/>
        <w:rPr>
          <w:rFonts w:ascii="Times New Roman" w:hAnsi="Times New Roman" w:cs="Times New Roman"/>
          <w:b/>
          <w:sz w:val="28"/>
        </w:rPr>
      </w:pPr>
    </w:p>
    <w:p w14:paraId="774363C8" w14:textId="77777777" w:rsidR="00DC29B0" w:rsidRDefault="00DC29B0" w:rsidP="009778C6">
      <w:pPr>
        <w:spacing w:line="360" w:lineRule="auto"/>
        <w:rPr>
          <w:rFonts w:ascii="Times New Roman" w:hAnsi="Times New Roman" w:cs="Times New Roman"/>
          <w:b/>
          <w:sz w:val="28"/>
        </w:rPr>
        <w:sectPr w:rsidR="00DC29B0" w:rsidSect="00DC29B0">
          <w:pgSz w:w="12240" w:h="15840"/>
          <w:pgMar w:top="1440" w:right="1440" w:bottom="1440" w:left="1440" w:header="720" w:footer="720" w:gutter="0"/>
          <w:cols w:space="720"/>
          <w:docGrid w:linePitch="360"/>
        </w:sectPr>
      </w:pPr>
    </w:p>
    <w:p w14:paraId="6F57F819" w14:textId="2CD3297F" w:rsidR="00DC29B0" w:rsidRDefault="00000000" w:rsidP="00DC29B0">
      <w:pPr>
        <w:spacing w:line="360" w:lineRule="auto"/>
        <w:rPr>
          <w:rFonts w:ascii="Times New Roman" w:hAnsi="Times New Roman" w:cs="Times New Roman"/>
          <w:b/>
          <w:sz w:val="28"/>
        </w:rPr>
      </w:pPr>
      <w:r>
        <w:rPr>
          <w:rFonts w:ascii="Times New Roman" w:hAnsi="Times New Roman" w:cs="Times New Roman"/>
          <w:b/>
          <w:sz w:val="28"/>
        </w:rPr>
        <w:lastRenderedPageBreak/>
        <w:t xml:space="preserve">Table </w:t>
      </w:r>
      <w:r w:rsidR="00AE1C71">
        <w:rPr>
          <w:rFonts w:ascii="Times New Roman" w:hAnsi="Times New Roman" w:cs="Times New Roman"/>
          <w:b/>
          <w:sz w:val="28"/>
        </w:rPr>
        <w:t>A</w:t>
      </w:r>
      <w:r>
        <w:rPr>
          <w:rFonts w:ascii="Times New Roman" w:hAnsi="Times New Roman" w:cs="Times New Roman"/>
          <w:b/>
          <w:sz w:val="28"/>
        </w:rPr>
        <w:t xml:space="preserve">1. </w:t>
      </w:r>
      <w:r w:rsidRPr="00DC29B0">
        <w:rPr>
          <w:rFonts w:ascii="Times New Roman" w:hAnsi="Times New Roman" w:cs="Times New Roman"/>
          <w:b/>
          <w:sz w:val="28"/>
        </w:rPr>
        <w:t>Income</w:t>
      </w:r>
      <w:r>
        <w:rPr>
          <w:rFonts w:ascii="Times New Roman" w:hAnsi="Times New Roman" w:cs="Times New Roman"/>
          <w:b/>
          <w:sz w:val="28"/>
        </w:rPr>
        <w:t xml:space="preserve"> and </w:t>
      </w:r>
      <w:r w:rsidR="009F2619">
        <w:rPr>
          <w:rFonts w:ascii="Times New Roman" w:hAnsi="Times New Roman" w:cs="Times New Roman"/>
          <w:b/>
          <w:sz w:val="28"/>
        </w:rPr>
        <w:t xml:space="preserve">Expenditure </w:t>
      </w:r>
      <w:r w:rsidRPr="00DC29B0">
        <w:rPr>
          <w:rFonts w:ascii="Times New Roman" w:hAnsi="Times New Roman" w:cs="Times New Roman"/>
          <w:b/>
          <w:sz w:val="28"/>
        </w:rPr>
        <w:t>Patterns of Households, 2019</w:t>
      </w:r>
    </w:p>
    <w:p w14:paraId="1CD5CE72" w14:textId="77777777" w:rsidR="00DC29B0" w:rsidRDefault="00000000" w:rsidP="00DC29B0">
      <w:pPr>
        <w:spacing w:line="360" w:lineRule="auto"/>
        <w:rPr>
          <w:rFonts w:ascii="Times New Roman" w:hAnsi="Times New Roman" w:cs="Times New Roman"/>
          <w:b/>
          <w:sz w:val="28"/>
        </w:rPr>
      </w:pPr>
      <w:r w:rsidRPr="00DC29B0">
        <w:rPr>
          <w:noProof/>
        </w:rPr>
        <w:drawing>
          <wp:inline distT="0" distB="0" distL="0" distR="0" wp14:anchorId="2D907295" wp14:editId="19887AC0">
            <wp:extent cx="6788785" cy="50364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88511" name="Picture 1"/>
                    <pic:cNvPicPr>
                      <a:picLocks noChangeAspect="1" noChangeArrowheads="1"/>
                    </pic:cNvPicPr>
                  </pic:nvPicPr>
                  <pic:blipFill>
                    <a:blip r:embed="rId6">
                      <a:extLst>
                        <a:ext uri="{28A0092B-C50C-407E-A947-70E740481C1C}">
                          <a14:useLocalDpi xmlns:a14="http://schemas.microsoft.com/office/drawing/2010/main" val="0"/>
                        </a:ext>
                      </a:extLst>
                    </a:blip>
                    <a:srcRect t="2363"/>
                    <a:stretch>
                      <a:fillRect/>
                    </a:stretch>
                  </pic:blipFill>
                  <pic:spPr bwMode="auto">
                    <a:xfrm>
                      <a:off x="0" y="0"/>
                      <a:ext cx="6805513" cy="5048881"/>
                    </a:xfrm>
                    <a:prstGeom prst="rect">
                      <a:avLst/>
                    </a:prstGeom>
                    <a:noFill/>
                    <a:ln>
                      <a:noFill/>
                    </a:ln>
                    <a:extLst>
                      <a:ext uri="{53640926-AAD7-44D8-BBD7-CCE9431645EC}">
                        <a14:shadowObscured xmlns:a14="http://schemas.microsoft.com/office/drawing/2010/main"/>
                      </a:ext>
                    </a:extLst>
                  </pic:spPr>
                </pic:pic>
              </a:graphicData>
            </a:graphic>
          </wp:inline>
        </w:drawing>
      </w:r>
    </w:p>
    <w:p w14:paraId="515DAC87" w14:textId="77777777" w:rsidR="00DC29B0" w:rsidRDefault="00DC29B0" w:rsidP="00DC29B0">
      <w:pPr>
        <w:spacing w:line="360" w:lineRule="auto"/>
        <w:rPr>
          <w:rFonts w:ascii="Times New Roman" w:hAnsi="Times New Roman" w:cs="Times New Roman"/>
          <w:b/>
          <w:sz w:val="28"/>
        </w:rPr>
      </w:pPr>
    </w:p>
    <w:p w14:paraId="11B08AF7" w14:textId="77777777" w:rsidR="00DC29B0" w:rsidRDefault="00DC29B0" w:rsidP="009778C6">
      <w:pPr>
        <w:spacing w:line="360" w:lineRule="auto"/>
        <w:rPr>
          <w:rFonts w:ascii="Times New Roman" w:hAnsi="Times New Roman" w:cs="Times New Roman"/>
          <w:b/>
          <w:sz w:val="28"/>
        </w:rPr>
        <w:sectPr w:rsidR="00DC29B0" w:rsidSect="00DC29B0">
          <w:pgSz w:w="15840" w:h="12240" w:orient="landscape"/>
          <w:pgMar w:top="1440" w:right="1440" w:bottom="1440" w:left="1440" w:header="720" w:footer="720" w:gutter="0"/>
          <w:cols w:space="720"/>
          <w:docGrid w:linePitch="360"/>
        </w:sectPr>
      </w:pPr>
    </w:p>
    <w:p w14:paraId="3CCFE9FE" w14:textId="77777777" w:rsidR="00E73F81" w:rsidRPr="009778C6" w:rsidRDefault="00000000" w:rsidP="009778C6">
      <w:pPr>
        <w:spacing w:line="360" w:lineRule="auto"/>
        <w:rPr>
          <w:rFonts w:ascii="Times New Roman" w:hAnsi="Times New Roman" w:cs="Times New Roman"/>
          <w:b/>
          <w:sz w:val="28"/>
        </w:rPr>
      </w:pPr>
      <w:r>
        <w:rPr>
          <w:rFonts w:ascii="Times New Roman" w:hAnsi="Times New Roman" w:cs="Times New Roman"/>
          <w:b/>
          <w:sz w:val="28"/>
        </w:rPr>
        <w:lastRenderedPageBreak/>
        <w:t>Data Preparation for the Estimation of Indirect Emissions</w:t>
      </w:r>
    </w:p>
    <w:p w14:paraId="0F507AF6" w14:textId="77777777" w:rsidR="00CC2673" w:rsidRPr="009778C6" w:rsidRDefault="00000000" w:rsidP="009778C6">
      <w:pPr>
        <w:spacing w:line="360" w:lineRule="auto"/>
        <w:rPr>
          <w:rFonts w:ascii="Times New Roman" w:hAnsi="Times New Roman" w:cs="Times New Roman"/>
          <w:b/>
          <w:sz w:val="24"/>
          <w:szCs w:val="24"/>
        </w:rPr>
      </w:pPr>
      <w:r w:rsidRPr="009778C6">
        <w:rPr>
          <w:rFonts w:ascii="Times New Roman" w:hAnsi="Times New Roman" w:cs="Times New Roman"/>
          <w:b/>
          <w:sz w:val="24"/>
          <w:szCs w:val="24"/>
        </w:rPr>
        <w:t>EXIOBASE3</w:t>
      </w:r>
    </w:p>
    <w:p w14:paraId="1D89E000" w14:textId="77777777" w:rsidR="009778C6" w:rsidRPr="009778C6" w:rsidRDefault="00000000" w:rsidP="009778C6">
      <w:pPr>
        <w:spacing w:line="360" w:lineRule="auto"/>
        <w:jc w:val="both"/>
        <w:rPr>
          <w:rFonts w:ascii="Times New Roman" w:hAnsi="Times New Roman" w:cs="Times New Roman"/>
          <w:sz w:val="24"/>
        </w:rPr>
      </w:pPr>
      <w:r w:rsidRPr="009778C6">
        <w:rPr>
          <w:rFonts w:ascii="Times New Roman" w:hAnsi="Times New Roman" w:cs="Times New Roman"/>
          <w:sz w:val="24"/>
        </w:rPr>
        <w:t>EXIOBASE (Stadler et al., 2021) stands as a publicly available Environmentally Extended Multi-Regional Input-Output Dataset (EE-MRIO) developed by the earth scientists with the specific purpose of conducting environmental analyses. It incorporates a wide range of metrics quantifying the environmental pressure stemming from 200 different products. Effectively, we utilize the readily available emission coefficients of these 200 products reported within EXIOBASE v3.8.2. The emission coefficients represent the kgCO2-equivalent of CO</w:t>
      </w:r>
      <w:r w:rsidRPr="009778C6">
        <w:rPr>
          <w:rFonts w:ascii="Times New Roman" w:hAnsi="Times New Roman" w:cs="Times New Roman"/>
          <w:sz w:val="24"/>
          <w:vertAlign w:val="subscript"/>
        </w:rPr>
        <w:t>2</w:t>
      </w:r>
      <w:r w:rsidRPr="009778C6">
        <w:rPr>
          <w:rFonts w:ascii="Times New Roman" w:hAnsi="Times New Roman" w:cs="Times New Roman"/>
          <w:sz w:val="24"/>
        </w:rPr>
        <w:t>, CH</w:t>
      </w:r>
      <w:r w:rsidRPr="009778C6">
        <w:rPr>
          <w:rFonts w:ascii="Times New Roman" w:hAnsi="Times New Roman" w:cs="Times New Roman"/>
          <w:sz w:val="24"/>
          <w:vertAlign w:val="subscript"/>
        </w:rPr>
        <w:t>4</w:t>
      </w:r>
      <w:r w:rsidRPr="009778C6">
        <w:rPr>
          <w:rFonts w:ascii="Times New Roman" w:hAnsi="Times New Roman" w:cs="Times New Roman"/>
          <w:sz w:val="24"/>
        </w:rPr>
        <w:t>, N</w:t>
      </w:r>
      <w:r w:rsidRPr="009778C6">
        <w:rPr>
          <w:rFonts w:ascii="Times New Roman" w:hAnsi="Times New Roman" w:cs="Times New Roman"/>
          <w:sz w:val="24"/>
          <w:vertAlign w:val="subscript"/>
        </w:rPr>
        <w:t>2</w:t>
      </w:r>
      <w:r w:rsidRPr="009778C6">
        <w:rPr>
          <w:rFonts w:ascii="Times New Roman" w:hAnsi="Times New Roman" w:cs="Times New Roman"/>
          <w:sz w:val="24"/>
        </w:rPr>
        <w:t>O, and SF</w:t>
      </w:r>
      <w:r w:rsidRPr="009778C6">
        <w:rPr>
          <w:rFonts w:ascii="Times New Roman" w:hAnsi="Times New Roman" w:cs="Times New Roman"/>
          <w:sz w:val="24"/>
          <w:vertAlign w:val="subscript"/>
        </w:rPr>
        <w:t>6</w:t>
      </w:r>
      <w:r w:rsidRPr="009778C6">
        <w:rPr>
          <w:rFonts w:ascii="Times New Roman" w:hAnsi="Times New Roman" w:cs="Times New Roman"/>
          <w:sz w:val="24"/>
        </w:rPr>
        <w:t xml:space="preserve"> emitted through one million euro</w:t>
      </w:r>
      <w:r>
        <w:rPr>
          <w:rFonts w:ascii="Times New Roman" w:hAnsi="Times New Roman" w:cs="Times New Roman"/>
          <w:sz w:val="24"/>
        </w:rPr>
        <w:t>s</w:t>
      </w:r>
      <w:r w:rsidRPr="009778C6">
        <w:rPr>
          <w:rFonts w:ascii="Times New Roman" w:hAnsi="Times New Roman" w:cs="Times New Roman"/>
          <w:sz w:val="24"/>
        </w:rPr>
        <w:t xml:space="preserve"> expenditure on any given product. This mix of various emission factors is decided using Global Warming Potential 100 metric (Solomon et al., 2007). </w:t>
      </w:r>
      <w:r w:rsidRPr="009778C6">
        <w:rPr>
          <w:rFonts w:ascii="Times New Roman" w:hAnsi="Times New Roman" w:cs="Times New Roman"/>
        </w:rPr>
        <w:t xml:space="preserve">To determine the kgCO2-equivalent emitted per TL of expenditure, we divide the emission coefficients by (1,000,000 * 6.37), where 6.37 is the effective average EUR/TRY exchange rate in 2019 as reported by the Central Bank of the Republic of Turkey. </w:t>
      </w:r>
      <w:r w:rsidRPr="009778C6">
        <w:rPr>
          <w:rFonts w:ascii="Times New Roman" w:hAnsi="Times New Roman" w:cs="Times New Roman"/>
          <w:sz w:val="24"/>
        </w:rPr>
        <w:t xml:space="preserve">Due to variations in transportation expenses, input-output relationships, and production methods, emission coefficients differ between countries and across years. The process of deriving the emission coefficients using the EE-MRIO approach is detailed in other sources (such as Peters and Hertwich (2004) or Stadler (2021)). </w:t>
      </w:r>
    </w:p>
    <w:p w14:paraId="4D630F0E" w14:textId="77777777" w:rsidR="00CC2673" w:rsidRPr="009778C6" w:rsidRDefault="00000000" w:rsidP="009778C6">
      <w:pPr>
        <w:spacing w:line="360" w:lineRule="auto"/>
        <w:jc w:val="both"/>
        <w:rPr>
          <w:rFonts w:ascii="Times New Roman" w:hAnsi="Times New Roman" w:cs="Times New Roman"/>
          <w:sz w:val="24"/>
        </w:rPr>
      </w:pPr>
      <w:r w:rsidRPr="009778C6">
        <w:rPr>
          <w:rFonts w:ascii="Times New Roman" w:hAnsi="Times New Roman" w:cs="Times New Roman"/>
          <w:sz w:val="24"/>
        </w:rPr>
        <w:t xml:space="preserve">EXIOBASE3 additionally reports Supply-Use Tables (SUTs) based on national accounts. SUTs contain information on the country-level annual expenditure in basic prices on 200 products as well trade, transport and tax margins of these products. This information is helpful to convert the survey expenditure (which is in purchaser prices) into basic prices and to correct for survey under/over reporting. </w:t>
      </w:r>
    </w:p>
    <w:p w14:paraId="6C45689F" w14:textId="77777777" w:rsidR="00634777" w:rsidRPr="009778C6" w:rsidRDefault="00000000" w:rsidP="009778C6">
      <w:pPr>
        <w:spacing w:line="360" w:lineRule="auto"/>
        <w:rPr>
          <w:rFonts w:ascii="Times New Roman" w:hAnsi="Times New Roman" w:cs="Times New Roman"/>
          <w:b/>
          <w:sz w:val="24"/>
          <w:szCs w:val="24"/>
        </w:rPr>
      </w:pPr>
      <w:r w:rsidRPr="009778C6">
        <w:rPr>
          <w:rFonts w:ascii="Times New Roman" w:hAnsi="Times New Roman" w:cs="Times New Roman"/>
          <w:b/>
          <w:sz w:val="24"/>
          <w:szCs w:val="24"/>
        </w:rPr>
        <w:t>Harmonization of HBSs and EXIOBASE3</w:t>
      </w:r>
    </w:p>
    <w:p w14:paraId="3DCB821D" w14:textId="77777777" w:rsidR="000E1020" w:rsidRPr="009778C6" w:rsidRDefault="00000000" w:rsidP="009778C6">
      <w:pPr>
        <w:spacing w:line="360" w:lineRule="auto"/>
        <w:jc w:val="both"/>
        <w:rPr>
          <w:rFonts w:ascii="Times New Roman" w:hAnsi="Times New Roman" w:cs="Times New Roman"/>
          <w:sz w:val="24"/>
        </w:rPr>
      </w:pPr>
      <w:r w:rsidRPr="009778C6">
        <w:rPr>
          <w:rFonts w:ascii="Times New Roman" w:hAnsi="Times New Roman" w:cs="Times New Roman"/>
          <w:sz w:val="24"/>
        </w:rPr>
        <w:t xml:space="preserve">Definitions of COICOP expenditure categories differ from those in EXIOBASE. Thus, a rule is needed to transform the expenditures in HBS categories into expenditures in EXIOBASE products. </w:t>
      </w:r>
      <w:r w:rsidR="009778C6">
        <w:rPr>
          <w:rFonts w:ascii="Times New Roman" w:hAnsi="Times New Roman" w:cs="Times New Roman"/>
          <w:sz w:val="24"/>
        </w:rPr>
        <w:t xml:space="preserve">As mentioned in the main text, </w:t>
      </w:r>
      <w:r w:rsidRPr="009778C6">
        <w:rPr>
          <w:rFonts w:ascii="Times New Roman" w:hAnsi="Times New Roman" w:cs="Times New Roman"/>
          <w:sz w:val="24"/>
        </w:rPr>
        <w:t xml:space="preserve">Ivanova and Wood (2020) aggregates HBS expenditures into 63 COICOP categories (a combination of two, three- and four-digit categories) and constructs a concordance table for European countries to achieve this conversion, i.e., the allocation of 63 COICOP categories into 200 EXIOBASE products. </w:t>
      </w:r>
    </w:p>
    <w:p w14:paraId="434B712B" w14:textId="77777777" w:rsidR="000E1020" w:rsidRPr="009778C6" w:rsidRDefault="00000000" w:rsidP="009778C6">
      <w:pPr>
        <w:spacing w:line="360" w:lineRule="auto"/>
        <w:jc w:val="both"/>
        <w:rPr>
          <w:rFonts w:ascii="Times New Roman" w:hAnsi="Times New Roman" w:cs="Times New Roman"/>
          <w:sz w:val="24"/>
        </w:rPr>
      </w:pPr>
      <w:r w:rsidRPr="009778C6">
        <w:rPr>
          <w:rFonts w:ascii="Times New Roman" w:hAnsi="Times New Roman" w:cs="Times New Roman"/>
          <w:sz w:val="24"/>
        </w:rPr>
        <w:lastRenderedPageBreak/>
        <w:t>We follow the concordance table of Ivanova and Wood (2020) but implement some modifications in order to ensure that this conversion remains consistent with the expenditure patterns of households in Turkey. These modifications are as follows.</w:t>
      </w:r>
    </w:p>
    <w:p w14:paraId="40416845" w14:textId="77777777" w:rsidR="000E1020" w:rsidRPr="009778C6" w:rsidRDefault="00000000" w:rsidP="009778C6">
      <w:pPr>
        <w:spacing w:line="360" w:lineRule="auto"/>
        <w:jc w:val="both"/>
        <w:rPr>
          <w:rFonts w:ascii="Times New Roman" w:hAnsi="Times New Roman" w:cs="Times New Roman"/>
          <w:sz w:val="24"/>
        </w:rPr>
      </w:pPr>
      <w:r w:rsidRPr="009778C6">
        <w:rPr>
          <w:rFonts w:ascii="Times New Roman" w:hAnsi="Times New Roman" w:cs="Times New Roman"/>
          <w:b/>
          <w:sz w:val="24"/>
        </w:rPr>
        <w:t>Electricity.</w:t>
      </w:r>
      <w:r w:rsidRPr="009778C6">
        <w:rPr>
          <w:rFonts w:ascii="Times New Roman" w:hAnsi="Times New Roman" w:cs="Times New Roman"/>
          <w:sz w:val="24"/>
        </w:rPr>
        <w:t xml:space="preserve"> Whereas HBSs do not report the expenditure on electricity by source, emission coefficients of electricity expenditures differ depending on the source of electricity in EXIOBASE. When assigning four-digit HBS category “Electricity” into different EXIOBASE products, Ivanova and Wood (2020) rely on EU-wide averages, which are inconsistent with the expenditure patterns of Turkish households. For example, there is no electricity via nuclear energy in Turkey but Ivanova and Wood (2020) assigns 40% of total electricity expenditure to EXIOBASE product “Electricity by Nuclear”. The Energy Market Regulatory Authority in Turkey reports annual electricity production volumes by source (EPDK, 2020). We modify the concordance table accordingly.</w:t>
      </w:r>
    </w:p>
    <w:p w14:paraId="2849FD41" w14:textId="77777777" w:rsidR="000E1020" w:rsidRPr="009778C6" w:rsidRDefault="00000000" w:rsidP="009778C6">
      <w:pPr>
        <w:spacing w:line="360" w:lineRule="auto"/>
        <w:jc w:val="both"/>
        <w:rPr>
          <w:rFonts w:ascii="Times New Roman" w:hAnsi="Times New Roman" w:cs="Times New Roman"/>
          <w:sz w:val="24"/>
        </w:rPr>
      </w:pPr>
      <w:r w:rsidRPr="009778C6">
        <w:rPr>
          <w:rFonts w:ascii="Times New Roman" w:hAnsi="Times New Roman" w:cs="Times New Roman"/>
          <w:b/>
          <w:sz w:val="24"/>
        </w:rPr>
        <w:t>Fuels and Lubricants for Personal Transport Equipment.</w:t>
      </w:r>
      <w:r w:rsidRPr="009778C6">
        <w:rPr>
          <w:rFonts w:ascii="Times New Roman" w:hAnsi="Times New Roman" w:cs="Times New Roman"/>
          <w:sz w:val="24"/>
        </w:rPr>
        <w:t xml:space="preserve"> Another important difference between the expenditure patterns of European and Turkish households is related to the type of fuel used in vehicles. Ivanova and Wood (2020) mainly allocates the four-digit HBS category “Fuels and Lubricants for Personal Transport Equipment” into EXIOBASE products “Motor Gasoline” and “Diesel”. In Turkey, “Liquefied Petroleum Gas (LPG)” is also frequently used as a fuel for vehicles. Fortunately, five-digit COICOP categories separately report expenditures on “Motor Gasoline”, “Diesel” and “Others” for personal transport equipment. We assume that the expenditure on “Others” represent LPG expenditures. Thus, different than Ivanova and Wood (2020) we directly assign the expenditures on these five-digit HBS categories to the associated EXIOBASE products.</w:t>
      </w:r>
    </w:p>
    <w:p w14:paraId="39856674" w14:textId="77777777" w:rsidR="000E1020" w:rsidRPr="009778C6" w:rsidRDefault="00000000" w:rsidP="009778C6">
      <w:pPr>
        <w:spacing w:line="360" w:lineRule="auto"/>
        <w:jc w:val="both"/>
        <w:rPr>
          <w:rFonts w:ascii="Times New Roman" w:hAnsi="Times New Roman" w:cs="Times New Roman"/>
          <w:sz w:val="24"/>
        </w:rPr>
      </w:pPr>
      <w:r w:rsidRPr="009778C6">
        <w:rPr>
          <w:rFonts w:ascii="Times New Roman" w:hAnsi="Times New Roman" w:cs="Times New Roman"/>
          <w:b/>
          <w:sz w:val="24"/>
        </w:rPr>
        <w:t>Solid Fuels.</w:t>
      </w:r>
      <w:r w:rsidRPr="009778C6">
        <w:rPr>
          <w:rFonts w:ascii="Times New Roman" w:hAnsi="Times New Roman" w:cs="Times New Roman"/>
          <w:sz w:val="24"/>
        </w:rPr>
        <w:t xml:space="preserve"> The majority of the solid fuel (four-digit) expenditure category is allocated into the EXIOBASE product “Wood” in the concordance table of Ivanova and Wood (2020). In Turkey, however, “Coal” is also a popular solid fuel. Once again, five-digit HBS categories distinguish between total solid fuel expenditure into “Coal” and “Other Solid Fuels”. We assume that the latter represents the expenditure on wood products and assign it directly into respective EXIOBASE product. The five-digit HBS category “Coal” is assigned into different types of coal products in EXIOBASE (e.g., Bituminous Coal, Lignite Coal etc.) consistent with the aggregates reported in national accounts.</w:t>
      </w:r>
    </w:p>
    <w:p w14:paraId="4DB840B0" w14:textId="77777777" w:rsidR="00AF00F8" w:rsidRPr="009778C6" w:rsidRDefault="00000000" w:rsidP="009778C6">
      <w:pPr>
        <w:spacing w:line="360" w:lineRule="auto"/>
        <w:jc w:val="both"/>
        <w:rPr>
          <w:rFonts w:ascii="Times New Roman" w:hAnsi="Times New Roman" w:cs="Times New Roman"/>
          <w:sz w:val="24"/>
        </w:rPr>
      </w:pPr>
      <w:r w:rsidRPr="009778C6">
        <w:rPr>
          <w:rFonts w:ascii="Times New Roman" w:hAnsi="Times New Roman" w:cs="Times New Roman"/>
          <w:sz w:val="24"/>
        </w:rPr>
        <w:lastRenderedPageBreak/>
        <w:t xml:space="preserve">As a result of the modifications, we employ 67 COICOP categories that </w:t>
      </w:r>
      <w:r w:rsidR="006C726A" w:rsidRPr="009778C6">
        <w:rPr>
          <w:rFonts w:ascii="Times New Roman" w:hAnsi="Times New Roman" w:cs="Times New Roman"/>
          <w:sz w:val="24"/>
        </w:rPr>
        <w:t>that adds up to total</w:t>
      </w:r>
      <w:r w:rsidRPr="009778C6">
        <w:rPr>
          <w:rFonts w:ascii="Times New Roman" w:hAnsi="Times New Roman" w:cs="Times New Roman"/>
          <w:sz w:val="24"/>
        </w:rPr>
        <w:t xml:space="preserve"> expenditures for the purposes of conversion of HBS expenditures into EXIOBASE products.  The 67 categories employed in our analyses are a combination of two-, three, and four- and five-digit categories, and recovered by aggregating the f</w:t>
      </w:r>
      <w:r w:rsidR="00390FAC" w:rsidRPr="009778C6">
        <w:rPr>
          <w:rFonts w:ascii="Times New Roman" w:hAnsi="Times New Roman" w:cs="Times New Roman"/>
          <w:sz w:val="24"/>
        </w:rPr>
        <w:t xml:space="preserve">ive-digit categories in the </w:t>
      </w:r>
      <w:r w:rsidRPr="009778C6">
        <w:rPr>
          <w:rFonts w:ascii="Times New Roman" w:hAnsi="Times New Roman" w:cs="Times New Roman"/>
          <w:sz w:val="24"/>
        </w:rPr>
        <w:t>HBSs</w:t>
      </w:r>
      <w:r w:rsidR="00390FAC" w:rsidRPr="009778C6">
        <w:rPr>
          <w:rFonts w:ascii="Times New Roman" w:hAnsi="Times New Roman" w:cs="Times New Roman"/>
          <w:sz w:val="24"/>
        </w:rPr>
        <w:t xml:space="preserve"> of Turkiye</w:t>
      </w:r>
      <w:r w:rsidRPr="009778C6">
        <w:rPr>
          <w:rFonts w:ascii="Times New Roman" w:hAnsi="Times New Roman" w:cs="Times New Roman"/>
          <w:sz w:val="24"/>
        </w:rPr>
        <w:t xml:space="preserve">. </w:t>
      </w:r>
      <w:r w:rsidR="00AE619B">
        <w:rPr>
          <w:rFonts w:ascii="Times New Roman" w:hAnsi="Times New Roman" w:cs="Times New Roman"/>
          <w:sz w:val="24"/>
        </w:rPr>
        <w:t xml:space="preserve">The resulting concordance table can be found in Supplementary Material 2. </w:t>
      </w:r>
    </w:p>
    <w:p w14:paraId="309683E5" w14:textId="77777777" w:rsidR="002C6D50" w:rsidRPr="009778C6" w:rsidRDefault="00000000" w:rsidP="009778C6">
      <w:pPr>
        <w:spacing w:line="360" w:lineRule="auto"/>
        <w:jc w:val="both"/>
        <w:rPr>
          <w:rFonts w:ascii="Times New Roman" w:hAnsi="Times New Roman" w:cs="Times New Roman"/>
          <w:sz w:val="24"/>
        </w:rPr>
      </w:pPr>
      <w:r w:rsidRPr="009778C6">
        <w:rPr>
          <w:rFonts w:ascii="Times New Roman" w:hAnsi="Times New Roman" w:cs="Times New Roman"/>
          <w:sz w:val="24"/>
        </w:rPr>
        <w:t>A main concern related to self-reported expenditures is systematic under/over reporting. Hence, it is of crucial importance to ensure that the expenditures in the survey data are consistent with the expenditures in national accounts. For this purpose, utilizing the data on expenditure</w:t>
      </w:r>
      <w:r w:rsidR="006C726A" w:rsidRPr="009778C6">
        <w:rPr>
          <w:rFonts w:ascii="Times New Roman" w:hAnsi="Times New Roman" w:cs="Times New Roman"/>
          <w:sz w:val="24"/>
        </w:rPr>
        <w:t>s</w:t>
      </w:r>
      <w:r w:rsidRPr="009778C6">
        <w:rPr>
          <w:rFonts w:ascii="Times New Roman" w:hAnsi="Times New Roman" w:cs="Times New Roman"/>
          <w:sz w:val="24"/>
        </w:rPr>
        <w:t xml:space="preserve"> in basic prices, trade margin</w:t>
      </w:r>
      <w:r w:rsidR="00390FAC" w:rsidRPr="009778C6">
        <w:rPr>
          <w:rFonts w:ascii="Times New Roman" w:hAnsi="Times New Roman" w:cs="Times New Roman"/>
          <w:sz w:val="24"/>
        </w:rPr>
        <w:t>s</w:t>
      </w:r>
      <w:r w:rsidRPr="009778C6">
        <w:rPr>
          <w:rFonts w:ascii="Times New Roman" w:hAnsi="Times New Roman" w:cs="Times New Roman"/>
          <w:sz w:val="24"/>
        </w:rPr>
        <w:t>, transport margin</w:t>
      </w:r>
      <w:r w:rsidR="00390FAC" w:rsidRPr="009778C6">
        <w:rPr>
          <w:rFonts w:ascii="Times New Roman" w:hAnsi="Times New Roman" w:cs="Times New Roman"/>
          <w:sz w:val="24"/>
        </w:rPr>
        <w:t>s</w:t>
      </w:r>
      <w:r w:rsidRPr="009778C6">
        <w:rPr>
          <w:rFonts w:ascii="Times New Roman" w:hAnsi="Times New Roman" w:cs="Times New Roman"/>
          <w:sz w:val="24"/>
        </w:rPr>
        <w:t xml:space="preserve"> and tax margin</w:t>
      </w:r>
      <w:r w:rsidR="00390FAC" w:rsidRPr="009778C6">
        <w:rPr>
          <w:rFonts w:ascii="Times New Roman" w:hAnsi="Times New Roman" w:cs="Times New Roman"/>
          <w:sz w:val="24"/>
        </w:rPr>
        <w:t>s</w:t>
      </w:r>
      <w:r w:rsidRPr="009778C6">
        <w:rPr>
          <w:rFonts w:ascii="Times New Roman" w:hAnsi="Times New Roman" w:cs="Times New Roman"/>
          <w:sz w:val="24"/>
        </w:rPr>
        <w:t xml:space="preserve"> reported in SUTs (national accounts), we calculate the expenditures per capita in purchaser prices for 200 </w:t>
      </w:r>
      <w:r w:rsidR="00390FAC" w:rsidRPr="009778C6">
        <w:rPr>
          <w:rFonts w:ascii="Times New Roman" w:hAnsi="Times New Roman" w:cs="Times New Roman"/>
          <w:sz w:val="24"/>
        </w:rPr>
        <w:t xml:space="preserve">EXIOBASE </w:t>
      </w:r>
      <w:r w:rsidRPr="009778C6">
        <w:rPr>
          <w:rFonts w:ascii="Times New Roman" w:hAnsi="Times New Roman" w:cs="Times New Roman"/>
          <w:sz w:val="24"/>
        </w:rPr>
        <w:t xml:space="preserve">products. Subsequently, we scale survey expenditures of each household on each product proportionately to ensure that the expenditures per capita in our dataset is consistent with that of national accounts. This procedure generates an effective scaling factor of 1.61, i.e., total expenditures of households are multiplied on average by a factor of 1.61. </w:t>
      </w:r>
    </w:p>
    <w:p w14:paraId="194EA782" w14:textId="77777777" w:rsidR="002C6D50" w:rsidRPr="009778C6" w:rsidRDefault="00000000" w:rsidP="009778C6">
      <w:pPr>
        <w:spacing w:line="360" w:lineRule="auto"/>
        <w:jc w:val="both"/>
        <w:rPr>
          <w:rFonts w:ascii="Times New Roman" w:hAnsi="Times New Roman" w:cs="Times New Roman"/>
          <w:sz w:val="24"/>
        </w:rPr>
      </w:pPr>
      <w:r w:rsidRPr="009778C6">
        <w:rPr>
          <w:rFonts w:ascii="Times New Roman" w:hAnsi="Times New Roman" w:cs="Times New Roman"/>
          <w:sz w:val="24"/>
        </w:rPr>
        <w:t xml:space="preserve">Scaling expenditures carry the risk of manipulating the expenditure totals in a slightly arbitrary manner. We calculate that the correlation coefficient between scaled and unscaled total household expenditures is 0.58 which is rather low. Thus, we face a trade-off. If we do not scale expenditures at all, total amount of emissions would be </w:t>
      </w:r>
      <w:r w:rsidR="00390FAC" w:rsidRPr="009778C6">
        <w:rPr>
          <w:rFonts w:ascii="Times New Roman" w:hAnsi="Times New Roman" w:cs="Times New Roman"/>
          <w:sz w:val="24"/>
        </w:rPr>
        <w:t>inconsistent with the expenditure patterns in the national accounts</w:t>
      </w:r>
      <w:r w:rsidRPr="009778C6">
        <w:rPr>
          <w:rFonts w:ascii="Times New Roman" w:hAnsi="Times New Roman" w:cs="Times New Roman"/>
          <w:sz w:val="24"/>
        </w:rPr>
        <w:t>. If we scale the expenditures on all 200 products, our data</w:t>
      </w:r>
      <w:r w:rsidR="00390FAC" w:rsidRPr="009778C6">
        <w:rPr>
          <w:rFonts w:ascii="Times New Roman" w:hAnsi="Times New Roman" w:cs="Times New Roman"/>
          <w:sz w:val="24"/>
        </w:rPr>
        <w:t>set</w:t>
      </w:r>
      <w:r w:rsidRPr="009778C6">
        <w:rPr>
          <w:rFonts w:ascii="Times New Roman" w:hAnsi="Times New Roman" w:cs="Times New Roman"/>
          <w:sz w:val="24"/>
        </w:rPr>
        <w:t>’s capacity of analyzing the emissions across the income distribution (and possibly across other demographics) would be limited. Via visual inspection, we identify four categories (out of 200) that severely reduce the correlation between scaled and non-scaled total expenditures and exempt them from scaling. These categories are:</w:t>
      </w:r>
    </w:p>
    <w:p w14:paraId="797CEC5B" w14:textId="77777777" w:rsidR="002C6D50" w:rsidRPr="009778C6" w:rsidRDefault="00000000" w:rsidP="009778C6">
      <w:pPr>
        <w:pStyle w:val="ListParagraph"/>
        <w:numPr>
          <w:ilvl w:val="0"/>
          <w:numId w:val="1"/>
        </w:numPr>
        <w:spacing w:line="360" w:lineRule="auto"/>
        <w:jc w:val="both"/>
        <w:rPr>
          <w:rFonts w:ascii="Times New Roman" w:hAnsi="Times New Roman" w:cs="Times New Roman"/>
          <w:sz w:val="24"/>
        </w:rPr>
      </w:pPr>
      <w:r w:rsidRPr="009778C6">
        <w:rPr>
          <w:rFonts w:ascii="Times New Roman" w:hAnsi="Times New Roman" w:cs="Times New Roman"/>
          <w:sz w:val="24"/>
        </w:rPr>
        <w:t>heavy fuel oil,</w:t>
      </w:r>
    </w:p>
    <w:p w14:paraId="48845FDC" w14:textId="77777777" w:rsidR="002C6D50" w:rsidRPr="009778C6" w:rsidRDefault="00000000" w:rsidP="009778C6">
      <w:pPr>
        <w:pStyle w:val="ListParagraph"/>
        <w:numPr>
          <w:ilvl w:val="0"/>
          <w:numId w:val="1"/>
        </w:numPr>
        <w:spacing w:line="360" w:lineRule="auto"/>
        <w:jc w:val="both"/>
        <w:rPr>
          <w:rFonts w:ascii="Times New Roman" w:hAnsi="Times New Roman" w:cs="Times New Roman"/>
          <w:sz w:val="24"/>
        </w:rPr>
      </w:pPr>
      <w:r w:rsidRPr="009778C6">
        <w:rPr>
          <w:rFonts w:ascii="Times New Roman" w:hAnsi="Times New Roman" w:cs="Times New Roman"/>
          <w:sz w:val="24"/>
        </w:rPr>
        <w:t>motor-vehicles, trailers and semi-trailers,</w:t>
      </w:r>
    </w:p>
    <w:p w14:paraId="195E5E0E" w14:textId="77777777" w:rsidR="002C6D50" w:rsidRPr="009778C6" w:rsidRDefault="00000000" w:rsidP="009778C6">
      <w:pPr>
        <w:pStyle w:val="ListParagraph"/>
        <w:numPr>
          <w:ilvl w:val="0"/>
          <w:numId w:val="1"/>
        </w:numPr>
        <w:spacing w:line="360" w:lineRule="auto"/>
        <w:jc w:val="both"/>
        <w:rPr>
          <w:rFonts w:ascii="Times New Roman" w:hAnsi="Times New Roman" w:cs="Times New Roman"/>
          <w:sz w:val="24"/>
        </w:rPr>
      </w:pPr>
      <w:r w:rsidRPr="009778C6">
        <w:rPr>
          <w:rFonts w:ascii="Times New Roman" w:hAnsi="Times New Roman" w:cs="Times New Roman"/>
          <w:sz w:val="24"/>
        </w:rPr>
        <w:t>railway transportation services,</w:t>
      </w:r>
    </w:p>
    <w:p w14:paraId="544AFE79" w14:textId="77777777" w:rsidR="002C6D50" w:rsidRPr="009778C6" w:rsidRDefault="00000000" w:rsidP="009778C6">
      <w:pPr>
        <w:pStyle w:val="ListParagraph"/>
        <w:numPr>
          <w:ilvl w:val="0"/>
          <w:numId w:val="1"/>
        </w:numPr>
        <w:spacing w:line="360" w:lineRule="auto"/>
        <w:jc w:val="both"/>
        <w:rPr>
          <w:rFonts w:ascii="Times New Roman" w:hAnsi="Times New Roman" w:cs="Times New Roman"/>
          <w:sz w:val="24"/>
        </w:rPr>
      </w:pPr>
      <w:r w:rsidRPr="009778C6">
        <w:rPr>
          <w:rFonts w:ascii="Times New Roman" w:hAnsi="Times New Roman" w:cs="Times New Roman"/>
          <w:sz w:val="24"/>
        </w:rPr>
        <w:t>financial intermediation services.</w:t>
      </w:r>
    </w:p>
    <w:p w14:paraId="5C115B6C" w14:textId="77777777" w:rsidR="002C6D50" w:rsidRPr="009778C6" w:rsidRDefault="00000000" w:rsidP="009778C6">
      <w:pPr>
        <w:spacing w:line="360" w:lineRule="auto"/>
        <w:jc w:val="both"/>
        <w:rPr>
          <w:rFonts w:ascii="Times New Roman" w:hAnsi="Times New Roman" w:cs="Times New Roman"/>
          <w:sz w:val="24"/>
        </w:rPr>
      </w:pPr>
      <w:r w:rsidRPr="009778C6">
        <w:rPr>
          <w:rFonts w:ascii="Times New Roman" w:hAnsi="Times New Roman" w:cs="Times New Roman"/>
          <w:sz w:val="24"/>
        </w:rPr>
        <w:t xml:space="preserve">Exempting these four categories from scaling increases the correlation coefficient between scaled and non-scaled expenditures from 0.58 to 0.91. Some simple calculations over the data in the national accounts suggest that the size of household-consumption-based emissions is </w:t>
      </w:r>
      <w:r w:rsidRPr="009778C6">
        <w:rPr>
          <w:rFonts w:ascii="Times New Roman" w:hAnsi="Times New Roman" w:cs="Times New Roman"/>
          <w:sz w:val="24"/>
        </w:rPr>
        <w:lastRenderedPageBreak/>
        <w:t>approximately 3108 kgCO</w:t>
      </w:r>
      <w:r w:rsidRPr="009778C6">
        <w:rPr>
          <w:rFonts w:ascii="Times New Roman" w:hAnsi="Times New Roman" w:cs="Times New Roman"/>
          <w:sz w:val="24"/>
          <w:vertAlign w:val="subscript"/>
        </w:rPr>
        <w:t>2</w:t>
      </w:r>
      <w:r w:rsidRPr="009778C6">
        <w:rPr>
          <w:rFonts w:ascii="Times New Roman" w:hAnsi="Times New Roman" w:cs="Times New Roman"/>
          <w:sz w:val="24"/>
        </w:rPr>
        <w:t>-equivalent per capita in Turkey in 2019. If the aforementioned four categories were not exempted from scaling, our dataset would yield a similar amount of emissions per capita. Exempting these four categories</w:t>
      </w:r>
      <w:r w:rsidR="00F55823" w:rsidRPr="009778C6">
        <w:rPr>
          <w:rFonts w:ascii="Times New Roman" w:hAnsi="Times New Roman" w:cs="Times New Roman"/>
          <w:sz w:val="24"/>
        </w:rPr>
        <w:t xml:space="preserve"> from scaling</w:t>
      </w:r>
      <w:r w:rsidRPr="009778C6">
        <w:rPr>
          <w:rFonts w:ascii="Times New Roman" w:hAnsi="Times New Roman" w:cs="Times New Roman"/>
          <w:sz w:val="24"/>
        </w:rPr>
        <w:t xml:space="preserve"> reduces </w:t>
      </w:r>
      <w:r w:rsidR="00F55823" w:rsidRPr="009778C6">
        <w:rPr>
          <w:rFonts w:ascii="Times New Roman" w:hAnsi="Times New Roman" w:cs="Times New Roman"/>
          <w:sz w:val="24"/>
        </w:rPr>
        <w:t>the emissions per capita to 3031</w:t>
      </w:r>
      <w:r w:rsidRPr="009778C6">
        <w:rPr>
          <w:rFonts w:ascii="Times New Roman" w:hAnsi="Times New Roman" w:cs="Times New Roman"/>
          <w:sz w:val="24"/>
        </w:rPr>
        <w:t xml:space="preserve"> kgCO</w:t>
      </w:r>
      <w:r w:rsidRPr="009778C6">
        <w:rPr>
          <w:rFonts w:ascii="Times New Roman" w:hAnsi="Times New Roman" w:cs="Times New Roman"/>
          <w:sz w:val="24"/>
          <w:vertAlign w:val="subscript"/>
        </w:rPr>
        <w:t>2</w:t>
      </w:r>
      <w:r w:rsidRPr="009778C6">
        <w:rPr>
          <w:rFonts w:ascii="Times New Roman" w:hAnsi="Times New Roman" w:cs="Times New Roman"/>
          <w:sz w:val="24"/>
        </w:rPr>
        <w:t>-equivalent. Thus, increasing the correlation between scaled and non-scaled expenditures by exempting four categories from scaling come</w:t>
      </w:r>
      <w:r w:rsidR="00F55823" w:rsidRPr="009778C6">
        <w:rPr>
          <w:rFonts w:ascii="Times New Roman" w:hAnsi="Times New Roman" w:cs="Times New Roman"/>
          <w:sz w:val="24"/>
        </w:rPr>
        <w:t>s</w:t>
      </w:r>
      <w:r w:rsidRPr="009778C6">
        <w:rPr>
          <w:rFonts w:ascii="Times New Roman" w:hAnsi="Times New Roman" w:cs="Times New Roman"/>
          <w:sz w:val="24"/>
        </w:rPr>
        <w:t xml:space="preserve"> at the cost of </w:t>
      </w:r>
      <w:r w:rsidR="00F55823" w:rsidRPr="009778C6">
        <w:rPr>
          <w:rFonts w:ascii="Times New Roman" w:hAnsi="Times New Roman" w:cs="Times New Roman"/>
          <w:sz w:val="24"/>
        </w:rPr>
        <w:t>77</w:t>
      </w:r>
      <w:r w:rsidRPr="009778C6">
        <w:rPr>
          <w:rFonts w:ascii="Times New Roman" w:hAnsi="Times New Roman" w:cs="Times New Roman"/>
          <w:sz w:val="24"/>
        </w:rPr>
        <w:t xml:space="preserve"> kgCO</w:t>
      </w:r>
      <w:r w:rsidRPr="009778C6">
        <w:rPr>
          <w:rFonts w:ascii="Times New Roman" w:hAnsi="Times New Roman" w:cs="Times New Roman"/>
          <w:sz w:val="24"/>
          <w:vertAlign w:val="subscript"/>
        </w:rPr>
        <w:t>2</w:t>
      </w:r>
      <w:r w:rsidRPr="009778C6">
        <w:rPr>
          <w:rFonts w:ascii="Times New Roman" w:hAnsi="Times New Roman" w:cs="Times New Roman"/>
          <w:sz w:val="24"/>
        </w:rPr>
        <w:t xml:space="preserve">-equivalent emissions per capita loss. </w:t>
      </w:r>
    </w:p>
    <w:p w14:paraId="20ED148E" w14:textId="77777777" w:rsidR="002C6D50" w:rsidRDefault="00000000" w:rsidP="009778C6">
      <w:pPr>
        <w:spacing w:line="360" w:lineRule="auto"/>
        <w:jc w:val="both"/>
        <w:rPr>
          <w:rFonts w:ascii="Times New Roman" w:hAnsi="Times New Roman" w:cs="Times New Roman"/>
          <w:sz w:val="24"/>
        </w:rPr>
      </w:pPr>
      <w:r w:rsidRPr="009778C6">
        <w:rPr>
          <w:rFonts w:ascii="Times New Roman" w:hAnsi="Times New Roman" w:cs="Times New Roman"/>
          <w:sz w:val="24"/>
        </w:rPr>
        <w:t xml:space="preserve">Survey expenditures are reported in purchaser prices (i.e., the expenditure amount includes the trade costs, transportation costs and taxes). The accurate measurement of emissions requires calculation of expenditure in basic prices. Making use of the country aggregates on trade, transport and tax margins reported in SUTs (national accounts) for each product, we remove taxes from purchaser prices (i.e., we assume that taxes are not associated with consumption-based emissions) and reallocate trade and transport margins into respective products. </w:t>
      </w:r>
      <w:r w:rsidR="00390FAC" w:rsidRPr="009778C6">
        <w:rPr>
          <w:rFonts w:ascii="Times New Roman" w:hAnsi="Times New Roman" w:cs="Times New Roman"/>
          <w:sz w:val="24"/>
        </w:rPr>
        <w:t>This completes the preparation of our dataset.</w:t>
      </w:r>
    </w:p>
    <w:p w14:paraId="423A48A7" w14:textId="77777777" w:rsidR="009778C6" w:rsidRDefault="009778C6" w:rsidP="009778C6">
      <w:pPr>
        <w:spacing w:line="360" w:lineRule="auto"/>
        <w:jc w:val="both"/>
        <w:rPr>
          <w:rFonts w:ascii="Times New Roman" w:hAnsi="Times New Roman" w:cs="Times New Roman"/>
          <w:sz w:val="24"/>
        </w:rPr>
      </w:pPr>
    </w:p>
    <w:p w14:paraId="510209EE" w14:textId="77777777" w:rsidR="00676F5F" w:rsidRDefault="00000000">
      <w:pPr>
        <w:rPr>
          <w:rFonts w:ascii="Times New Roman" w:hAnsi="Times New Roman" w:cs="Times New Roman"/>
          <w:sz w:val="24"/>
        </w:rPr>
      </w:pPr>
      <w:r>
        <w:rPr>
          <w:rFonts w:ascii="Times New Roman" w:hAnsi="Times New Roman" w:cs="Times New Roman"/>
          <w:sz w:val="24"/>
        </w:rPr>
        <w:br w:type="page"/>
      </w:r>
    </w:p>
    <w:p w14:paraId="5643D271" w14:textId="77777777" w:rsidR="009778C6" w:rsidRPr="009778C6" w:rsidRDefault="009778C6" w:rsidP="009778C6">
      <w:pPr>
        <w:spacing w:line="360" w:lineRule="auto"/>
        <w:jc w:val="both"/>
        <w:rPr>
          <w:rFonts w:ascii="Times New Roman" w:hAnsi="Times New Roman" w:cs="Times New Roman"/>
          <w:sz w:val="24"/>
        </w:rPr>
      </w:pPr>
    </w:p>
    <w:p w14:paraId="02ED10DF" w14:textId="77777777" w:rsidR="003C1FB8" w:rsidRPr="009778C6" w:rsidRDefault="00000000" w:rsidP="009778C6">
      <w:pPr>
        <w:spacing w:line="360" w:lineRule="auto"/>
        <w:jc w:val="both"/>
        <w:rPr>
          <w:rFonts w:ascii="Times New Roman" w:hAnsi="Times New Roman" w:cs="Times New Roman"/>
          <w:b/>
          <w:sz w:val="24"/>
          <w:szCs w:val="24"/>
        </w:rPr>
      </w:pPr>
      <w:r w:rsidRPr="009778C6">
        <w:rPr>
          <w:rFonts w:ascii="Times New Roman" w:hAnsi="Times New Roman" w:cs="Times New Roman"/>
          <w:b/>
          <w:sz w:val="24"/>
          <w:szCs w:val="24"/>
        </w:rPr>
        <w:t>References</w:t>
      </w:r>
    </w:p>
    <w:p w14:paraId="5BACE9FE" w14:textId="77777777" w:rsidR="003C1FB8" w:rsidRPr="009778C6" w:rsidRDefault="00000000" w:rsidP="009778C6">
      <w:pPr>
        <w:spacing w:line="360" w:lineRule="auto"/>
        <w:ind w:left="284" w:hanging="284"/>
        <w:rPr>
          <w:rFonts w:ascii="Times New Roman" w:hAnsi="Times New Roman" w:cs="Times New Roman"/>
        </w:rPr>
      </w:pPr>
      <w:r w:rsidRPr="009778C6">
        <w:rPr>
          <w:rFonts w:ascii="Times New Roman" w:hAnsi="Times New Roman" w:cs="Times New Roman"/>
        </w:rPr>
        <w:t xml:space="preserve">Enerji Piyasası Düzenleme Kurulu (2020), “Elektrik piyasası 2019 yılı piyasa gelişim raporu”, Technical Report, Ankara. Retrieved from </w:t>
      </w:r>
      <w:hyperlink r:id="rId7" w:history="1">
        <w:r w:rsidR="003C1FB8" w:rsidRPr="009778C6">
          <w:rPr>
            <w:rStyle w:val="Hyperlink"/>
            <w:rFonts w:ascii="Times New Roman" w:hAnsi="Times New Roman"/>
          </w:rPr>
          <w:t>https://epdk.gov.tr/detay/icerik/3-0-0-102/yillik-rapor-elektrik-piyasasi-gelisim-raporlari</w:t>
        </w:r>
      </w:hyperlink>
      <w:r w:rsidRPr="009778C6">
        <w:rPr>
          <w:rFonts w:ascii="Times New Roman" w:hAnsi="Times New Roman" w:cs="Times New Roman"/>
        </w:rPr>
        <w:t>.</w:t>
      </w:r>
    </w:p>
    <w:p w14:paraId="13998AD9" w14:textId="77777777" w:rsidR="000E00E0" w:rsidRPr="00D1200B" w:rsidRDefault="00000000" w:rsidP="000E00E0">
      <w:pPr>
        <w:spacing w:line="360" w:lineRule="auto"/>
        <w:ind w:left="567" w:hanging="567"/>
        <w:jc w:val="both"/>
        <w:rPr>
          <w:rFonts w:ascii="Times New Roman" w:hAnsi="Times New Roman" w:cs="Times New Roman"/>
        </w:rPr>
      </w:pPr>
      <w:r w:rsidRPr="00A5404B">
        <w:rPr>
          <w:rFonts w:ascii="Times New Roman" w:hAnsi="Times New Roman" w:cs="Times New Roman"/>
        </w:rPr>
        <w:t xml:space="preserve">Ivanova D and Richard W (2020), “The unequal distribution of household carbon footprints in Europe and its link to sustainability”, </w:t>
      </w:r>
      <w:r w:rsidRPr="00A5404B">
        <w:rPr>
          <w:rFonts w:ascii="Times New Roman" w:hAnsi="Times New Roman" w:cs="Times New Roman"/>
          <w:i/>
          <w:iCs/>
        </w:rPr>
        <w:t>Global Sustainability</w:t>
      </w:r>
      <w:r w:rsidRPr="00A5404B">
        <w:rPr>
          <w:rFonts w:ascii="Times New Roman" w:hAnsi="Times New Roman" w:cs="Times New Roman"/>
        </w:rPr>
        <w:t xml:space="preserve"> 3, e18, 1-12. </w:t>
      </w:r>
      <w:hyperlink r:id="rId8" w:history="1">
        <w:r w:rsidR="000E00E0" w:rsidRPr="00A5404B">
          <w:rPr>
            <w:rStyle w:val="Hyperlink"/>
            <w:rFonts w:ascii="Times New Roman" w:hAnsi="Times New Roman"/>
          </w:rPr>
          <w:t>https://doi.org/10.1017/sus.2020.12</w:t>
        </w:r>
      </w:hyperlink>
      <w:r w:rsidRPr="00A5404B">
        <w:rPr>
          <w:rFonts w:ascii="Times New Roman" w:hAnsi="Times New Roman" w:cs="Times New Roman"/>
        </w:rPr>
        <w:t>.</w:t>
      </w:r>
      <w:r w:rsidRPr="00D1200B">
        <w:rPr>
          <w:rFonts w:ascii="Times New Roman" w:hAnsi="Times New Roman" w:cs="Times New Roman"/>
        </w:rPr>
        <w:t xml:space="preserve"> </w:t>
      </w:r>
    </w:p>
    <w:p w14:paraId="04705B96" w14:textId="77777777" w:rsidR="000E00E0" w:rsidRPr="00D1200B" w:rsidRDefault="00000000" w:rsidP="000E00E0">
      <w:pPr>
        <w:spacing w:line="360" w:lineRule="auto"/>
        <w:ind w:left="567" w:hanging="567"/>
        <w:jc w:val="both"/>
        <w:rPr>
          <w:rFonts w:ascii="Times New Roman" w:hAnsi="Times New Roman" w:cs="Times New Roman"/>
        </w:rPr>
      </w:pPr>
      <w:r w:rsidRPr="004F18C4">
        <w:rPr>
          <w:rFonts w:ascii="Times New Roman" w:hAnsi="Times New Roman" w:cs="Times New Roman"/>
        </w:rPr>
        <w:t>Peters Glen and Edgar H (2004) “Production factors and pollution embodied in trade: Theoretical Development”, Norwegian University of Science and Technology Industrial Ecology Programme Working Paper No.5/200</w:t>
      </w:r>
      <w:r w:rsidRPr="00B46343">
        <w:rPr>
          <w:rFonts w:ascii="Times New Roman" w:hAnsi="Times New Roman" w:cs="Times New Roman"/>
        </w:rPr>
        <w:t>4.</w:t>
      </w:r>
    </w:p>
    <w:p w14:paraId="6576382C" w14:textId="77777777" w:rsidR="003C1FB8" w:rsidRPr="009778C6" w:rsidRDefault="00000000" w:rsidP="009778C6">
      <w:pPr>
        <w:spacing w:line="360" w:lineRule="auto"/>
        <w:ind w:left="284" w:hanging="284"/>
        <w:rPr>
          <w:rFonts w:ascii="Times New Roman" w:hAnsi="Times New Roman" w:cs="Times New Roman"/>
        </w:rPr>
      </w:pPr>
      <w:r>
        <w:rPr>
          <w:rFonts w:ascii="Times New Roman" w:hAnsi="Times New Roman" w:cs="Times New Roman"/>
        </w:rPr>
        <w:t>Solomon, S, Dahe Q, Martin M, Melinda M, Kristen A, Melinda M B T, Henry LeRoy M, Jr., and Zhenlin C</w:t>
      </w:r>
      <w:r w:rsidRPr="009778C6">
        <w:rPr>
          <w:rFonts w:ascii="Times New Roman" w:hAnsi="Times New Roman" w:cs="Times New Roman"/>
        </w:rPr>
        <w:t xml:space="preserve"> (2007), Climate change 2007: The physical science basis, Contribution of working group I to the fourth assessment report of the Intergovernmental Panel on Climate Change. Retrieved from </w:t>
      </w:r>
      <w:hyperlink r:id="rId9" w:history="1">
        <w:r w:rsidR="003C1FB8" w:rsidRPr="009778C6">
          <w:rPr>
            <w:rStyle w:val="Hyperlink"/>
            <w:rFonts w:ascii="Times New Roman" w:hAnsi="Times New Roman"/>
          </w:rPr>
          <w:t>http://www.ipcc.ch/report/ar4/wg1/</w:t>
        </w:r>
      </w:hyperlink>
      <w:r w:rsidRPr="009778C6">
        <w:rPr>
          <w:rFonts w:ascii="Times New Roman" w:hAnsi="Times New Roman" w:cs="Times New Roman"/>
        </w:rPr>
        <w:t>.</w:t>
      </w:r>
    </w:p>
    <w:p w14:paraId="0355D00C" w14:textId="77777777" w:rsidR="000E00E0" w:rsidRPr="004F18C4" w:rsidRDefault="00000000" w:rsidP="000E00E0">
      <w:pPr>
        <w:spacing w:line="360" w:lineRule="auto"/>
        <w:ind w:left="567" w:hanging="567"/>
        <w:jc w:val="both"/>
        <w:rPr>
          <w:rFonts w:ascii="Times New Roman" w:hAnsi="Times New Roman" w:cs="Times New Roman"/>
        </w:rPr>
      </w:pPr>
      <w:r w:rsidRPr="004F18C4">
        <w:rPr>
          <w:rFonts w:ascii="Times New Roman" w:hAnsi="Times New Roman" w:cs="Times New Roman"/>
        </w:rPr>
        <w:t xml:space="preserve">Stadler, Konstantin, Richard Wood, Tatyana Bulavskaya, Carl-Johan Södersten, Moana Simas, Sarah Schmidt, Arkaitz Usubiaga, José Acosta-Fernández, Jeroen Kuenen, Martin Bruckner, Giljum Stefan, Stephan Lutter, Stephano Merciai, Jannick H. Schmidt, Michaela C. Theurl, Christoph Plutzar, Thomas Kastner, Nina Eisenmenger, Karl-Heinz Erb, Arjan Koning and Arnold Tukker (2021) </w:t>
      </w:r>
      <w:r w:rsidRPr="004F18C4">
        <w:rPr>
          <w:rFonts w:ascii="Times New Roman" w:hAnsi="Times New Roman" w:cs="Times New Roman"/>
          <w:i/>
          <w:iCs/>
        </w:rPr>
        <w:t>EXIOBASE 3 (3.8.2)</w:t>
      </w:r>
      <w:r w:rsidRPr="004F18C4">
        <w:rPr>
          <w:rFonts w:ascii="Times New Roman" w:hAnsi="Times New Roman" w:cs="Times New Roman"/>
        </w:rPr>
        <w:t xml:space="preserve"> [Data Set], Zenodo, DOI: </w:t>
      </w:r>
      <w:hyperlink r:id="rId10" w:history="1">
        <w:r w:rsidR="000E00E0" w:rsidRPr="004F18C4">
          <w:rPr>
            <w:rStyle w:val="Hyperlink"/>
            <w:rFonts w:ascii="Times New Roman" w:hAnsi="Times New Roman"/>
          </w:rPr>
          <w:t>https://doi.org/10.5281/zenodo.5589597</w:t>
        </w:r>
      </w:hyperlink>
      <w:r w:rsidRPr="004F18C4">
        <w:rPr>
          <w:rFonts w:ascii="Times New Roman" w:hAnsi="Times New Roman" w:cs="Times New Roman"/>
        </w:rPr>
        <w:t>.</w:t>
      </w:r>
    </w:p>
    <w:p w14:paraId="0E1B0A98" w14:textId="77777777" w:rsidR="000E00E0" w:rsidRPr="004F18C4" w:rsidRDefault="00000000" w:rsidP="000E00E0">
      <w:pPr>
        <w:spacing w:line="360" w:lineRule="auto"/>
        <w:ind w:left="567" w:hanging="567"/>
        <w:jc w:val="both"/>
        <w:rPr>
          <w:rFonts w:ascii="Times New Roman" w:hAnsi="Times New Roman" w:cs="Times New Roman"/>
        </w:rPr>
      </w:pPr>
      <w:r w:rsidRPr="004F18C4">
        <w:rPr>
          <w:rFonts w:ascii="Times New Roman" w:hAnsi="Times New Roman" w:cs="Times New Roman"/>
        </w:rPr>
        <w:t xml:space="preserve">Stadler, K (2021) “Pymrio – A Python based multi-regional input-output analysis toolbox”, </w:t>
      </w:r>
      <w:r w:rsidRPr="004F18C4">
        <w:rPr>
          <w:rFonts w:ascii="Times New Roman" w:hAnsi="Times New Roman" w:cs="Times New Roman"/>
          <w:i/>
          <w:iCs/>
        </w:rPr>
        <w:t>Journal of Open Research Software</w:t>
      </w:r>
      <w:r w:rsidRPr="004F18C4">
        <w:rPr>
          <w:rFonts w:ascii="Times New Roman" w:hAnsi="Times New Roman" w:cs="Times New Roman"/>
        </w:rPr>
        <w:t xml:space="preserve">, 9:8, DOI: </w:t>
      </w:r>
      <w:hyperlink r:id="rId11" w:history="1">
        <w:r w:rsidR="000E00E0" w:rsidRPr="004F18C4">
          <w:rPr>
            <w:rStyle w:val="Hyperlink"/>
            <w:rFonts w:ascii="Times New Roman" w:hAnsi="Times New Roman"/>
          </w:rPr>
          <w:t>https://doi.org/10.5334/jors.251</w:t>
        </w:r>
      </w:hyperlink>
      <w:r w:rsidRPr="004F18C4">
        <w:rPr>
          <w:rFonts w:ascii="Times New Roman" w:hAnsi="Times New Roman" w:cs="Times New Roman"/>
        </w:rPr>
        <w:t>.</w:t>
      </w:r>
    </w:p>
    <w:p w14:paraId="3E721F78" w14:textId="77777777" w:rsidR="003C1FB8" w:rsidRPr="00CC2673" w:rsidRDefault="003C1FB8" w:rsidP="003C1FB8">
      <w:pPr>
        <w:jc w:val="both"/>
        <w:rPr>
          <w:sz w:val="24"/>
          <w:szCs w:val="24"/>
        </w:rPr>
      </w:pPr>
    </w:p>
    <w:sectPr w:rsidR="003C1FB8" w:rsidRPr="00CC2673" w:rsidSect="00DC2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044C17"/>
    <w:multiLevelType w:val="hybridMultilevel"/>
    <w:tmpl w:val="FD2AB9D4"/>
    <w:lvl w:ilvl="0" w:tplc="8F46EB0A">
      <w:start w:val="1"/>
      <w:numFmt w:val="bullet"/>
      <w:lvlText w:val="-"/>
      <w:lvlJc w:val="left"/>
      <w:pPr>
        <w:ind w:left="720" w:hanging="360"/>
      </w:pPr>
      <w:rPr>
        <w:rFonts w:ascii="Calibri" w:eastAsiaTheme="minorHAnsi" w:hAnsi="Calibri" w:cstheme="minorBidi" w:hint="default"/>
      </w:rPr>
    </w:lvl>
    <w:lvl w:ilvl="1" w:tplc="80FA60B2" w:tentative="1">
      <w:start w:val="1"/>
      <w:numFmt w:val="bullet"/>
      <w:lvlText w:val="o"/>
      <w:lvlJc w:val="left"/>
      <w:pPr>
        <w:ind w:left="1440" w:hanging="360"/>
      </w:pPr>
      <w:rPr>
        <w:rFonts w:ascii="Courier New" w:hAnsi="Courier New" w:cs="Courier New" w:hint="default"/>
      </w:rPr>
    </w:lvl>
    <w:lvl w:ilvl="2" w:tplc="1B9A616C" w:tentative="1">
      <w:start w:val="1"/>
      <w:numFmt w:val="bullet"/>
      <w:lvlText w:val=""/>
      <w:lvlJc w:val="left"/>
      <w:pPr>
        <w:ind w:left="2160" w:hanging="360"/>
      </w:pPr>
      <w:rPr>
        <w:rFonts w:ascii="Wingdings" w:hAnsi="Wingdings" w:hint="default"/>
      </w:rPr>
    </w:lvl>
    <w:lvl w:ilvl="3" w:tplc="E1007FAE" w:tentative="1">
      <w:start w:val="1"/>
      <w:numFmt w:val="bullet"/>
      <w:lvlText w:val=""/>
      <w:lvlJc w:val="left"/>
      <w:pPr>
        <w:ind w:left="2880" w:hanging="360"/>
      </w:pPr>
      <w:rPr>
        <w:rFonts w:ascii="Symbol" w:hAnsi="Symbol" w:hint="default"/>
      </w:rPr>
    </w:lvl>
    <w:lvl w:ilvl="4" w:tplc="C2000678" w:tentative="1">
      <w:start w:val="1"/>
      <w:numFmt w:val="bullet"/>
      <w:lvlText w:val="o"/>
      <w:lvlJc w:val="left"/>
      <w:pPr>
        <w:ind w:left="3600" w:hanging="360"/>
      </w:pPr>
      <w:rPr>
        <w:rFonts w:ascii="Courier New" w:hAnsi="Courier New" w:cs="Courier New" w:hint="default"/>
      </w:rPr>
    </w:lvl>
    <w:lvl w:ilvl="5" w:tplc="8278BE56" w:tentative="1">
      <w:start w:val="1"/>
      <w:numFmt w:val="bullet"/>
      <w:lvlText w:val=""/>
      <w:lvlJc w:val="left"/>
      <w:pPr>
        <w:ind w:left="4320" w:hanging="360"/>
      </w:pPr>
      <w:rPr>
        <w:rFonts w:ascii="Wingdings" w:hAnsi="Wingdings" w:hint="default"/>
      </w:rPr>
    </w:lvl>
    <w:lvl w:ilvl="6" w:tplc="99FAA116" w:tentative="1">
      <w:start w:val="1"/>
      <w:numFmt w:val="bullet"/>
      <w:lvlText w:val=""/>
      <w:lvlJc w:val="left"/>
      <w:pPr>
        <w:ind w:left="5040" w:hanging="360"/>
      </w:pPr>
      <w:rPr>
        <w:rFonts w:ascii="Symbol" w:hAnsi="Symbol" w:hint="default"/>
      </w:rPr>
    </w:lvl>
    <w:lvl w:ilvl="7" w:tplc="5734EB24" w:tentative="1">
      <w:start w:val="1"/>
      <w:numFmt w:val="bullet"/>
      <w:lvlText w:val="o"/>
      <w:lvlJc w:val="left"/>
      <w:pPr>
        <w:ind w:left="5760" w:hanging="360"/>
      </w:pPr>
      <w:rPr>
        <w:rFonts w:ascii="Courier New" w:hAnsi="Courier New" w:cs="Courier New" w:hint="default"/>
      </w:rPr>
    </w:lvl>
    <w:lvl w:ilvl="8" w:tplc="680CF72A" w:tentative="1">
      <w:start w:val="1"/>
      <w:numFmt w:val="bullet"/>
      <w:lvlText w:val=""/>
      <w:lvlJc w:val="left"/>
      <w:pPr>
        <w:ind w:left="6480" w:hanging="360"/>
      </w:pPr>
      <w:rPr>
        <w:rFonts w:ascii="Wingdings" w:hAnsi="Wingdings" w:hint="default"/>
      </w:rPr>
    </w:lvl>
  </w:abstractNum>
  <w:num w:numId="1" w16cid:durableId="1925525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673"/>
    <w:rsid w:val="000C67E9"/>
    <w:rsid w:val="000E00E0"/>
    <w:rsid w:val="000E1020"/>
    <w:rsid w:val="000E7F59"/>
    <w:rsid w:val="0023612B"/>
    <w:rsid w:val="00260004"/>
    <w:rsid w:val="00265C59"/>
    <w:rsid w:val="002C6D50"/>
    <w:rsid w:val="00334C7F"/>
    <w:rsid w:val="003563D9"/>
    <w:rsid w:val="00390FAC"/>
    <w:rsid w:val="003C1FB8"/>
    <w:rsid w:val="00427A35"/>
    <w:rsid w:val="004F18C4"/>
    <w:rsid w:val="005120E2"/>
    <w:rsid w:val="00534E2A"/>
    <w:rsid w:val="00581AE2"/>
    <w:rsid w:val="00602A9E"/>
    <w:rsid w:val="00634777"/>
    <w:rsid w:val="00676F5F"/>
    <w:rsid w:val="006C726A"/>
    <w:rsid w:val="008465A1"/>
    <w:rsid w:val="00860D5C"/>
    <w:rsid w:val="008D3F2E"/>
    <w:rsid w:val="009550AD"/>
    <w:rsid w:val="009778C6"/>
    <w:rsid w:val="009853C3"/>
    <w:rsid w:val="009C65C7"/>
    <w:rsid w:val="009F2619"/>
    <w:rsid w:val="00A306ED"/>
    <w:rsid w:val="00A5404B"/>
    <w:rsid w:val="00AB5925"/>
    <w:rsid w:val="00AE1C71"/>
    <w:rsid w:val="00AE619B"/>
    <w:rsid w:val="00AF00F8"/>
    <w:rsid w:val="00B31A29"/>
    <w:rsid w:val="00B46343"/>
    <w:rsid w:val="00B829E1"/>
    <w:rsid w:val="00B91035"/>
    <w:rsid w:val="00C24E84"/>
    <w:rsid w:val="00C509DA"/>
    <w:rsid w:val="00C82D12"/>
    <w:rsid w:val="00CC2673"/>
    <w:rsid w:val="00D1200B"/>
    <w:rsid w:val="00D435E0"/>
    <w:rsid w:val="00DC29B0"/>
    <w:rsid w:val="00E12CA2"/>
    <w:rsid w:val="00E73F81"/>
    <w:rsid w:val="00EC26DC"/>
    <w:rsid w:val="00F20F9A"/>
    <w:rsid w:val="00F558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0E69"/>
  <w15:chartTrackingRefBased/>
  <w15:docId w15:val="{620CC845-E974-4706-83FC-7D651797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C26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2673"/>
    <w:rPr>
      <w:sz w:val="20"/>
      <w:szCs w:val="20"/>
    </w:rPr>
  </w:style>
  <w:style w:type="character" w:styleId="FootnoteReference">
    <w:name w:val="footnote reference"/>
    <w:basedOn w:val="DefaultParagraphFont"/>
    <w:uiPriority w:val="99"/>
    <w:semiHidden/>
    <w:unhideWhenUsed/>
    <w:rsid w:val="00CC2673"/>
    <w:rPr>
      <w:vertAlign w:val="superscript"/>
    </w:rPr>
  </w:style>
  <w:style w:type="paragraph" w:styleId="ListParagraph">
    <w:name w:val="List Paragraph"/>
    <w:basedOn w:val="Normal"/>
    <w:uiPriority w:val="34"/>
    <w:qFormat/>
    <w:rsid w:val="002C6D50"/>
    <w:pPr>
      <w:ind w:left="720"/>
      <w:contextualSpacing/>
    </w:pPr>
  </w:style>
  <w:style w:type="character" w:styleId="Hyperlink">
    <w:name w:val="Hyperlink"/>
    <w:basedOn w:val="DefaultParagraphFont"/>
    <w:uiPriority w:val="99"/>
    <w:rsid w:val="003C1FB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avanan.click/v2/___https://doi.org/10.1017/sus.2020.12___.YXAxZTpjYW1icmlkZ2Vvcmc6YTpvOjQ1ZTI5Y2ViZTM0ZDRiYTViYzFhODVjOWNmYTcyOGU0OjY6Y2NhMzowNjBmN2Q2MjkwNjM5NzU1ZmY4MGU1ZDM2MWJlYzBkY2Q3NzZkYjA3MmU5MDExMThjYzFjNDA1ZDdlMzM0YjliOnA6VD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l.avanan.click/v2/___https://epdk.gov.tr/detay/icerik/3-0-0-102/yillik-rapor-elektrik-piyasasi-gelisim-raporlari___.YXAxZTpjYW1icmlkZ2Vvcmc6YTpvOjQ1ZTI5Y2ViZTM0ZDRiYTViYzFhODVjOWNmYTcyOGU0OjY6YTBmYjoyNGIwYzYxNmE1NTNmMGYwYzM4ODI3OWIzNzdkYTMyZTg2NjI2YzFlOTVhMzU0MzdmNzRlNjMwOTQ2M2I3MTRhOnA6VD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url.avanan.click/v2/___https://doi.org/10.5334/jors.251___.YXAxZTpjYW1icmlkZ2Vvcmc6YTpvOjQ1ZTI5Y2ViZTM0ZDRiYTViYzFhODVjOWNmYTcyOGU0OjY6MGFiZjo1MGIxYjZiMGU3YjRjMjRiMmI4ZDlkOWM4YTJkMmJmNmRkNjk5OWRkNTdmZmMyN2QxNzBlMzU1MzZiYjQ1ZTE1OnA6VDpG" TargetMode="External"/><Relationship Id="rId5" Type="http://schemas.openxmlformats.org/officeDocument/2006/relationships/image" Target="media/image1.emf"/><Relationship Id="rId10" Type="http://schemas.openxmlformats.org/officeDocument/2006/relationships/hyperlink" Target="https://url.avanan.click/v2/___https://doi.org/10.5281/zenodo.5589597___.YXAxZTpjYW1icmlkZ2Vvcmc6YTpvOjQ1ZTI5Y2ViZTM0ZDRiYTViYzFhODVjOWNmYTcyOGU0OjY6Y2E2NDo0ZWIwNzRjNGFmNDA3Y2JiYTY1ZmIwYWFjNTMyY2EzNjdmYzBhOWI2ZGZhYTk4NGI1Y2M4OWE1ZGU5YzQwZmQ5OnA6VDpG" TargetMode="External"/><Relationship Id="rId4" Type="http://schemas.openxmlformats.org/officeDocument/2006/relationships/webSettings" Target="webSettings.xml"/><Relationship Id="rId9" Type="http://schemas.openxmlformats.org/officeDocument/2006/relationships/hyperlink" Target="https://url.avanan.click/v2/___http://www.ipcc.ch/report/ar4/wg1/___.YXAxZTpjYW1icmlkZ2Vvcmc6YTpvOjQ1ZTI5Y2ViZTM0ZDRiYTViYzFhODVjOWNmYTcyOGU0OjY6YTNjZjoxMWZjNmZhYTdhODI1MGFkODExZGYyMTAwYjY5NTljMzZmY2YxYjIxNjFmYTA2M2NhNmVjMWVlMDczNmQxNmU4OnA6VD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dc:creator>
  <cp:lastModifiedBy>Diana</cp:lastModifiedBy>
  <cp:revision>6</cp:revision>
  <dcterms:created xsi:type="dcterms:W3CDTF">2025-05-28T13:13:00Z</dcterms:created>
  <dcterms:modified xsi:type="dcterms:W3CDTF">2025-05-28T13:29:00Z</dcterms:modified>
</cp:coreProperties>
</file>