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7461" w14:textId="5ACAE04D" w:rsidR="00C77798" w:rsidRPr="00C77798" w:rsidRDefault="00C77798" w:rsidP="00C00902">
      <w:pPr>
        <w:spacing w:after="120" w:line="48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APPENDIX </w:t>
      </w:r>
      <w:r w:rsidR="00E81AA4">
        <w:rPr>
          <w:rFonts w:ascii="Times New Roman" w:hAnsi="Times New Roman" w:cs="Times New Roman"/>
          <w:sz w:val="24"/>
          <w:szCs w:val="24"/>
          <w:lang w:eastAsia="ar-SA"/>
        </w:rPr>
        <w:t>2</w:t>
      </w:r>
      <w:r>
        <w:rPr>
          <w:rFonts w:ascii="Times New Roman" w:hAnsi="Times New Roman" w:cs="Times New Roman"/>
          <w:sz w:val="24"/>
          <w:szCs w:val="24"/>
          <w:lang w:eastAsia="ar-SA"/>
        </w:rPr>
        <w:t>: T</w:t>
      </w:r>
      <w:r w:rsidRPr="00C77798">
        <w:rPr>
          <w:rFonts w:ascii="Times New Roman" w:hAnsi="Times New Roman" w:cs="Times New Roman"/>
          <w:sz w:val="24"/>
          <w:szCs w:val="24"/>
          <w:lang w:eastAsia="ar-SA"/>
        </w:rPr>
        <w:t>he estimates of gaps, costs, and the direct employment impact of investments in care sectors</w:t>
      </w:r>
    </w:p>
    <w:p w14:paraId="037CC961" w14:textId="31811850" w:rsidR="00C00902" w:rsidRPr="005524F5" w:rsidRDefault="00C00902" w:rsidP="00C00902">
      <w:pPr>
        <w:spacing w:after="120" w:line="480" w:lineRule="auto"/>
        <w:rPr>
          <w:rFonts w:ascii="Times New Roman" w:hAnsi="Times New Roman" w:cs="Times New Roman"/>
          <w:b/>
          <w:bCs/>
          <w:i/>
          <w:iCs/>
          <w:sz w:val="24"/>
          <w:szCs w:val="24"/>
          <w:lang w:eastAsia="ar-SA"/>
        </w:rPr>
      </w:pPr>
      <w:r w:rsidRPr="005524F5">
        <w:rPr>
          <w:rFonts w:ascii="Times New Roman" w:hAnsi="Times New Roman" w:cs="Times New Roman"/>
          <w:b/>
          <w:bCs/>
          <w:i/>
          <w:iCs/>
          <w:sz w:val="24"/>
          <w:szCs w:val="24"/>
          <w:lang w:eastAsia="ar-SA"/>
        </w:rPr>
        <w:t>Education services</w:t>
      </w:r>
    </w:p>
    <w:p w14:paraId="18D136BA" w14:textId="5363AA17" w:rsidR="00987456" w:rsidRDefault="00C00902" w:rsidP="00987456">
      <w:pPr>
        <w:spacing w:line="480" w:lineRule="auto"/>
        <w:rPr>
          <w:rFonts w:ascii="Times New Roman" w:hAnsi="Times New Roman" w:cs="Times New Roman"/>
          <w:sz w:val="24"/>
          <w:szCs w:val="24"/>
        </w:rPr>
      </w:pPr>
      <w:r w:rsidRPr="005524F5">
        <w:rPr>
          <w:rFonts w:ascii="Times New Roman" w:hAnsi="Times New Roman" w:cs="Times New Roman"/>
          <w:sz w:val="24"/>
          <w:szCs w:val="24"/>
        </w:rPr>
        <w:t>Equations 1 to 4 were used to determine the coverage gaps and investment costs (including teachers' salaries and non-salary expenditures) for the sub-sectors of education services</w:t>
      </w:r>
      <w:r w:rsidR="00987456">
        <w:rPr>
          <w:rFonts w:ascii="Times New Roman" w:hAnsi="Times New Roman" w:cs="Times New Roman"/>
          <w:sz w:val="24"/>
          <w:szCs w:val="24"/>
        </w:rPr>
        <w:t xml:space="preserve"> (i.e., early childhood, primary, secondary and high school education)</w:t>
      </w:r>
      <w:r w:rsidR="00987456" w:rsidRPr="005524F5">
        <w:rPr>
          <w:rFonts w:ascii="Times New Roman" w:hAnsi="Times New Roman" w:cs="Times New Roman"/>
          <w:sz w:val="24"/>
          <w:szCs w:val="24"/>
        </w:rPr>
        <w:t xml:space="preserve">. </w:t>
      </w:r>
      <w:r w:rsidRPr="005524F5">
        <w:rPr>
          <w:rFonts w:ascii="Times New Roman" w:hAnsi="Times New Roman" w:cs="Times New Roman"/>
          <w:sz w:val="24"/>
          <w:szCs w:val="24"/>
        </w:rPr>
        <w:t xml:space="preserve"> </w:t>
      </w:r>
    </w:p>
    <w:p w14:paraId="75B880F8" w14:textId="77777777" w:rsidR="00044F00" w:rsidRPr="00E03899" w:rsidRDefault="00044F00" w:rsidP="00044F00">
      <w:pPr>
        <w:widowControl w:val="0"/>
        <w:spacing w:after="60" w:line="360" w:lineRule="auto"/>
        <w:jc w:val="left"/>
        <w:rPr>
          <w:rFonts w:ascii="Times New Roman" w:hAnsi="Times New Roman" w:cs="Times New Roman"/>
        </w:rPr>
      </w:pPr>
      <m:oMath>
        <m:r>
          <w:rPr>
            <w:rFonts w:ascii="Cambria Math" w:hAnsi="Cambria Math" w:cs="Times New Roman"/>
          </w:rPr>
          <m:t xml:space="preserve">Education coverage gap=Child Population by </m:t>
        </m:r>
        <m:r>
          <w:rPr>
            <w:rFonts w:ascii="Cambria Math" w:hAnsi="Cambria Math" w:cs="Times New Roman"/>
            <w:vertAlign w:val="subscript"/>
          </w:rPr>
          <m:t>agegroup</m:t>
        </m:r>
        <m:r>
          <w:rPr>
            <w:rFonts w:ascii="Cambria Math" w:hAnsi="Cambria Math" w:cs="Times New Roman"/>
          </w:rPr>
          <m:t xml:space="preserve"> x Target Enrolment Rate by </m:t>
        </m:r>
        <m:r>
          <w:rPr>
            <w:rFonts w:ascii="Cambria Math" w:hAnsi="Cambria Math" w:cs="Times New Roman"/>
            <w:vertAlign w:val="subscript"/>
          </w:rPr>
          <m:t>agegroup</m:t>
        </m:r>
        <m:r>
          <w:rPr>
            <w:rFonts w:ascii="Cambria Math" w:hAnsi="Cambria Math" w:cs="Times New Roman"/>
          </w:rPr>
          <m:t xml:space="preserve">) </m:t>
        </m:r>
        <m:r>
          <m:rPr>
            <m:sty m:val="bi"/>
          </m:rPr>
          <w:rPr>
            <w:rFonts w:ascii="Cambria Math" w:hAnsi="Cambria Math" w:cs="Times New Roman"/>
          </w:rPr>
          <m:t>–</m:t>
        </m:r>
        <m:r>
          <w:rPr>
            <w:rFonts w:ascii="Cambria Math" w:hAnsi="Cambria Math" w:cs="Times New Roman"/>
          </w:rPr>
          <m:t xml:space="preserve">  Enrolled Children by </m:t>
        </m:r>
        <m:r>
          <w:rPr>
            <w:rFonts w:ascii="Cambria Math" w:hAnsi="Cambria Math" w:cs="Times New Roman"/>
            <w:vertAlign w:val="subscript"/>
          </w:rPr>
          <m:t>age group</m:t>
        </m:r>
      </m:oMath>
      <w:r>
        <w:rPr>
          <w:rFonts w:ascii="Times New Roman" w:hAnsi="Times New Roman" w:cs="Times New Roman"/>
          <w:i/>
          <w:vertAlign w:val="subscript"/>
        </w:rPr>
        <w:t xml:space="preserve">                                                                                                                                                                                                                                                                </w:t>
      </w:r>
      <w:r>
        <w:rPr>
          <w:rFonts w:ascii="Times New Roman" w:hAnsi="Times New Roman" w:cs="Times New Roman"/>
          <w:i/>
          <w:iCs/>
        </w:rPr>
        <w:t>(</w:t>
      </w:r>
      <w:r w:rsidRPr="00E03899">
        <w:rPr>
          <w:rFonts w:ascii="Times New Roman" w:hAnsi="Times New Roman" w:cs="Times New Roman"/>
          <w:i/>
          <w:iCs/>
        </w:rPr>
        <w:t>1</w:t>
      </w:r>
      <w:r>
        <w:rPr>
          <w:rFonts w:ascii="Times New Roman" w:hAnsi="Times New Roman" w:cs="Times New Roman"/>
          <w:i/>
          <w:iCs/>
        </w:rPr>
        <w:t xml:space="preserve">) </w:t>
      </w:r>
    </w:p>
    <w:p w14:paraId="42389E63" w14:textId="60972BF8" w:rsidR="00044F00" w:rsidRDefault="00044F00" w:rsidP="00044F00">
      <w:pPr>
        <w:spacing w:line="360" w:lineRule="auto"/>
        <w:rPr>
          <w:rFonts w:ascii="Times New Roman" w:eastAsiaTheme="minorEastAsia" w:hAnsi="Times New Roman" w:cs="Times New Roman"/>
        </w:rPr>
      </w:pPr>
      <m:oMath>
        <m:r>
          <w:rPr>
            <w:rFonts w:ascii="Cambria Math" w:hAnsi="Cambria Math" w:cs="Times New Roman"/>
          </w:rPr>
          <m:t>Total wage and salary expenditures for additional teaching staff=</m:t>
        </m:r>
        <m:f>
          <m:fPr>
            <m:ctrlPr>
              <w:rPr>
                <w:rFonts w:ascii="Cambria Math" w:hAnsi="Cambria Math" w:cs="Times New Roman"/>
                <w:bCs/>
                <w:i/>
              </w:rPr>
            </m:ctrlPr>
          </m:fPr>
          <m:num>
            <m:r>
              <w:rPr>
                <w:rFonts w:ascii="Cambria Math" w:hAnsi="Cambria Math" w:cs="Times New Roman"/>
              </w:rPr>
              <m:t>Education coverage gap</m:t>
            </m:r>
          </m:num>
          <m:den>
            <m:r>
              <w:rPr>
                <w:rFonts w:ascii="Cambria Math" w:hAnsi="Cambria Math" w:cs="Times New Roman"/>
              </w:rPr>
              <m:t xml:space="preserve">Target Student-to-Teaching staff Ratio  </m:t>
            </m:r>
          </m:den>
        </m:f>
        <m:r>
          <w:rPr>
            <w:rFonts w:ascii="Cambria Math" w:hAnsi="Cambria Math" w:cs="Times New Roman"/>
          </w:rPr>
          <m:t>×Annual Target Salary per Teaching Staff</m:t>
        </m:r>
      </m:oMath>
      <w:r w:rsidRPr="00E03899">
        <w:rPr>
          <w:rFonts w:ascii="Times New Roman" w:eastAsiaTheme="minorEastAsia" w:hAnsi="Times New Roman" w:cs="Times New Roman"/>
        </w:rPr>
        <w:t xml:space="preserve">       </w:t>
      </w:r>
      <w:r w:rsidRPr="00E03899">
        <w:rPr>
          <w:rFonts w:ascii="Times New Roman" w:eastAsiaTheme="minorEastAsia" w:hAnsi="Times New Roman" w:cs="Times New Roman"/>
          <w:i/>
          <w:iCs/>
        </w:rPr>
        <w:t xml:space="preserve"> </w:t>
      </w:r>
      <w:r>
        <w:rPr>
          <w:rFonts w:ascii="Times New Roman" w:eastAsiaTheme="minorEastAsia" w:hAnsi="Times New Roman" w:cs="Times New Roman"/>
          <w:i/>
          <w:iCs/>
        </w:rPr>
        <w:t xml:space="preserve"> </w:t>
      </w:r>
      <w:r w:rsidRPr="00E03899">
        <w:rPr>
          <w:rFonts w:ascii="Times New Roman" w:eastAsiaTheme="minorEastAsia" w:hAnsi="Times New Roman" w:cs="Times New Roman"/>
          <w:i/>
          <w:iCs/>
        </w:rPr>
        <w:t xml:space="preserve">(2) </w:t>
      </w:r>
      <m:oMath>
        <m:r>
          <w:rPr>
            <w:rFonts w:ascii="Cambria Math" w:hAnsi="Cambria Math" w:cs="Times New Roman"/>
          </w:rPr>
          <m:t>Additional overhead expenditures=</m:t>
        </m:r>
        <m:f>
          <m:fPr>
            <m:ctrlPr>
              <w:rPr>
                <w:rFonts w:ascii="Cambria Math" w:hAnsi="Cambria Math" w:cs="Times New Roman"/>
                <w:bCs/>
                <w:i/>
              </w:rPr>
            </m:ctrlPr>
          </m:fPr>
          <m:num>
            <m:r>
              <w:rPr>
                <w:rFonts w:ascii="Cambria Math" w:hAnsi="Cambria Math" w:cs="Times New Roman"/>
              </w:rPr>
              <m:t xml:space="preserve">Existing Overhead Expenditures </m:t>
            </m:r>
          </m:num>
          <m:den>
            <m:r>
              <w:rPr>
                <w:rFonts w:ascii="Cambria Math" w:hAnsi="Cambria Math" w:cs="Times New Roman"/>
              </w:rPr>
              <m:t>Total No of Students Enrolled Full-Time</m:t>
            </m:r>
          </m:den>
        </m:f>
        <m:r>
          <w:rPr>
            <w:rFonts w:ascii="Cambria Math" w:hAnsi="Cambria Math" w:cs="Times New Roman"/>
          </w:rPr>
          <m:t>×Education coverage gap (ECG)</m:t>
        </m:r>
      </m:oMath>
      <w:r>
        <w:rPr>
          <w:rFonts w:ascii="Times New Roman" w:eastAsiaTheme="minorEastAsia" w:hAnsi="Times New Roman" w:cs="Times New Roman"/>
          <w:i/>
        </w:rPr>
        <w:t xml:space="preserve">                                                                                                            (3)</w:t>
      </w:r>
    </w:p>
    <w:p w14:paraId="112102C6" w14:textId="605189BE" w:rsidR="00044F00" w:rsidRPr="001C1027" w:rsidRDefault="00044F00" w:rsidP="00044F00">
      <w:pPr>
        <w:spacing w:line="360" w:lineRule="auto"/>
        <w:rPr>
          <w:rFonts w:ascii="Times New Roman" w:eastAsiaTheme="minorEastAsia" w:hAnsi="Times New Roman" w:cs="Times New Roman"/>
        </w:rPr>
      </w:pPr>
      <m:oMath>
        <m:r>
          <w:rPr>
            <w:rFonts w:ascii="Cambria Math" w:eastAsia="MS Mincho" w:hAnsi="Cambria Math" w:cs="Times New Roman"/>
          </w:rPr>
          <m:t>Cost of ECG=</m:t>
        </m:r>
        <m:r>
          <w:rPr>
            <w:rFonts w:ascii="Cambria Math" w:hAnsi="Cambria Math" w:cs="Times New Roman"/>
          </w:rPr>
          <m:t>Total Wage and Salary Expenditures For Additonal Teaching Staff</m:t>
        </m:r>
        <m:r>
          <w:rPr>
            <w:rFonts w:ascii="Cambria Math" w:eastAsia="MS Mincho" w:hAnsi="Cambria Math" w:cs="Times New Roman"/>
          </w:rPr>
          <m:t>+</m:t>
        </m:r>
        <m:r>
          <w:rPr>
            <w:rFonts w:ascii="Cambria Math" w:hAnsi="Cambria Math" w:cs="Times New Roman"/>
          </w:rPr>
          <m:t>Additional Overhead Expenditures</m:t>
        </m:r>
      </m:oMath>
      <w:r>
        <w:rPr>
          <w:rFonts w:ascii="Times New Roman" w:eastAsiaTheme="minorEastAsia" w:hAnsi="Times New Roman" w:cs="Times New Roman"/>
        </w:rPr>
        <w:t xml:space="preserve">                                                                                                            </w:t>
      </w:r>
      <w:r w:rsidRPr="001C1027">
        <w:rPr>
          <w:rFonts w:ascii="Times New Roman" w:eastAsiaTheme="minorEastAsia" w:hAnsi="Times New Roman" w:cs="Times New Roman"/>
          <w:i/>
          <w:iCs/>
        </w:rPr>
        <w:t>(</w:t>
      </w:r>
      <w:r>
        <w:rPr>
          <w:rFonts w:ascii="Times New Roman" w:eastAsiaTheme="minorEastAsia" w:hAnsi="Times New Roman" w:cs="Times New Roman"/>
          <w:i/>
          <w:iCs/>
        </w:rPr>
        <w:t>4</w:t>
      </w:r>
      <w:r w:rsidRPr="001C1027">
        <w:rPr>
          <w:rFonts w:ascii="Times New Roman" w:eastAsiaTheme="minorEastAsia" w:hAnsi="Times New Roman" w:cs="Times New Roman"/>
          <w:i/>
          <w:iCs/>
        </w:rPr>
        <w:t>)</w:t>
      </w:r>
    </w:p>
    <w:p w14:paraId="3D34C333" w14:textId="77777777" w:rsidR="00987456" w:rsidRDefault="00987456" w:rsidP="00C00902">
      <w:pPr>
        <w:spacing w:line="480" w:lineRule="auto"/>
        <w:rPr>
          <w:rFonts w:ascii="Times New Roman" w:hAnsi="Times New Roman" w:cs="Times New Roman"/>
          <w:sz w:val="24"/>
          <w:szCs w:val="24"/>
        </w:rPr>
      </w:pPr>
    </w:p>
    <w:p w14:paraId="654635A6" w14:textId="199A66F7" w:rsidR="00C00902" w:rsidRPr="00530908" w:rsidRDefault="00C00902" w:rsidP="00530908">
      <w:pPr>
        <w:spacing w:line="480" w:lineRule="auto"/>
        <w:ind w:firstLine="360"/>
        <w:rPr>
          <w:rFonts w:ascii="Times New Roman" w:hAnsi="Times New Roman" w:cs="Times New Roman"/>
          <w:color w:val="000000" w:themeColor="text1"/>
          <w:sz w:val="24"/>
          <w:szCs w:val="24"/>
          <w:highlight w:val="green"/>
        </w:rPr>
      </w:pPr>
      <w:r w:rsidRPr="00041E99">
        <w:rPr>
          <w:rFonts w:ascii="Times New Roman" w:hAnsi="Times New Roman" w:cs="Times New Roman"/>
          <w:color w:val="000000" w:themeColor="text1"/>
          <w:sz w:val="24"/>
          <w:szCs w:val="24"/>
        </w:rPr>
        <w:t xml:space="preserve">The </w:t>
      </w:r>
      <w:r w:rsidR="000F4620" w:rsidRPr="00041E99">
        <w:rPr>
          <w:rFonts w:ascii="Times New Roman" w:hAnsi="Times New Roman" w:cs="Times New Roman"/>
          <w:color w:val="000000" w:themeColor="text1"/>
          <w:sz w:val="24"/>
          <w:szCs w:val="24"/>
        </w:rPr>
        <w:t xml:space="preserve">Organization for Economic Co-Operation and Development </w:t>
      </w:r>
      <w:r w:rsidRPr="00041E99">
        <w:rPr>
          <w:rFonts w:ascii="Times New Roman" w:hAnsi="Times New Roman" w:cs="Times New Roman"/>
          <w:color w:val="000000" w:themeColor="text1"/>
          <w:sz w:val="24"/>
          <w:szCs w:val="24"/>
        </w:rPr>
        <w:t>(2019</w:t>
      </w:r>
      <w:r w:rsidR="000E026A" w:rsidRPr="00041E99">
        <w:rPr>
          <w:rFonts w:ascii="Times New Roman" w:hAnsi="Times New Roman" w:cs="Times New Roman"/>
          <w:color w:val="000000" w:themeColor="text1"/>
          <w:sz w:val="24"/>
          <w:szCs w:val="24"/>
        </w:rPr>
        <w:t>a</w:t>
      </w:r>
      <w:r w:rsidRPr="00041E99">
        <w:rPr>
          <w:rFonts w:ascii="Times New Roman" w:hAnsi="Times New Roman" w:cs="Times New Roman"/>
          <w:color w:val="000000" w:themeColor="text1"/>
          <w:sz w:val="24"/>
          <w:szCs w:val="24"/>
        </w:rPr>
        <w:t xml:space="preserve">) </w:t>
      </w:r>
      <w:r w:rsidRPr="00041E99">
        <w:rPr>
          <w:rFonts w:ascii="Times New Roman" w:hAnsi="Times New Roman" w:cs="Times New Roman"/>
          <w:sz w:val="24"/>
          <w:szCs w:val="24"/>
        </w:rPr>
        <w:t>reports</w:t>
      </w:r>
      <w:r w:rsidRPr="005524F5">
        <w:rPr>
          <w:rFonts w:ascii="Times New Roman" w:hAnsi="Times New Roman" w:cs="Times New Roman"/>
          <w:sz w:val="24"/>
          <w:szCs w:val="24"/>
        </w:rPr>
        <w:t xml:space="preserve"> that in 2018, the average gross yearly teacher salary in Türkiye was equal to </w:t>
      </w:r>
      <w:r>
        <w:rPr>
          <w:sz w:val="23"/>
          <w:szCs w:val="23"/>
        </w:rPr>
        <w:t>₺</w:t>
      </w:r>
      <w:r w:rsidRPr="005524F5">
        <w:rPr>
          <w:rFonts w:ascii="Times New Roman" w:hAnsi="Times New Roman" w:cs="Times New Roman"/>
          <w:sz w:val="24"/>
          <w:szCs w:val="24"/>
        </w:rPr>
        <w:t xml:space="preserve">60,121.2. We chose the average annual salary of higher education graduates in Türkiye (in 2018, </w:t>
      </w:r>
      <w:r>
        <w:rPr>
          <w:sz w:val="23"/>
          <w:szCs w:val="23"/>
        </w:rPr>
        <w:t>₺</w:t>
      </w:r>
      <w:r w:rsidRPr="005524F5">
        <w:rPr>
          <w:rFonts w:ascii="Times New Roman" w:hAnsi="Times New Roman" w:cs="Times New Roman"/>
          <w:sz w:val="24"/>
          <w:szCs w:val="24"/>
        </w:rPr>
        <w:t xml:space="preserve">83, 348) as the target salary for teachers. The target annual gross salary for aides in preschool education was projected to be </w:t>
      </w:r>
      <w:r>
        <w:rPr>
          <w:sz w:val="23"/>
          <w:szCs w:val="23"/>
        </w:rPr>
        <w:t>₺</w:t>
      </w:r>
      <w:r w:rsidRPr="005524F5">
        <w:rPr>
          <w:rFonts w:ascii="Times New Roman" w:hAnsi="Times New Roman" w:cs="Times New Roman"/>
          <w:sz w:val="24"/>
          <w:szCs w:val="24"/>
        </w:rPr>
        <w:t>42,562.</w:t>
      </w:r>
      <w:r w:rsidRPr="005524F5">
        <w:rPr>
          <w:rFonts w:ascii="Times New Roman" w:hAnsi="Times New Roman" w:cs="Times New Roman"/>
          <w:sz w:val="24"/>
          <w:szCs w:val="24"/>
          <w:vertAlign w:val="superscript"/>
        </w:rPr>
        <w:footnoteReference w:id="1"/>
      </w:r>
    </w:p>
    <w:p w14:paraId="51850FF9" w14:textId="1A4023FC" w:rsidR="00C00902" w:rsidRPr="005524F5" w:rsidRDefault="00C00902" w:rsidP="00683FA0">
      <w:pPr>
        <w:spacing w:line="480" w:lineRule="auto"/>
        <w:ind w:firstLine="360"/>
        <w:rPr>
          <w:rFonts w:ascii="Times New Roman" w:hAnsi="Times New Roman" w:cs="Times New Roman"/>
          <w:bCs/>
          <w:sz w:val="24"/>
          <w:szCs w:val="24"/>
        </w:rPr>
      </w:pPr>
      <w:r w:rsidRPr="005524F5">
        <w:rPr>
          <w:rFonts w:ascii="Times New Roman" w:hAnsi="Times New Roman" w:cs="Times New Roman"/>
          <w:bCs/>
          <w:sz w:val="24"/>
          <w:szCs w:val="24"/>
        </w:rPr>
        <w:t xml:space="preserve">To begin with, to meet </w:t>
      </w:r>
      <w:r w:rsidR="006A341C" w:rsidRPr="006A341C">
        <w:rPr>
          <w:rFonts w:ascii="Times New Roman" w:hAnsi="Times New Roman" w:cs="Times New Roman"/>
          <w:bCs/>
          <w:sz w:val="24"/>
          <w:szCs w:val="24"/>
        </w:rPr>
        <w:t xml:space="preserve">International </w:t>
      </w:r>
      <w:proofErr w:type="spellStart"/>
      <w:r w:rsidR="006A341C" w:rsidRPr="006A341C">
        <w:rPr>
          <w:rFonts w:ascii="Times New Roman" w:hAnsi="Times New Roman" w:cs="Times New Roman"/>
          <w:bCs/>
          <w:sz w:val="24"/>
          <w:szCs w:val="24"/>
        </w:rPr>
        <w:t>Labour</w:t>
      </w:r>
      <w:proofErr w:type="spellEnd"/>
      <w:r w:rsidR="006A341C" w:rsidRPr="006A341C">
        <w:rPr>
          <w:rFonts w:ascii="Times New Roman" w:hAnsi="Times New Roman" w:cs="Times New Roman"/>
          <w:bCs/>
          <w:sz w:val="24"/>
          <w:szCs w:val="24"/>
        </w:rPr>
        <w:t xml:space="preserve"> Organization (ILO)</w:t>
      </w:r>
      <w:r w:rsidRPr="005524F5">
        <w:rPr>
          <w:rFonts w:ascii="Times New Roman" w:hAnsi="Times New Roman" w:cs="Times New Roman"/>
          <w:bCs/>
          <w:sz w:val="24"/>
          <w:szCs w:val="24"/>
        </w:rPr>
        <w:t xml:space="preserve"> standards, approximately 4.3 million more enrollments are needed in Turkey's preschool system out of the 7.8 million children in the relevant age group</w:t>
      </w:r>
      <w:r w:rsidR="00044F00">
        <w:rPr>
          <w:rFonts w:ascii="Times New Roman" w:hAnsi="Times New Roman" w:cs="Times New Roman"/>
          <w:bCs/>
          <w:sz w:val="24"/>
          <w:szCs w:val="24"/>
        </w:rPr>
        <w:t xml:space="preserve"> (Equation 1).</w:t>
      </w:r>
      <w:r w:rsidRPr="005524F5">
        <w:rPr>
          <w:rFonts w:ascii="Times New Roman" w:hAnsi="Times New Roman" w:cs="Times New Roman"/>
          <w:bCs/>
          <w:sz w:val="24"/>
          <w:szCs w:val="24"/>
        </w:rPr>
        <w:t xml:space="preserve"> This comprises 1.9 million children under the </w:t>
      </w:r>
      <w:r w:rsidRPr="005524F5">
        <w:rPr>
          <w:rFonts w:ascii="Times New Roman" w:hAnsi="Times New Roman" w:cs="Times New Roman"/>
          <w:bCs/>
          <w:sz w:val="24"/>
          <w:szCs w:val="24"/>
        </w:rPr>
        <w:lastRenderedPageBreak/>
        <w:t xml:space="preserve">age of three and 2.4 million children aged three to five. Meeting the legally mandated minimum ratios would necessitate 349,591 teachers and 349,591 aides (totaling 699,182 instructors). The additional employment of teachers would cost around </w:t>
      </w:r>
      <w:r>
        <w:rPr>
          <w:sz w:val="23"/>
          <w:szCs w:val="23"/>
        </w:rPr>
        <w:t>₺</w:t>
      </w:r>
      <w:r w:rsidRPr="005524F5">
        <w:rPr>
          <w:rFonts w:ascii="Times New Roman" w:hAnsi="Times New Roman" w:cs="Times New Roman"/>
          <w:bCs/>
          <w:sz w:val="24"/>
          <w:szCs w:val="24"/>
        </w:rPr>
        <w:t>29.1 billion</w:t>
      </w:r>
      <w:r w:rsidR="00044F00">
        <w:rPr>
          <w:rFonts w:ascii="Times New Roman" w:hAnsi="Times New Roman" w:cs="Times New Roman"/>
          <w:bCs/>
          <w:sz w:val="24"/>
          <w:szCs w:val="24"/>
        </w:rPr>
        <w:t xml:space="preserve"> (Equation 2)</w:t>
      </w:r>
      <w:r w:rsidRPr="005524F5">
        <w:rPr>
          <w:rFonts w:ascii="Times New Roman" w:hAnsi="Times New Roman" w:cs="Times New Roman"/>
          <w:bCs/>
          <w:sz w:val="24"/>
          <w:szCs w:val="24"/>
        </w:rPr>
        <w:t xml:space="preserve"> in salaries while hiring 349,591 aides would require </w:t>
      </w:r>
      <w:r>
        <w:rPr>
          <w:sz w:val="23"/>
          <w:szCs w:val="23"/>
        </w:rPr>
        <w:t>₺</w:t>
      </w:r>
      <w:r w:rsidRPr="005524F5">
        <w:rPr>
          <w:rFonts w:ascii="Times New Roman" w:hAnsi="Times New Roman" w:cs="Times New Roman"/>
          <w:bCs/>
          <w:sz w:val="24"/>
          <w:szCs w:val="24"/>
        </w:rPr>
        <w:t>14.9 billion</w:t>
      </w:r>
      <w:r w:rsidR="00044F00">
        <w:rPr>
          <w:rFonts w:ascii="Times New Roman" w:hAnsi="Times New Roman" w:cs="Times New Roman"/>
          <w:bCs/>
          <w:sz w:val="24"/>
          <w:szCs w:val="24"/>
        </w:rPr>
        <w:t xml:space="preserve"> (Equation </w:t>
      </w:r>
      <w:r w:rsidR="001D46D2">
        <w:rPr>
          <w:rFonts w:ascii="Times New Roman" w:hAnsi="Times New Roman" w:cs="Times New Roman"/>
          <w:bCs/>
          <w:sz w:val="24"/>
          <w:szCs w:val="24"/>
        </w:rPr>
        <w:t>2</w:t>
      </w:r>
      <w:r w:rsidR="00044F00">
        <w:rPr>
          <w:rFonts w:ascii="Times New Roman" w:hAnsi="Times New Roman" w:cs="Times New Roman"/>
          <w:bCs/>
          <w:sz w:val="24"/>
          <w:szCs w:val="24"/>
        </w:rPr>
        <w:t>)</w:t>
      </w:r>
      <w:r w:rsidRPr="005524F5">
        <w:rPr>
          <w:rFonts w:ascii="Times New Roman" w:hAnsi="Times New Roman" w:cs="Times New Roman"/>
          <w:bCs/>
          <w:sz w:val="24"/>
          <w:szCs w:val="24"/>
        </w:rPr>
        <w:t xml:space="preserve">. In total, an expenditure of </w:t>
      </w:r>
      <w:r>
        <w:rPr>
          <w:sz w:val="23"/>
          <w:szCs w:val="23"/>
        </w:rPr>
        <w:t>₺</w:t>
      </w:r>
      <w:r w:rsidRPr="005524F5">
        <w:rPr>
          <w:rFonts w:ascii="Times New Roman" w:hAnsi="Times New Roman" w:cs="Times New Roman"/>
          <w:bCs/>
          <w:sz w:val="24"/>
          <w:szCs w:val="24"/>
        </w:rPr>
        <w:t>44 billion is needed for teacher and aid salaries</w:t>
      </w:r>
      <w:r w:rsidR="001D46D2">
        <w:rPr>
          <w:rFonts w:ascii="Times New Roman" w:hAnsi="Times New Roman" w:cs="Times New Roman"/>
          <w:bCs/>
          <w:sz w:val="24"/>
          <w:szCs w:val="24"/>
        </w:rPr>
        <w:t>.</w:t>
      </w:r>
    </w:p>
    <w:p w14:paraId="78C2A828" w14:textId="7CD530FF" w:rsidR="00C00902" w:rsidRPr="005524F5" w:rsidRDefault="00C00902" w:rsidP="001D46D2">
      <w:pPr>
        <w:spacing w:line="480" w:lineRule="auto"/>
        <w:ind w:firstLine="360"/>
        <w:rPr>
          <w:rFonts w:ascii="Times New Roman" w:hAnsi="Times New Roman" w:cs="Times New Roman"/>
          <w:bCs/>
          <w:sz w:val="24"/>
          <w:szCs w:val="24"/>
        </w:rPr>
      </w:pPr>
      <w:bookmarkStart w:id="0" w:name="_Hlk65354110"/>
      <w:r w:rsidRPr="005524F5">
        <w:rPr>
          <w:rFonts w:ascii="Times New Roman" w:hAnsi="Times New Roman" w:cs="Times New Roman"/>
          <w:bCs/>
          <w:sz w:val="24"/>
          <w:szCs w:val="24"/>
        </w:rPr>
        <w:t xml:space="preserve">In 2019, the total cost of preschool education, including kindergartens and nurseries, was </w:t>
      </w:r>
      <w:r>
        <w:rPr>
          <w:sz w:val="23"/>
          <w:szCs w:val="23"/>
        </w:rPr>
        <w:t>₺</w:t>
      </w:r>
      <w:r w:rsidRPr="005524F5">
        <w:rPr>
          <w:rFonts w:ascii="Times New Roman" w:hAnsi="Times New Roman" w:cs="Times New Roman"/>
          <w:bCs/>
          <w:sz w:val="24"/>
          <w:szCs w:val="24"/>
        </w:rPr>
        <w:t xml:space="preserve">19.9 billion </w:t>
      </w:r>
      <w:r w:rsidRPr="0080148B">
        <w:rPr>
          <w:rFonts w:ascii="Times New Roman" w:hAnsi="Times New Roman" w:cs="Times New Roman"/>
          <w:bCs/>
          <w:sz w:val="24"/>
          <w:szCs w:val="24"/>
        </w:rPr>
        <w:t>(</w:t>
      </w:r>
      <w:r w:rsidR="003C3761" w:rsidRPr="0080148B">
        <w:rPr>
          <w:rFonts w:ascii="Times New Roman" w:hAnsi="Times New Roman" w:cs="Times New Roman"/>
          <w:bCs/>
          <w:sz w:val="24"/>
          <w:szCs w:val="24"/>
        </w:rPr>
        <w:t>Turkish Statistical Institute</w:t>
      </w:r>
      <w:r w:rsidRPr="0080148B">
        <w:rPr>
          <w:rFonts w:ascii="Times New Roman" w:hAnsi="Times New Roman" w:cs="Times New Roman"/>
          <w:bCs/>
          <w:sz w:val="24"/>
          <w:szCs w:val="24"/>
        </w:rPr>
        <w:t xml:space="preserve"> 2019</w:t>
      </w:r>
      <w:r w:rsidR="00041E99" w:rsidRPr="0080148B">
        <w:rPr>
          <w:rFonts w:ascii="Times New Roman" w:hAnsi="Times New Roman" w:cs="Times New Roman"/>
          <w:bCs/>
          <w:sz w:val="24"/>
          <w:szCs w:val="24"/>
        </w:rPr>
        <w:t>a</w:t>
      </w:r>
      <w:r w:rsidRPr="0080148B">
        <w:rPr>
          <w:rFonts w:ascii="Times New Roman" w:hAnsi="Times New Roman" w:cs="Times New Roman"/>
          <w:bCs/>
          <w:sz w:val="24"/>
          <w:szCs w:val="24"/>
        </w:rPr>
        <w:t>).</w:t>
      </w:r>
      <w:r w:rsidRPr="0080148B">
        <w:rPr>
          <w:rFonts w:ascii="Times New Roman" w:hAnsi="Times New Roman" w:cs="Times New Roman"/>
          <w:sz w:val="24"/>
          <w:szCs w:val="24"/>
          <w:vertAlign w:val="superscript"/>
        </w:rPr>
        <w:footnoteReference w:id="2"/>
      </w:r>
      <w:r w:rsidRPr="005524F5">
        <w:rPr>
          <w:rFonts w:ascii="Times New Roman" w:hAnsi="Times New Roman" w:cs="Times New Roman"/>
          <w:bCs/>
          <w:sz w:val="24"/>
          <w:szCs w:val="24"/>
        </w:rPr>
        <w:t xml:space="preserve"> A total of 93,302 teachers were employed, receiving a salary of </w:t>
      </w:r>
      <w:r>
        <w:rPr>
          <w:sz w:val="23"/>
          <w:szCs w:val="23"/>
        </w:rPr>
        <w:t>₺</w:t>
      </w:r>
      <w:r w:rsidRPr="005524F5">
        <w:rPr>
          <w:rFonts w:ascii="Times New Roman" w:hAnsi="Times New Roman" w:cs="Times New Roman"/>
          <w:bCs/>
          <w:sz w:val="24"/>
          <w:szCs w:val="24"/>
        </w:rPr>
        <w:t xml:space="preserve">5.6 billion. Consequently, non-salary expenses for ECCE amounted to </w:t>
      </w:r>
      <w:r>
        <w:rPr>
          <w:sz w:val="23"/>
          <w:szCs w:val="23"/>
        </w:rPr>
        <w:t>₺</w:t>
      </w:r>
      <w:r w:rsidRPr="005524F5">
        <w:rPr>
          <w:rFonts w:ascii="Times New Roman" w:hAnsi="Times New Roman" w:cs="Times New Roman"/>
          <w:bCs/>
          <w:sz w:val="24"/>
          <w:szCs w:val="24"/>
        </w:rPr>
        <w:t xml:space="preserve">14.2 billion. With 1,575,165 students enrolled, the non-salary expenses per student were </w:t>
      </w:r>
      <w:r>
        <w:rPr>
          <w:sz w:val="23"/>
          <w:szCs w:val="23"/>
        </w:rPr>
        <w:t>₺</w:t>
      </w:r>
      <w:r w:rsidRPr="005524F5">
        <w:rPr>
          <w:rFonts w:ascii="Times New Roman" w:hAnsi="Times New Roman" w:cs="Times New Roman"/>
          <w:bCs/>
          <w:sz w:val="24"/>
          <w:szCs w:val="24"/>
        </w:rPr>
        <w:t xml:space="preserve">9,025.6. Accordingly, to bridge the coverage gap (4.3 million pupils) in </w:t>
      </w:r>
      <w:r w:rsidR="009210A0">
        <w:rPr>
          <w:rFonts w:ascii="Times New Roman" w:hAnsi="Times New Roman" w:cs="Times New Roman"/>
          <w:bCs/>
          <w:sz w:val="24"/>
          <w:szCs w:val="24"/>
        </w:rPr>
        <w:t>ECCE</w:t>
      </w:r>
      <w:r w:rsidRPr="005524F5">
        <w:rPr>
          <w:rFonts w:ascii="Times New Roman" w:hAnsi="Times New Roman" w:cs="Times New Roman"/>
          <w:bCs/>
          <w:sz w:val="24"/>
          <w:szCs w:val="24"/>
        </w:rPr>
        <w:t xml:space="preserve">, an additional </w:t>
      </w:r>
      <w:r>
        <w:rPr>
          <w:sz w:val="23"/>
          <w:szCs w:val="23"/>
        </w:rPr>
        <w:t>₺</w:t>
      </w:r>
      <w:r w:rsidRPr="005524F5">
        <w:rPr>
          <w:rFonts w:ascii="Times New Roman" w:hAnsi="Times New Roman" w:cs="Times New Roman"/>
          <w:bCs/>
          <w:sz w:val="24"/>
          <w:szCs w:val="24"/>
        </w:rPr>
        <w:t>38.8 billion is required to cover non-salary expenditure</w:t>
      </w:r>
      <w:r w:rsidR="001D46D2">
        <w:rPr>
          <w:rFonts w:ascii="Times New Roman" w:hAnsi="Times New Roman" w:cs="Times New Roman"/>
          <w:bCs/>
          <w:sz w:val="24"/>
          <w:szCs w:val="24"/>
        </w:rPr>
        <w:t>s (Equation 3)</w:t>
      </w:r>
      <w:r w:rsidRPr="005524F5">
        <w:rPr>
          <w:rFonts w:ascii="Times New Roman" w:hAnsi="Times New Roman" w:cs="Times New Roman"/>
          <w:bCs/>
          <w:sz w:val="24"/>
          <w:szCs w:val="24"/>
        </w:rPr>
        <w:t xml:space="preserve">. The overall expenditures, including salary and non-salary expenses, reach </w:t>
      </w:r>
      <w:r>
        <w:rPr>
          <w:sz w:val="23"/>
          <w:szCs w:val="23"/>
        </w:rPr>
        <w:t>₺</w:t>
      </w:r>
      <w:r w:rsidRPr="005524F5">
        <w:rPr>
          <w:rFonts w:ascii="Times New Roman" w:hAnsi="Times New Roman" w:cs="Times New Roman"/>
          <w:bCs/>
          <w:sz w:val="24"/>
          <w:szCs w:val="24"/>
        </w:rPr>
        <w:t>82.8 billion, equivalent to 1.92 percent of GDP</w:t>
      </w:r>
      <w:r w:rsidR="001D46D2">
        <w:rPr>
          <w:rFonts w:ascii="Times New Roman" w:hAnsi="Times New Roman" w:cs="Times New Roman"/>
          <w:bCs/>
          <w:sz w:val="24"/>
          <w:szCs w:val="24"/>
        </w:rPr>
        <w:t xml:space="preserve"> (Equation 4).</w:t>
      </w:r>
    </w:p>
    <w:p w14:paraId="5EBA0B87" w14:textId="77777777" w:rsidR="00C00902" w:rsidRPr="005524F5" w:rsidRDefault="00C00902" w:rsidP="00C00902">
      <w:pPr>
        <w:spacing w:line="480" w:lineRule="auto"/>
        <w:ind w:firstLine="360"/>
        <w:rPr>
          <w:rFonts w:ascii="Times New Roman" w:hAnsi="Times New Roman" w:cs="Times New Roman"/>
          <w:bCs/>
          <w:sz w:val="24"/>
          <w:szCs w:val="24"/>
        </w:rPr>
      </w:pPr>
      <w:r w:rsidRPr="005524F5">
        <w:rPr>
          <w:rFonts w:ascii="Times New Roman" w:hAnsi="Times New Roman" w:cs="Times New Roman"/>
          <w:bCs/>
          <w:sz w:val="24"/>
          <w:szCs w:val="24"/>
        </w:rPr>
        <w:t xml:space="preserve">Secondly, the preschool calculations were repeated for primary, lower </w:t>
      </w:r>
      <w:r w:rsidRPr="005524F5">
        <w:rPr>
          <w:rFonts w:ascii="Times New Roman" w:hAnsi="Times New Roman" w:cs="Times New Roman"/>
          <w:bCs/>
          <w:color w:val="000000" w:themeColor="text1"/>
          <w:sz w:val="24"/>
          <w:szCs w:val="24"/>
        </w:rPr>
        <w:t xml:space="preserve">secondary, and high </w:t>
      </w:r>
      <w:r w:rsidRPr="005524F5">
        <w:rPr>
          <w:rFonts w:ascii="Times New Roman" w:hAnsi="Times New Roman" w:cs="Times New Roman"/>
          <w:bCs/>
          <w:sz w:val="24"/>
          <w:szCs w:val="24"/>
        </w:rPr>
        <w:t xml:space="preserve">school education for the 2018–2019 period and the results are presented below. </w:t>
      </w:r>
    </w:p>
    <w:p w14:paraId="225923C5" w14:textId="218A62AA" w:rsidR="00C00902" w:rsidRPr="005524F5" w:rsidRDefault="00C00902" w:rsidP="00C00902">
      <w:pPr>
        <w:spacing w:line="480" w:lineRule="auto"/>
        <w:ind w:firstLine="360"/>
        <w:rPr>
          <w:rFonts w:ascii="Times New Roman" w:hAnsi="Times New Roman" w:cs="Times New Roman"/>
          <w:bCs/>
          <w:sz w:val="24"/>
          <w:szCs w:val="24"/>
        </w:rPr>
      </w:pPr>
      <w:r w:rsidRPr="005524F5">
        <w:rPr>
          <w:rFonts w:ascii="Times New Roman" w:hAnsi="Times New Roman" w:cs="Times New Roman"/>
          <w:bCs/>
          <w:sz w:val="24"/>
          <w:szCs w:val="24"/>
        </w:rPr>
        <w:t>To achieve the ILO's 2018 goal of 100 percent coverage, the entire population of children aged 6 to 9 (5,066,591) should be included in the primary education system. In the 2018–2019 academic year, 4,657,210 children, or 91.92 percent of the relevant age group, were enrolled in primary school, leaving a need for 409,381 additional capacities</w:t>
      </w:r>
      <w:r w:rsidR="00DE7D9C">
        <w:rPr>
          <w:rFonts w:ascii="Times New Roman" w:hAnsi="Times New Roman" w:cs="Times New Roman"/>
          <w:bCs/>
          <w:sz w:val="24"/>
          <w:szCs w:val="24"/>
        </w:rPr>
        <w:t xml:space="preserve"> (Equation 1). </w:t>
      </w:r>
      <w:r w:rsidRPr="005524F5">
        <w:rPr>
          <w:rFonts w:ascii="Times New Roman" w:hAnsi="Times New Roman" w:cs="Times New Roman"/>
          <w:bCs/>
          <w:sz w:val="24"/>
          <w:szCs w:val="24"/>
        </w:rPr>
        <w:t xml:space="preserve"> Following the target of 31 pupils per teacher set by </w:t>
      </w:r>
      <w:r w:rsidR="006A341C">
        <w:rPr>
          <w:rFonts w:ascii="Times New Roman" w:hAnsi="Times New Roman" w:cs="Times New Roman"/>
          <w:bCs/>
          <w:sz w:val="24"/>
          <w:szCs w:val="24"/>
        </w:rPr>
        <w:t xml:space="preserve">the </w:t>
      </w:r>
      <w:r w:rsidR="006A341C" w:rsidRPr="006A341C">
        <w:rPr>
          <w:rFonts w:ascii="Times New Roman" w:hAnsi="Times New Roman" w:cs="Times New Roman"/>
          <w:bCs/>
          <w:sz w:val="24"/>
          <w:szCs w:val="24"/>
        </w:rPr>
        <w:t xml:space="preserve">International </w:t>
      </w:r>
      <w:proofErr w:type="spellStart"/>
      <w:r w:rsidR="006A341C" w:rsidRPr="006A341C">
        <w:rPr>
          <w:rFonts w:ascii="Times New Roman" w:hAnsi="Times New Roman" w:cs="Times New Roman"/>
          <w:bCs/>
          <w:sz w:val="24"/>
          <w:szCs w:val="24"/>
        </w:rPr>
        <w:t>Labour</w:t>
      </w:r>
      <w:proofErr w:type="spellEnd"/>
      <w:r w:rsidR="006A341C" w:rsidRPr="006A341C">
        <w:rPr>
          <w:rFonts w:ascii="Times New Roman" w:hAnsi="Times New Roman" w:cs="Times New Roman"/>
          <w:bCs/>
          <w:sz w:val="24"/>
          <w:szCs w:val="24"/>
        </w:rPr>
        <w:t xml:space="preserve"> </w:t>
      </w:r>
      <w:r w:rsidR="006A341C" w:rsidRPr="0080148B">
        <w:rPr>
          <w:rFonts w:ascii="Times New Roman" w:hAnsi="Times New Roman" w:cs="Times New Roman"/>
          <w:bCs/>
          <w:sz w:val="24"/>
          <w:szCs w:val="24"/>
        </w:rPr>
        <w:t>Organization</w:t>
      </w:r>
      <w:r w:rsidR="006A341C" w:rsidRPr="0080148B">
        <w:rPr>
          <w:rFonts w:ascii="Times New Roman" w:hAnsi="Times New Roman" w:cs="Times New Roman"/>
          <w:bCs/>
          <w:sz w:val="24"/>
          <w:szCs w:val="24"/>
        </w:rPr>
        <w:t xml:space="preserve"> (</w:t>
      </w:r>
      <w:r w:rsidRPr="0080148B">
        <w:rPr>
          <w:rFonts w:ascii="Times New Roman" w:hAnsi="Times New Roman" w:cs="Times New Roman"/>
          <w:bCs/>
          <w:sz w:val="24"/>
          <w:szCs w:val="24"/>
        </w:rPr>
        <w:t xml:space="preserve">2018), hiring 13,206 additional teachers would bridge this coverage gap, requiring a gross yearly salary expenditure of </w:t>
      </w:r>
      <w:r w:rsidRPr="0080148B">
        <w:rPr>
          <w:sz w:val="23"/>
          <w:szCs w:val="23"/>
        </w:rPr>
        <w:t>₺</w:t>
      </w:r>
      <w:r w:rsidRPr="0080148B">
        <w:rPr>
          <w:rFonts w:ascii="Times New Roman" w:hAnsi="Times New Roman" w:cs="Times New Roman"/>
          <w:bCs/>
          <w:sz w:val="24"/>
          <w:szCs w:val="24"/>
        </w:rPr>
        <w:t>1.1 billion</w:t>
      </w:r>
      <w:r w:rsidR="00DE7D9C" w:rsidRPr="0080148B">
        <w:rPr>
          <w:rFonts w:ascii="Times New Roman" w:hAnsi="Times New Roman" w:cs="Times New Roman"/>
          <w:bCs/>
          <w:sz w:val="24"/>
          <w:szCs w:val="24"/>
        </w:rPr>
        <w:t xml:space="preserve"> (Equation 2).</w:t>
      </w:r>
      <w:r w:rsidRPr="0080148B">
        <w:rPr>
          <w:rFonts w:ascii="Times New Roman" w:hAnsi="Times New Roman" w:cs="Times New Roman"/>
          <w:bCs/>
          <w:sz w:val="24"/>
          <w:szCs w:val="24"/>
        </w:rPr>
        <w:t xml:space="preserve"> Addition</w:t>
      </w:r>
      <w:r w:rsidRPr="005524F5">
        <w:rPr>
          <w:rFonts w:ascii="Times New Roman" w:hAnsi="Times New Roman" w:cs="Times New Roman"/>
          <w:bCs/>
          <w:sz w:val="24"/>
          <w:szCs w:val="24"/>
        </w:rPr>
        <w:t xml:space="preserve">ally, the required annual non-salary spending </w:t>
      </w:r>
      <w:r w:rsidRPr="005524F5">
        <w:rPr>
          <w:rFonts w:ascii="Times New Roman" w:hAnsi="Times New Roman" w:cs="Times New Roman"/>
          <w:bCs/>
          <w:sz w:val="24"/>
          <w:szCs w:val="24"/>
        </w:rPr>
        <w:lastRenderedPageBreak/>
        <w:t xml:space="preserve">amounts to </w:t>
      </w:r>
      <w:r>
        <w:rPr>
          <w:sz w:val="23"/>
          <w:szCs w:val="23"/>
        </w:rPr>
        <w:t>₺</w:t>
      </w:r>
      <w:r w:rsidRPr="005524F5">
        <w:rPr>
          <w:rFonts w:ascii="Times New Roman" w:hAnsi="Times New Roman" w:cs="Times New Roman"/>
          <w:bCs/>
          <w:sz w:val="24"/>
          <w:szCs w:val="24"/>
        </w:rPr>
        <w:t>1.9 billion</w:t>
      </w:r>
      <w:r w:rsidR="00DE7D9C">
        <w:rPr>
          <w:rFonts w:ascii="Times New Roman" w:hAnsi="Times New Roman" w:cs="Times New Roman"/>
          <w:bCs/>
          <w:sz w:val="24"/>
          <w:szCs w:val="24"/>
        </w:rPr>
        <w:t xml:space="preserve"> (Equation 3)</w:t>
      </w:r>
      <w:r w:rsidRPr="005524F5">
        <w:rPr>
          <w:rFonts w:ascii="Times New Roman" w:hAnsi="Times New Roman" w:cs="Times New Roman"/>
          <w:bCs/>
          <w:sz w:val="24"/>
          <w:szCs w:val="24"/>
        </w:rPr>
        <w:t xml:space="preserve">. Therefore, an investment of </w:t>
      </w:r>
      <w:r>
        <w:rPr>
          <w:sz w:val="23"/>
          <w:szCs w:val="23"/>
        </w:rPr>
        <w:t>₺</w:t>
      </w:r>
      <w:r w:rsidRPr="005524F5">
        <w:rPr>
          <w:rFonts w:ascii="Times New Roman" w:hAnsi="Times New Roman" w:cs="Times New Roman"/>
          <w:bCs/>
          <w:sz w:val="24"/>
          <w:szCs w:val="24"/>
        </w:rPr>
        <w:t>3 billion is necessary to enroll an additional 409,381 pupils in primary school, equivalent to 0.07 percent of GDP</w:t>
      </w:r>
      <w:r w:rsidR="00DE7D9C">
        <w:rPr>
          <w:rFonts w:ascii="Times New Roman" w:hAnsi="Times New Roman" w:cs="Times New Roman"/>
          <w:bCs/>
          <w:sz w:val="24"/>
          <w:szCs w:val="24"/>
        </w:rPr>
        <w:t xml:space="preserve"> (Equation 4).</w:t>
      </w:r>
    </w:p>
    <w:p w14:paraId="50BDFB5B" w14:textId="48417D96" w:rsidR="00C00902" w:rsidRPr="005524F5" w:rsidRDefault="00C00902" w:rsidP="00C00902">
      <w:pPr>
        <w:spacing w:line="480" w:lineRule="auto"/>
        <w:ind w:firstLine="360"/>
        <w:rPr>
          <w:rFonts w:ascii="Times New Roman" w:hAnsi="Times New Roman" w:cs="Times New Roman"/>
          <w:bCs/>
          <w:sz w:val="24"/>
          <w:szCs w:val="24"/>
        </w:rPr>
      </w:pPr>
      <w:r w:rsidRPr="005524F5">
        <w:rPr>
          <w:rFonts w:ascii="Times New Roman" w:hAnsi="Times New Roman" w:cs="Times New Roman"/>
          <w:bCs/>
          <w:sz w:val="24"/>
          <w:szCs w:val="24"/>
        </w:rPr>
        <w:t>To fulfill the ILO's 100 percent coverage goal for lower secondary school education, the entire population of children aged 10 to 13, totaling 5,115,296 students, should be included. In the 2018–2019 academic year, 4,771,548 children, or 93.3 percent of the relevant age group, were enrolled, leaving a need for 343,748 additional capacities</w:t>
      </w:r>
      <w:r w:rsidR="00DE7D9C">
        <w:rPr>
          <w:rFonts w:ascii="Times New Roman" w:hAnsi="Times New Roman" w:cs="Times New Roman"/>
          <w:bCs/>
          <w:sz w:val="24"/>
          <w:szCs w:val="24"/>
        </w:rPr>
        <w:t xml:space="preserve"> (Equation 1</w:t>
      </w:r>
      <w:r w:rsidR="00DE7D9C" w:rsidRPr="0080148B">
        <w:rPr>
          <w:rFonts w:ascii="Times New Roman" w:hAnsi="Times New Roman" w:cs="Times New Roman"/>
          <w:bCs/>
          <w:sz w:val="24"/>
          <w:szCs w:val="24"/>
        </w:rPr>
        <w:t xml:space="preserve">). </w:t>
      </w:r>
      <w:r w:rsidRPr="0080148B">
        <w:rPr>
          <w:rFonts w:ascii="Times New Roman" w:hAnsi="Times New Roman" w:cs="Times New Roman"/>
          <w:bCs/>
          <w:sz w:val="24"/>
          <w:szCs w:val="24"/>
        </w:rPr>
        <w:t xml:space="preserve">Following the target of 28 students per teacher set by </w:t>
      </w:r>
      <w:r w:rsidR="0080148B" w:rsidRPr="0080148B">
        <w:rPr>
          <w:rFonts w:ascii="Times New Roman" w:hAnsi="Times New Roman" w:cs="Times New Roman"/>
          <w:bCs/>
          <w:sz w:val="24"/>
          <w:szCs w:val="24"/>
        </w:rPr>
        <w:t xml:space="preserve">the </w:t>
      </w:r>
      <w:r w:rsidR="006A341C" w:rsidRPr="0080148B">
        <w:rPr>
          <w:rFonts w:ascii="Times New Roman" w:hAnsi="Times New Roman" w:cs="Times New Roman"/>
          <w:bCs/>
          <w:sz w:val="24"/>
          <w:szCs w:val="24"/>
        </w:rPr>
        <w:t xml:space="preserve">International </w:t>
      </w:r>
      <w:proofErr w:type="spellStart"/>
      <w:r w:rsidR="006A341C" w:rsidRPr="0080148B">
        <w:rPr>
          <w:rFonts w:ascii="Times New Roman" w:hAnsi="Times New Roman" w:cs="Times New Roman"/>
          <w:bCs/>
          <w:sz w:val="24"/>
          <w:szCs w:val="24"/>
        </w:rPr>
        <w:t>Labour</w:t>
      </w:r>
      <w:proofErr w:type="spellEnd"/>
      <w:r w:rsidR="006A341C" w:rsidRPr="0080148B">
        <w:rPr>
          <w:rFonts w:ascii="Times New Roman" w:hAnsi="Times New Roman" w:cs="Times New Roman"/>
          <w:bCs/>
          <w:sz w:val="24"/>
          <w:szCs w:val="24"/>
        </w:rPr>
        <w:t xml:space="preserve"> Organization</w:t>
      </w:r>
      <w:r w:rsidRPr="0080148B">
        <w:rPr>
          <w:rFonts w:ascii="Times New Roman" w:hAnsi="Times New Roman" w:cs="Times New Roman"/>
          <w:bCs/>
          <w:sz w:val="24"/>
          <w:szCs w:val="24"/>
        </w:rPr>
        <w:t xml:space="preserve"> </w:t>
      </w:r>
      <w:r w:rsidR="006A341C" w:rsidRPr="0080148B">
        <w:rPr>
          <w:rFonts w:ascii="Times New Roman" w:hAnsi="Times New Roman" w:cs="Times New Roman"/>
          <w:bCs/>
          <w:sz w:val="24"/>
          <w:szCs w:val="24"/>
        </w:rPr>
        <w:t>(</w:t>
      </w:r>
      <w:r w:rsidRPr="0080148B">
        <w:rPr>
          <w:rFonts w:ascii="Times New Roman" w:hAnsi="Times New Roman" w:cs="Times New Roman"/>
          <w:bCs/>
          <w:sz w:val="24"/>
          <w:szCs w:val="24"/>
        </w:rPr>
        <w:t>2018), hiring</w:t>
      </w:r>
      <w:r w:rsidRPr="005524F5">
        <w:rPr>
          <w:rFonts w:ascii="Times New Roman" w:hAnsi="Times New Roman" w:cs="Times New Roman"/>
          <w:bCs/>
          <w:sz w:val="24"/>
          <w:szCs w:val="24"/>
        </w:rPr>
        <w:t xml:space="preserve"> 12,277 teachers would bridge this coverage gap, requiring a total gross yearly salary expenditure of </w:t>
      </w:r>
      <w:r>
        <w:rPr>
          <w:sz w:val="23"/>
          <w:szCs w:val="23"/>
        </w:rPr>
        <w:t>₺</w:t>
      </w:r>
      <w:r w:rsidRPr="005524F5">
        <w:rPr>
          <w:rFonts w:ascii="Times New Roman" w:hAnsi="Times New Roman" w:cs="Times New Roman"/>
          <w:bCs/>
          <w:sz w:val="24"/>
          <w:szCs w:val="24"/>
        </w:rPr>
        <w:t>1 billion</w:t>
      </w:r>
      <w:r w:rsidR="00DE7D9C">
        <w:rPr>
          <w:rFonts w:ascii="Times New Roman" w:hAnsi="Times New Roman" w:cs="Times New Roman"/>
          <w:bCs/>
          <w:sz w:val="24"/>
          <w:szCs w:val="24"/>
        </w:rPr>
        <w:t xml:space="preserve"> (Equation 2).</w:t>
      </w:r>
      <w:r w:rsidRPr="005524F5">
        <w:rPr>
          <w:rFonts w:ascii="Times New Roman" w:hAnsi="Times New Roman" w:cs="Times New Roman"/>
          <w:bCs/>
          <w:sz w:val="24"/>
          <w:szCs w:val="24"/>
        </w:rPr>
        <w:t xml:space="preserve"> Additionally, overall yearly non-salary spending amounts to </w:t>
      </w:r>
      <w:r>
        <w:rPr>
          <w:sz w:val="23"/>
          <w:szCs w:val="23"/>
        </w:rPr>
        <w:t>₺</w:t>
      </w:r>
      <w:r w:rsidRPr="005524F5">
        <w:rPr>
          <w:rFonts w:ascii="Times New Roman" w:hAnsi="Times New Roman" w:cs="Times New Roman"/>
          <w:bCs/>
          <w:sz w:val="24"/>
          <w:szCs w:val="24"/>
        </w:rPr>
        <w:t>1.9 billion</w:t>
      </w:r>
      <w:r w:rsidR="00DD0601">
        <w:rPr>
          <w:rFonts w:ascii="Times New Roman" w:hAnsi="Times New Roman" w:cs="Times New Roman"/>
          <w:bCs/>
          <w:sz w:val="24"/>
          <w:szCs w:val="24"/>
        </w:rPr>
        <w:t xml:space="preserve"> (Equation 3)</w:t>
      </w:r>
      <w:r w:rsidRPr="005524F5">
        <w:rPr>
          <w:rFonts w:ascii="Times New Roman" w:hAnsi="Times New Roman" w:cs="Times New Roman"/>
          <w:bCs/>
          <w:sz w:val="24"/>
          <w:szCs w:val="24"/>
        </w:rPr>
        <w:t>.</w:t>
      </w:r>
      <w:r w:rsidRPr="005524F5">
        <w:rPr>
          <w:rStyle w:val="DipnotBavurusu"/>
          <w:rFonts w:ascii="Times New Roman" w:hAnsi="Times New Roman" w:cs="Times New Roman"/>
          <w:sz w:val="24"/>
          <w:szCs w:val="24"/>
        </w:rPr>
        <w:footnoteReference w:id="3"/>
      </w:r>
      <w:r w:rsidRPr="005524F5">
        <w:rPr>
          <w:rFonts w:ascii="Times New Roman" w:hAnsi="Times New Roman" w:cs="Times New Roman"/>
          <w:bCs/>
          <w:sz w:val="24"/>
          <w:szCs w:val="24"/>
        </w:rPr>
        <w:t xml:space="preserve"> Therefore, enrolling </w:t>
      </w:r>
      <w:r w:rsidR="0080148B">
        <w:rPr>
          <w:rFonts w:ascii="Times New Roman" w:hAnsi="Times New Roman" w:cs="Times New Roman"/>
          <w:bCs/>
          <w:sz w:val="24"/>
          <w:szCs w:val="24"/>
        </w:rPr>
        <w:t>an</w:t>
      </w:r>
      <w:r w:rsidRPr="005524F5">
        <w:rPr>
          <w:rFonts w:ascii="Times New Roman" w:hAnsi="Times New Roman" w:cs="Times New Roman"/>
          <w:bCs/>
          <w:sz w:val="24"/>
          <w:szCs w:val="24"/>
        </w:rPr>
        <w:t xml:space="preserve"> additional 343,748 lower secondary school students would necessitate a total investment of </w:t>
      </w:r>
      <w:r>
        <w:rPr>
          <w:sz w:val="23"/>
          <w:szCs w:val="23"/>
        </w:rPr>
        <w:t>₺</w:t>
      </w:r>
      <w:r w:rsidRPr="005524F5">
        <w:rPr>
          <w:rFonts w:ascii="Times New Roman" w:hAnsi="Times New Roman" w:cs="Times New Roman"/>
          <w:bCs/>
          <w:sz w:val="24"/>
          <w:szCs w:val="24"/>
        </w:rPr>
        <w:t>2.9 billion, equivalent to 0.07 percent of GDP</w:t>
      </w:r>
      <w:r w:rsidR="00DD0601">
        <w:rPr>
          <w:rFonts w:ascii="Times New Roman" w:hAnsi="Times New Roman" w:cs="Times New Roman"/>
          <w:bCs/>
          <w:sz w:val="24"/>
          <w:szCs w:val="24"/>
        </w:rPr>
        <w:t xml:space="preserve"> (Equation 4)</w:t>
      </w:r>
      <w:r w:rsidRPr="005524F5">
        <w:rPr>
          <w:rFonts w:ascii="Times New Roman" w:hAnsi="Times New Roman" w:cs="Times New Roman"/>
          <w:bCs/>
          <w:sz w:val="24"/>
          <w:szCs w:val="24"/>
        </w:rPr>
        <w:t>.</w:t>
      </w:r>
    </w:p>
    <w:p w14:paraId="2360B424" w14:textId="412A3ECB" w:rsidR="00C00902" w:rsidRPr="005524F5" w:rsidRDefault="00C00902" w:rsidP="00C00902">
      <w:pPr>
        <w:spacing w:line="480" w:lineRule="auto"/>
        <w:ind w:firstLine="360"/>
        <w:rPr>
          <w:rFonts w:ascii="Times New Roman" w:hAnsi="Times New Roman" w:cs="Times New Roman"/>
          <w:bCs/>
          <w:sz w:val="24"/>
          <w:szCs w:val="24"/>
        </w:rPr>
      </w:pPr>
      <w:r w:rsidRPr="005524F5">
        <w:rPr>
          <w:rFonts w:ascii="Times New Roman" w:hAnsi="Times New Roman" w:cs="Times New Roman"/>
          <w:bCs/>
          <w:sz w:val="24"/>
          <w:szCs w:val="24"/>
        </w:rPr>
        <w:t>To achieve the ILO's 2018 goal of 100 percent coverage in high school education, 4,961,220 students need to be enrolled within the age range of 14 to 17. In the 2018–2019 academic year, 4,961,220 pupils (84.2 percent) were enrolled in high schools, leaving a need for 783,873 additional capacities</w:t>
      </w:r>
      <w:r w:rsidR="00DD0601">
        <w:rPr>
          <w:rFonts w:ascii="Times New Roman" w:hAnsi="Times New Roman" w:cs="Times New Roman"/>
          <w:bCs/>
          <w:sz w:val="24"/>
          <w:szCs w:val="24"/>
        </w:rPr>
        <w:t xml:space="preserve"> (Equation 1)</w:t>
      </w:r>
      <w:r w:rsidRPr="005524F5">
        <w:rPr>
          <w:rFonts w:ascii="Times New Roman" w:hAnsi="Times New Roman" w:cs="Times New Roman"/>
          <w:bCs/>
          <w:sz w:val="24"/>
          <w:szCs w:val="24"/>
        </w:rPr>
        <w:t xml:space="preserve">. To bridge this coverage gap, hiring 27,995 additional teachers is required to meet the ILO's target of 28 students per teacher. Therefore, the total gross yearly salary expenditures must amount to </w:t>
      </w:r>
      <w:r>
        <w:rPr>
          <w:sz w:val="23"/>
          <w:szCs w:val="23"/>
        </w:rPr>
        <w:t>₺</w:t>
      </w:r>
      <w:r w:rsidRPr="005524F5">
        <w:rPr>
          <w:rFonts w:ascii="Times New Roman" w:hAnsi="Times New Roman" w:cs="Times New Roman"/>
          <w:bCs/>
          <w:sz w:val="24"/>
          <w:szCs w:val="24"/>
        </w:rPr>
        <w:t>2.3 billion</w:t>
      </w:r>
      <w:r w:rsidR="00A94BEA">
        <w:rPr>
          <w:rFonts w:ascii="Times New Roman" w:hAnsi="Times New Roman" w:cs="Times New Roman"/>
          <w:bCs/>
          <w:sz w:val="24"/>
          <w:szCs w:val="24"/>
        </w:rPr>
        <w:t xml:space="preserve"> (Equation 2). </w:t>
      </w:r>
      <w:r w:rsidRPr="005524F5">
        <w:rPr>
          <w:rFonts w:ascii="Times New Roman" w:hAnsi="Times New Roman" w:cs="Times New Roman"/>
          <w:bCs/>
          <w:sz w:val="24"/>
          <w:szCs w:val="24"/>
        </w:rPr>
        <w:t xml:space="preserve">Overall non-salary spending for the year reaches </w:t>
      </w:r>
      <w:r>
        <w:rPr>
          <w:sz w:val="23"/>
          <w:szCs w:val="23"/>
        </w:rPr>
        <w:t>₺</w:t>
      </w:r>
      <w:r w:rsidRPr="005524F5">
        <w:rPr>
          <w:rFonts w:ascii="Times New Roman" w:hAnsi="Times New Roman" w:cs="Times New Roman"/>
          <w:bCs/>
          <w:sz w:val="24"/>
          <w:szCs w:val="24"/>
        </w:rPr>
        <w:t>7.4 billion</w:t>
      </w:r>
      <w:r w:rsidR="00A94BEA">
        <w:rPr>
          <w:rFonts w:ascii="Times New Roman" w:hAnsi="Times New Roman" w:cs="Times New Roman"/>
          <w:bCs/>
          <w:sz w:val="24"/>
          <w:szCs w:val="24"/>
        </w:rPr>
        <w:t xml:space="preserve"> (Equation 3)</w:t>
      </w:r>
      <w:r w:rsidRPr="005524F5">
        <w:rPr>
          <w:rFonts w:ascii="Times New Roman" w:hAnsi="Times New Roman" w:cs="Times New Roman"/>
          <w:bCs/>
          <w:sz w:val="24"/>
          <w:szCs w:val="24"/>
        </w:rPr>
        <w:t>.</w:t>
      </w:r>
      <w:r w:rsidRPr="005524F5">
        <w:rPr>
          <w:rStyle w:val="DipnotBavurusu"/>
          <w:rFonts w:ascii="Times New Roman" w:hAnsi="Times New Roman" w:cs="Times New Roman"/>
          <w:sz w:val="24"/>
          <w:szCs w:val="24"/>
        </w:rPr>
        <w:t xml:space="preserve"> </w:t>
      </w:r>
      <w:r w:rsidRPr="005524F5">
        <w:rPr>
          <w:rStyle w:val="DipnotBavurusu"/>
          <w:rFonts w:ascii="Times New Roman" w:hAnsi="Times New Roman" w:cs="Times New Roman"/>
          <w:sz w:val="24"/>
          <w:szCs w:val="24"/>
        </w:rPr>
        <w:footnoteReference w:id="4"/>
      </w:r>
      <w:r w:rsidRPr="005524F5">
        <w:rPr>
          <w:rFonts w:ascii="Times New Roman" w:hAnsi="Times New Roman" w:cs="Times New Roman"/>
          <w:bCs/>
          <w:sz w:val="24"/>
          <w:szCs w:val="24"/>
        </w:rPr>
        <w:t xml:space="preserve"> Consequently, a total investment of </w:t>
      </w:r>
      <w:r>
        <w:rPr>
          <w:sz w:val="23"/>
          <w:szCs w:val="23"/>
        </w:rPr>
        <w:lastRenderedPageBreak/>
        <w:t>₺</w:t>
      </w:r>
      <w:r w:rsidRPr="005524F5">
        <w:rPr>
          <w:rFonts w:ascii="Times New Roman" w:hAnsi="Times New Roman" w:cs="Times New Roman"/>
          <w:bCs/>
          <w:sz w:val="24"/>
          <w:szCs w:val="24"/>
        </w:rPr>
        <w:t>9.8 billion is necessary to meet the ILO target for high school education, representing 0.23 percent of GDP</w:t>
      </w:r>
      <w:r w:rsidR="00A94BEA">
        <w:rPr>
          <w:rFonts w:ascii="Times New Roman" w:hAnsi="Times New Roman" w:cs="Times New Roman"/>
          <w:bCs/>
          <w:sz w:val="24"/>
          <w:szCs w:val="24"/>
        </w:rPr>
        <w:t xml:space="preserve"> (Equation 4).</w:t>
      </w:r>
    </w:p>
    <w:bookmarkEnd w:id="0"/>
    <w:p w14:paraId="745CC0B7" w14:textId="18BE4194" w:rsidR="00C00902" w:rsidRPr="005524F5" w:rsidRDefault="00C00902" w:rsidP="00C00902">
      <w:pPr>
        <w:spacing w:line="480" w:lineRule="auto"/>
        <w:rPr>
          <w:rFonts w:ascii="Times New Roman" w:hAnsi="Times New Roman" w:cs="Times New Roman"/>
          <w:bCs/>
          <w:sz w:val="24"/>
          <w:szCs w:val="24"/>
        </w:rPr>
      </w:pPr>
      <w:r w:rsidRPr="005524F5">
        <w:rPr>
          <w:rFonts w:ascii="Times New Roman" w:hAnsi="Times New Roman" w:cs="Times New Roman"/>
          <w:bCs/>
          <w:sz w:val="24"/>
          <w:szCs w:val="24"/>
        </w:rPr>
        <w:t xml:space="preserve">Thirdly, in </w:t>
      </w:r>
      <w:r w:rsidR="009210A0">
        <w:rPr>
          <w:rFonts w:ascii="Times New Roman" w:hAnsi="Times New Roman" w:cs="Times New Roman"/>
          <w:bCs/>
          <w:sz w:val="24"/>
          <w:szCs w:val="24"/>
        </w:rPr>
        <w:t>ECCE</w:t>
      </w:r>
      <w:r w:rsidRPr="005524F5">
        <w:rPr>
          <w:rFonts w:ascii="Times New Roman" w:hAnsi="Times New Roman" w:cs="Times New Roman"/>
          <w:bCs/>
          <w:sz w:val="24"/>
          <w:szCs w:val="24"/>
        </w:rPr>
        <w:t xml:space="preserve">, we assumed that five non-teaching staff members would be employed for every school with 100 student capacity, totaling 214,797 non-teaching personnel. Overall, we estimate that preschools need to hire a total of 913,979 teachers and other staff. </w:t>
      </w:r>
    </w:p>
    <w:p w14:paraId="255A2292" w14:textId="2BE98C48" w:rsidR="00C00902" w:rsidRPr="0080148B" w:rsidRDefault="00C00902" w:rsidP="00C00902">
      <w:pPr>
        <w:spacing w:line="480" w:lineRule="auto"/>
        <w:ind w:firstLine="426"/>
        <w:rPr>
          <w:rFonts w:ascii="Times New Roman" w:hAnsi="Times New Roman" w:cs="Times New Roman"/>
          <w:bCs/>
          <w:sz w:val="24"/>
          <w:szCs w:val="24"/>
        </w:rPr>
      </w:pPr>
      <w:r w:rsidRPr="005524F5">
        <w:rPr>
          <w:rFonts w:ascii="Times New Roman" w:hAnsi="Times New Roman" w:cs="Times New Roman"/>
          <w:bCs/>
          <w:sz w:val="24"/>
          <w:szCs w:val="24"/>
        </w:rPr>
        <w:t xml:space="preserve">For primary, lower secondary and high school education, we considered employing eight non-teaching staff members for each school with an average student capacity, including managers, clerks, and workers for various </w:t>
      </w:r>
      <w:r w:rsidRPr="0080148B">
        <w:rPr>
          <w:rFonts w:ascii="Times New Roman" w:hAnsi="Times New Roman" w:cs="Times New Roman"/>
          <w:bCs/>
          <w:sz w:val="24"/>
          <w:szCs w:val="24"/>
        </w:rPr>
        <w:t>services (Official Gazette 2013).</w:t>
      </w:r>
    </w:p>
    <w:p w14:paraId="0DECF8B5" w14:textId="10A4B201" w:rsidR="00C00902" w:rsidRPr="005524F5" w:rsidRDefault="00C00902" w:rsidP="00C00902">
      <w:pPr>
        <w:spacing w:line="480" w:lineRule="auto"/>
        <w:ind w:firstLine="426"/>
        <w:rPr>
          <w:rFonts w:ascii="Times New Roman" w:hAnsi="Times New Roman" w:cs="Times New Roman"/>
          <w:bCs/>
          <w:sz w:val="24"/>
          <w:szCs w:val="24"/>
        </w:rPr>
      </w:pPr>
      <w:r w:rsidRPr="0080148B">
        <w:rPr>
          <w:rFonts w:ascii="Times New Roman" w:hAnsi="Times New Roman" w:cs="Times New Roman"/>
          <w:bCs/>
          <w:sz w:val="24"/>
          <w:szCs w:val="24"/>
        </w:rPr>
        <w:t xml:space="preserve">The number of primary schools needed was calculated by dividing the 409,381 students by the average school capacity of 218 pupils for the 2018–2019 academic year </w:t>
      </w:r>
      <w:r w:rsidRPr="0080148B">
        <w:rPr>
          <w:rFonts w:ascii="Times New Roman" w:hAnsi="Times New Roman" w:cs="Times New Roman"/>
          <w:sz w:val="24"/>
          <w:szCs w:val="24"/>
        </w:rPr>
        <w:t>(</w:t>
      </w:r>
      <w:r w:rsidR="000F4620" w:rsidRPr="0080148B">
        <w:rPr>
          <w:rFonts w:ascii="Times New Roman" w:hAnsi="Times New Roman" w:cs="Times New Roman"/>
          <w:sz w:val="24"/>
          <w:szCs w:val="24"/>
        </w:rPr>
        <w:t>Ministry of National Education</w:t>
      </w:r>
      <w:r w:rsidR="000F4620" w:rsidRPr="0080148B">
        <w:rPr>
          <w:rFonts w:ascii="Times New Roman" w:hAnsi="Times New Roman" w:cs="Times New Roman"/>
          <w:sz w:val="24"/>
          <w:szCs w:val="24"/>
        </w:rPr>
        <w:t xml:space="preserve"> </w:t>
      </w:r>
      <w:r w:rsidRPr="0080148B">
        <w:rPr>
          <w:rFonts w:ascii="Times New Roman" w:hAnsi="Times New Roman" w:cs="Times New Roman"/>
          <w:sz w:val="24"/>
          <w:szCs w:val="24"/>
        </w:rPr>
        <w:t>2019)</w:t>
      </w:r>
      <w:r w:rsidRPr="0080148B">
        <w:rPr>
          <w:rFonts w:ascii="Times New Roman" w:hAnsi="Times New Roman" w:cs="Times New Roman"/>
          <w:bCs/>
          <w:sz w:val="24"/>
          <w:szCs w:val="24"/>
        </w:rPr>
        <w:t>. This results in 1,878 primary schools</w:t>
      </w:r>
      <w:r w:rsidRPr="005524F5">
        <w:rPr>
          <w:rFonts w:ascii="Times New Roman" w:hAnsi="Times New Roman" w:cs="Times New Roman"/>
          <w:bCs/>
          <w:sz w:val="24"/>
          <w:szCs w:val="24"/>
        </w:rPr>
        <w:t xml:space="preserve"> with a total of 28,230 employees, including 13,206 new teaching positions and 15,024 support staff.</w:t>
      </w:r>
    </w:p>
    <w:p w14:paraId="570DFE09" w14:textId="77777777" w:rsidR="00C00902" w:rsidRPr="005524F5" w:rsidRDefault="00C00902" w:rsidP="00C00902">
      <w:pPr>
        <w:spacing w:line="480" w:lineRule="auto"/>
        <w:ind w:firstLine="426"/>
        <w:rPr>
          <w:rFonts w:ascii="Times New Roman" w:hAnsi="Times New Roman" w:cs="Times New Roman"/>
          <w:bCs/>
          <w:sz w:val="24"/>
          <w:szCs w:val="24"/>
        </w:rPr>
      </w:pPr>
      <w:r w:rsidRPr="005524F5">
        <w:rPr>
          <w:rFonts w:ascii="Times New Roman" w:hAnsi="Times New Roman" w:cs="Times New Roman"/>
          <w:bCs/>
          <w:sz w:val="24"/>
          <w:szCs w:val="24"/>
        </w:rPr>
        <w:t>For lower secondary school education, 1,138 schools are required to accommodate 343,748 students, with an average of 302 students per school. This school investment will create 21,381 new jobs, including 12,277 teaching positions and 9,104 support positions.</w:t>
      </w:r>
    </w:p>
    <w:p w14:paraId="4ED787A5" w14:textId="77777777" w:rsidR="00C00902" w:rsidRPr="005524F5" w:rsidRDefault="00C00902" w:rsidP="00C00902">
      <w:pPr>
        <w:spacing w:line="480" w:lineRule="auto"/>
        <w:ind w:firstLine="426"/>
        <w:rPr>
          <w:rFonts w:ascii="Times New Roman" w:hAnsi="Times New Roman" w:cs="Times New Roman"/>
          <w:bCs/>
          <w:sz w:val="24"/>
          <w:szCs w:val="24"/>
        </w:rPr>
      </w:pPr>
      <w:r w:rsidRPr="005524F5">
        <w:rPr>
          <w:rFonts w:ascii="Times New Roman" w:hAnsi="Times New Roman" w:cs="Times New Roman"/>
          <w:bCs/>
          <w:sz w:val="24"/>
          <w:szCs w:val="24"/>
        </w:rPr>
        <w:t>To accommodate the additional 783,873 high school students, 1,898 schools with an average enrollment of 413 students are needed, resulting in 43,179 new jobs (27,995 teachers and 15,184 support staff).</w:t>
      </w:r>
    </w:p>
    <w:p w14:paraId="2FF4516C" w14:textId="6B53C096" w:rsidR="00C00902" w:rsidRDefault="00C00902" w:rsidP="00A5776F">
      <w:pPr>
        <w:widowControl w:val="0"/>
        <w:spacing w:line="480" w:lineRule="auto"/>
        <w:ind w:firstLine="426"/>
        <w:rPr>
          <w:rFonts w:ascii="Times New Roman" w:hAnsi="Times New Roman" w:cs="Times New Roman"/>
          <w:sz w:val="24"/>
          <w:szCs w:val="24"/>
        </w:rPr>
      </w:pPr>
      <w:r w:rsidRPr="005524F5">
        <w:rPr>
          <w:rFonts w:ascii="Times New Roman" w:hAnsi="Times New Roman" w:cs="Times New Roman"/>
          <w:sz w:val="24"/>
          <w:szCs w:val="24"/>
        </w:rPr>
        <w:t>As a result, the primary, lower secondary, and high school education services will generate 92,790 additional direct jobs. Overall, investment in education services for a total of 5,832,947 children, will generate 752,660 teaching positions and 254,109 non-teaching jobs, resulting in a total of 1,006,769 new jobs.</w:t>
      </w:r>
    </w:p>
    <w:p w14:paraId="11B7724C" w14:textId="77777777" w:rsidR="00A5776F" w:rsidRPr="00A5776F" w:rsidRDefault="00A5776F" w:rsidP="00A5776F">
      <w:pPr>
        <w:widowControl w:val="0"/>
        <w:spacing w:line="480" w:lineRule="auto"/>
        <w:ind w:firstLine="426"/>
        <w:rPr>
          <w:rFonts w:ascii="Times New Roman" w:hAnsi="Times New Roman" w:cs="Times New Roman"/>
          <w:sz w:val="24"/>
          <w:szCs w:val="24"/>
        </w:rPr>
      </w:pPr>
    </w:p>
    <w:p w14:paraId="1CF1C148" w14:textId="72227BCD" w:rsidR="00C00902" w:rsidRPr="005524F5" w:rsidRDefault="00C00902" w:rsidP="00C00902">
      <w:pPr>
        <w:spacing w:after="120" w:line="480" w:lineRule="auto"/>
        <w:rPr>
          <w:rFonts w:ascii="Times New Roman" w:hAnsi="Times New Roman" w:cs="Times New Roman"/>
          <w:b/>
          <w:i/>
          <w:iCs/>
          <w:sz w:val="24"/>
          <w:szCs w:val="24"/>
        </w:rPr>
      </w:pPr>
      <w:r w:rsidRPr="005524F5">
        <w:rPr>
          <w:rFonts w:ascii="Times New Roman" w:hAnsi="Times New Roman" w:cs="Times New Roman"/>
          <w:b/>
          <w:i/>
          <w:iCs/>
          <w:sz w:val="24"/>
          <w:szCs w:val="24"/>
        </w:rPr>
        <w:lastRenderedPageBreak/>
        <w:t>Short-term healthcare services</w:t>
      </w:r>
    </w:p>
    <w:p w14:paraId="01909923" w14:textId="0C653036" w:rsidR="00C00902" w:rsidRPr="005524F5" w:rsidRDefault="00C00902" w:rsidP="00C00902">
      <w:pPr>
        <w:spacing w:line="480" w:lineRule="auto"/>
        <w:rPr>
          <w:rFonts w:ascii="Times New Roman" w:hAnsi="Times New Roman" w:cs="Times New Roman"/>
          <w:sz w:val="24"/>
          <w:szCs w:val="24"/>
        </w:rPr>
      </w:pPr>
      <w:r w:rsidRPr="005524F5">
        <w:rPr>
          <w:rFonts w:ascii="Times New Roman" w:hAnsi="Times New Roman" w:cs="Times New Roman"/>
          <w:sz w:val="24"/>
          <w:szCs w:val="24"/>
        </w:rPr>
        <w:t xml:space="preserve">Although Türkiye met the ILO's minimum threshold of 4.45 doctors, midwives, and nurses per thousand people in 2019 </w:t>
      </w:r>
      <w:r w:rsidRPr="0080148B">
        <w:rPr>
          <w:rFonts w:ascii="Times New Roman" w:hAnsi="Times New Roman" w:cs="Times New Roman"/>
          <w:sz w:val="24"/>
          <w:szCs w:val="24"/>
        </w:rPr>
        <w:t>(</w:t>
      </w:r>
      <w:proofErr w:type="spellStart"/>
      <w:r w:rsidRPr="0080148B">
        <w:rPr>
          <w:rFonts w:ascii="Times New Roman" w:hAnsi="Times New Roman" w:cs="Times New Roman"/>
          <w:sz w:val="24"/>
          <w:szCs w:val="24"/>
        </w:rPr>
        <w:t>llkkaracan</w:t>
      </w:r>
      <w:proofErr w:type="spellEnd"/>
      <w:r w:rsidRPr="0080148B">
        <w:rPr>
          <w:rFonts w:ascii="Times New Roman" w:hAnsi="Times New Roman" w:cs="Times New Roman"/>
          <w:sz w:val="24"/>
          <w:szCs w:val="24"/>
        </w:rPr>
        <w:t xml:space="preserve"> 2020:26; </w:t>
      </w:r>
      <w:r w:rsidR="006A341C" w:rsidRPr="0080148B">
        <w:rPr>
          <w:rFonts w:ascii="Times New Roman" w:hAnsi="Times New Roman" w:cs="Times New Roman"/>
          <w:sz w:val="24"/>
          <w:szCs w:val="24"/>
          <w:lang w:eastAsia="ar-SA"/>
        </w:rPr>
        <w:t xml:space="preserve">International </w:t>
      </w:r>
      <w:proofErr w:type="spellStart"/>
      <w:r w:rsidR="006A341C" w:rsidRPr="0080148B">
        <w:rPr>
          <w:rFonts w:ascii="Times New Roman" w:hAnsi="Times New Roman" w:cs="Times New Roman"/>
          <w:sz w:val="24"/>
          <w:szCs w:val="24"/>
          <w:lang w:eastAsia="ar-SA"/>
        </w:rPr>
        <w:t>Labour</w:t>
      </w:r>
      <w:proofErr w:type="spellEnd"/>
      <w:r w:rsidR="006A341C" w:rsidRPr="0080148B">
        <w:rPr>
          <w:rFonts w:ascii="Times New Roman" w:hAnsi="Times New Roman" w:cs="Times New Roman"/>
          <w:sz w:val="24"/>
          <w:szCs w:val="24"/>
          <w:lang w:eastAsia="ar-SA"/>
        </w:rPr>
        <w:t xml:space="preserve"> Organization</w:t>
      </w:r>
      <w:r w:rsidRPr="0080148B">
        <w:rPr>
          <w:rFonts w:ascii="Times New Roman" w:hAnsi="Times New Roman" w:cs="Times New Roman"/>
          <w:sz w:val="24"/>
          <w:szCs w:val="24"/>
          <w:lang w:eastAsia="ar-SA"/>
        </w:rPr>
        <w:t xml:space="preserve"> 2018</w:t>
      </w:r>
      <w:r w:rsidRPr="0080148B">
        <w:rPr>
          <w:rFonts w:ascii="Times New Roman" w:hAnsi="Times New Roman" w:cs="Times New Roman"/>
          <w:sz w:val="24"/>
          <w:szCs w:val="24"/>
        </w:rPr>
        <w:t>:266),</w:t>
      </w:r>
      <w:r w:rsidRPr="005524F5">
        <w:rPr>
          <w:rFonts w:ascii="Times New Roman" w:hAnsi="Times New Roman" w:cs="Times New Roman"/>
          <w:sz w:val="24"/>
          <w:szCs w:val="24"/>
        </w:rPr>
        <w:t xml:space="preserve"> the COVID-19 pandemic significantly increased the demand for healthcare services. Therefore, the coverage gap in STC was determined by using the </w:t>
      </w:r>
      <w:r w:rsidR="000F4620" w:rsidRPr="000F4620">
        <w:rPr>
          <w:rFonts w:ascii="Times New Roman" w:hAnsi="Times New Roman" w:cs="Times New Roman"/>
          <w:sz w:val="24"/>
          <w:szCs w:val="24"/>
        </w:rPr>
        <w:t xml:space="preserve">Organization for Economic Co-Operation and Development </w:t>
      </w:r>
      <w:r w:rsidR="000F4620">
        <w:rPr>
          <w:rFonts w:ascii="Times New Roman" w:hAnsi="Times New Roman" w:cs="Times New Roman"/>
          <w:sz w:val="24"/>
          <w:szCs w:val="24"/>
        </w:rPr>
        <w:t>(</w:t>
      </w:r>
      <w:r w:rsidRPr="005524F5">
        <w:rPr>
          <w:rFonts w:ascii="Times New Roman" w:hAnsi="Times New Roman" w:cs="Times New Roman"/>
          <w:sz w:val="24"/>
          <w:szCs w:val="24"/>
        </w:rPr>
        <w:t>OECD</w:t>
      </w:r>
      <w:r w:rsidR="000F4620">
        <w:rPr>
          <w:rFonts w:ascii="Times New Roman" w:hAnsi="Times New Roman" w:cs="Times New Roman"/>
          <w:sz w:val="24"/>
          <w:szCs w:val="24"/>
        </w:rPr>
        <w:t>)</w:t>
      </w:r>
      <w:r w:rsidRPr="005524F5">
        <w:rPr>
          <w:rFonts w:ascii="Times New Roman" w:hAnsi="Times New Roman" w:cs="Times New Roman"/>
          <w:sz w:val="24"/>
          <w:szCs w:val="24"/>
        </w:rPr>
        <w:t xml:space="preserve"> averages.</w:t>
      </w:r>
    </w:p>
    <w:p w14:paraId="234F8D1D" w14:textId="77777777" w:rsidR="00C00902" w:rsidRDefault="00C00902" w:rsidP="00C00902">
      <w:pPr>
        <w:spacing w:line="480" w:lineRule="auto"/>
        <w:ind w:firstLine="450"/>
        <w:rPr>
          <w:rFonts w:ascii="Times New Roman" w:hAnsi="Times New Roman" w:cs="Times New Roman"/>
          <w:sz w:val="24"/>
          <w:szCs w:val="24"/>
        </w:rPr>
      </w:pPr>
      <w:r w:rsidRPr="005524F5">
        <w:rPr>
          <w:rFonts w:ascii="Times New Roman" w:hAnsi="Times New Roman" w:cs="Times New Roman"/>
          <w:sz w:val="24"/>
          <w:szCs w:val="24"/>
        </w:rPr>
        <w:t xml:space="preserve">Equations 5 to 13 were used to determine the coverage gaps and investment costs for STC services. </w:t>
      </w:r>
    </w:p>
    <w:p w14:paraId="26BB9250" w14:textId="52D26348" w:rsidR="00C037DD" w:rsidRPr="0084175E" w:rsidRDefault="00C037DD" w:rsidP="00C037DD">
      <w:pPr>
        <w:spacing w:line="360" w:lineRule="auto"/>
        <w:rPr>
          <w:rFonts w:ascii="Times New Roman" w:eastAsiaTheme="minorEastAsia" w:hAnsi="Times New Roman" w:cs="Times New Roman"/>
        </w:rPr>
      </w:pPr>
      <m:oMath>
        <m:r>
          <w:rPr>
            <w:rFonts w:ascii="Cambria Math" w:hAnsi="Cambria Math" w:cs="Times New Roman"/>
          </w:rPr>
          <m:t>DMN coverage gap=Population in 1000’s x 2.93 Doctors- Existing Employment of Dctrs/Mdwvs/Nrs)</m:t>
        </m:r>
        <m:r>
          <w:rPr>
            <w:rStyle w:val="DipnotBavurusu"/>
            <w:rFonts w:ascii="Cambria Math" w:hAnsi="Cambria Math" w:cs="Times New Roman"/>
            <w:i/>
          </w:rPr>
          <w:footnoteReference w:id="5"/>
        </m:r>
      </m:oMath>
      <w:r>
        <w:rPr>
          <w:rFonts w:ascii="Times New Roman" w:eastAsiaTheme="minorEastAsia" w:hAnsi="Times New Roman" w:cs="Times New Roman"/>
        </w:rPr>
        <w:t xml:space="preserve">                                                                                                                                              </w:t>
      </w:r>
      <w:r w:rsidR="00492691">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84175E">
        <w:rPr>
          <w:rFonts w:ascii="Times New Roman" w:eastAsiaTheme="minorEastAsia" w:hAnsi="Times New Roman" w:cs="Times New Roman"/>
          <w:i/>
          <w:iCs/>
        </w:rPr>
        <w:t>(5)</w:t>
      </w:r>
    </w:p>
    <w:p w14:paraId="04E8D2BE" w14:textId="77777777" w:rsidR="00C037DD" w:rsidRPr="0084175E" w:rsidRDefault="00C037DD" w:rsidP="00C037DD">
      <w:pPr>
        <w:spacing w:line="360" w:lineRule="auto"/>
        <w:rPr>
          <w:rFonts w:ascii="Times New Roman" w:eastAsiaTheme="minorEastAsia" w:hAnsi="Times New Roman" w:cs="Times New Roman"/>
        </w:rPr>
      </w:pPr>
      <m:oMath>
        <m:r>
          <w:rPr>
            <w:rFonts w:ascii="Cambria Math" w:eastAsiaTheme="minorEastAsia" w:hAnsi="Cambria Math" w:cs="Times New Roman"/>
          </w:rPr>
          <m:t>Country fixed ratio (CFR)(for HWOC)=</m:t>
        </m:r>
        <m:f>
          <m:fPr>
            <m:ctrlPr>
              <w:rPr>
                <w:rFonts w:ascii="Cambria Math" w:eastAsiaTheme="minorEastAsia" w:hAnsi="Cambria Math" w:cs="Times New Roman"/>
                <w:i/>
              </w:rPr>
            </m:ctrlPr>
          </m:fPr>
          <m:num>
            <m:r>
              <w:rPr>
                <w:rFonts w:ascii="Cambria Math" w:hAnsi="Cambria Math" w:cs="Times New Roman"/>
              </w:rPr>
              <m:t>Existing Employment of Health Wrks in Other Cadres</m:t>
            </m:r>
          </m:num>
          <m:den>
            <m:r>
              <w:rPr>
                <w:rFonts w:ascii="Cambria Math" w:hAnsi="Cambria Math" w:cs="Times New Roman"/>
              </w:rPr>
              <m:t>Existing Employment of Dctrs/Mdwvs/Nrs</m:t>
            </m:r>
          </m:den>
        </m:f>
        <m:r>
          <w:rPr>
            <w:rFonts w:ascii="Cambria Math" w:eastAsiaTheme="minorEastAsia" w:hAnsi="Cambria Math" w:cs="Times New Roman"/>
          </w:rPr>
          <m:t xml:space="preserve">                 </m:t>
        </m:r>
      </m:oMath>
      <w:r>
        <w:rPr>
          <w:rFonts w:ascii="Times New Roman" w:eastAsiaTheme="minorEastAsia" w:hAnsi="Times New Roman" w:cs="Times New Roman"/>
        </w:rPr>
        <w:t xml:space="preserve">                                                                    </w:t>
      </w:r>
      <w:r w:rsidRPr="0084175E">
        <w:rPr>
          <w:rFonts w:ascii="Times New Roman" w:eastAsiaTheme="minorEastAsia" w:hAnsi="Times New Roman" w:cs="Times New Roman"/>
          <w:i/>
          <w:iCs/>
        </w:rPr>
        <w:t>(6)</w:t>
      </w:r>
    </w:p>
    <w:p w14:paraId="72E98808" w14:textId="0B1773ED" w:rsidR="00C037DD" w:rsidRPr="0084175E" w:rsidRDefault="00C037DD" w:rsidP="00C037DD">
      <w:pPr>
        <w:spacing w:line="360" w:lineRule="auto"/>
        <w:rPr>
          <w:rFonts w:ascii="Times New Roman" w:eastAsiaTheme="minorEastAsia" w:hAnsi="Times New Roman" w:cs="Times New Roman"/>
        </w:rPr>
      </w:pPr>
      <m:oMath>
        <m:r>
          <w:rPr>
            <w:rFonts w:ascii="Cambria Math" w:eastAsiaTheme="minorEastAsia" w:hAnsi="Cambria Math" w:cs="Times New Roman"/>
          </w:rPr>
          <m:t>HWOC coverage gap = DMN *CFR (for HWOC)</m:t>
        </m:r>
      </m:oMath>
      <w:r w:rsidRPr="0084175E">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D0230B">
        <w:rPr>
          <w:rFonts w:ascii="Times New Roman" w:eastAsiaTheme="minorEastAsia" w:hAnsi="Times New Roman" w:cs="Times New Roman"/>
          <w:i/>
          <w:iCs/>
        </w:rPr>
        <w:t>(7)</w:t>
      </w:r>
    </w:p>
    <w:p w14:paraId="04147FEA" w14:textId="77777777" w:rsidR="00C037DD" w:rsidRPr="0084175E" w:rsidRDefault="00C037DD" w:rsidP="00C037DD">
      <w:pPr>
        <w:spacing w:line="360" w:lineRule="auto"/>
        <w:rPr>
          <w:rFonts w:ascii="Times New Roman" w:eastAsiaTheme="minorEastAsia" w:hAnsi="Times New Roman" w:cs="Times New Roman"/>
        </w:rPr>
      </w:pPr>
      <m:oMath>
        <m:r>
          <w:rPr>
            <w:rFonts w:ascii="Cambria Math" w:hAnsi="Cambria Math" w:cs="Times New Roman"/>
          </w:rPr>
          <m:t>Health Care Coverage Gap = DMN + HWOC</m:t>
        </m:r>
        <m:r>
          <w:rPr>
            <w:rFonts w:ascii="Cambria Math" w:eastAsiaTheme="minorEastAsia" w:hAnsi="Cambria Math" w:cs="Times New Roman"/>
          </w:rPr>
          <m:t xml:space="preserve">      </m:t>
        </m:r>
      </m:oMath>
      <w:r>
        <w:rPr>
          <w:rFonts w:ascii="Times New Roman" w:eastAsiaTheme="minorEastAsia" w:hAnsi="Times New Roman" w:cs="Times New Roman"/>
        </w:rPr>
        <w:t xml:space="preserve">                                                                      </w:t>
      </w:r>
      <w:r w:rsidRPr="00D0230B">
        <w:rPr>
          <w:rFonts w:ascii="Times New Roman" w:eastAsiaTheme="minorEastAsia" w:hAnsi="Times New Roman" w:cs="Times New Roman"/>
          <w:i/>
          <w:iCs/>
        </w:rPr>
        <w:t xml:space="preserve">   (8)</w:t>
      </w:r>
    </w:p>
    <w:p w14:paraId="217BE1CB" w14:textId="77777777" w:rsidR="00C037DD" w:rsidRPr="0084175E" w:rsidRDefault="00C037DD" w:rsidP="00C037DD">
      <w:pPr>
        <w:spacing w:line="360" w:lineRule="auto"/>
        <w:rPr>
          <w:rFonts w:ascii="Times New Roman" w:eastAsiaTheme="minorEastAsia" w:hAnsi="Times New Roman" w:cs="Times New Roman"/>
        </w:rPr>
      </w:pPr>
      <m:oMathPara>
        <m:oMath>
          <m:r>
            <w:rPr>
              <w:rFonts w:ascii="Cambria Math" w:eastAsiaTheme="minorEastAsia" w:hAnsi="Cambria Math" w:cs="Times New Roman"/>
            </w:rPr>
            <m:t>Country fixed ratio (CFR) (for AS)=</m:t>
          </m:r>
          <m:f>
            <m:fPr>
              <m:ctrlPr>
                <w:rPr>
                  <w:rFonts w:ascii="Cambria Math" w:eastAsiaTheme="minorEastAsia" w:hAnsi="Cambria Math" w:cs="Times New Roman"/>
                  <w:i/>
                </w:rPr>
              </m:ctrlPr>
            </m:fPr>
            <m:num>
              <m:r>
                <w:rPr>
                  <w:rFonts w:ascii="Cambria Math" w:hAnsi="Cambria Math" w:cs="Times New Roman"/>
                </w:rPr>
                <m:t>Existing Employment of Health Wrks in AS</m:t>
              </m:r>
            </m:num>
            <m:den>
              <m:r>
                <w:rPr>
                  <w:rFonts w:ascii="Cambria Math" w:hAnsi="Cambria Math" w:cs="Times New Roman"/>
                </w:rPr>
                <m:t>Existing Employment of Dctrs+Mdwvs+Nrs+HWOC</m:t>
              </m:r>
            </m:den>
          </m:f>
          <m:r>
            <w:rPr>
              <w:rFonts w:ascii="Cambria Math" w:eastAsiaTheme="minorEastAsia" w:hAnsi="Cambria Math" w:cs="Times New Roman"/>
            </w:rPr>
            <m:t xml:space="preserve">                                                                                                                                                            </m:t>
          </m:r>
        </m:oMath>
      </m:oMathPara>
    </w:p>
    <w:p w14:paraId="2891DB8D" w14:textId="77777777" w:rsidR="00C037DD" w:rsidRPr="00CF3E54" w:rsidRDefault="00C037DD" w:rsidP="00C037DD">
      <w:pPr>
        <w:spacing w:line="360" w:lineRule="auto"/>
        <w:jc w:val="right"/>
        <w:rPr>
          <w:rFonts w:ascii="Times New Roman" w:eastAsiaTheme="minorEastAsia" w:hAnsi="Times New Roman" w:cs="Times New Roman"/>
          <w:i/>
          <w:iCs/>
        </w:rPr>
      </w:pPr>
      <w:r w:rsidRPr="00CF3E54">
        <w:rPr>
          <w:rFonts w:ascii="Times New Roman" w:eastAsiaTheme="minorEastAsia" w:hAnsi="Times New Roman" w:cs="Times New Roman"/>
          <w:i/>
          <w:iCs/>
        </w:rPr>
        <w:t>(9)</w:t>
      </w:r>
    </w:p>
    <w:p w14:paraId="7EA0698A" w14:textId="0421A9BC" w:rsidR="00C037DD" w:rsidRDefault="00C037DD" w:rsidP="00C037DD">
      <w:pPr>
        <w:spacing w:line="360" w:lineRule="auto"/>
        <w:rPr>
          <w:rFonts w:ascii="Times New Roman" w:eastAsiaTheme="minorEastAsia" w:hAnsi="Times New Roman" w:cs="Times New Roman"/>
        </w:rPr>
      </w:pPr>
      <m:oMath>
        <m:r>
          <w:rPr>
            <w:rFonts w:ascii="Cambria Math" w:eastAsiaTheme="minorEastAsia" w:hAnsi="Cambria Math" w:cs="Times New Roman"/>
          </w:rPr>
          <m:t>AS coverage gap=</m:t>
        </m:r>
        <m:d>
          <m:dPr>
            <m:ctrlPr>
              <w:rPr>
                <w:rFonts w:ascii="Cambria Math" w:eastAsiaTheme="minorEastAsia" w:hAnsi="Cambria Math" w:cs="Times New Roman"/>
                <w:i/>
              </w:rPr>
            </m:ctrlPr>
          </m:dPr>
          <m:e>
            <m:r>
              <w:rPr>
                <w:rFonts w:ascii="Cambria Math" w:eastAsiaTheme="minorEastAsia" w:hAnsi="Cambria Math" w:cs="Times New Roman"/>
              </w:rPr>
              <m:t>DMN+HWOC</m:t>
            </m:r>
          </m:e>
        </m:d>
        <m:r>
          <w:rPr>
            <w:rFonts w:ascii="Cambria Math" w:eastAsiaTheme="minorEastAsia" w:hAnsi="Cambria Math" w:cs="Times New Roman"/>
          </w:rPr>
          <m:t>*CFR(For AS</m:t>
        </m:r>
        <m:r>
          <m:rPr>
            <m:sty m:val="p"/>
          </m:rPr>
          <w:rPr>
            <w:rFonts w:ascii="Cambria Math" w:eastAsiaTheme="minorEastAsia" w:hAnsi="Cambria Math" w:cs="Times New Roman"/>
          </w:rPr>
          <m:t>)</m:t>
        </m:r>
      </m:oMath>
      <w:r w:rsidRPr="00CF3E54">
        <w:rPr>
          <w:rFonts w:ascii="Times New Roman" w:eastAsiaTheme="minorEastAsia" w:hAnsi="Times New Roman" w:cs="Times New Roman"/>
          <w:iCs/>
        </w:rPr>
        <w:t xml:space="preserve">                                                                                             </w:t>
      </w:r>
      <w:r w:rsidRPr="00CF3E54">
        <w:rPr>
          <w:rFonts w:ascii="Times New Roman" w:eastAsiaTheme="minorEastAsia" w:hAnsi="Times New Roman" w:cs="Times New Roman"/>
          <w:i/>
        </w:rPr>
        <w:t>(10)</w:t>
      </w:r>
    </w:p>
    <w:p w14:paraId="6AFDD19C" w14:textId="77777777" w:rsidR="00C037DD" w:rsidRDefault="00C037DD" w:rsidP="00C037DD">
      <w:pPr>
        <w:spacing w:line="360" w:lineRule="auto"/>
        <w:rPr>
          <w:rFonts w:ascii="Times New Roman" w:eastAsiaTheme="minorEastAsia" w:hAnsi="Times New Roman" w:cs="Times New Roman"/>
        </w:rPr>
      </w:pPr>
      <m:oMath>
        <m:r>
          <w:rPr>
            <w:rFonts w:ascii="Cambria Math" w:hAnsi="Cambria Math" w:cs="Times New Roman"/>
          </w:rPr>
          <m:t>Total Wage and Salary Costs for Additional Health Workers=DMNcategory x Target Annual Salarycategory)+HWOC x Target Annual Salary average</m:t>
        </m:r>
      </m:oMath>
      <w:r>
        <w:rPr>
          <w:rFonts w:ascii="Times New Roman" w:eastAsiaTheme="minorEastAsia" w:hAnsi="Times New Roman" w:cs="Times New Roman"/>
        </w:rPr>
        <w:t xml:space="preserve">            </w:t>
      </w:r>
    </w:p>
    <w:p w14:paraId="265F3EE4" w14:textId="77777777" w:rsidR="00C037DD" w:rsidRDefault="00C037DD" w:rsidP="00C037DD">
      <w:pPr>
        <w:spacing w:line="360" w:lineRule="auto"/>
        <w:rPr>
          <w:rFonts w:ascii="Times New Roman" w:eastAsiaTheme="minorEastAsia" w:hAnsi="Times New Roman" w:cs="Times New Roman"/>
          <w:i/>
          <w:iCs/>
        </w:rPr>
      </w:pPr>
      <w:r w:rsidRPr="00CF3E54">
        <w:rPr>
          <w:rFonts w:ascii="Times New Roman" w:eastAsiaTheme="minorEastAsia" w:hAnsi="Times New Roman" w:cs="Times New Roman"/>
          <w:i/>
          <w:iCs/>
        </w:rPr>
        <w:t xml:space="preserve">                                                                                                                                                              (11)</w:t>
      </w:r>
    </w:p>
    <w:p w14:paraId="68C78692" w14:textId="77777777" w:rsidR="008C3420" w:rsidRPr="00154330" w:rsidRDefault="008C3420" w:rsidP="008C3420">
      <w:pPr>
        <w:spacing w:line="360" w:lineRule="auto"/>
        <w:rPr>
          <w:rFonts w:eastAsiaTheme="minorEastAsia"/>
          <w:i/>
          <w:iCs/>
        </w:rPr>
      </w:pPr>
      <m:oMath>
        <m:r>
          <w:rPr>
            <w:rFonts w:ascii="Cambria Math" w:hAnsi="Cambria Math"/>
          </w:rPr>
          <m:t>Total Overhead Expenditures=</m:t>
        </m:r>
        <m:f>
          <m:fPr>
            <m:ctrlPr>
              <w:rPr>
                <w:rFonts w:ascii="Cambria Math" w:hAnsi="Cambria Math"/>
                <w:bCs/>
                <w:i/>
              </w:rPr>
            </m:ctrlPr>
          </m:fPr>
          <m:num>
            <m:r>
              <w:rPr>
                <w:rFonts w:ascii="Cambria Math" w:hAnsi="Cambria Math"/>
              </w:rPr>
              <m:t>Existing Overhead Expenditures</m:t>
            </m:r>
          </m:num>
          <m:den>
            <m:r>
              <w:rPr>
                <w:rFonts w:ascii="Cambria Math" w:hAnsi="Cambria Math"/>
              </w:rPr>
              <m:t>Total no of Health Workers</m:t>
            </m:r>
          </m:den>
        </m:f>
        <m:r>
          <w:rPr>
            <w:rFonts w:ascii="Cambria Math" w:hAnsi="Cambria Math"/>
          </w:rPr>
          <m:t>×No. of Additional Health Workers</m:t>
        </m:r>
      </m:oMath>
      <w:r w:rsidRPr="00154330">
        <w:rPr>
          <w:rFonts w:eastAsiaTheme="minorEastAsia"/>
          <w:i/>
        </w:rPr>
        <w:t xml:space="preserve">                                                                                                  (12)</w:t>
      </w:r>
    </w:p>
    <w:p w14:paraId="498270AC" w14:textId="77777777" w:rsidR="008C3420" w:rsidRPr="00154330" w:rsidRDefault="008C3420" w:rsidP="008C3420">
      <w:pPr>
        <w:spacing w:line="360" w:lineRule="auto"/>
        <w:rPr>
          <w:rFonts w:eastAsiaTheme="minorEastAsia"/>
        </w:rPr>
      </w:pPr>
      <m:oMath>
        <m:r>
          <w:rPr>
            <w:rFonts w:ascii="Cambria Math" w:hAnsi="Cambria Math"/>
          </w:rPr>
          <m:t>Cost of the Health Care Coverage Gap</m:t>
        </m:r>
        <m:r>
          <w:rPr>
            <w:rFonts w:ascii="Cambria Math" w:eastAsia="MS Mincho" w:hAnsi="Cambria Math"/>
          </w:rPr>
          <m:t>=</m:t>
        </m:r>
        <m:r>
          <w:rPr>
            <w:rFonts w:ascii="Cambria Math" w:hAnsi="Cambria Math"/>
          </w:rPr>
          <m:t>Total Wage and Salary Costs for Additional Health Workers</m:t>
        </m:r>
        <m:r>
          <w:rPr>
            <w:rFonts w:ascii="Cambria Math" w:eastAsia="MS Mincho" w:hAnsi="Cambria Math"/>
          </w:rPr>
          <m:t xml:space="preserve">  +</m:t>
        </m:r>
        <m:r>
          <w:rPr>
            <w:rFonts w:ascii="Cambria Math" w:hAnsi="Cambria Math"/>
          </w:rPr>
          <m:t>Total Overhead Expenditures for Additional Health Workers</m:t>
        </m:r>
      </m:oMath>
      <w:r w:rsidRPr="00154330">
        <w:rPr>
          <w:rFonts w:eastAsiaTheme="minorEastAsia"/>
        </w:rPr>
        <w:t xml:space="preserve">                                               </w:t>
      </w:r>
      <w:r w:rsidRPr="00154330">
        <w:rPr>
          <w:rFonts w:eastAsiaTheme="minorEastAsia"/>
          <w:i/>
          <w:iCs/>
        </w:rPr>
        <w:t>(13)</w:t>
      </w:r>
    </w:p>
    <w:p w14:paraId="63B4B61E" w14:textId="77777777" w:rsidR="00C037DD" w:rsidRDefault="00C037DD" w:rsidP="003E6B11">
      <w:pPr>
        <w:spacing w:line="480" w:lineRule="auto"/>
        <w:rPr>
          <w:rFonts w:ascii="Times New Roman" w:hAnsi="Times New Roman" w:cs="Times New Roman"/>
          <w:sz w:val="24"/>
          <w:szCs w:val="24"/>
        </w:rPr>
      </w:pPr>
    </w:p>
    <w:p w14:paraId="6B1D7092" w14:textId="4D98C38C" w:rsidR="00C00902" w:rsidRPr="005524F5" w:rsidRDefault="00C00902" w:rsidP="00C00902">
      <w:pPr>
        <w:spacing w:line="480" w:lineRule="auto"/>
        <w:ind w:firstLine="450"/>
        <w:rPr>
          <w:rFonts w:ascii="Times New Roman" w:hAnsi="Times New Roman" w:cs="Times New Roman"/>
          <w:sz w:val="24"/>
          <w:szCs w:val="24"/>
        </w:rPr>
      </w:pPr>
      <w:r w:rsidRPr="005524F5">
        <w:rPr>
          <w:rFonts w:ascii="Times New Roman" w:hAnsi="Times New Roman" w:cs="Times New Roman"/>
          <w:sz w:val="24"/>
          <w:szCs w:val="24"/>
        </w:rPr>
        <w:t xml:space="preserve">Health workers were divided into two </w:t>
      </w:r>
      <w:r w:rsidRPr="0080148B">
        <w:rPr>
          <w:rFonts w:ascii="Times New Roman" w:hAnsi="Times New Roman" w:cs="Times New Roman"/>
          <w:sz w:val="24"/>
          <w:szCs w:val="24"/>
        </w:rPr>
        <w:t>groups (</w:t>
      </w:r>
      <w:r w:rsidR="006A341C" w:rsidRPr="0080148B">
        <w:rPr>
          <w:rFonts w:ascii="Times New Roman" w:hAnsi="Times New Roman" w:cs="Times New Roman"/>
          <w:sz w:val="24"/>
          <w:szCs w:val="24"/>
        </w:rPr>
        <w:t xml:space="preserve">International </w:t>
      </w:r>
      <w:proofErr w:type="spellStart"/>
      <w:r w:rsidR="006A341C" w:rsidRPr="0080148B">
        <w:rPr>
          <w:rFonts w:ascii="Times New Roman" w:hAnsi="Times New Roman" w:cs="Times New Roman"/>
          <w:sz w:val="24"/>
          <w:szCs w:val="24"/>
        </w:rPr>
        <w:t>Labour</w:t>
      </w:r>
      <w:proofErr w:type="spellEnd"/>
      <w:r w:rsidR="006A341C" w:rsidRPr="0080148B">
        <w:rPr>
          <w:rFonts w:ascii="Times New Roman" w:hAnsi="Times New Roman" w:cs="Times New Roman"/>
          <w:sz w:val="24"/>
          <w:szCs w:val="24"/>
        </w:rPr>
        <w:t xml:space="preserve"> Organization </w:t>
      </w:r>
      <w:r w:rsidRPr="0080148B">
        <w:rPr>
          <w:rFonts w:ascii="Times New Roman" w:hAnsi="Times New Roman" w:cs="Times New Roman"/>
          <w:sz w:val="24"/>
          <w:szCs w:val="24"/>
        </w:rPr>
        <w:t xml:space="preserve">2018; UN Women and </w:t>
      </w:r>
      <w:r w:rsidR="006A341C" w:rsidRPr="0080148B">
        <w:rPr>
          <w:rFonts w:ascii="Times New Roman" w:hAnsi="Times New Roman" w:cs="Times New Roman"/>
          <w:sz w:val="24"/>
          <w:szCs w:val="24"/>
        </w:rPr>
        <w:t xml:space="preserve">International </w:t>
      </w:r>
      <w:proofErr w:type="spellStart"/>
      <w:r w:rsidR="006A341C" w:rsidRPr="0080148B">
        <w:rPr>
          <w:rFonts w:ascii="Times New Roman" w:hAnsi="Times New Roman" w:cs="Times New Roman"/>
          <w:sz w:val="24"/>
          <w:szCs w:val="24"/>
        </w:rPr>
        <w:t>Labour</w:t>
      </w:r>
      <w:proofErr w:type="spellEnd"/>
      <w:r w:rsidR="006A341C" w:rsidRPr="0080148B">
        <w:rPr>
          <w:rFonts w:ascii="Times New Roman" w:hAnsi="Times New Roman" w:cs="Times New Roman"/>
          <w:sz w:val="24"/>
          <w:szCs w:val="24"/>
        </w:rPr>
        <w:t xml:space="preserve"> Organization </w:t>
      </w:r>
      <w:r w:rsidRPr="0080148B">
        <w:rPr>
          <w:rFonts w:ascii="Times New Roman" w:hAnsi="Times New Roman" w:cs="Times New Roman"/>
          <w:sz w:val="24"/>
          <w:szCs w:val="24"/>
        </w:rPr>
        <w:t>2021): doctors, midwives, and nurses (DMN), and health workers in the other cadres (HWOC). In Türkiye in 2019, there were a total of 1,033,767 health professionals, including 160,810 doctors, 198,103 nurses, and 249,222 HWOC, serving a population of 83,154,997 (</w:t>
      </w:r>
      <w:r w:rsidR="000F4620" w:rsidRPr="0080148B">
        <w:rPr>
          <w:rFonts w:ascii="Times New Roman" w:hAnsi="Times New Roman" w:cs="Times New Roman"/>
          <w:sz w:val="24"/>
          <w:szCs w:val="24"/>
        </w:rPr>
        <w:t>Ministry of Health</w:t>
      </w:r>
      <w:r w:rsidR="000F4620" w:rsidRPr="0080148B">
        <w:rPr>
          <w:rFonts w:ascii="Times New Roman" w:hAnsi="Times New Roman" w:cs="Times New Roman"/>
          <w:sz w:val="24"/>
          <w:szCs w:val="24"/>
        </w:rPr>
        <w:t xml:space="preserve"> </w:t>
      </w:r>
      <w:r w:rsidRPr="0080148B">
        <w:rPr>
          <w:rFonts w:ascii="Times New Roman" w:hAnsi="Times New Roman" w:cs="Times New Roman"/>
          <w:sz w:val="24"/>
          <w:szCs w:val="24"/>
        </w:rPr>
        <w:t xml:space="preserve">2019a; </w:t>
      </w:r>
      <w:r w:rsidR="003C3761" w:rsidRPr="0080148B">
        <w:rPr>
          <w:rFonts w:ascii="Times New Roman" w:hAnsi="Times New Roman" w:cs="Times New Roman"/>
          <w:bCs/>
          <w:sz w:val="24"/>
          <w:szCs w:val="24"/>
        </w:rPr>
        <w:t xml:space="preserve">Turkish Statistical Institute </w:t>
      </w:r>
      <w:r w:rsidRPr="0080148B">
        <w:rPr>
          <w:rFonts w:ascii="Times New Roman" w:hAnsi="Times New Roman" w:cs="Times New Roman"/>
          <w:sz w:val="24"/>
          <w:szCs w:val="24"/>
        </w:rPr>
        <w:t>2019</w:t>
      </w:r>
      <w:r w:rsidR="00041E99" w:rsidRPr="0080148B">
        <w:rPr>
          <w:rFonts w:ascii="Times New Roman" w:hAnsi="Times New Roman" w:cs="Times New Roman"/>
          <w:sz w:val="24"/>
          <w:szCs w:val="24"/>
        </w:rPr>
        <w:t>b</w:t>
      </w:r>
      <w:r w:rsidRPr="0080148B">
        <w:rPr>
          <w:rFonts w:ascii="Times New Roman" w:hAnsi="Times New Roman" w:cs="Times New Roman"/>
          <w:sz w:val="24"/>
          <w:szCs w:val="24"/>
        </w:rPr>
        <w:t>).</w:t>
      </w:r>
    </w:p>
    <w:p w14:paraId="63748A59" w14:textId="65697421" w:rsidR="00C00902" w:rsidRPr="005524F5" w:rsidRDefault="00C00902" w:rsidP="00C00902">
      <w:pPr>
        <w:spacing w:line="480" w:lineRule="auto"/>
        <w:ind w:firstLine="450"/>
        <w:contextualSpacing/>
        <w:rPr>
          <w:rFonts w:ascii="Times New Roman" w:hAnsi="Times New Roman" w:cs="Times New Roman"/>
          <w:sz w:val="24"/>
          <w:szCs w:val="24"/>
        </w:rPr>
      </w:pPr>
      <w:bookmarkStart w:id="1" w:name="_Hlk65433980"/>
      <w:r w:rsidRPr="005524F5">
        <w:rPr>
          <w:rFonts w:ascii="Times New Roman" w:hAnsi="Times New Roman" w:cs="Times New Roman"/>
          <w:sz w:val="24"/>
          <w:szCs w:val="24"/>
        </w:rPr>
        <w:t>A total of 148,395 nurses and midwives and 82,834 doctors are needed to meet the threshold values.</w:t>
      </w:r>
      <w:r w:rsidRPr="005524F5">
        <w:rPr>
          <w:rFonts w:ascii="Times New Roman" w:eastAsiaTheme="minorEastAsia" w:hAnsi="Times New Roman" w:cs="Times New Roman"/>
          <w:sz w:val="24"/>
          <w:szCs w:val="24"/>
          <w:vertAlign w:val="superscript"/>
        </w:rPr>
        <w:footnoteReference w:id="6"/>
      </w:r>
      <w:r w:rsidRPr="005524F5">
        <w:rPr>
          <w:rFonts w:ascii="Times New Roman" w:hAnsi="Times New Roman" w:cs="Times New Roman"/>
          <w:sz w:val="24"/>
          <w:szCs w:val="24"/>
        </w:rPr>
        <w:t xml:space="preserve"> These results in a total deficit of 231,229 in the DMN category</w:t>
      </w:r>
      <w:r w:rsidR="00690D91">
        <w:rPr>
          <w:rFonts w:ascii="Times New Roman" w:hAnsi="Times New Roman" w:cs="Times New Roman"/>
          <w:sz w:val="24"/>
          <w:szCs w:val="24"/>
        </w:rPr>
        <w:t xml:space="preserve"> (Equation 5).</w:t>
      </w:r>
      <w:r w:rsidRPr="005524F5">
        <w:rPr>
          <w:rFonts w:ascii="Times New Roman" w:hAnsi="Times New Roman" w:cs="Times New Roman"/>
          <w:sz w:val="24"/>
          <w:szCs w:val="24"/>
        </w:rPr>
        <w:t xml:space="preserve"> To close the HWOC gap, an additional 138,737 workers are required</w:t>
      </w:r>
      <w:r w:rsidR="00391858">
        <w:rPr>
          <w:rFonts w:ascii="Times New Roman" w:hAnsi="Times New Roman" w:cs="Times New Roman"/>
          <w:sz w:val="24"/>
          <w:szCs w:val="24"/>
        </w:rPr>
        <w:t xml:space="preserve"> (Equation 6 and 7)</w:t>
      </w:r>
      <w:r w:rsidRPr="005524F5">
        <w:rPr>
          <w:rFonts w:ascii="Times New Roman" w:hAnsi="Times New Roman" w:cs="Times New Roman"/>
          <w:sz w:val="24"/>
          <w:szCs w:val="24"/>
        </w:rPr>
        <w:t>. The overall staff deficit in STC, including DMN and HWOC, amounts to 369,966</w:t>
      </w:r>
      <w:r w:rsidR="00690D91">
        <w:rPr>
          <w:rFonts w:ascii="Times New Roman" w:hAnsi="Times New Roman" w:cs="Times New Roman"/>
          <w:sz w:val="24"/>
          <w:szCs w:val="24"/>
        </w:rPr>
        <w:t xml:space="preserve"> (Equation </w:t>
      </w:r>
      <w:r w:rsidR="00391858">
        <w:rPr>
          <w:rFonts w:ascii="Times New Roman" w:hAnsi="Times New Roman" w:cs="Times New Roman"/>
          <w:sz w:val="24"/>
          <w:szCs w:val="24"/>
        </w:rPr>
        <w:t>8)</w:t>
      </w:r>
      <w:r w:rsidRPr="005524F5">
        <w:rPr>
          <w:rFonts w:ascii="Times New Roman" w:hAnsi="Times New Roman" w:cs="Times New Roman"/>
          <w:sz w:val="24"/>
          <w:szCs w:val="24"/>
        </w:rPr>
        <w:t>. Additionally, there is a projected shortage of 207,181 administrative and support staff (AS)</w:t>
      </w:r>
      <w:bookmarkEnd w:id="1"/>
      <w:r w:rsidR="00690D91">
        <w:rPr>
          <w:rFonts w:ascii="Times New Roman" w:hAnsi="Times New Roman" w:cs="Times New Roman"/>
          <w:sz w:val="24"/>
          <w:szCs w:val="24"/>
        </w:rPr>
        <w:t xml:space="preserve"> (Equation 9 and 10).</w:t>
      </w:r>
    </w:p>
    <w:p w14:paraId="08EC552C" w14:textId="1F167B39" w:rsidR="00C00902" w:rsidRPr="005524F5" w:rsidRDefault="00C00902" w:rsidP="00C00902">
      <w:pPr>
        <w:spacing w:line="480" w:lineRule="auto"/>
        <w:ind w:firstLine="450"/>
        <w:contextualSpacing/>
        <w:rPr>
          <w:rFonts w:ascii="Times New Roman" w:hAnsi="Times New Roman" w:cs="Times New Roman"/>
          <w:sz w:val="24"/>
          <w:szCs w:val="24"/>
        </w:rPr>
      </w:pPr>
      <w:r w:rsidRPr="005524F5">
        <w:rPr>
          <w:rFonts w:ascii="Times New Roman" w:hAnsi="Times New Roman" w:cs="Times New Roman"/>
          <w:sz w:val="24"/>
          <w:szCs w:val="24"/>
        </w:rPr>
        <w:t>The cost of hiring additional doctors, midwives, and nurses at the targeted wage</w:t>
      </w:r>
      <w:r w:rsidRPr="005524F5">
        <w:rPr>
          <w:rStyle w:val="DipnotBavurusu"/>
          <w:rFonts w:ascii="Times New Roman" w:eastAsiaTheme="minorEastAsia" w:hAnsi="Times New Roman" w:cs="Times New Roman"/>
          <w:sz w:val="24"/>
          <w:szCs w:val="24"/>
        </w:rPr>
        <w:footnoteReference w:id="7"/>
      </w:r>
      <w:r w:rsidRPr="005524F5">
        <w:rPr>
          <w:rFonts w:ascii="Times New Roman" w:hAnsi="Times New Roman" w:cs="Times New Roman"/>
          <w:sz w:val="24"/>
          <w:szCs w:val="24"/>
        </w:rPr>
        <w:t xml:space="preserve"> is estimated at </w:t>
      </w:r>
      <w:r>
        <w:rPr>
          <w:sz w:val="23"/>
          <w:szCs w:val="23"/>
        </w:rPr>
        <w:t>₺</w:t>
      </w:r>
      <w:r w:rsidRPr="005524F5">
        <w:rPr>
          <w:rFonts w:ascii="Times New Roman" w:hAnsi="Times New Roman" w:cs="Times New Roman"/>
          <w:sz w:val="24"/>
          <w:szCs w:val="24"/>
        </w:rPr>
        <w:t>27.3 billion in salary expenses</w:t>
      </w:r>
      <w:r w:rsidR="00BD38A9">
        <w:rPr>
          <w:rFonts w:ascii="Times New Roman" w:hAnsi="Times New Roman" w:cs="Times New Roman"/>
          <w:sz w:val="24"/>
          <w:szCs w:val="24"/>
        </w:rPr>
        <w:t xml:space="preserve"> (Equation 11).</w:t>
      </w:r>
      <w:r w:rsidRPr="005524F5">
        <w:rPr>
          <w:rFonts w:ascii="Times New Roman" w:hAnsi="Times New Roman" w:cs="Times New Roman"/>
          <w:sz w:val="24"/>
          <w:szCs w:val="24"/>
        </w:rPr>
        <w:t xml:space="preserve"> An additional </w:t>
      </w:r>
      <w:r>
        <w:rPr>
          <w:sz w:val="23"/>
          <w:szCs w:val="23"/>
        </w:rPr>
        <w:t>₺</w:t>
      </w:r>
      <w:r w:rsidRPr="005524F5">
        <w:rPr>
          <w:rFonts w:ascii="Times New Roman" w:hAnsi="Times New Roman" w:cs="Times New Roman"/>
          <w:sz w:val="24"/>
          <w:szCs w:val="24"/>
        </w:rPr>
        <w:t>20.6 billion</w:t>
      </w:r>
      <w:r w:rsidRPr="005524F5">
        <w:rPr>
          <w:rStyle w:val="DipnotBavurusu"/>
          <w:rFonts w:ascii="Times New Roman" w:eastAsiaTheme="minorEastAsia" w:hAnsi="Times New Roman" w:cs="Times New Roman"/>
          <w:sz w:val="24"/>
          <w:szCs w:val="24"/>
        </w:rPr>
        <w:footnoteReference w:id="8"/>
      </w:r>
      <w:r w:rsidRPr="005524F5">
        <w:rPr>
          <w:rFonts w:ascii="Times New Roman" w:hAnsi="Times New Roman" w:cs="Times New Roman"/>
          <w:sz w:val="24"/>
          <w:szCs w:val="24"/>
        </w:rPr>
        <w:t xml:space="preserve"> is needed for non-salary spending in DMN employment. </w:t>
      </w:r>
      <w:r w:rsidR="00BD38A9">
        <w:rPr>
          <w:rFonts w:ascii="Times New Roman" w:hAnsi="Times New Roman" w:cs="Times New Roman"/>
          <w:sz w:val="24"/>
          <w:szCs w:val="24"/>
        </w:rPr>
        <w:t>(Equation 12)</w:t>
      </w:r>
      <w:r w:rsidR="00BD38A9" w:rsidRPr="005524F5">
        <w:rPr>
          <w:rFonts w:ascii="Times New Roman" w:hAnsi="Times New Roman" w:cs="Times New Roman"/>
          <w:sz w:val="24"/>
          <w:szCs w:val="24"/>
        </w:rPr>
        <w:t xml:space="preserve">. </w:t>
      </w:r>
      <w:r w:rsidRPr="005524F5">
        <w:rPr>
          <w:rFonts w:ascii="Times New Roman" w:hAnsi="Times New Roman" w:cs="Times New Roman"/>
          <w:sz w:val="24"/>
          <w:szCs w:val="24"/>
        </w:rPr>
        <w:t xml:space="preserve">To address the coverage </w:t>
      </w:r>
      <w:r w:rsidRPr="005524F5">
        <w:rPr>
          <w:rFonts w:ascii="Times New Roman" w:hAnsi="Times New Roman" w:cs="Times New Roman"/>
          <w:sz w:val="24"/>
          <w:szCs w:val="24"/>
        </w:rPr>
        <w:lastRenderedPageBreak/>
        <w:t xml:space="preserve">gap of 231,229 healthcare professionals, the total expenditure required, including salaries and non-salary expenses, is </w:t>
      </w:r>
      <w:r>
        <w:rPr>
          <w:sz w:val="23"/>
          <w:szCs w:val="23"/>
        </w:rPr>
        <w:t>₺</w:t>
      </w:r>
      <w:r w:rsidRPr="005524F5">
        <w:rPr>
          <w:rFonts w:ascii="Times New Roman" w:hAnsi="Times New Roman" w:cs="Times New Roman"/>
          <w:sz w:val="24"/>
          <w:szCs w:val="24"/>
        </w:rPr>
        <w:t xml:space="preserve">47.9 billion, </w:t>
      </w:r>
      <w:r w:rsidRPr="005524F5">
        <w:rPr>
          <w:rFonts w:ascii="Times New Roman" w:hAnsi="Times New Roman" w:cs="Times New Roman"/>
          <w:bCs/>
          <w:sz w:val="24"/>
          <w:szCs w:val="24"/>
        </w:rPr>
        <w:t>equivalent to 1</w:t>
      </w:r>
      <w:r w:rsidRPr="005524F5">
        <w:rPr>
          <w:rFonts w:ascii="Times New Roman" w:hAnsi="Times New Roman" w:cs="Times New Roman"/>
          <w:sz w:val="24"/>
          <w:szCs w:val="24"/>
        </w:rPr>
        <w:t>.11 percent of</w:t>
      </w:r>
      <w:r w:rsidRPr="005524F5">
        <w:rPr>
          <w:rFonts w:ascii="Times New Roman" w:hAnsi="Times New Roman" w:cs="Times New Roman"/>
          <w:bCs/>
          <w:sz w:val="24"/>
          <w:szCs w:val="24"/>
        </w:rPr>
        <w:t xml:space="preserve"> GDP</w:t>
      </w:r>
      <w:r w:rsidR="00BD38A9">
        <w:rPr>
          <w:rFonts w:ascii="Times New Roman" w:hAnsi="Times New Roman" w:cs="Times New Roman"/>
          <w:sz w:val="24"/>
          <w:szCs w:val="24"/>
        </w:rPr>
        <w:t xml:space="preserve"> (Equation 13).</w:t>
      </w:r>
    </w:p>
    <w:p w14:paraId="6D8C2E7B" w14:textId="07B446C6" w:rsidR="00CF6887" w:rsidRDefault="00C00902" w:rsidP="00492691">
      <w:pPr>
        <w:spacing w:line="480" w:lineRule="auto"/>
        <w:ind w:firstLine="450"/>
        <w:rPr>
          <w:rFonts w:ascii="Times New Roman" w:hAnsi="Times New Roman" w:cs="Times New Roman"/>
          <w:sz w:val="24"/>
          <w:szCs w:val="24"/>
        </w:rPr>
      </w:pPr>
      <w:r w:rsidRPr="005524F5">
        <w:rPr>
          <w:rFonts w:ascii="Times New Roman" w:hAnsi="Times New Roman" w:cs="Times New Roman"/>
          <w:sz w:val="24"/>
          <w:szCs w:val="24"/>
        </w:rPr>
        <w:t>Considering the limited data availability, the direct employment impact in the STC sector was primarily analyzed for health professionals.</w:t>
      </w:r>
      <w:r w:rsidRPr="005524F5">
        <w:rPr>
          <w:rStyle w:val="DipnotBavurusu"/>
          <w:rFonts w:ascii="Times New Roman" w:hAnsi="Times New Roman" w:cs="Times New Roman"/>
          <w:sz w:val="24"/>
          <w:szCs w:val="24"/>
        </w:rPr>
        <w:footnoteReference w:id="9"/>
      </w:r>
      <w:r w:rsidRPr="005524F5">
        <w:rPr>
          <w:rFonts w:ascii="Times New Roman" w:hAnsi="Times New Roman" w:cs="Times New Roman"/>
          <w:sz w:val="24"/>
          <w:szCs w:val="24"/>
        </w:rPr>
        <w:t xml:space="preserve"> </w:t>
      </w:r>
      <w:r w:rsidRPr="005524F5">
        <w:rPr>
          <w:rFonts w:ascii="Times New Roman" w:hAnsi="Times New Roman" w:cs="Times New Roman"/>
          <w:sz w:val="24"/>
          <w:szCs w:val="24"/>
          <w:vertAlign w:val="superscript"/>
        </w:rPr>
        <w:footnoteReference w:id="10"/>
      </w:r>
      <w:r w:rsidRPr="005524F5">
        <w:rPr>
          <w:rFonts w:ascii="Times New Roman" w:hAnsi="Times New Roman" w:cs="Times New Roman"/>
          <w:sz w:val="24"/>
          <w:szCs w:val="24"/>
        </w:rPr>
        <w:t xml:space="preserve"> This assessment indicates a total of 369,966 new jobs to be generated, comprising 231,229 positions for doctors, nurses, and midwives, and 138,737 jobs for other healthcare workers.</w:t>
      </w:r>
      <w:r w:rsidRPr="005524F5">
        <w:rPr>
          <w:rFonts w:ascii="Times New Roman" w:hAnsi="Times New Roman" w:cs="Times New Roman"/>
          <w:sz w:val="24"/>
          <w:szCs w:val="24"/>
          <w:vertAlign w:val="superscript"/>
        </w:rPr>
        <w:t xml:space="preserve"> </w:t>
      </w:r>
      <w:r w:rsidRPr="005524F5">
        <w:rPr>
          <w:rFonts w:ascii="Times New Roman" w:hAnsi="Times New Roman" w:cs="Times New Roman"/>
          <w:sz w:val="24"/>
          <w:szCs w:val="24"/>
          <w:vertAlign w:val="superscript"/>
        </w:rPr>
        <w:footnoteReference w:id="11"/>
      </w:r>
      <w:r w:rsidRPr="005524F5">
        <w:rPr>
          <w:rFonts w:ascii="Times New Roman" w:eastAsiaTheme="minorEastAsia" w:hAnsi="Times New Roman" w:cs="Times New Roman"/>
          <w:sz w:val="24"/>
          <w:szCs w:val="24"/>
        </w:rPr>
        <w:t xml:space="preserve"> </w:t>
      </w:r>
      <w:r w:rsidRPr="005524F5">
        <w:rPr>
          <w:rFonts w:ascii="Times New Roman" w:hAnsi="Times New Roman" w:cs="Times New Roman"/>
          <w:sz w:val="24"/>
          <w:szCs w:val="24"/>
        </w:rPr>
        <w:t xml:space="preserve"> Furthermore, there will be 207,181 new jobs for administrative and support staff. In total, STC is expected to employ 577,147 additional employees</w:t>
      </w:r>
      <w:r w:rsidR="00D06AFF">
        <w:rPr>
          <w:rFonts w:ascii="Times New Roman" w:hAnsi="Times New Roman" w:cs="Times New Roman"/>
          <w:sz w:val="24"/>
          <w:szCs w:val="24"/>
        </w:rPr>
        <w:t>.</w:t>
      </w:r>
    </w:p>
    <w:p w14:paraId="783167C4" w14:textId="77777777" w:rsidR="00B971F0" w:rsidRDefault="00B971F0" w:rsidP="00CA352C">
      <w:pPr>
        <w:widowControl w:val="0"/>
        <w:spacing w:line="480" w:lineRule="auto"/>
        <w:rPr>
          <w:rFonts w:ascii="Times New Roman" w:eastAsiaTheme="minorEastAsia" w:hAnsi="Times New Roman" w:cs="Times New Roman"/>
          <w:b/>
          <w:i/>
          <w:iCs/>
          <w:sz w:val="24"/>
          <w:szCs w:val="24"/>
        </w:rPr>
      </w:pPr>
    </w:p>
    <w:p w14:paraId="6F81BEE8" w14:textId="2BC6798A" w:rsidR="00CA352C" w:rsidRPr="005524F5" w:rsidRDefault="00CA352C" w:rsidP="00CA352C">
      <w:pPr>
        <w:widowControl w:val="0"/>
        <w:spacing w:line="480" w:lineRule="auto"/>
        <w:rPr>
          <w:rFonts w:ascii="Times New Roman" w:eastAsiaTheme="minorEastAsia" w:hAnsi="Times New Roman" w:cs="Times New Roman"/>
          <w:b/>
          <w:i/>
          <w:iCs/>
          <w:sz w:val="24"/>
          <w:szCs w:val="24"/>
        </w:rPr>
      </w:pPr>
      <w:r w:rsidRPr="005524F5">
        <w:rPr>
          <w:rFonts w:ascii="Times New Roman" w:eastAsiaTheme="minorEastAsia" w:hAnsi="Times New Roman" w:cs="Times New Roman"/>
          <w:b/>
          <w:i/>
          <w:iCs/>
          <w:sz w:val="24"/>
          <w:szCs w:val="24"/>
        </w:rPr>
        <w:t>Long-term health care services</w:t>
      </w:r>
    </w:p>
    <w:p w14:paraId="5F85C456" w14:textId="77777777" w:rsidR="00CA352C" w:rsidRDefault="00CA352C" w:rsidP="00CA352C">
      <w:pPr>
        <w:widowControl w:val="0"/>
        <w:spacing w:line="480" w:lineRule="auto"/>
        <w:rPr>
          <w:rFonts w:ascii="Times New Roman" w:eastAsiaTheme="minorEastAsia" w:hAnsi="Times New Roman" w:cs="Times New Roman"/>
          <w:iCs/>
          <w:sz w:val="24"/>
          <w:szCs w:val="24"/>
        </w:rPr>
      </w:pPr>
      <w:r w:rsidRPr="005524F5">
        <w:rPr>
          <w:rFonts w:ascii="Times New Roman" w:eastAsiaTheme="minorEastAsia" w:hAnsi="Times New Roman" w:cs="Times New Roman"/>
          <w:iCs/>
          <w:sz w:val="24"/>
          <w:szCs w:val="24"/>
        </w:rPr>
        <w:t>The coverage gap in LTC services is calculated only for elderly care, excluding the disabled, due to data constraints. Therefore, the LTC coverage gap and cost calculations represent a minimum estimate. The calculations are based on Equations 14 to 16.</w:t>
      </w:r>
    </w:p>
    <w:p w14:paraId="326B225C" w14:textId="2EF5BA6F" w:rsidR="008A1004" w:rsidRDefault="002D1961" w:rsidP="008A1004">
      <w:pPr>
        <w:spacing w:line="360" w:lineRule="auto"/>
        <w:rPr>
          <w:rFonts w:eastAsiaTheme="minorEastAsia"/>
          <w:i/>
          <w:iCs/>
        </w:rPr>
      </w:pPr>
      <m:oMath>
        <m:r>
          <w:rPr>
            <w:rFonts w:ascii="Cambria Math" w:hAnsi="Cambria Math"/>
          </w:rPr>
          <m:t xml:space="preserve">LTC Coverage Gap </m:t>
        </m:r>
        <m:d>
          <m:dPr>
            <m:ctrlPr>
              <w:rPr>
                <w:rFonts w:ascii="Cambria Math" w:hAnsi="Cambria Math"/>
                <w:i/>
              </w:rPr>
            </m:ctrlPr>
          </m:dPr>
          <m:e>
            <m:r>
              <w:rPr>
                <w:rFonts w:ascii="Cambria Math" w:hAnsi="Cambria Math"/>
              </w:rPr>
              <m:t>Additional LTC Beneficiaries</m:t>
            </m:r>
          </m:e>
        </m:d>
        <m:r>
          <w:rPr>
            <w:rFonts w:ascii="Cambria Math" w:hAnsi="Cambria Math"/>
            <w:color w:val="000000"/>
          </w:rPr>
          <m:t>=</m:t>
        </m:r>
        <m:r>
          <w:rPr>
            <w:rFonts w:ascii="Cambria Math" w:hAnsi="Cambria Math"/>
          </w:rPr>
          <m:t xml:space="preserve">(65+ Population x Policy Target Coverage Rate </m:t>
        </m:r>
        <m:d>
          <m:dPr>
            <m:ctrlPr>
              <w:rPr>
                <w:rFonts w:ascii="Cambria Math" w:hAnsi="Cambria Math"/>
                <w:i/>
                <w:iCs/>
              </w:rPr>
            </m:ctrlPr>
          </m:dPr>
          <m:e>
            <m:r>
              <w:rPr>
                <w:rFonts w:ascii="Cambria Math" w:hAnsi="Cambria Math"/>
              </w:rPr>
              <m:t>12.4%</m:t>
            </m:r>
          </m:e>
        </m:d>
        <m:r>
          <w:rPr>
            <w:rFonts w:ascii="Cambria Math" w:hAnsi="Cambria Math"/>
          </w:rPr>
          <m:t>)</m:t>
        </m:r>
        <m:r>
          <w:rPr>
            <w:rFonts w:ascii="Cambria Math" w:hAnsi="Cambria Math"/>
            <w:color w:val="000000"/>
          </w:rPr>
          <m:t>-</m:t>
        </m:r>
        <m:r>
          <w:rPr>
            <w:rFonts w:ascii="Cambria Math" w:hAnsi="Cambria Math"/>
          </w:rPr>
          <m:t>(Current 65+ Population who are already LTC Beneficiaries)</m:t>
        </m:r>
      </m:oMath>
      <w:r w:rsidR="007B6662">
        <w:rPr>
          <w:rFonts w:eastAsiaTheme="minorEastAsia"/>
        </w:rPr>
        <w:t xml:space="preserve">                                                                  </w:t>
      </w:r>
      <w:r w:rsidR="007B6662" w:rsidRPr="00876560">
        <w:rPr>
          <w:rFonts w:eastAsiaTheme="minorEastAsia"/>
          <w:i/>
          <w:iCs/>
        </w:rPr>
        <w:t xml:space="preserve">  (14)</w:t>
      </w:r>
    </w:p>
    <w:p w14:paraId="64E3C9A1" w14:textId="184F39DA" w:rsidR="008A1004" w:rsidRPr="008A1004" w:rsidRDefault="008A1004" w:rsidP="008A1004">
      <w:pPr>
        <w:spacing w:line="360" w:lineRule="auto"/>
        <w:rPr>
          <w:rFonts w:eastAsiaTheme="minorEastAsia"/>
          <w:i/>
          <w:iCs/>
        </w:rPr>
      </w:pPr>
      <m:oMathPara>
        <m:oMathParaPr>
          <m:jc m:val="left"/>
        </m:oMathParaPr>
        <m:oMath>
          <m:r>
            <w:rPr>
              <w:rFonts w:ascii="Cambria Math" w:hAnsi="Cambria Math"/>
            </w:rPr>
            <m:t xml:space="preserve">LTC Coverage Gap </m:t>
          </m:r>
          <m:d>
            <m:dPr>
              <m:ctrlPr>
                <w:rPr>
                  <w:rFonts w:ascii="Cambria Math" w:hAnsi="Cambria Math"/>
                  <w:i/>
                </w:rPr>
              </m:ctrlPr>
            </m:dPr>
            <m:e>
              <m:r>
                <w:rPr>
                  <w:rFonts w:ascii="Cambria Math" w:hAnsi="Cambria Math"/>
                </w:rPr>
                <m:t>Additional FTE LTC Workers</m:t>
              </m:r>
            </m:e>
          </m:d>
          <m:r>
            <w:rPr>
              <w:rFonts w:ascii="Cambria Math" w:hAnsi="Cambria Math"/>
              <w:color w:val="000000"/>
            </w:rPr>
            <m:t>=</m:t>
          </m:r>
        </m:oMath>
      </m:oMathPara>
    </w:p>
    <w:p w14:paraId="11507548" w14:textId="34B99440" w:rsidR="007B6662" w:rsidRPr="00876560" w:rsidRDefault="00000000" w:rsidP="00492691">
      <w:pPr>
        <w:spacing w:line="360" w:lineRule="auto"/>
        <w:rPr>
          <w:rFonts w:eastAsiaTheme="minorEastAsia"/>
          <w:i/>
          <w:iCs/>
        </w:rPr>
      </w:pPr>
      <m:oMath>
        <m:d>
          <m:dPr>
            <m:ctrlPr>
              <w:rPr>
                <w:rFonts w:ascii="Cambria Math" w:hAnsi="Cambria Math"/>
                <w:i/>
                <w:color w:val="000000"/>
              </w:rPr>
            </m:ctrlPr>
          </m:dPr>
          <m:e>
            <m:r>
              <w:rPr>
                <w:rFonts w:ascii="Cambria Math" w:hAnsi="Cambria Math"/>
              </w:rPr>
              <m:t xml:space="preserve"> 65+Population in 100s</m:t>
            </m:r>
          </m:e>
        </m:d>
        <m:r>
          <w:rPr>
            <w:rFonts w:ascii="Cambria Math" w:hAnsi="Cambria Math"/>
            <w:color w:val="000000"/>
          </w:rPr>
          <m:t>*</m:t>
        </m:r>
        <m:d>
          <m:dPr>
            <m:ctrlPr>
              <w:rPr>
                <w:rFonts w:ascii="Cambria Math" w:hAnsi="Cambria Math"/>
                <w:i/>
                <w:color w:val="000000"/>
              </w:rPr>
            </m:ctrlPr>
          </m:dPr>
          <m:e>
            <m:r>
              <w:rPr>
                <w:rFonts w:ascii="Cambria Math" w:hAnsi="Cambria Math"/>
              </w:rPr>
              <m:t>Population-to-LTC Worker Ratio</m:t>
            </m:r>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8.67</m:t>
                </m:r>
              </m:e>
            </m:d>
          </m:e>
        </m:d>
        <m:r>
          <w:rPr>
            <w:rFonts w:ascii="Cambria Math" w:hAnsi="Cambria Math"/>
            <w:color w:val="000000"/>
          </w:rPr>
          <m:t>-(</m:t>
        </m:r>
        <m:r>
          <w:rPr>
            <w:rFonts w:ascii="Cambria Math" w:hAnsi="Cambria Math"/>
          </w:rPr>
          <m:t>Current Employment of LTC Workers</m:t>
        </m:r>
      </m:oMath>
      <w:r w:rsidR="008A1004">
        <w:rPr>
          <w:rFonts w:eastAsiaTheme="minorEastAsia"/>
          <w:i/>
        </w:rPr>
        <w:t xml:space="preserve">) </w:t>
      </w:r>
      <w:r w:rsidR="00492691" w:rsidRPr="00876560">
        <w:rPr>
          <w:rFonts w:eastAsiaTheme="minorEastAsia"/>
          <w:i/>
          <w:iCs/>
        </w:rPr>
        <w:t>(15)</w:t>
      </w:r>
      <w:r w:rsidR="007B6662">
        <w:rPr>
          <w:rFonts w:eastAsiaTheme="minorEastAsia"/>
        </w:rPr>
        <w:t xml:space="preserve">                                                                                                                                             </w:t>
      </w:r>
    </w:p>
    <w:p w14:paraId="56B009CC" w14:textId="6F94C156" w:rsidR="007B6662" w:rsidRPr="00876560" w:rsidRDefault="007B6662" w:rsidP="00B971F0">
      <w:pPr>
        <w:spacing w:line="360" w:lineRule="auto"/>
        <w:rPr>
          <w:rFonts w:eastAsiaTheme="minorEastAsia"/>
        </w:rPr>
      </w:pPr>
      <m:oMath>
        <m:r>
          <w:rPr>
            <w:rFonts w:ascii="Cambria Math" w:hAnsi="Cambria Math"/>
          </w:rPr>
          <m:t xml:space="preserve">Cost of LTC Coverage Gap </m:t>
        </m:r>
        <m:r>
          <w:rPr>
            <w:rFonts w:ascii="Cambria Math" w:eastAsiaTheme="minorEastAsia" w:hAnsi="Cambria Math"/>
          </w:rPr>
          <m:t>=</m:t>
        </m:r>
        <m:r>
          <w:rPr>
            <w:rFonts w:ascii="Cambria Math" w:hAnsi="Cambria Math"/>
          </w:rPr>
          <m:t xml:space="preserve">Additional FTE LTC Workers required x Annual Target Salary FTE LTC Worker   </m:t>
        </m:r>
      </m:oMath>
      <w:r>
        <w:rPr>
          <w:rFonts w:eastAsiaTheme="minorEastAsia"/>
        </w:rPr>
        <w:t xml:space="preserve">        </w:t>
      </w:r>
      <w:r w:rsidRPr="00876560">
        <w:rPr>
          <w:rFonts w:eastAsiaTheme="minorEastAsia"/>
          <w:i/>
          <w:iCs/>
        </w:rPr>
        <w:t>(16)</w:t>
      </w:r>
    </w:p>
    <w:p w14:paraId="7F12E2D7" w14:textId="77777777" w:rsidR="00CA352C" w:rsidRPr="005524F5" w:rsidRDefault="00CA352C" w:rsidP="00CA352C">
      <w:pPr>
        <w:widowControl w:val="0"/>
        <w:spacing w:line="480" w:lineRule="auto"/>
        <w:rPr>
          <w:rFonts w:ascii="Times New Roman" w:eastAsiaTheme="minorEastAsia" w:hAnsi="Times New Roman" w:cs="Times New Roman"/>
          <w:iCs/>
          <w:sz w:val="24"/>
          <w:szCs w:val="24"/>
        </w:rPr>
      </w:pPr>
    </w:p>
    <w:p w14:paraId="1295449A" w14:textId="4DBAD86B" w:rsidR="00CA352C" w:rsidRPr="005524F5" w:rsidRDefault="00CA352C" w:rsidP="00CA352C">
      <w:pPr>
        <w:widowControl w:val="0"/>
        <w:spacing w:line="480" w:lineRule="auto"/>
        <w:ind w:firstLine="360"/>
        <w:rPr>
          <w:rFonts w:ascii="Times New Roman" w:eastAsiaTheme="minorEastAsia" w:hAnsi="Times New Roman" w:cs="Times New Roman"/>
          <w:iCs/>
          <w:sz w:val="24"/>
          <w:szCs w:val="24"/>
        </w:rPr>
      </w:pPr>
      <w:r w:rsidRPr="005524F5">
        <w:rPr>
          <w:rFonts w:ascii="Times New Roman" w:eastAsiaTheme="minorEastAsia" w:hAnsi="Times New Roman" w:cs="Times New Roman"/>
          <w:iCs/>
          <w:sz w:val="24"/>
          <w:szCs w:val="24"/>
        </w:rPr>
        <w:t xml:space="preserve">The coverage gap for LTC services can be determined using either the number of LTC </w:t>
      </w:r>
      <w:r w:rsidRPr="005524F5">
        <w:rPr>
          <w:rFonts w:ascii="Times New Roman" w:eastAsiaTheme="minorEastAsia" w:hAnsi="Times New Roman" w:cs="Times New Roman"/>
          <w:iCs/>
          <w:sz w:val="24"/>
          <w:szCs w:val="24"/>
        </w:rPr>
        <w:lastRenderedPageBreak/>
        <w:t xml:space="preserve">employees or the number of individuals aged 65+ receiving services (UN Women and </w:t>
      </w:r>
      <w:r w:rsidR="006A341C" w:rsidRPr="006A341C">
        <w:rPr>
          <w:rFonts w:ascii="Times New Roman" w:hAnsi="Times New Roman" w:cs="Times New Roman"/>
          <w:sz w:val="24"/>
          <w:szCs w:val="24"/>
        </w:rPr>
        <w:t xml:space="preserve">International </w:t>
      </w:r>
      <w:proofErr w:type="spellStart"/>
      <w:r w:rsidR="006A341C" w:rsidRPr="006A341C">
        <w:rPr>
          <w:rFonts w:ascii="Times New Roman" w:hAnsi="Times New Roman" w:cs="Times New Roman"/>
          <w:sz w:val="24"/>
          <w:szCs w:val="24"/>
        </w:rPr>
        <w:t>Labour</w:t>
      </w:r>
      <w:proofErr w:type="spellEnd"/>
      <w:r w:rsidR="006A341C" w:rsidRPr="006A341C">
        <w:rPr>
          <w:rFonts w:ascii="Times New Roman" w:hAnsi="Times New Roman" w:cs="Times New Roman"/>
          <w:sz w:val="24"/>
          <w:szCs w:val="24"/>
        </w:rPr>
        <w:t xml:space="preserve"> Organization </w:t>
      </w:r>
      <w:r w:rsidRPr="005524F5">
        <w:rPr>
          <w:rFonts w:ascii="Times New Roman" w:eastAsiaTheme="minorEastAsia" w:hAnsi="Times New Roman" w:cs="Times New Roman"/>
          <w:iCs/>
          <w:sz w:val="24"/>
          <w:szCs w:val="24"/>
        </w:rPr>
        <w:t>2021). In our study, we chose to consider international targets for both factors to determine the service gap. This approach was preferred because relying solely on the number of employees does not provide a definitive ratio for the 65+ age group that is targeted for LTC services. By using this dual calculation method, we were able to determine both the expected elderly population benefiting from LTC services and the direct employment impact of the required investments to close the coverage gap.</w:t>
      </w:r>
    </w:p>
    <w:p w14:paraId="037580F8" w14:textId="4B2DD1E4" w:rsidR="00CA352C" w:rsidRPr="0080148B" w:rsidRDefault="00CA352C" w:rsidP="00CA352C">
      <w:pPr>
        <w:spacing w:line="480" w:lineRule="auto"/>
        <w:ind w:firstLine="360"/>
        <w:rPr>
          <w:rFonts w:ascii="Times New Roman" w:hAnsi="Times New Roman" w:cs="Times New Roman"/>
          <w:sz w:val="24"/>
          <w:szCs w:val="24"/>
        </w:rPr>
      </w:pPr>
      <w:r w:rsidRPr="005524F5">
        <w:rPr>
          <w:rFonts w:ascii="Times New Roman" w:hAnsi="Times New Roman" w:cs="Times New Roman"/>
          <w:sz w:val="24"/>
          <w:szCs w:val="24"/>
        </w:rPr>
        <w:t xml:space="preserve">In 2019, Türkiye had a </w:t>
      </w:r>
      <w:r w:rsidRPr="0080148B">
        <w:rPr>
          <w:rFonts w:ascii="Times New Roman" w:hAnsi="Times New Roman" w:cs="Times New Roman"/>
          <w:sz w:val="24"/>
          <w:szCs w:val="24"/>
        </w:rPr>
        <w:t xml:space="preserve">population of </w:t>
      </w:r>
      <w:r w:rsidR="00200610" w:rsidRPr="0080148B">
        <w:rPr>
          <w:rFonts w:ascii="Times New Roman" w:hAnsi="Times New Roman" w:cs="Times New Roman"/>
          <w:sz w:val="24"/>
          <w:szCs w:val="24"/>
        </w:rPr>
        <w:t xml:space="preserve">7,550,727 </w:t>
      </w:r>
      <w:r w:rsidRPr="0080148B">
        <w:rPr>
          <w:rFonts w:ascii="Times New Roman" w:hAnsi="Times New Roman" w:cs="Times New Roman"/>
          <w:sz w:val="24"/>
          <w:szCs w:val="24"/>
        </w:rPr>
        <w:t xml:space="preserve">individuals aged 65+. According to </w:t>
      </w:r>
      <w:r w:rsidR="006A341C" w:rsidRPr="0080148B">
        <w:rPr>
          <w:rFonts w:ascii="Times New Roman" w:hAnsi="Times New Roman" w:cs="Times New Roman"/>
          <w:sz w:val="24"/>
          <w:szCs w:val="24"/>
        </w:rPr>
        <w:t xml:space="preserve">International </w:t>
      </w:r>
      <w:proofErr w:type="spellStart"/>
      <w:r w:rsidR="006A341C" w:rsidRPr="0080148B">
        <w:rPr>
          <w:rFonts w:ascii="Times New Roman" w:hAnsi="Times New Roman" w:cs="Times New Roman"/>
          <w:sz w:val="24"/>
          <w:szCs w:val="24"/>
        </w:rPr>
        <w:t>Labour</w:t>
      </w:r>
      <w:proofErr w:type="spellEnd"/>
      <w:r w:rsidR="006A341C" w:rsidRPr="0080148B">
        <w:rPr>
          <w:rFonts w:ascii="Times New Roman" w:hAnsi="Times New Roman" w:cs="Times New Roman"/>
          <w:sz w:val="24"/>
          <w:szCs w:val="24"/>
        </w:rPr>
        <w:t xml:space="preserve"> Organization </w:t>
      </w:r>
      <w:r w:rsidRPr="0080148B">
        <w:rPr>
          <w:rFonts w:ascii="Times New Roman" w:hAnsi="Times New Roman" w:cs="Times New Roman"/>
          <w:sz w:val="24"/>
          <w:szCs w:val="24"/>
        </w:rPr>
        <w:t xml:space="preserve">(2018), the target coverage for LTC services in this age group was set at 12.4 percent. However, only 27,286 elderlies actually received LTC services. This indicates a coverage gap of </w:t>
      </w:r>
      <w:r w:rsidR="00200610" w:rsidRPr="0080148B">
        <w:rPr>
          <w:rFonts w:ascii="Times New Roman" w:hAnsi="Times New Roman" w:cs="Times New Roman"/>
          <w:sz w:val="24"/>
          <w:szCs w:val="24"/>
        </w:rPr>
        <w:t xml:space="preserve">909,004 </w:t>
      </w:r>
      <w:r w:rsidRPr="0080148B">
        <w:rPr>
          <w:rFonts w:ascii="Times New Roman" w:hAnsi="Times New Roman" w:cs="Times New Roman"/>
          <w:sz w:val="24"/>
          <w:szCs w:val="24"/>
        </w:rPr>
        <w:t>individuals in terms of service recipients</w:t>
      </w:r>
      <w:r w:rsidR="009F590C" w:rsidRPr="0080148B">
        <w:rPr>
          <w:rFonts w:ascii="Times New Roman" w:hAnsi="Times New Roman" w:cs="Times New Roman"/>
          <w:sz w:val="24"/>
          <w:szCs w:val="24"/>
        </w:rPr>
        <w:t xml:space="preserve"> </w:t>
      </w:r>
      <w:r w:rsidR="00B971F0" w:rsidRPr="0080148B">
        <w:rPr>
          <w:rFonts w:ascii="Times New Roman" w:hAnsi="Times New Roman" w:cs="Times New Roman"/>
          <w:sz w:val="24"/>
          <w:szCs w:val="24"/>
        </w:rPr>
        <w:t xml:space="preserve">in Türkiye </w:t>
      </w:r>
      <w:r w:rsidR="009F590C" w:rsidRPr="0080148B">
        <w:rPr>
          <w:rFonts w:ascii="Times New Roman" w:hAnsi="Times New Roman" w:cs="Times New Roman"/>
          <w:sz w:val="24"/>
          <w:szCs w:val="24"/>
        </w:rPr>
        <w:t>(Equation 14).</w:t>
      </w:r>
    </w:p>
    <w:p w14:paraId="4DE16656" w14:textId="41BAE10C" w:rsidR="00CA352C" w:rsidRPr="0080148B" w:rsidRDefault="00CA352C" w:rsidP="00CA352C">
      <w:pPr>
        <w:spacing w:line="480" w:lineRule="auto"/>
        <w:ind w:firstLine="360"/>
        <w:rPr>
          <w:rFonts w:ascii="Times New Roman" w:hAnsi="Times New Roman" w:cs="Times New Roman"/>
          <w:sz w:val="24"/>
          <w:szCs w:val="24"/>
        </w:rPr>
      </w:pPr>
      <w:r w:rsidRPr="0080148B">
        <w:rPr>
          <w:rFonts w:ascii="Times New Roman" w:hAnsi="Times New Roman" w:cs="Times New Roman"/>
          <w:sz w:val="24"/>
          <w:szCs w:val="24"/>
        </w:rPr>
        <w:t xml:space="preserve">We calculated the coverage gap also in terms of the LTC worker number. According to </w:t>
      </w:r>
      <w:r w:rsidR="006A341C" w:rsidRPr="0080148B">
        <w:rPr>
          <w:rFonts w:ascii="Times New Roman" w:hAnsi="Times New Roman" w:cs="Times New Roman"/>
          <w:sz w:val="24"/>
          <w:szCs w:val="24"/>
        </w:rPr>
        <w:t xml:space="preserve">International </w:t>
      </w:r>
      <w:proofErr w:type="spellStart"/>
      <w:r w:rsidR="006A341C" w:rsidRPr="0080148B">
        <w:rPr>
          <w:rFonts w:ascii="Times New Roman" w:hAnsi="Times New Roman" w:cs="Times New Roman"/>
          <w:sz w:val="24"/>
          <w:szCs w:val="24"/>
        </w:rPr>
        <w:t>Labour</w:t>
      </w:r>
      <w:proofErr w:type="spellEnd"/>
      <w:r w:rsidR="006A341C" w:rsidRPr="0080148B">
        <w:rPr>
          <w:rFonts w:ascii="Times New Roman" w:hAnsi="Times New Roman" w:cs="Times New Roman"/>
          <w:sz w:val="24"/>
          <w:szCs w:val="24"/>
        </w:rPr>
        <w:t xml:space="preserve"> Organization </w:t>
      </w:r>
      <w:r w:rsidRPr="0080148B">
        <w:rPr>
          <w:rFonts w:ascii="Times New Roman" w:hAnsi="Times New Roman" w:cs="Times New Roman"/>
          <w:sz w:val="24"/>
          <w:szCs w:val="24"/>
        </w:rPr>
        <w:t>(2018), the recommended ratio of LTC personnel to elderly individuals is 4.2 employees per 100 people. However, this ratio can vary widely among countries, ranging from 0 to 17 employees per 100 people (</w:t>
      </w:r>
      <w:r w:rsidRPr="0080148B">
        <w:rPr>
          <w:rFonts w:ascii="Times New Roman" w:eastAsiaTheme="minorEastAsia" w:hAnsi="Times New Roman" w:cs="Times New Roman"/>
          <w:iCs/>
          <w:sz w:val="24"/>
          <w:szCs w:val="24"/>
        </w:rPr>
        <w:t xml:space="preserve">UN Women and </w:t>
      </w:r>
      <w:r w:rsidR="006A341C" w:rsidRPr="0080148B">
        <w:rPr>
          <w:rFonts w:ascii="Times New Roman" w:hAnsi="Times New Roman" w:cs="Times New Roman"/>
          <w:sz w:val="24"/>
          <w:szCs w:val="24"/>
        </w:rPr>
        <w:t xml:space="preserve">International </w:t>
      </w:r>
      <w:proofErr w:type="spellStart"/>
      <w:r w:rsidR="006A341C" w:rsidRPr="0080148B">
        <w:rPr>
          <w:rFonts w:ascii="Times New Roman" w:hAnsi="Times New Roman" w:cs="Times New Roman"/>
          <w:sz w:val="24"/>
          <w:szCs w:val="24"/>
        </w:rPr>
        <w:t>Labour</w:t>
      </w:r>
      <w:proofErr w:type="spellEnd"/>
      <w:r w:rsidR="006A341C" w:rsidRPr="0080148B">
        <w:rPr>
          <w:rFonts w:ascii="Times New Roman" w:hAnsi="Times New Roman" w:cs="Times New Roman"/>
          <w:sz w:val="24"/>
          <w:szCs w:val="24"/>
        </w:rPr>
        <w:t xml:space="preserve"> Organization </w:t>
      </w:r>
      <w:r w:rsidRPr="0080148B">
        <w:rPr>
          <w:rFonts w:ascii="Times New Roman" w:eastAsiaTheme="minorEastAsia" w:hAnsi="Times New Roman" w:cs="Times New Roman"/>
          <w:iCs/>
          <w:sz w:val="24"/>
          <w:szCs w:val="24"/>
        </w:rPr>
        <w:t>2021</w:t>
      </w:r>
      <w:r w:rsidRPr="0080148B">
        <w:rPr>
          <w:rFonts w:ascii="Times New Roman" w:hAnsi="Times New Roman" w:cs="Times New Roman"/>
          <w:sz w:val="24"/>
          <w:szCs w:val="24"/>
        </w:rPr>
        <w:t>). In Türkiye, the requirement is for nursing homes to</w:t>
      </w:r>
      <w:r w:rsidRPr="005524F5">
        <w:rPr>
          <w:rFonts w:ascii="Times New Roman" w:hAnsi="Times New Roman" w:cs="Times New Roman"/>
          <w:sz w:val="24"/>
          <w:szCs w:val="24"/>
        </w:rPr>
        <w:t xml:space="preserve"> have 8.67 nurses and caregivers per 100 elderly residents, which aligns with the global standard. Considering that 8,631 formal LTC worker</w:t>
      </w:r>
      <w:r>
        <w:rPr>
          <w:rFonts w:ascii="Times New Roman" w:hAnsi="Times New Roman" w:cs="Times New Roman"/>
          <w:sz w:val="24"/>
          <w:szCs w:val="24"/>
        </w:rPr>
        <w:t>s</w:t>
      </w:r>
      <w:r w:rsidRPr="005524F5">
        <w:rPr>
          <w:rFonts w:ascii="Times New Roman" w:hAnsi="Times New Roman" w:cs="Times New Roman"/>
          <w:sz w:val="24"/>
          <w:szCs w:val="24"/>
        </w:rPr>
        <w:t xml:space="preserve"> were employed in Türkiye, to achieve the universal coverage rate of 12.4 percent for the population aged 65+ (i.e., </w:t>
      </w:r>
      <w:r w:rsidRPr="00B971F0">
        <w:rPr>
          <w:rFonts w:ascii="Times New Roman" w:hAnsi="Times New Roman" w:cs="Times New Roman"/>
          <w:sz w:val="24"/>
          <w:szCs w:val="24"/>
        </w:rPr>
        <w:t xml:space="preserve">for </w:t>
      </w:r>
      <w:r w:rsidR="00200610" w:rsidRPr="005524F5">
        <w:rPr>
          <w:rFonts w:ascii="Times New Roman" w:hAnsi="Times New Roman" w:cs="Times New Roman"/>
          <w:sz w:val="24"/>
          <w:szCs w:val="24"/>
        </w:rPr>
        <w:t xml:space="preserve">936,290 </w:t>
      </w:r>
      <w:r w:rsidRPr="005524F5">
        <w:rPr>
          <w:rFonts w:ascii="Times New Roman" w:hAnsi="Times New Roman" w:cs="Times New Roman"/>
          <w:sz w:val="24"/>
          <w:szCs w:val="24"/>
        </w:rPr>
        <w:t>elderlies to be covered in total</w:t>
      </w:r>
      <w:r w:rsidR="00B971F0">
        <w:rPr>
          <w:rFonts w:ascii="Times New Roman" w:hAnsi="Times New Roman" w:cs="Times New Roman"/>
          <w:sz w:val="24"/>
          <w:szCs w:val="24"/>
        </w:rPr>
        <w:t xml:space="preserve"> </w:t>
      </w:r>
      <w:r w:rsidR="00B971F0" w:rsidRPr="00B971F0">
        <w:rPr>
          <w:rFonts w:ascii="Times New Roman" w:hAnsi="Times New Roman" w:cs="Times New Roman"/>
          <w:sz w:val="24"/>
          <w:szCs w:val="24"/>
        </w:rPr>
        <w:t>in total, including 27,286 nursing home residents</w:t>
      </w:r>
      <w:r w:rsidRPr="005524F5">
        <w:rPr>
          <w:rFonts w:ascii="Times New Roman" w:hAnsi="Times New Roman" w:cs="Times New Roman"/>
          <w:sz w:val="24"/>
          <w:szCs w:val="24"/>
        </w:rPr>
        <w:t xml:space="preserve">), an additional </w:t>
      </w:r>
      <w:r w:rsidR="00200610" w:rsidRPr="005524F5">
        <w:rPr>
          <w:rFonts w:ascii="Times New Roman" w:hAnsi="Times New Roman" w:cs="Times New Roman"/>
          <w:sz w:val="24"/>
          <w:szCs w:val="24"/>
        </w:rPr>
        <w:t xml:space="preserve">72,545 </w:t>
      </w:r>
      <w:r w:rsidRPr="005524F5">
        <w:rPr>
          <w:rFonts w:ascii="Times New Roman" w:hAnsi="Times New Roman" w:cs="Times New Roman"/>
          <w:sz w:val="24"/>
          <w:szCs w:val="24"/>
        </w:rPr>
        <w:t xml:space="preserve">full-time </w:t>
      </w:r>
      <w:r w:rsidR="008A1004" w:rsidRPr="0080148B">
        <w:rPr>
          <w:rFonts w:ascii="Times New Roman" w:hAnsi="Times New Roman" w:cs="Times New Roman"/>
          <w:sz w:val="24"/>
          <w:szCs w:val="24"/>
        </w:rPr>
        <w:t xml:space="preserve">equivalent (FTE) </w:t>
      </w:r>
      <w:r w:rsidRPr="0080148B">
        <w:rPr>
          <w:rFonts w:ascii="Times New Roman" w:hAnsi="Times New Roman" w:cs="Times New Roman"/>
          <w:sz w:val="24"/>
          <w:szCs w:val="24"/>
        </w:rPr>
        <w:t>LTC personnel are needed.</w:t>
      </w:r>
    </w:p>
    <w:p w14:paraId="5B1FCC94" w14:textId="0DEE1832" w:rsidR="00CA352C" w:rsidRPr="005524F5" w:rsidRDefault="00CA352C" w:rsidP="00CA352C">
      <w:pPr>
        <w:spacing w:line="480" w:lineRule="auto"/>
        <w:ind w:firstLine="426"/>
        <w:rPr>
          <w:rFonts w:ascii="Times New Roman" w:hAnsi="Times New Roman" w:cs="Times New Roman"/>
          <w:sz w:val="24"/>
          <w:szCs w:val="24"/>
        </w:rPr>
      </w:pPr>
      <w:r w:rsidRPr="0080148B">
        <w:rPr>
          <w:rFonts w:ascii="Times New Roman" w:hAnsi="Times New Roman" w:cs="Times New Roman"/>
          <w:sz w:val="24"/>
          <w:szCs w:val="24"/>
        </w:rPr>
        <w:t xml:space="preserve">UN Women and </w:t>
      </w:r>
      <w:r w:rsidR="006A341C" w:rsidRPr="0080148B">
        <w:rPr>
          <w:rFonts w:ascii="Times New Roman" w:hAnsi="Times New Roman" w:cs="Times New Roman"/>
          <w:sz w:val="24"/>
          <w:szCs w:val="24"/>
        </w:rPr>
        <w:t xml:space="preserve">International </w:t>
      </w:r>
      <w:proofErr w:type="spellStart"/>
      <w:r w:rsidR="006A341C" w:rsidRPr="0080148B">
        <w:rPr>
          <w:rFonts w:ascii="Times New Roman" w:hAnsi="Times New Roman" w:cs="Times New Roman"/>
          <w:sz w:val="24"/>
          <w:szCs w:val="24"/>
        </w:rPr>
        <w:t>Labour</w:t>
      </w:r>
      <w:proofErr w:type="spellEnd"/>
      <w:r w:rsidR="006A341C" w:rsidRPr="0080148B">
        <w:rPr>
          <w:rFonts w:ascii="Times New Roman" w:hAnsi="Times New Roman" w:cs="Times New Roman"/>
          <w:sz w:val="24"/>
          <w:szCs w:val="24"/>
        </w:rPr>
        <w:t xml:space="preserve"> Organization </w:t>
      </w:r>
      <w:r w:rsidRPr="0080148B">
        <w:rPr>
          <w:rFonts w:ascii="Times New Roman" w:hAnsi="Times New Roman" w:cs="Times New Roman"/>
          <w:sz w:val="24"/>
          <w:szCs w:val="24"/>
        </w:rPr>
        <w:t>(2021) highlighted</w:t>
      </w:r>
      <w:r w:rsidRPr="005524F5">
        <w:rPr>
          <w:rFonts w:ascii="Times New Roman" w:hAnsi="Times New Roman" w:cs="Times New Roman"/>
          <w:sz w:val="24"/>
          <w:szCs w:val="24"/>
        </w:rPr>
        <w:t xml:space="preserve"> that even in high-income countries such as the </w:t>
      </w:r>
      <w:r w:rsidR="00200610">
        <w:rPr>
          <w:rFonts w:ascii="Times New Roman" w:hAnsi="Times New Roman" w:cs="Times New Roman"/>
          <w:sz w:val="24"/>
          <w:szCs w:val="24"/>
        </w:rPr>
        <w:t>U.S.</w:t>
      </w:r>
      <w:r w:rsidR="00200610" w:rsidRPr="005524F5">
        <w:rPr>
          <w:rFonts w:ascii="Times New Roman" w:hAnsi="Times New Roman" w:cs="Times New Roman"/>
          <w:sz w:val="24"/>
          <w:szCs w:val="24"/>
        </w:rPr>
        <w:t xml:space="preserve"> </w:t>
      </w:r>
      <w:r w:rsidRPr="005524F5">
        <w:rPr>
          <w:rFonts w:ascii="Times New Roman" w:hAnsi="Times New Roman" w:cs="Times New Roman"/>
          <w:sz w:val="24"/>
          <w:szCs w:val="24"/>
        </w:rPr>
        <w:t xml:space="preserve">and the UK, LTC employees receive relatively low salaries </w:t>
      </w:r>
      <w:r w:rsidRPr="005524F5">
        <w:rPr>
          <w:rFonts w:ascii="Times New Roman" w:hAnsi="Times New Roman" w:cs="Times New Roman"/>
          <w:sz w:val="24"/>
          <w:szCs w:val="24"/>
        </w:rPr>
        <w:lastRenderedPageBreak/>
        <w:t>and suggested raising their wages.</w:t>
      </w:r>
      <w:r w:rsidRPr="005524F5">
        <w:rPr>
          <w:rFonts w:ascii="Times New Roman" w:eastAsiaTheme="minorEastAsia" w:hAnsi="Times New Roman" w:cs="Times New Roman"/>
          <w:sz w:val="24"/>
          <w:szCs w:val="24"/>
          <w:vertAlign w:val="superscript"/>
        </w:rPr>
        <w:footnoteReference w:id="12"/>
      </w:r>
      <w:r w:rsidRPr="005524F5">
        <w:rPr>
          <w:rFonts w:ascii="Times New Roman" w:hAnsi="Times New Roman" w:cs="Times New Roman"/>
          <w:sz w:val="24"/>
          <w:szCs w:val="24"/>
        </w:rPr>
        <w:t xml:space="preserve"> This study adopted a target salary of </w:t>
      </w:r>
      <w:r>
        <w:rPr>
          <w:sz w:val="23"/>
          <w:szCs w:val="23"/>
        </w:rPr>
        <w:t>₺</w:t>
      </w:r>
      <w:r w:rsidRPr="005524F5">
        <w:rPr>
          <w:rFonts w:ascii="Times New Roman" w:hAnsi="Times New Roman" w:cs="Times New Roman"/>
          <w:sz w:val="24"/>
          <w:szCs w:val="24"/>
        </w:rPr>
        <w:t xml:space="preserve">70,411 for additional LTC workers. Therefore, </w:t>
      </w:r>
      <w:r w:rsidR="00200610" w:rsidRPr="005524F5">
        <w:rPr>
          <w:rFonts w:ascii="Times New Roman" w:hAnsi="Times New Roman" w:cs="Times New Roman"/>
          <w:sz w:val="24"/>
          <w:szCs w:val="24"/>
        </w:rPr>
        <w:t xml:space="preserve">72,545 </w:t>
      </w:r>
      <w:r w:rsidRPr="005524F5">
        <w:rPr>
          <w:rFonts w:ascii="Times New Roman" w:hAnsi="Times New Roman" w:cs="Times New Roman"/>
          <w:sz w:val="24"/>
          <w:szCs w:val="24"/>
        </w:rPr>
        <w:t xml:space="preserve">additional full-time LTC employees would require a total compensation </w:t>
      </w:r>
      <w:r w:rsidRPr="00B971F0">
        <w:rPr>
          <w:rFonts w:ascii="Times New Roman" w:hAnsi="Times New Roman" w:cs="Times New Roman"/>
          <w:sz w:val="24"/>
          <w:szCs w:val="24"/>
        </w:rPr>
        <w:t xml:space="preserve">of </w:t>
      </w:r>
      <w:r w:rsidRPr="00B971F0">
        <w:rPr>
          <w:sz w:val="23"/>
          <w:szCs w:val="23"/>
        </w:rPr>
        <w:t>₺</w:t>
      </w:r>
      <w:r w:rsidRPr="00B971F0">
        <w:rPr>
          <w:rFonts w:ascii="Times New Roman" w:hAnsi="Times New Roman" w:cs="Times New Roman"/>
          <w:sz w:val="24"/>
          <w:szCs w:val="24"/>
        </w:rPr>
        <w:t>5.</w:t>
      </w:r>
      <w:r w:rsidR="00200610">
        <w:rPr>
          <w:rFonts w:ascii="Times New Roman" w:hAnsi="Times New Roman" w:cs="Times New Roman"/>
          <w:sz w:val="24"/>
          <w:szCs w:val="24"/>
        </w:rPr>
        <w:t>1</w:t>
      </w:r>
      <w:r w:rsidRPr="00B971F0">
        <w:rPr>
          <w:rFonts w:ascii="Times New Roman" w:hAnsi="Times New Roman" w:cs="Times New Roman"/>
          <w:sz w:val="24"/>
          <w:szCs w:val="24"/>
        </w:rPr>
        <w:t xml:space="preserve"> billion</w:t>
      </w:r>
      <w:r w:rsidRPr="005524F5">
        <w:rPr>
          <w:rFonts w:ascii="Times New Roman" w:hAnsi="Times New Roman" w:cs="Times New Roman"/>
          <w:sz w:val="24"/>
          <w:szCs w:val="24"/>
        </w:rPr>
        <w:t xml:space="preserve"> to address the LTC coverage gap, representing </w:t>
      </w:r>
      <w:r w:rsidRPr="005524F5">
        <w:rPr>
          <w:rFonts w:ascii="Times New Roman" w:hAnsi="Times New Roman" w:cs="Times New Roman"/>
          <w:bCs/>
          <w:sz w:val="24"/>
          <w:szCs w:val="24"/>
        </w:rPr>
        <w:t xml:space="preserve">0.12 percent of GDP (Table </w:t>
      </w:r>
      <w:r w:rsidR="00836487">
        <w:rPr>
          <w:rFonts w:ascii="Times New Roman" w:hAnsi="Times New Roman" w:cs="Times New Roman"/>
          <w:bCs/>
          <w:sz w:val="24"/>
          <w:szCs w:val="24"/>
        </w:rPr>
        <w:t>5</w:t>
      </w:r>
      <w:r w:rsidRPr="005524F5">
        <w:rPr>
          <w:rFonts w:ascii="Times New Roman" w:hAnsi="Times New Roman" w:cs="Times New Roman"/>
          <w:bCs/>
          <w:sz w:val="24"/>
          <w:szCs w:val="24"/>
        </w:rPr>
        <w:t>)</w:t>
      </w:r>
      <w:r w:rsidR="003055A9">
        <w:rPr>
          <w:rFonts w:ascii="Times New Roman" w:hAnsi="Times New Roman" w:cs="Times New Roman"/>
          <w:sz w:val="24"/>
          <w:szCs w:val="24"/>
        </w:rPr>
        <w:t xml:space="preserve"> (Equation 15).</w:t>
      </w:r>
    </w:p>
    <w:p w14:paraId="6DF833B6" w14:textId="1119625D" w:rsidR="00CA352C" w:rsidRPr="005524F5" w:rsidRDefault="00CA352C" w:rsidP="00CA352C">
      <w:pPr>
        <w:spacing w:line="480" w:lineRule="auto"/>
        <w:ind w:firstLine="426"/>
        <w:rPr>
          <w:rFonts w:ascii="Times New Roman" w:hAnsi="Times New Roman" w:cs="Times New Roman"/>
          <w:sz w:val="24"/>
          <w:szCs w:val="24"/>
        </w:rPr>
      </w:pPr>
      <w:r w:rsidRPr="005524F5">
        <w:rPr>
          <w:rFonts w:ascii="Times New Roman" w:hAnsi="Times New Roman" w:cs="Times New Roman"/>
          <w:sz w:val="24"/>
          <w:szCs w:val="24"/>
        </w:rPr>
        <w:t xml:space="preserve">Türkiye had an average nursing home capacity of 65, accommodating 27,286 elderly individuals across 420 public and private facilities as of November 2019. To achieve the 12.4 percent universal coverage rate, </w:t>
      </w:r>
      <w:r w:rsidR="00200610" w:rsidRPr="005524F5">
        <w:rPr>
          <w:rFonts w:ascii="Times New Roman" w:hAnsi="Times New Roman" w:cs="Times New Roman"/>
          <w:sz w:val="24"/>
          <w:szCs w:val="24"/>
        </w:rPr>
        <w:t xml:space="preserve">909,004 </w:t>
      </w:r>
      <w:r w:rsidRPr="005524F5">
        <w:rPr>
          <w:rFonts w:ascii="Times New Roman" w:hAnsi="Times New Roman" w:cs="Times New Roman"/>
          <w:sz w:val="24"/>
          <w:szCs w:val="24"/>
        </w:rPr>
        <w:t xml:space="preserve">individuals would need to be covered. However, this study proposes a future approach that does not solely rely on residential (nursing home) services, aligning with </w:t>
      </w:r>
      <w:r w:rsidR="006A341C" w:rsidRPr="006A341C">
        <w:rPr>
          <w:rFonts w:ascii="Times New Roman" w:hAnsi="Times New Roman" w:cs="Times New Roman"/>
          <w:sz w:val="24"/>
          <w:szCs w:val="24"/>
        </w:rPr>
        <w:t xml:space="preserve">International </w:t>
      </w:r>
      <w:proofErr w:type="spellStart"/>
      <w:r w:rsidR="006A341C" w:rsidRPr="006A341C">
        <w:rPr>
          <w:rFonts w:ascii="Times New Roman" w:hAnsi="Times New Roman" w:cs="Times New Roman"/>
          <w:sz w:val="24"/>
          <w:szCs w:val="24"/>
        </w:rPr>
        <w:t>Labour</w:t>
      </w:r>
      <w:proofErr w:type="spellEnd"/>
      <w:r w:rsidR="006A341C" w:rsidRPr="006A341C">
        <w:rPr>
          <w:rFonts w:ascii="Times New Roman" w:hAnsi="Times New Roman" w:cs="Times New Roman"/>
          <w:sz w:val="24"/>
          <w:szCs w:val="24"/>
        </w:rPr>
        <w:t xml:space="preserve"> </w:t>
      </w:r>
      <w:r w:rsidR="006A341C" w:rsidRPr="0080148B">
        <w:rPr>
          <w:rFonts w:ascii="Times New Roman" w:hAnsi="Times New Roman" w:cs="Times New Roman"/>
          <w:sz w:val="24"/>
          <w:szCs w:val="24"/>
        </w:rPr>
        <w:t xml:space="preserve">Organization </w:t>
      </w:r>
      <w:r w:rsidRPr="0080148B">
        <w:rPr>
          <w:rFonts w:ascii="Times New Roman" w:hAnsi="Times New Roman" w:cs="Times New Roman"/>
          <w:sz w:val="24"/>
          <w:szCs w:val="24"/>
        </w:rPr>
        <w:t>(2018). Given</w:t>
      </w:r>
      <w:r w:rsidRPr="005524F5">
        <w:rPr>
          <w:rFonts w:ascii="Times New Roman" w:hAnsi="Times New Roman" w:cs="Times New Roman"/>
          <w:sz w:val="24"/>
          <w:szCs w:val="24"/>
        </w:rPr>
        <w:t xml:space="preserve"> the scarcity of residential services, it is crucial to expand the range of available options for care and increase the number of services offered to individuals aged 65+ to close the coverage gap. </w:t>
      </w:r>
    </w:p>
    <w:p w14:paraId="1DDE2D6F" w14:textId="73C9680C" w:rsidR="00CA352C" w:rsidRDefault="00CA352C" w:rsidP="003E6B11">
      <w:pPr>
        <w:spacing w:line="480" w:lineRule="auto"/>
        <w:ind w:firstLine="426"/>
        <w:rPr>
          <w:rFonts w:ascii="Times New Roman" w:hAnsi="Times New Roman" w:cs="Times New Roman"/>
          <w:sz w:val="24"/>
          <w:szCs w:val="24"/>
        </w:rPr>
      </w:pPr>
      <w:r w:rsidRPr="005524F5">
        <w:rPr>
          <w:rFonts w:ascii="Times New Roman" w:hAnsi="Times New Roman" w:cs="Times New Roman"/>
          <w:sz w:val="24"/>
          <w:szCs w:val="24"/>
        </w:rPr>
        <w:t xml:space="preserve">In this context, the required number of AS workers for </w:t>
      </w:r>
      <w:r w:rsidR="00200610" w:rsidRPr="005524F5">
        <w:rPr>
          <w:rFonts w:ascii="Times New Roman" w:hAnsi="Times New Roman" w:cs="Times New Roman"/>
          <w:sz w:val="24"/>
          <w:szCs w:val="24"/>
        </w:rPr>
        <w:t xml:space="preserve">909,004 </w:t>
      </w:r>
      <w:r w:rsidRPr="005524F5">
        <w:rPr>
          <w:rFonts w:ascii="Times New Roman" w:hAnsi="Times New Roman" w:cs="Times New Roman"/>
          <w:sz w:val="24"/>
          <w:szCs w:val="24"/>
        </w:rPr>
        <w:t xml:space="preserve">elderly individuals to access LTC services was initially estimated based on the existing rates for residential services. However, considering that the new LTC services will predominantly involve daycare and home professional services, the number of AS workers has been halved. A projected total of 13,985 nursing homes, each with a capacity of 65 persons, is anticipated. To comply with regulations, these facilities would require 8.67 nurses and caregivers per 100 elderly residents; thus, a total </w:t>
      </w:r>
      <w:r w:rsidRPr="005524F5">
        <w:rPr>
          <w:rFonts w:ascii="Times New Roman" w:hAnsi="Times New Roman" w:cs="Times New Roman"/>
          <w:sz w:val="24"/>
          <w:szCs w:val="24"/>
        </w:rPr>
        <w:lastRenderedPageBreak/>
        <w:t xml:space="preserve">of </w:t>
      </w:r>
      <w:r w:rsidR="00200610" w:rsidRPr="005524F5">
        <w:rPr>
          <w:rFonts w:ascii="Times New Roman" w:hAnsi="Times New Roman" w:cs="Times New Roman"/>
          <w:sz w:val="24"/>
          <w:szCs w:val="24"/>
        </w:rPr>
        <w:t xml:space="preserve">72,545 </w:t>
      </w:r>
      <w:r w:rsidRPr="005524F5">
        <w:rPr>
          <w:rFonts w:ascii="Times New Roman" w:hAnsi="Times New Roman" w:cs="Times New Roman"/>
          <w:sz w:val="24"/>
          <w:szCs w:val="24"/>
        </w:rPr>
        <w:t xml:space="preserve">additional LTC employees (nurses and caregivers) are needed. Besides, regulations stipulate that each nursing home can employ up to 7 personnel for technical, administrative, and other services in addition to a responsible manager, social worker, psychologist, physiotherapist and dietician, resulting in 240,365 new direct jobs in the LTC industry </w:t>
      </w:r>
      <w:r w:rsidRPr="003055A9">
        <w:rPr>
          <w:rFonts w:ascii="Times New Roman" w:hAnsi="Times New Roman" w:cs="Times New Roman"/>
          <w:sz w:val="24"/>
          <w:szCs w:val="24"/>
        </w:rPr>
        <w:t>(</w:t>
      </w:r>
      <w:r w:rsidR="00200610" w:rsidRPr="005524F5">
        <w:rPr>
          <w:rFonts w:ascii="Times New Roman" w:hAnsi="Times New Roman" w:cs="Times New Roman"/>
          <w:sz w:val="24"/>
          <w:szCs w:val="24"/>
        </w:rPr>
        <w:t xml:space="preserve">72,545 </w:t>
      </w:r>
      <w:r w:rsidR="003055A9" w:rsidRPr="003055A9">
        <w:rPr>
          <w:rFonts w:ascii="Times New Roman" w:hAnsi="Times New Roman" w:cs="Times New Roman"/>
          <w:sz w:val="24"/>
          <w:szCs w:val="24"/>
        </w:rPr>
        <w:t xml:space="preserve">nurses and caregivers and </w:t>
      </w:r>
      <w:r w:rsidR="00200610" w:rsidRPr="005524F5">
        <w:rPr>
          <w:rFonts w:ascii="Times New Roman" w:hAnsi="Times New Roman" w:cs="Times New Roman"/>
          <w:sz w:val="24"/>
          <w:szCs w:val="24"/>
        </w:rPr>
        <w:t xml:space="preserve">167,820 </w:t>
      </w:r>
      <w:r w:rsidR="003055A9" w:rsidRPr="003055A9">
        <w:rPr>
          <w:rFonts w:ascii="Times New Roman" w:hAnsi="Times New Roman" w:cs="Times New Roman"/>
          <w:sz w:val="24"/>
          <w:szCs w:val="24"/>
        </w:rPr>
        <w:t>other AS employees</w:t>
      </w:r>
      <w:r w:rsidRPr="003055A9">
        <w:rPr>
          <w:rFonts w:ascii="Times New Roman" w:hAnsi="Times New Roman" w:cs="Times New Roman"/>
          <w:sz w:val="24"/>
          <w:szCs w:val="24"/>
        </w:rPr>
        <w:t>). However, considering</w:t>
      </w:r>
      <w:r w:rsidRPr="005524F5">
        <w:rPr>
          <w:rFonts w:ascii="Times New Roman" w:hAnsi="Times New Roman" w:cs="Times New Roman"/>
          <w:sz w:val="24"/>
          <w:szCs w:val="24"/>
        </w:rPr>
        <w:t xml:space="preserve"> that the services will mainly be daytime and at home, the number of AS personnel is halved to 83,910, resulting in a total projected LTC employment of </w:t>
      </w:r>
      <w:r w:rsidR="00200610" w:rsidRPr="005524F5">
        <w:rPr>
          <w:rFonts w:ascii="Times New Roman" w:hAnsi="Times New Roman" w:cs="Times New Roman"/>
          <w:sz w:val="24"/>
          <w:szCs w:val="24"/>
        </w:rPr>
        <w:t>156,455</w:t>
      </w:r>
      <w:r w:rsidR="003055A9">
        <w:rPr>
          <w:rFonts w:ascii="Times New Roman" w:hAnsi="Times New Roman" w:cs="Times New Roman"/>
          <w:sz w:val="24"/>
          <w:szCs w:val="24"/>
        </w:rPr>
        <w:t>.</w:t>
      </w:r>
    </w:p>
    <w:p w14:paraId="7F6821F8" w14:textId="746C19EF" w:rsidR="00F249A7" w:rsidRDefault="00AA073E" w:rsidP="000F4620">
      <w:pPr>
        <w:spacing w:line="480" w:lineRule="auto"/>
        <w:rPr>
          <w:rFonts w:ascii="Times New Roman" w:hAnsi="Times New Roman" w:cs="Times New Roman"/>
          <w:sz w:val="24"/>
          <w:szCs w:val="24"/>
        </w:rPr>
      </w:pPr>
      <w:r>
        <w:rPr>
          <w:rFonts w:ascii="Times New Roman" w:hAnsi="Times New Roman" w:cs="Times New Roman"/>
          <w:sz w:val="24"/>
          <w:szCs w:val="24"/>
        </w:rPr>
        <w:t>References:</w:t>
      </w:r>
    </w:p>
    <w:p w14:paraId="24A105CB" w14:textId="38856E87" w:rsidR="00E9366C" w:rsidRPr="00BC3D0D" w:rsidRDefault="00E9366C" w:rsidP="00E9366C">
      <w:pPr>
        <w:ind w:left="426" w:hanging="426"/>
        <w:rPr>
          <w:rFonts w:asciiTheme="majorBidi" w:hAnsiTheme="majorBidi" w:cstheme="majorBidi"/>
          <w:sz w:val="24"/>
          <w:szCs w:val="24"/>
        </w:rPr>
      </w:pPr>
      <w:r w:rsidRPr="000F4620">
        <w:rPr>
          <w:rFonts w:asciiTheme="majorBidi" w:hAnsiTheme="majorBidi" w:cstheme="majorBidi"/>
          <w:b/>
          <w:bCs/>
          <w:sz w:val="24"/>
          <w:szCs w:val="24"/>
        </w:rPr>
        <w:t>International Labor Organization (2018)</w:t>
      </w:r>
      <w:r w:rsidRPr="00BC3D0D">
        <w:rPr>
          <w:rFonts w:asciiTheme="majorBidi" w:hAnsiTheme="majorBidi" w:cstheme="majorBidi"/>
          <w:sz w:val="24"/>
          <w:szCs w:val="24"/>
        </w:rPr>
        <w:t xml:space="preserve"> </w:t>
      </w:r>
      <w:r w:rsidRPr="00BC3D0D">
        <w:rPr>
          <w:rFonts w:asciiTheme="majorBidi" w:hAnsiTheme="majorBidi" w:cstheme="majorBidi"/>
          <w:i/>
          <w:iCs/>
          <w:sz w:val="24"/>
          <w:szCs w:val="24"/>
        </w:rPr>
        <w:t>Care Work and Care Jobs for the Future of Decent Work</w:t>
      </w:r>
      <w:r w:rsidRPr="00BC3D0D">
        <w:rPr>
          <w:rFonts w:asciiTheme="majorBidi" w:hAnsiTheme="majorBidi" w:cstheme="majorBidi"/>
          <w:sz w:val="24"/>
          <w:szCs w:val="24"/>
        </w:rPr>
        <w:t xml:space="preserve">. Report prepared by </w:t>
      </w:r>
      <w:proofErr w:type="spellStart"/>
      <w:r w:rsidRPr="00BC3D0D">
        <w:rPr>
          <w:rFonts w:asciiTheme="majorBidi" w:hAnsiTheme="majorBidi" w:cstheme="majorBidi"/>
          <w:sz w:val="24"/>
          <w:szCs w:val="24"/>
        </w:rPr>
        <w:t>Addati</w:t>
      </w:r>
      <w:proofErr w:type="spellEnd"/>
      <w:r w:rsidRPr="00BC3D0D">
        <w:rPr>
          <w:rFonts w:asciiTheme="majorBidi" w:hAnsiTheme="majorBidi" w:cstheme="majorBidi"/>
          <w:sz w:val="24"/>
          <w:szCs w:val="24"/>
        </w:rPr>
        <w:t xml:space="preserve">, L., Cattaneo, U., Esquivel, V., &amp; </w:t>
      </w:r>
      <w:proofErr w:type="spellStart"/>
      <w:r w:rsidRPr="00BC3D0D">
        <w:rPr>
          <w:rFonts w:asciiTheme="majorBidi" w:hAnsiTheme="majorBidi" w:cstheme="majorBidi"/>
          <w:sz w:val="24"/>
          <w:szCs w:val="24"/>
        </w:rPr>
        <w:t>Valarino</w:t>
      </w:r>
      <w:proofErr w:type="spellEnd"/>
      <w:r w:rsidRPr="00BC3D0D">
        <w:rPr>
          <w:rFonts w:asciiTheme="majorBidi" w:hAnsiTheme="majorBidi" w:cstheme="majorBidi"/>
          <w:sz w:val="24"/>
          <w:szCs w:val="24"/>
        </w:rPr>
        <w:t xml:space="preserve">, I. </w:t>
      </w:r>
    </w:p>
    <w:p w14:paraId="482F2B09" w14:textId="38371EEF" w:rsidR="00230DD4" w:rsidRPr="00BC3D0D" w:rsidRDefault="006C7DF6" w:rsidP="00530908">
      <w:pPr>
        <w:ind w:left="426" w:hanging="426"/>
        <w:rPr>
          <w:rFonts w:asciiTheme="majorBidi" w:hAnsiTheme="majorBidi" w:cstheme="majorBidi"/>
          <w:sz w:val="24"/>
          <w:szCs w:val="24"/>
        </w:rPr>
      </w:pPr>
      <w:proofErr w:type="spellStart"/>
      <w:r w:rsidRPr="000F4620">
        <w:rPr>
          <w:rFonts w:asciiTheme="majorBidi" w:hAnsiTheme="majorBidi" w:cstheme="majorBidi"/>
          <w:b/>
          <w:bCs/>
          <w:sz w:val="24"/>
          <w:szCs w:val="24"/>
        </w:rPr>
        <w:t>İlkkaracan</w:t>
      </w:r>
      <w:proofErr w:type="spellEnd"/>
      <w:r w:rsidRPr="000F4620">
        <w:rPr>
          <w:rFonts w:asciiTheme="majorBidi" w:hAnsiTheme="majorBidi" w:cstheme="majorBidi"/>
          <w:b/>
          <w:bCs/>
          <w:sz w:val="24"/>
          <w:szCs w:val="24"/>
        </w:rPr>
        <w:t xml:space="preserve"> I, Kim K and Kaya T (2015)</w:t>
      </w:r>
      <w:r w:rsidRPr="00BC3D0D">
        <w:rPr>
          <w:rFonts w:asciiTheme="majorBidi" w:hAnsiTheme="majorBidi" w:cstheme="majorBidi"/>
          <w:sz w:val="24"/>
          <w:szCs w:val="24"/>
        </w:rPr>
        <w:t xml:space="preserve"> </w:t>
      </w:r>
      <w:r w:rsidRPr="00BC3D0D">
        <w:rPr>
          <w:rFonts w:asciiTheme="majorBidi" w:hAnsiTheme="majorBidi" w:cstheme="majorBidi"/>
          <w:i/>
          <w:iCs/>
          <w:sz w:val="24"/>
          <w:szCs w:val="24"/>
        </w:rPr>
        <w:t>The Impact of Public Investment in Social Care on Employment, Gender Equality, and Poverty:</w:t>
      </w:r>
      <w:r w:rsidRPr="00BC3D0D">
        <w:rPr>
          <w:rFonts w:asciiTheme="majorBidi" w:hAnsiTheme="majorBidi" w:cstheme="majorBidi"/>
          <w:sz w:val="24"/>
          <w:szCs w:val="24"/>
        </w:rPr>
        <w:t xml:space="preserve"> </w:t>
      </w:r>
      <w:r w:rsidRPr="00BC3D0D">
        <w:rPr>
          <w:rFonts w:asciiTheme="majorBidi" w:hAnsiTheme="majorBidi" w:cstheme="majorBidi"/>
          <w:i/>
          <w:iCs/>
          <w:sz w:val="24"/>
          <w:szCs w:val="24"/>
        </w:rPr>
        <w:t>The Turkish Case</w:t>
      </w:r>
      <w:r w:rsidRPr="00BC3D0D">
        <w:rPr>
          <w:rFonts w:asciiTheme="majorBidi" w:hAnsiTheme="majorBidi" w:cstheme="majorBidi"/>
          <w:sz w:val="24"/>
          <w:szCs w:val="24"/>
        </w:rPr>
        <w:t xml:space="preserve">. İstanbul Technical University Women’s Studies Center in Science, Engineering, and Technology and the Levy Economics Institute of Bard College, August. Available at  </w:t>
      </w:r>
      <w:hyperlink r:id="rId8" w:history="1">
        <w:r w:rsidRPr="00BC3D0D">
          <w:rPr>
            <w:rStyle w:val="Kpr"/>
            <w:rFonts w:asciiTheme="majorBidi" w:hAnsiTheme="majorBidi" w:cstheme="majorBidi"/>
            <w:sz w:val="24"/>
            <w:szCs w:val="24"/>
          </w:rPr>
          <w:t>https://www.ilo.org/wcmsp5/groups/public/---</w:t>
        </w:r>
        <w:proofErr w:type="spellStart"/>
        <w:r w:rsidRPr="00BC3D0D">
          <w:rPr>
            <w:rStyle w:val="Kpr"/>
            <w:rFonts w:asciiTheme="majorBidi" w:hAnsiTheme="majorBidi" w:cstheme="majorBidi"/>
            <w:sz w:val="24"/>
            <w:szCs w:val="24"/>
          </w:rPr>
          <w:t>europe</w:t>
        </w:r>
        <w:proofErr w:type="spellEnd"/>
        <w:r w:rsidRPr="00BC3D0D">
          <w:rPr>
            <w:rStyle w:val="Kpr"/>
            <w:rFonts w:asciiTheme="majorBidi" w:hAnsiTheme="majorBidi" w:cstheme="majorBidi"/>
            <w:sz w:val="24"/>
            <w:szCs w:val="24"/>
          </w:rPr>
          <w:t>/---</w:t>
        </w:r>
        <w:proofErr w:type="spellStart"/>
        <w:r w:rsidRPr="00BC3D0D">
          <w:rPr>
            <w:rStyle w:val="Kpr"/>
            <w:rFonts w:asciiTheme="majorBidi" w:hAnsiTheme="majorBidi" w:cstheme="majorBidi"/>
            <w:sz w:val="24"/>
            <w:szCs w:val="24"/>
          </w:rPr>
          <w:t>ro-geneva</w:t>
        </w:r>
        <w:proofErr w:type="spellEnd"/>
        <w:r w:rsidRPr="00BC3D0D">
          <w:rPr>
            <w:rStyle w:val="Kpr"/>
            <w:rFonts w:asciiTheme="majorBidi" w:hAnsiTheme="majorBidi" w:cstheme="majorBidi"/>
            <w:sz w:val="24"/>
            <w:szCs w:val="24"/>
          </w:rPr>
          <w:t>/---</w:t>
        </w:r>
        <w:proofErr w:type="spellStart"/>
        <w:r w:rsidRPr="00BC3D0D">
          <w:rPr>
            <w:rStyle w:val="Kpr"/>
            <w:rFonts w:asciiTheme="majorBidi" w:hAnsiTheme="majorBidi" w:cstheme="majorBidi"/>
            <w:sz w:val="24"/>
            <w:szCs w:val="24"/>
          </w:rPr>
          <w:t>ilo-ankara</w:t>
        </w:r>
        <w:proofErr w:type="spellEnd"/>
        <w:r w:rsidRPr="00BC3D0D">
          <w:rPr>
            <w:rStyle w:val="Kpr"/>
            <w:rFonts w:asciiTheme="majorBidi" w:hAnsiTheme="majorBidi" w:cstheme="majorBidi"/>
            <w:sz w:val="24"/>
            <w:szCs w:val="24"/>
          </w:rPr>
          <w:t>/documents/publication/wcms_409804.pdf</w:t>
        </w:r>
      </w:hyperlink>
      <w:r w:rsidRPr="00BC3D0D">
        <w:rPr>
          <w:rStyle w:val="Kpr"/>
          <w:rFonts w:asciiTheme="majorBidi" w:hAnsiTheme="majorBidi" w:cstheme="majorBidi"/>
          <w:sz w:val="24"/>
          <w:szCs w:val="24"/>
        </w:rPr>
        <w:t xml:space="preserve"> </w:t>
      </w:r>
      <w:r w:rsidRPr="00BC3D0D">
        <w:rPr>
          <w:rFonts w:asciiTheme="majorBidi" w:hAnsiTheme="majorBidi" w:cstheme="majorBidi"/>
          <w:sz w:val="24"/>
          <w:szCs w:val="24"/>
        </w:rPr>
        <w:t xml:space="preserve"> (accessed 04 April 2020).</w:t>
      </w:r>
    </w:p>
    <w:p w14:paraId="49AFDC2B" w14:textId="186A1C08" w:rsidR="00530908" w:rsidRPr="00BC3D0D" w:rsidRDefault="00530908" w:rsidP="00BC3D0D">
      <w:pPr>
        <w:ind w:left="426" w:hanging="426"/>
        <w:rPr>
          <w:rFonts w:asciiTheme="majorBidi" w:hAnsiTheme="majorBidi" w:cstheme="majorBidi"/>
          <w:color w:val="000000" w:themeColor="text1"/>
          <w:sz w:val="24"/>
          <w:szCs w:val="24"/>
        </w:rPr>
      </w:pPr>
      <w:proofErr w:type="spellStart"/>
      <w:r w:rsidRPr="000F4620">
        <w:rPr>
          <w:rFonts w:asciiTheme="majorBidi" w:hAnsiTheme="majorBidi" w:cstheme="majorBidi"/>
          <w:b/>
          <w:bCs/>
          <w:color w:val="000000" w:themeColor="text1"/>
          <w:sz w:val="24"/>
          <w:szCs w:val="24"/>
        </w:rPr>
        <w:t>Ilkkaracan</w:t>
      </w:r>
      <w:proofErr w:type="spellEnd"/>
      <w:r w:rsidRPr="000F4620">
        <w:rPr>
          <w:rFonts w:asciiTheme="majorBidi" w:hAnsiTheme="majorBidi" w:cstheme="majorBidi"/>
          <w:b/>
          <w:bCs/>
          <w:color w:val="000000" w:themeColor="text1"/>
          <w:sz w:val="24"/>
          <w:szCs w:val="24"/>
        </w:rPr>
        <w:t xml:space="preserve"> I and Kim K (2019)</w:t>
      </w:r>
      <w:r w:rsidRPr="00BC3D0D">
        <w:rPr>
          <w:rFonts w:asciiTheme="majorBidi" w:hAnsiTheme="majorBidi" w:cstheme="majorBidi"/>
          <w:color w:val="000000" w:themeColor="text1"/>
          <w:sz w:val="24"/>
          <w:szCs w:val="24"/>
        </w:rPr>
        <w:t xml:space="preserve"> </w:t>
      </w:r>
      <w:r w:rsidRPr="00BC3D0D">
        <w:rPr>
          <w:rFonts w:asciiTheme="majorBidi" w:hAnsiTheme="majorBidi" w:cstheme="majorBidi"/>
          <w:i/>
          <w:iCs/>
          <w:color w:val="000000" w:themeColor="text1"/>
          <w:sz w:val="24"/>
          <w:szCs w:val="24"/>
        </w:rPr>
        <w:t>The Employment Generation Impact of Meeting SDG Targets in Early Childhood Care, Education, Health and Long-Term Care in 45 Countries</w:t>
      </w:r>
      <w:r w:rsidRPr="00BC3D0D">
        <w:rPr>
          <w:rFonts w:asciiTheme="majorBidi" w:hAnsiTheme="majorBidi" w:cstheme="majorBidi"/>
          <w:color w:val="000000" w:themeColor="text1"/>
          <w:sz w:val="24"/>
          <w:szCs w:val="24"/>
        </w:rPr>
        <w:t xml:space="preserve">. </w:t>
      </w:r>
      <w:r w:rsidRPr="00BC3D0D">
        <w:rPr>
          <w:rFonts w:asciiTheme="majorBidi" w:hAnsiTheme="majorBidi" w:cstheme="majorBidi"/>
          <w:color w:val="000000" w:themeColor="text1"/>
          <w:sz w:val="24"/>
          <w:szCs w:val="24"/>
        </w:rPr>
        <w:t>Geneva: International Labor Office.</w:t>
      </w:r>
    </w:p>
    <w:p w14:paraId="45D555D4" w14:textId="50785C10" w:rsidR="00E9366C" w:rsidRPr="00BC3D0D" w:rsidRDefault="006C7DF6" w:rsidP="00BC3D0D">
      <w:pPr>
        <w:ind w:left="426" w:hanging="426"/>
        <w:rPr>
          <w:rFonts w:asciiTheme="majorBidi" w:hAnsiTheme="majorBidi" w:cstheme="majorBidi"/>
          <w:sz w:val="24"/>
          <w:szCs w:val="24"/>
        </w:rPr>
      </w:pPr>
      <w:proofErr w:type="spellStart"/>
      <w:r w:rsidRPr="000F4620">
        <w:rPr>
          <w:rFonts w:asciiTheme="majorBidi" w:hAnsiTheme="majorBidi" w:cstheme="majorBidi"/>
          <w:b/>
          <w:bCs/>
          <w:sz w:val="24"/>
          <w:szCs w:val="24"/>
        </w:rPr>
        <w:t>İlkkaracan</w:t>
      </w:r>
      <w:proofErr w:type="spellEnd"/>
      <w:r w:rsidRPr="000F4620">
        <w:rPr>
          <w:rFonts w:asciiTheme="majorBidi" w:hAnsiTheme="majorBidi" w:cstheme="majorBidi"/>
          <w:b/>
          <w:bCs/>
          <w:sz w:val="24"/>
          <w:szCs w:val="24"/>
        </w:rPr>
        <w:t xml:space="preserve"> I. (2020)</w:t>
      </w:r>
      <w:r w:rsidRPr="00BC3D0D">
        <w:rPr>
          <w:rFonts w:asciiTheme="majorBidi" w:hAnsiTheme="majorBidi" w:cstheme="majorBidi"/>
          <w:sz w:val="24"/>
          <w:szCs w:val="24"/>
        </w:rPr>
        <w:t xml:space="preserve"> </w:t>
      </w:r>
      <w:r w:rsidRPr="00BC3D0D">
        <w:rPr>
          <w:rFonts w:asciiTheme="majorBidi" w:hAnsiTheme="majorBidi" w:cstheme="majorBidi"/>
          <w:i/>
          <w:iCs/>
          <w:sz w:val="24"/>
          <w:szCs w:val="24"/>
        </w:rPr>
        <w:t>Policy Support Tool for Estimating Care Deficits, Investment Costs and Economic Returns</w:t>
      </w:r>
      <w:r w:rsidRPr="00BC3D0D">
        <w:rPr>
          <w:rFonts w:asciiTheme="majorBidi" w:hAnsiTheme="majorBidi" w:cstheme="majorBidi"/>
          <w:sz w:val="24"/>
          <w:szCs w:val="24"/>
        </w:rPr>
        <w:t xml:space="preserve">. Working Paper. Geneva and New York: </w:t>
      </w:r>
      <w:r w:rsidR="006A341C" w:rsidRPr="006A341C">
        <w:rPr>
          <w:rFonts w:ascii="Times New Roman" w:hAnsi="Times New Roman" w:cs="Times New Roman"/>
          <w:sz w:val="24"/>
          <w:szCs w:val="24"/>
        </w:rPr>
        <w:t xml:space="preserve">International </w:t>
      </w:r>
      <w:proofErr w:type="spellStart"/>
      <w:r w:rsidR="006A341C" w:rsidRPr="006A341C">
        <w:rPr>
          <w:rFonts w:ascii="Times New Roman" w:hAnsi="Times New Roman" w:cs="Times New Roman"/>
          <w:sz w:val="24"/>
          <w:szCs w:val="24"/>
        </w:rPr>
        <w:t>Labour</w:t>
      </w:r>
      <w:proofErr w:type="spellEnd"/>
      <w:r w:rsidR="006A341C" w:rsidRPr="006A341C">
        <w:rPr>
          <w:rFonts w:ascii="Times New Roman" w:hAnsi="Times New Roman" w:cs="Times New Roman"/>
          <w:sz w:val="24"/>
          <w:szCs w:val="24"/>
        </w:rPr>
        <w:t xml:space="preserve"> Organization </w:t>
      </w:r>
      <w:r w:rsidRPr="00BC3D0D">
        <w:rPr>
          <w:rFonts w:asciiTheme="majorBidi" w:hAnsiTheme="majorBidi" w:cstheme="majorBidi"/>
          <w:sz w:val="24"/>
          <w:szCs w:val="24"/>
        </w:rPr>
        <w:t>and UN Women.</w:t>
      </w:r>
    </w:p>
    <w:p w14:paraId="34E770F6" w14:textId="057D6FD0" w:rsidR="007B5C86" w:rsidRPr="00BC3D0D" w:rsidRDefault="00230DD4" w:rsidP="00BC3D0D">
      <w:pPr>
        <w:ind w:left="426" w:hanging="426"/>
        <w:rPr>
          <w:rFonts w:asciiTheme="majorBidi" w:hAnsiTheme="majorBidi" w:cstheme="majorBidi"/>
          <w:sz w:val="24"/>
          <w:szCs w:val="24"/>
        </w:rPr>
      </w:pPr>
      <w:r w:rsidRPr="000F4620">
        <w:rPr>
          <w:rFonts w:asciiTheme="majorBidi" w:hAnsiTheme="majorBidi" w:cstheme="majorBidi"/>
          <w:b/>
          <w:bCs/>
          <w:color w:val="000000" w:themeColor="text1"/>
          <w:sz w:val="24"/>
          <w:szCs w:val="24"/>
        </w:rPr>
        <w:t>Milliyet Daily (2020)</w:t>
      </w:r>
      <w:r w:rsidRPr="00BC3D0D">
        <w:rPr>
          <w:rFonts w:asciiTheme="majorBidi" w:hAnsiTheme="majorBidi" w:cstheme="majorBidi"/>
          <w:color w:val="000000" w:themeColor="text1"/>
          <w:sz w:val="24"/>
          <w:szCs w:val="24"/>
        </w:rPr>
        <w:t xml:space="preserve"> </w:t>
      </w:r>
      <w:proofErr w:type="spellStart"/>
      <w:r w:rsidRPr="00BC3D0D">
        <w:rPr>
          <w:rFonts w:asciiTheme="majorBidi" w:hAnsiTheme="majorBidi" w:cstheme="majorBidi"/>
          <w:color w:val="000000" w:themeColor="text1"/>
          <w:sz w:val="24"/>
          <w:szCs w:val="24"/>
        </w:rPr>
        <w:t>Memur</w:t>
      </w:r>
      <w:proofErr w:type="spellEnd"/>
      <w:r w:rsidRPr="00BC3D0D">
        <w:rPr>
          <w:rFonts w:asciiTheme="majorBidi" w:hAnsiTheme="majorBidi" w:cstheme="majorBidi"/>
          <w:color w:val="000000" w:themeColor="text1"/>
          <w:sz w:val="24"/>
          <w:szCs w:val="24"/>
        </w:rPr>
        <w:t xml:space="preserve"> </w:t>
      </w:r>
      <w:proofErr w:type="spellStart"/>
      <w:r w:rsidRPr="00BC3D0D">
        <w:rPr>
          <w:rFonts w:asciiTheme="majorBidi" w:hAnsiTheme="majorBidi" w:cstheme="majorBidi"/>
          <w:color w:val="000000" w:themeColor="text1"/>
          <w:sz w:val="24"/>
          <w:szCs w:val="24"/>
        </w:rPr>
        <w:t>maaşı</w:t>
      </w:r>
      <w:proofErr w:type="spellEnd"/>
      <w:r w:rsidRPr="00BC3D0D">
        <w:rPr>
          <w:rFonts w:asciiTheme="majorBidi" w:hAnsiTheme="majorBidi" w:cstheme="majorBidi"/>
          <w:color w:val="000000" w:themeColor="text1"/>
          <w:sz w:val="24"/>
          <w:szCs w:val="24"/>
        </w:rPr>
        <w:t xml:space="preserve"> </w:t>
      </w:r>
      <w:proofErr w:type="spellStart"/>
      <w:r w:rsidRPr="00BC3D0D">
        <w:rPr>
          <w:rFonts w:asciiTheme="majorBidi" w:hAnsiTheme="majorBidi" w:cstheme="majorBidi"/>
          <w:color w:val="000000" w:themeColor="text1"/>
          <w:sz w:val="24"/>
          <w:szCs w:val="24"/>
        </w:rPr>
        <w:t>zammı</w:t>
      </w:r>
      <w:proofErr w:type="spellEnd"/>
      <w:r w:rsidRPr="00BC3D0D">
        <w:rPr>
          <w:rFonts w:asciiTheme="majorBidi" w:hAnsiTheme="majorBidi" w:cstheme="majorBidi"/>
          <w:color w:val="000000" w:themeColor="text1"/>
          <w:sz w:val="24"/>
          <w:szCs w:val="24"/>
        </w:rPr>
        <w:t xml:space="preserve"> ne </w:t>
      </w:r>
      <w:proofErr w:type="spellStart"/>
      <w:r w:rsidRPr="00BC3D0D">
        <w:rPr>
          <w:rFonts w:asciiTheme="majorBidi" w:hAnsiTheme="majorBidi" w:cstheme="majorBidi"/>
          <w:color w:val="000000" w:themeColor="text1"/>
          <w:sz w:val="24"/>
          <w:szCs w:val="24"/>
        </w:rPr>
        <w:t>kadar</w:t>
      </w:r>
      <w:proofErr w:type="spellEnd"/>
      <w:r w:rsidRPr="00BC3D0D">
        <w:rPr>
          <w:rFonts w:asciiTheme="majorBidi" w:hAnsiTheme="majorBidi" w:cstheme="majorBidi"/>
          <w:color w:val="000000" w:themeColor="text1"/>
          <w:sz w:val="24"/>
          <w:szCs w:val="24"/>
        </w:rPr>
        <w:t xml:space="preserve"> 2020?</w:t>
      </w:r>
      <w:r w:rsidR="00E960FC">
        <w:rPr>
          <w:rFonts w:asciiTheme="majorBidi" w:hAnsiTheme="majorBidi" w:cstheme="majorBidi"/>
          <w:color w:val="000000" w:themeColor="text1"/>
          <w:sz w:val="24"/>
          <w:szCs w:val="24"/>
        </w:rPr>
        <w:t xml:space="preserve"> </w:t>
      </w:r>
      <w:r w:rsidR="00BC3D0D" w:rsidRPr="00BC3D0D">
        <w:rPr>
          <w:rFonts w:asciiTheme="majorBidi" w:hAnsiTheme="majorBidi" w:cstheme="majorBidi"/>
          <w:color w:val="000000" w:themeColor="text1"/>
          <w:sz w:val="24"/>
          <w:szCs w:val="24"/>
        </w:rPr>
        <w:t>8 July</w:t>
      </w:r>
      <w:r w:rsidR="00E960FC">
        <w:rPr>
          <w:rFonts w:asciiTheme="majorBidi" w:hAnsiTheme="majorBidi" w:cstheme="majorBidi"/>
          <w:color w:val="000000" w:themeColor="text1"/>
          <w:sz w:val="24"/>
          <w:szCs w:val="24"/>
        </w:rPr>
        <w:t>.</w:t>
      </w:r>
      <w:r w:rsidR="00BC3D0D" w:rsidRPr="00BC3D0D">
        <w:rPr>
          <w:rFonts w:asciiTheme="majorBidi" w:hAnsiTheme="majorBidi" w:cstheme="majorBidi"/>
          <w:color w:val="000000" w:themeColor="text1"/>
          <w:sz w:val="24"/>
          <w:szCs w:val="24"/>
        </w:rPr>
        <w:t xml:space="preserve"> </w:t>
      </w:r>
      <w:r w:rsidR="00BC3D0D" w:rsidRPr="00BC3D0D">
        <w:rPr>
          <w:rFonts w:asciiTheme="majorBidi" w:hAnsiTheme="majorBidi" w:cstheme="majorBidi"/>
          <w:sz w:val="24"/>
          <w:szCs w:val="24"/>
        </w:rPr>
        <w:t xml:space="preserve">Available at  </w:t>
      </w:r>
      <w:r w:rsidRPr="00BC3D0D">
        <w:rPr>
          <w:rFonts w:asciiTheme="majorBidi" w:hAnsiTheme="majorBidi" w:cstheme="majorBidi"/>
          <w:color w:val="000000" w:themeColor="text1"/>
          <w:sz w:val="24"/>
          <w:szCs w:val="24"/>
        </w:rPr>
        <w:t xml:space="preserve"> </w:t>
      </w:r>
      <w:hyperlink r:id="rId9" w:history="1">
        <w:r w:rsidR="007B5C86" w:rsidRPr="00BC3D0D">
          <w:rPr>
            <w:rStyle w:val="Kpr"/>
            <w:rFonts w:asciiTheme="majorBidi" w:hAnsiTheme="majorBidi" w:cstheme="majorBidi"/>
            <w:sz w:val="24"/>
            <w:szCs w:val="24"/>
          </w:rPr>
          <w:t>https://www.milliyet.com.tr/ekonomi/memur-maasi-zamlari-ne-kadar-2020-temmuz-ayi-ogretmen-doktor-polis-memur-maasi-zam-tablosu-6252488</w:t>
        </w:r>
      </w:hyperlink>
      <w:r w:rsidR="00BC3D0D" w:rsidRPr="00BC3D0D">
        <w:rPr>
          <w:rFonts w:asciiTheme="majorBidi" w:hAnsiTheme="majorBidi" w:cstheme="majorBidi"/>
          <w:color w:val="000000" w:themeColor="text1"/>
          <w:sz w:val="24"/>
          <w:szCs w:val="24"/>
        </w:rPr>
        <w:t xml:space="preserve"> </w:t>
      </w:r>
      <w:r w:rsidR="00BC3D0D" w:rsidRPr="00BC3D0D">
        <w:rPr>
          <w:rFonts w:asciiTheme="majorBidi" w:hAnsiTheme="majorBidi" w:cstheme="majorBidi"/>
          <w:sz w:val="24"/>
          <w:szCs w:val="24"/>
        </w:rPr>
        <w:t xml:space="preserve">(accessed </w:t>
      </w:r>
      <w:r w:rsidR="00BC3D0D" w:rsidRPr="00BC3D0D">
        <w:rPr>
          <w:rFonts w:asciiTheme="majorBidi" w:hAnsiTheme="majorBidi" w:cstheme="majorBidi"/>
          <w:sz w:val="24"/>
          <w:szCs w:val="24"/>
        </w:rPr>
        <w:t>10</w:t>
      </w:r>
      <w:r w:rsidR="00BC3D0D" w:rsidRPr="00BC3D0D">
        <w:rPr>
          <w:rFonts w:asciiTheme="majorBidi" w:hAnsiTheme="majorBidi" w:cstheme="majorBidi"/>
          <w:sz w:val="24"/>
          <w:szCs w:val="24"/>
        </w:rPr>
        <w:t xml:space="preserve"> </w:t>
      </w:r>
      <w:r w:rsidR="00BC3D0D" w:rsidRPr="00BC3D0D">
        <w:rPr>
          <w:rFonts w:asciiTheme="majorBidi" w:hAnsiTheme="majorBidi" w:cstheme="majorBidi"/>
          <w:sz w:val="24"/>
          <w:szCs w:val="24"/>
        </w:rPr>
        <w:t>September</w:t>
      </w:r>
      <w:r w:rsidR="00BC3D0D" w:rsidRPr="00BC3D0D">
        <w:rPr>
          <w:rFonts w:asciiTheme="majorBidi" w:hAnsiTheme="majorBidi" w:cstheme="majorBidi"/>
          <w:sz w:val="24"/>
          <w:szCs w:val="24"/>
        </w:rPr>
        <w:t xml:space="preserve"> </w:t>
      </w:r>
      <w:r w:rsidR="00BC3D0D" w:rsidRPr="00BC3D0D">
        <w:rPr>
          <w:rFonts w:asciiTheme="majorBidi" w:hAnsiTheme="majorBidi" w:cstheme="majorBidi"/>
          <w:sz w:val="24"/>
          <w:szCs w:val="24"/>
        </w:rPr>
        <w:t>2020</w:t>
      </w:r>
      <w:r w:rsidR="00BC3D0D" w:rsidRPr="00BC3D0D">
        <w:rPr>
          <w:rFonts w:asciiTheme="majorBidi" w:hAnsiTheme="majorBidi" w:cstheme="majorBidi"/>
          <w:sz w:val="24"/>
          <w:szCs w:val="24"/>
        </w:rPr>
        <w:t>).</w:t>
      </w:r>
    </w:p>
    <w:p w14:paraId="096164A2" w14:textId="162B1220" w:rsidR="006C7DF6" w:rsidRPr="00BC3D0D" w:rsidRDefault="006C7DF6" w:rsidP="007B5C86">
      <w:pPr>
        <w:ind w:left="426" w:hanging="426"/>
        <w:rPr>
          <w:rFonts w:asciiTheme="majorBidi" w:hAnsiTheme="majorBidi" w:cstheme="majorBidi"/>
          <w:sz w:val="24"/>
          <w:szCs w:val="24"/>
        </w:rPr>
      </w:pPr>
      <w:r w:rsidRPr="000F4620">
        <w:rPr>
          <w:rFonts w:asciiTheme="majorBidi" w:hAnsiTheme="majorBidi" w:cstheme="majorBidi"/>
          <w:b/>
          <w:bCs/>
          <w:sz w:val="24"/>
          <w:szCs w:val="24"/>
        </w:rPr>
        <w:t>Ministry of Health (2019a)</w:t>
      </w:r>
      <w:r w:rsidRPr="00BC3D0D">
        <w:rPr>
          <w:rFonts w:asciiTheme="majorBidi" w:hAnsiTheme="majorBidi" w:cstheme="majorBidi"/>
          <w:sz w:val="24"/>
          <w:szCs w:val="24"/>
        </w:rPr>
        <w:t xml:space="preserve"> Health Statistics 2019. Available at  </w:t>
      </w:r>
      <w:hyperlink r:id="rId10" w:history="1">
        <w:r w:rsidRPr="00BC3D0D">
          <w:rPr>
            <w:rStyle w:val="Kpr"/>
            <w:rFonts w:asciiTheme="majorBidi" w:hAnsiTheme="majorBidi" w:cstheme="majorBidi"/>
            <w:sz w:val="24"/>
            <w:szCs w:val="24"/>
          </w:rPr>
          <w:t>https://dosyasb.saglik.gov.tr/Eklenti/36134,siy2018trpdf.pdf?0</w:t>
        </w:r>
      </w:hyperlink>
      <w:r w:rsidRPr="00BC3D0D">
        <w:rPr>
          <w:rFonts w:asciiTheme="majorBidi" w:hAnsiTheme="majorBidi" w:cstheme="majorBidi"/>
          <w:sz w:val="24"/>
          <w:szCs w:val="24"/>
        </w:rPr>
        <w:t xml:space="preserve"> (accessed 04 June 2020).</w:t>
      </w:r>
    </w:p>
    <w:p w14:paraId="49509FED" w14:textId="3091E9E0" w:rsidR="006C7DF6" w:rsidRPr="00BC3D0D" w:rsidRDefault="000F4620" w:rsidP="00BC3D0D">
      <w:pPr>
        <w:ind w:left="426" w:hanging="426"/>
        <w:rPr>
          <w:rFonts w:asciiTheme="majorBidi" w:hAnsiTheme="majorBidi" w:cstheme="majorBidi"/>
          <w:sz w:val="24"/>
          <w:szCs w:val="24"/>
        </w:rPr>
      </w:pPr>
      <w:r w:rsidRPr="000F4620">
        <w:rPr>
          <w:rFonts w:asciiTheme="majorBidi" w:hAnsiTheme="majorBidi" w:cstheme="majorBidi"/>
          <w:b/>
          <w:bCs/>
          <w:sz w:val="24"/>
          <w:szCs w:val="24"/>
        </w:rPr>
        <w:t>Ministry of Health</w:t>
      </w:r>
      <w:r w:rsidRPr="000F4620">
        <w:rPr>
          <w:rFonts w:asciiTheme="majorBidi" w:hAnsiTheme="majorBidi" w:cstheme="majorBidi"/>
          <w:b/>
          <w:bCs/>
          <w:sz w:val="24"/>
          <w:szCs w:val="24"/>
        </w:rPr>
        <w:t xml:space="preserve"> </w:t>
      </w:r>
      <w:r w:rsidR="006C7DF6" w:rsidRPr="000F4620">
        <w:rPr>
          <w:rFonts w:asciiTheme="majorBidi" w:hAnsiTheme="majorBidi" w:cstheme="majorBidi"/>
          <w:b/>
          <w:bCs/>
          <w:sz w:val="24"/>
          <w:szCs w:val="24"/>
        </w:rPr>
        <w:t>(2019b)</w:t>
      </w:r>
      <w:r w:rsidR="006C7DF6" w:rsidRPr="00BC3D0D">
        <w:rPr>
          <w:rFonts w:asciiTheme="majorBidi" w:hAnsiTheme="majorBidi" w:cstheme="majorBidi"/>
          <w:sz w:val="24"/>
          <w:szCs w:val="24"/>
        </w:rPr>
        <w:t xml:space="preserve"> </w:t>
      </w:r>
      <w:r w:rsidR="006C7DF6" w:rsidRPr="00BC3D0D">
        <w:rPr>
          <w:rFonts w:asciiTheme="majorBidi" w:hAnsiTheme="majorBidi" w:cstheme="majorBidi"/>
          <w:i/>
          <w:iCs/>
          <w:sz w:val="24"/>
          <w:szCs w:val="24"/>
        </w:rPr>
        <w:t>2019–2023 Strategic Plan.</w:t>
      </w:r>
      <w:r w:rsidR="006C7DF6" w:rsidRPr="00BC3D0D">
        <w:rPr>
          <w:rFonts w:asciiTheme="majorBidi" w:hAnsiTheme="majorBidi" w:cstheme="majorBidi"/>
          <w:sz w:val="24"/>
          <w:szCs w:val="24"/>
        </w:rPr>
        <w:t xml:space="preserve"> Available at  </w:t>
      </w:r>
      <w:hyperlink r:id="rId11" w:history="1">
        <w:r w:rsidR="006C7DF6" w:rsidRPr="00BC3D0D">
          <w:rPr>
            <w:rStyle w:val="Kpr"/>
            <w:rFonts w:asciiTheme="majorBidi" w:hAnsiTheme="majorBidi" w:cstheme="majorBidi"/>
            <w:sz w:val="24"/>
            <w:szCs w:val="24"/>
          </w:rPr>
          <w:t>https://sgb.saglik.gov.tr/Eklenti/37312/0/stratejik-plan-2020-ingilizcepdf.pdf?_tag1=5326746E973C7229E9E9210476EA794341993162</w:t>
        </w:r>
      </w:hyperlink>
      <w:r w:rsidR="006C7DF6" w:rsidRPr="00BC3D0D">
        <w:rPr>
          <w:rFonts w:asciiTheme="majorBidi" w:hAnsiTheme="majorBidi" w:cstheme="majorBidi"/>
          <w:sz w:val="24"/>
          <w:szCs w:val="24"/>
        </w:rPr>
        <w:t xml:space="preserve"> (accessed 09 June 2020).</w:t>
      </w:r>
    </w:p>
    <w:p w14:paraId="4E61485A" w14:textId="1A35AF1B" w:rsidR="006C7DF6" w:rsidRPr="00BC3D0D" w:rsidRDefault="006C7DF6" w:rsidP="00BC3D0D">
      <w:pPr>
        <w:ind w:left="426" w:hanging="426"/>
        <w:rPr>
          <w:rFonts w:asciiTheme="majorBidi" w:hAnsiTheme="majorBidi" w:cstheme="majorBidi"/>
          <w:sz w:val="24"/>
          <w:szCs w:val="24"/>
        </w:rPr>
      </w:pPr>
      <w:r w:rsidRPr="000F4620">
        <w:rPr>
          <w:rFonts w:asciiTheme="majorBidi" w:hAnsiTheme="majorBidi" w:cstheme="majorBidi"/>
          <w:b/>
          <w:bCs/>
          <w:sz w:val="24"/>
          <w:szCs w:val="24"/>
        </w:rPr>
        <w:t>Ministry of National Education (2019)</w:t>
      </w:r>
      <w:r w:rsidRPr="00BC3D0D">
        <w:rPr>
          <w:rFonts w:asciiTheme="majorBidi" w:hAnsiTheme="majorBidi" w:cstheme="majorBidi"/>
          <w:sz w:val="24"/>
          <w:szCs w:val="24"/>
        </w:rPr>
        <w:t xml:space="preserve"> </w:t>
      </w:r>
      <w:r w:rsidRPr="00BC3D0D">
        <w:rPr>
          <w:rFonts w:asciiTheme="majorBidi" w:hAnsiTheme="majorBidi" w:cstheme="majorBidi"/>
          <w:i/>
          <w:iCs/>
          <w:sz w:val="24"/>
          <w:szCs w:val="24"/>
        </w:rPr>
        <w:t xml:space="preserve">National Education Statistics, 2018–2019. </w:t>
      </w:r>
      <w:r w:rsidRPr="00BC3D0D">
        <w:rPr>
          <w:rFonts w:asciiTheme="majorBidi" w:hAnsiTheme="majorBidi" w:cstheme="majorBidi"/>
          <w:sz w:val="24"/>
          <w:szCs w:val="24"/>
        </w:rPr>
        <w:t xml:space="preserve">Available at  </w:t>
      </w:r>
      <w:r w:rsidRPr="00BC3D0D">
        <w:rPr>
          <w:rFonts w:asciiTheme="majorBidi" w:hAnsiTheme="majorBidi" w:cstheme="majorBidi"/>
          <w:i/>
          <w:iCs/>
          <w:sz w:val="24"/>
          <w:szCs w:val="24"/>
        </w:rPr>
        <w:t xml:space="preserve"> </w:t>
      </w:r>
      <w:hyperlink r:id="rId12" w:history="1">
        <w:r w:rsidRPr="00BC3D0D">
          <w:rPr>
            <w:rStyle w:val="Kpr"/>
            <w:rFonts w:asciiTheme="majorBidi" w:hAnsiTheme="majorBidi" w:cstheme="majorBidi"/>
            <w:sz w:val="24"/>
            <w:szCs w:val="24"/>
          </w:rPr>
          <w:t>http://sgb.meb.gov.tr/meb_iys_dosyalar/2019_09/30102730_meb_istatistikleri_orgun_egitim_2018_2019.pdf</w:t>
        </w:r>
      </w:hyperlink>
      <w:r w:rsidRPr="00BC3D0D">
        <w:rPr>
          <w:rFonts w:asciiTheme="majorBidi" w:hAnsiTheme="majorBidi" w:cstheme="majorBidi"/>
          <w:sz w:val="24"/>
          <w:szCs w:val="24"/>
        </w:rPr>
        <w:t xml:space="preserve">  (accessed 07 April 2020).</w:t>
      </w:r>
    </w:p>
    <w:p w14:paraId="669F36C9" w14:textId="77777777" w:rsidR="0093516F" w:rsidRPr="00BC3D0D" w:rsidRDefault="0093516F" w:rsidP="0093516F">
      <w:pPr>
        <w:ind w:left="426" w:hanging="426"/>
        <w:rPr>
          <w:rFonts w:asciiTheme="majorBidi" w:hAnsiTheme="majorBidi" w:cstheme="majorBidi"/>
          <w:sz w:val="24"/>
          <w:szCs w:val="24"/>
        </w:rPr>
      </w:pPr>
      <w:r w:rsidRPr="00E65DAF">
        <w:rPr>
          <w:rFonts w:asciiTheme="majorBidi" w:hAnsiTheme="majorBidi" w:cstheme="majorBidi"/>
          <w:b/>
          <w:bCs/>
          <w:sz w:val="24"/>
          <w:szCs w:val="24"/>
        </w:rPr>
        <w:t>Official Gazette (1983)</w:t>
      </w:r>
      <w:r w:rsidRPr="00BC3D0D">
        <w:rPr>
          <w:rFonts w:asciiTheme="majorBidi" w:hAnsiTheme="majorBidi" w:cstheme="majorBidi"/>
          <w:sz w:val="24"/>
          <w:szCs w:val="24"/>
        </w:rPr>
        <w:t xml:space="preserve"> Regulation</w:t>
      </w:r>
      <w:r>
        <w:rPr>
          <w:rFonts w:asciiTheme="majorBidi" w:hAnsiTheme="majorBidi" w:cstheme="majorBidi"/>
          <w:sz w:val="24"/>
          <w:szCs w:val="24"/>
        </w:rPr>
        <w:t xml:space="preserve"> on</w:t>
      </w:r>
      <w:r w:rsidRPr="00BC3D0D">
        <w:rPr>
          <w:rFonts w:asciiTheme="majorBidi" w:hAnsiTheme="majorBidi" w:cstheme="majorBidi"/>
          <w:sz w:val="24"/>
          <w:szCs w:val="24"/>
        </w:rPr>
        <w:t xml:space="preserve"> Bed Treatment Institutions Operation, dated 13.1.1983, numbered 17927. Available at </w:t>
      </w:r>
      <w:hyperlink r:id="rId13" w:history="1">
        <w:r w:rsidRPr="00BC3D0D">
          <w:rPr>
            <w:rStyle w:val="Kpr"/>
            <w:rFonts w:asciiTheme="majorBidi" w:hAnsiTheme="majorBidi" w:cstheme="majorBidi"/>
            <w:sz w:val="24"/>
            <w:szCs w:val="24"/>
          </w:rPr>
          <w:t>https://www.mevzuat.gov.tr/mevzuat?MevzuatNo=85319&amp;MevzuatTur=3&amp;MevzuatTertip=5</w:t>
        </w:r>
      </w:hyperlink>
      <w:r w:rsidRPr="00BC3D0D">
        <w:rPr>
          <w:rFonts w:asciiTheme="majorBidi" w:hAnsiTheme="majorBidi" w:cstheme="majorBidi"/>
          <w:sz w:val="24"/>
          <w:szCs w:val="24"/>
        </w:rPr>
        <w:t xml:space="preserve"> (accessed </w:t>
      </w:r>
      <w:r>
        <w:rPr>
          <w:rFonts w:asciiTheme="majorBidi" w:hAnsiTheme="majorBidi" w:cstheme="majorBidi"/>
          <w:sz w:val="24"/>
          <w:szCs w:val="24"/>
        </w:rPr>
        <w:t>15</w:t>
      </w:r>
      <w:r w:rsidRPr="00BC3D0D">
        <w:rPr>
          <w:rFonts w:asciiTheme="majorBidi" w:hAnsiTheme="majorBidi" w:cstheme="majorBidi"/>
          <w:sz w:val="24"/>
          <w:szCs w:val="24"/>
        </w:rPr>
        <w:t xml:space="preserve"> </w:t>
      </w:r>
      <w:r>
        <w:rPr>
          <w:rFonts w:asciiTheme="majorBidi" w:hAnsiTheme="majorBidi" w:cstheme="majorBidi"/>
          <w:sz w:val="24"/>
          <w:szCs w:val="24"/>
        </w:rPr>
        <w:t>December</w:t>
      </w:r>
      <w:r w:rsidRPr="00BC3D0D">
        <w:rPr>
          <w:rFonts w:asciiTheme="majorBidi" w:hAnsiTheme="majorBidi" w:cstheme="majorBidi"/>
          <w:sz w:val="24"/>
          <w:szCs w:val="24"/>
        </w:rPr>
        <w:t xml:space="preserve"> </w:t>
      </w:r>
      <w:r>
        <w:rPr>
          <w:rFonts w:asciiTheme="majorBidi" w:hAnsiTheme="majorBidi" w:cstheme="majorBidi"/>
          <w:sz w:val="24"/>
          <w:szCs w:val="24"/>
        </w:rPr>
        <w:t>2019</w:t>
      </w:r>
      <w:r w:rsidRPr="00BC3D0D">
        <w:rPr>
          <w:rFonts w:asciiTheme="majorBidi" w:hAnsiTheme="majorBidi" w:cstheme="majorBidi"/>
          <w:sz w:val="24"/>
          <w:szCs w:val="24"/>
        </w:rPr>
        <w:t>).</w:t>
      </w:r>
    </w:p>
    <w:p w14:paraId="0505A94B" w14:textId="77777777" w:rsidR="0093516F" w:rsidRPr="00BC3D0D" w:rsidRDefault="0093516F" w:rsidP="0093516F">
      <w:pPr>
        <w:ind w:left="426" w:hanging="426"/>
        <w:rPr>
          <w:rFonts w:asciiTheme="majorBidi" w:hAnsiTheme="majorBidi" w:cstheme="majorBidi"/>
          <w:sz w:val="24"/>
          <w:szCs w:val="24"/>
        </w:rPr>
      </w:pPr>
      <w:r w:rsidRPr="00E65DAF">
        <w:rPr>
          <w:rFonts w:asciiTheme="majorBidi" w:hAnsiTheme="majorBidi" w:cstheme="majorBidi"/>
          <w:b/>
          <w:bCs/>
          <w:sz w:val="24"/>
          <w:szCs w:val="24"/>
        </w:rPr>
        <w:t>Official Gazette (2013)</w:t>
      </w:r>
      <w:r w:rsidRPr="00BC3D0D">
        <w:rPr>
          <w:rFonts w:asciiTheme="majorBidi" w:hAnsiTheme="majorBidi" w:cstheme="majorBidi"/>
          <w:sz w:val="24"/>
          <w:szCs w:val="24"/>
        </w:rPr>
        <w:t xml:space="preserve"> Regulation on Secondary Education Institutions of the Ministry of National Education</w:t>
      </w:r>
      <w:r>
        <w:rPr>
          <w:rFonts w:asciiTheme="majorBidi" w:hAnsiTheme="majorBidi" w:cstheme="majorBidi"/>
          <w:sz w:val="24"/>
          <w:szCs w:val="24"/>
        </w:rPr>
        <w:t>,</w:t>
      </w:r>
      <w:r w:rsidRPr="00BC3D0D">
        <w:rPr>
          <w:rFonts w:asciiTheme="majorBidi" w:hAnsiTheme="majorBidi" w:cstheme="majorBidi"/>
          <w:sz w:val="24"/>
          <w:szCs w:val="24"/>
        </w:rPr>
        <w:t xml:space="preserve"> dated 07.09.2013, numbered 28758. Available at </w:t>
      </w:r>
      <w:hyperlink r:id="rId14" w:history="1">
        <w:r w:rsidRPr="00BC3D0D">
          <w:rPr>
            <w:rStyle w:val="Kpr"/>
            <w:rFonts w:asciiTheme="majorBidi" w:hAnsiTheme="majorBidi" w:cstheme="majorBidi"/>
            <w:sz w:val="24"/>
            <w:szCs w:val="24"/>
          </w:rPr>
          <w:t>https://www.mevzuat.gov.tr/mevzuat?MevzuatNo=18812&amp;MevzuatTur=7&amp;MevzuatTertip=5</w:t>
        </w:r>
      </w:hyperlink>
      <w:r>
        <w:rPr>
          <w:rStyle w:val="Kpr"/>
          <w:rFonts w:asciiTheme="majorBidi" w:hAnsiTheme="majorBidi" w:cstheme="majorBidi"/>
          <w:sz w:val="24"/>
          <w:szCs w:val="24"/>
        </w:rPr>
        <w:t xml:space="preserve"> </w:t>
      </w:r>
      <w:r w:rsidRPr="00BC3D0D">
        <w:rPr>
          <w:rFonts w:asciiTheme="majorBidi" w:hAnsiTheme="majorBidi" w:cstheme="majorBidi"/>
          <w:sz w:val="24"/>
          <w:szCs w:val="24"/>
        </w:rPr>
        <w:t xml:space="preserve">(accessed </w:t>
      </w:r>
      <w:r>
        <w:rPr>
          <w:rFonts w:asciiTheme="majorBidi" w:hAnsiTheme="majorBidi" w:cstheme="majorBidi"/>
          <w:sz w:val="24"/>
          <w:szCs w:val="24"/>
        </w:rPr>
        <w:t>3 December</w:t>
      </w:r>
      <w:r w:rsidRPr="00BC3D0D">
        <w:rPr>
          <w:rFonts w:asciiTheme="majorBidi" w:hAnsiTheme="majorBidi" w:cstheme="majorBidi"/>
          <w:sz w:val="24"/>
          <w:szCs w:val="24"/>
        </w:rPr>
        <w:t xml:space="preserve"> </w:t>
      </w:r>
      <w:r>
        <w:rPr>
          <w:rFonts w:asciiTheme="majorBidi" w:hAnsiTheme="majorBidi" w:cstheme="majorBidi"/>
          <w:sz w:val="24"/>
          <w:szCs w:val="24"/>
        </w:rPr>
        <w:t>2019</w:t>
      </w:r>
      <w:r w:rsidRPr="00BC3D0D">
        <w:rPr>
          <w:rFonts w:asciiTheme="majorBidi" w:hAnsiTheme="majorBidi" w:cstheme="majorBidi"/>
          <w:sz w:val="24"/>
          <w:szCs w:val="24"/>
        </w:rPr>
        <w:t>).</w:t>
      </w:r>
    </w:p>
    <w:p w14:paraId="63C48D58" w14:textId="100FA5D5" w:rsidR="007B5C86" w:rsidRPr="00BC3D0D" w:rsidRDefault="007B5C86" w:rsidP="00BC3D0D">
      <w:pPr>
        <w:ind w:left="426" w:hanging="426"/>
        <w:rPr>
          <w:rFonts w:asciiTheme="majorBidi" w:hAnsiTheme="majorBidi" w:cstheme="majorBidi"/>
          <w:sz w:val="24"/>
          <w:szCs w:val="24"/>
        </w:rPr>
      </w:pPr>
      <w:proofErr w:type="spellStart"/>
      <w:r w:rsidRPr="00E65DAF">
        <w:rPr>
          <w:rFonts w:asciiTheme="majorBidi" w:eastAsiaTheme="minorHAnsi" w:hAnsiTheme="majorBidi" w:cstheme="majorBidi"/>
          <w:b/>
          <w:bCs/>
          <w:color w:val="000000"/>
          <w:sz w:val="24"/>
          <w:szCs w:val="24"/>
          <w:u w:color="0000FF"/>
          <w:lang w:val="tr-TR" w:eastAsia="en-US"/>
        </w:rPr>
        <w:t>Organization</w:t>
      </w:r>
      <w:proofErr w:type="spellEnd"/>
      <w:r w:rsidRPr="00E65DAF">
        <w:rPr>
          <w:rFonts w:asciiTheme="majorBidi" w:eastAsiaTheme="minorHAnsi" w:hAnsiTheme="majorBidi" w:cstheme="majorBidi"/>
          <w:b/>
          <w:bCs/>
          <w:color w:val="000000"/>
          <w:sz w:val="24"/>
          <w:szCs w:val="24"/>
          <w:u w:color="0000FF"/>
          <w:lang w:val="tr-TR" w:eastAsia="en-US"/>
        </w:rPr>
        <w:t xml:space="preserve"> </w:t>
      </w:r>
      <w:proofErr w:type="spellStart"/>
      <w:r w:rsidRPr="00E65DAF">
        <w:rPr>
          <w:rFonts w:asciiTheme="majorBidi" w:eastAsiaTheme="minorHAnsi" w:hAnsiTheme="majorBidi" w:cstheme="majorBidi"/>
          <w:b/>
          <w:bCs/>
          <w:color w:val="000000"/>
          <w:sz w:val="24"/>
          <w:szCs w:val="24"/>
          <w:u w:color="0000FF"/>
          <w:lang w:val="tr-TR" w:eastAsia="en-US"/>
        </w:rPr>
        <w:t>for</w:t>
      </w:r>
      <w:proofErr w:type="spellEnd"/>
      <w:r w:rsidRPr="00E65DAF">
        <w:rPr>
          <w:rFonts w:asciiTheme="majorBidi" w:eastAsiaTheme="minorHAnsi" w:hAnsiTheme="majorBidi" w:cstheme="majorBidi"/>
          <w:b/>
          <w:bCs/>
          <w:color w:val="000000"/>
          <w:sz w:val="24"/>
          <w:szCs w:val="24"/>
          <w:u w:color="0000FF"/>
          <w:lang w:val="tr-TR" w:eastAsia="en-US"/>
        </w:rPr>
        <w:t xml:space="preserve"> </w:t>
      </w:r>
      <w:proofErr w:type="spellStart"/>
      <w:r w:rsidRPr="00E65DAF">
        <w:rPr>
          <w:rFonts w:asciiTheme="majorBidi" w:eastAsiaTheme="minorHAnsi" w:hAnsiTheme="majorBidi" w:cstheme="majorBidi"/>
          <w:b/>
          <w:bCs/>
          <w:color w:val="000000"/>
          <w:sz w:val="24"/>
          <w:szCs w:val="24"/>
          <w:u w:color="0000FF"/>
          <w:lang w:val="tr-TR" w:eastAsia="en-US"/>
        </w:rPr>
        <w:t>Economic</w:t>
      </w:r>
      <w:proofErr w:type="spellEnd"/>
      <w:r w:rsidRPr="00E65DAF">
        <w:rPr>
          <w:rFonts w:asciiTheme="majorBidi" w:eastAsiaTheme="minorHAnsi" w:hAnsiTheme="majorBidi" w:cstheme="majorBidi"/>
          <w:b/>
          <w:bCs/>
          <w:color w:val="000000"/>
          <w:sz w:val="24"/>
          <w:szCs w:val="24"/>
          <w:u w:color="0000FF"/>
          <w:lang w:val="tr-TR" w:eastAsia="en-US"/>
        </w:rPr>
        <w:t xml:space="preserve"> </w:t>
      </w:r>
      <w:proofErr w:type="spellStart"/>
      <w:r w:rsidRPr="00E65DAF">
        <w:rPr>
          <w:rFonts w:asciiTheme="majorBidi" w:eastAsiaTheme="minorHAnsi" w:hAnsiTheme="majorBidi" w:cstheme="majorBidi"/>
          <w:b/>
          <w:bCs/>
          <w:color w:val="000000"/>
          <w:sz w:val="24"/>
          <w:szCs w:val="24"/>
          <w:u w:color="0000FF"/>
          <w:lang w:val="tr-TR" w:eastAsia="en-US"/>
        </w:rPr>
        <w:t>Co-Operation</w:t>
      </w:r>
      <w:proofErr w:type="spellEnd"/>
      <w:r w:rsidRPr="00E65DAF">
        <w:rPr>
          <w:rFonts w:asciiTheme="majorBidi" w:eastAsiaTheme="minorHAnsi" w:hAnsiTheme="majorBidi" w:cstheme="majorBidi"/>
          <w:b/>
          <w:bCs/>
          <w:color w:val="000000"/>
          <w:sz w:val="24"/>
          <w:szCs w:val="24"/>
          <w:u w:color="0000FF"/>
          <w:lang w:val="tr-TR" w:eastAsia="en-US"/>
        </w:rPr>
        <w:t xml:space="preserve"> </w:t>
      </w:r>
      <w:proofErr w:type="spellStart"/>
      <w:r w:rsidRPr="00E65DAF">
        <w:rPr>
          <w:rFonts w:asciiTheme="majorBidi" w:eastAsiaTheme="minorHAnsi" w:hAnsiTheme="majorBidi" w:cstheme="majorBidi"/>
          <w:b/>
          <w:bCs/>
          <w:color w:val="000000"/>
          <w:sz w:val="24"/>
          <w:szCs w:val="24"/>
          <w:u w:color="0000FF"/>
          <w:lang w:val="tr-TR" w:eastAsia="en-US"/>
        </w:rPr>
        <w:t>and</w:t>
      </w:r>
      <w:proofErr w:type="spellEnd"/>
      <w:r w:rsidRPr="00E65DAF">
        <w:rPr>
          <w:rFonts w:asciiTheme="majorBidi" w:eastAsiaTheme="minorHAnsi" w:hAnsiTheme="majorBidi" w:cstheme="majorBidi"/>
          <w:b/>
          <w:bCs/>
          <w:color w:val="000000"/>
          <w:sz w:val="24"/>
          <w:szCs w:val="24"/>
          <w:u w:color="0000FF"/>
          <w:lang w:val="tr-TR" w:eastAsia="en-US"/>
        </w:rPr>
        <w:t xml:space="preserve"> Development (</w:t>
      </w:r>
      <w:proofErr w:type="gramStart"/>
      <w:r w:rsidRPr="00E65DAF">
        <w:rPr>
          <w:rFonts w:asciiTheme="majorBidi" w:eastAsiaTheme="minorHAnsi" w:hAnsiTheme="majorBidi" w:cstheme="majorBidi"/>
          <w:b/>
          <w:bCs/>
          <w:color w:val="000000"/>
          <w:sz w:val="24"/>
          <w:szCs w:val="24"/>
          <w:u w:color="0000FF"/>
          <w:lang w:val="tr-TR" w:eastAsia="en-US"/>
        </w:rPr>
        <w:t>2019</w:t>
      </w:r>
      <w:r w:rsidR="000E026A" w:rsidRPr="00E65DAF">
        <w:rPr>
          <w:rFonts w:asciiTheme="majorBidi" w:eastAsiaTheme="minorHAnsi" w:hAnsiTheme="majorBidi" w:cstheme="majorBidi"/>
          <w:b/>
          <w:bCs/>
          <w:color w:val="000000"/>
          <w:sz w:val="24"/>
          <w:szCs w:val="24"/>
          <w:u w:color="0000FF"/>
          <w:lang w:val="tr-TR" w:eastAsia="en-US"/>
        </w:rPr>
        <w:t>a</w:t>
      </w:r>
      <w:proofErr w:type="gramEnd"/>
      <w:r w:rsidRPr="00E65DAF">
        <w:rPr>
          <w:rFonts w:asciiTheme="majorBidi" w:eastAsiaTheme="minorHAnsi" w:hAnsiTheme="majorBidi" w:cstheme="majorBidi"/>
          <w:b/>
          <w:bCs/>
          <w:color w:val="000000"/>
          <w:sz w:val="24"/>
          <w:szCs w:val="24"/>
          <w:u w:color="0000FF"/>
          <w:lang w:val="tr-TR" w:eastAsia="en-US"/>
        </w:rPr>
        <w:t>)</w:t>
      </w:r>
      <w:r w:rsidRPr="00BC3D0D">
        <w:rPr>
          <w:rFonts w:asciiTheme="majorBidi" w:eastAsiaTheme="minorHAnsi" w:hAnsiTheme="majorBidi" w:cstheme="majorBidi"/>
          <w:color w:val="000000"/>
          <w:sz w:val="24"/>
          <w:szCs w:val="24"/>
          <w:u w:color="0000FF"/>
          <w:lang w:val="tr-TR" w:eastAsia="en-US"/>
        </w:rPr>
        <w:t xml:space="preserve"> </w:t>
      </w:r>
      <w:proofErr w:type="spellStart"/>
      <w:r w:rsidRPr="00BC3D0D">
        <w:rPr>
          <w:rFonts w:asciiTheme="majorBidi" w:eastAsiaTheme="minorHAnsi" w:hAnsiTheme="majorBidi" w:cstheme="majorBidi"/>
          <w:color w:val="000000"/>
          <w:sz w:val="24"/>
          <w:szCs w:val="24"/>
          <w:u w:color="0000FF"/>
          <w:lang w:val="tr-TR" w:eastAsia="en-US"/>
        </w:rPr>
        <w:t>Education</w:t>
      </w:r>
      <w:proofErr w:type="spellEnd"/>
      <w:r w:rsidRPr="00BC3D0D">
        <w:rPr>
          <w:rFonts w:asciiTheme="majorBidi" w:eastAsiaTheme="minorHAnsi" w:hAnsiTheme="majorBidi" w:cstheme="majorBidi"/>
          <w:color w:val="000000"/>
          <w:sz w:val="24"/>
          <w:szCs w:val="24"/>
          <w:u w:color="0000FF"/>
          <w:lang w:val="tr-TR" w:eastAsia="en-US"/>
        </w:rPr>
        <w:t xml:space="preserve"> at a </w:t>
      </w:r>
      <w:proofErr w:type="spellStart"/>
      <w:r w:rsidRPr="00BC3D0D">
        <w:rPr>
          <w:rFonts w:asciiTheme="majorBidi" w:eastAsiaTheme="minorHAnsi" w:hAnsiTheme="majorBidi" w:cstheme="majorBidi"/>
          <w:color w:val="000000"/>
          <w:sz w:val="24"/>
          <w:szCs w:val="24"/>
          <w:u w:color="0000FF"/>
          <w:lang w:val="tr-TR" w:eastAsia="en-US"/>
        </w:rPr>
        <w:t>Glance</w:t>
      </w:r>
      <w:proofErr w:type="spellEnd"/>
      <w:r w:rsidRPr="00BC3D0D">
        <w:rPr>
          <w:rFonts w:asciiTheme="majorBidi" w:eastAsiaTheme="minorHAnsi" w:hAnsiTheme="majorBidi" w:cstheme="majorBidi"/>
          <w:color w:val="000000"/>
          <w:sz w:val="24"/>
          <w:szCs w:val="24"/>
          <w:u w:color="0000FF"/>
          <w:lang w:val="tr-TR" w:eastAsia="en-US"/>
        </w:rPr>
        <w:t xml:space="preserve"> 2019: OECD </w:t>
      </w:r>
      <w:proofErr w:type="spellStart"/>
      <w:r w:rsidRPr="00BC3D0D">
        <w:rPr>
          <w:rFonts w:asciiTheme="majorBidi" w:eastAsiaTheme="minorHAnsi" w:hAnsiTheme="majorBidi" w:cstheme="majorBidi"/>
          <w:color w:val="000000"/>
          <w:sz w:val="24"/>
          <w:szCs w:val="24"/>
          <w:u w:color="0000FF"/>
          <w:lang w:val="tr-TR" w:eastAsia="en-US"/>
        </w:rPr>
        <w:t>Indicators</w:t>
      </w:r>
      <w:proofErr w:type="spellEnd"/>
      <w:r w:rsidR="0033422A">
        <w:rPr>
          <w:rFonts w:asciiTheme="majorBidi" w:eastAsiaTheme="minorHAnsi" w:hAnsiTheme="majorBidi" w:cstheme="majorBidi"/>
          <w:color w:val="000000"/>
          <w:sz w:val="24"/>
          <w:szCs w:val="24"/>
          <w:u w:color="0000FF"/>
          <w:lang w:val="tr-TR" w:eastAsia="en-US"/>
        </w:rPr>
        <w:t>.</w:t>
      </w:r>
      <w:r w:rsidRPr="00BC3D0D">
        <w:rPr>
          <w:rFonts w:asciiTheme="majorBidi" w:eastAsiaTheme="minorHAnsi" w:hAnsiTheme="majorBidi" w:cstheme="majorBidi"/>
          <w:color w:val="000000"/>
          <w:sz w:val="24"/>
          <w:szCs w:val="24"/>
          <w:u w:color="0000FF"/>
          <w:lang w:val="tr-TR" w:eastAsia="en-US"/>
        </w:rPr>
        <w:t xml:space="preserve"> Paris: OECD Publishing. </w:t>
      </w:r>
      <w:hyperlink r:id="rId15" w:history="1">
        <w:r w:rsidR="00BC3D0D" w:rsidRPr="00831039">
          <w:rPr>
            <w:rStyle w:val="Kpr"/>
            <w:rFonts w:asciiTheme="majorBidi" w:eastAsiaTheme="minorHAnsi" w:hAnsiTheme="majorBidi" w:cstheme="majorBidi"/>
            <w:sz w:val="24"/>
            <w:szCs w:val="24"/>
            <w:lang w:val="tr-TR" w:eastAsia="en-US"/>
          </w:rPr>
          <w:t>https://doi.org/10.1787/f8d7880d-en</w:t>
        </w:r>
      </w:hyperlink>
      <w:r w:rsidR="00BC3D0D">
        <w:rPr>
          <w:rFonts w:asciiTheme="majorBidi" w:eastAsiaTheme="minorHAnsi" w:hAnsiTheme="majorBidi" w:cstheme="majorBidi"/>
          <w:color w:val="000000"/>
          <w:sz w:val="24"/>
          <w:szCs w:val="24"/>
          <w:u w:color="0000FF"/>
          <w:lang w:val="tr-TR" w:eastAsia="en-US"/>
        </w:rPr>
        <w:t xml:space="preserve"> </w:t>
      </w:r>
      <w:r w:rsidRPr="00BC3D0D">
        <w:rPr>
          <w:rFonts w:asciiTheme="majorBidi" w:eastAsiaTheme="minorHAnsi" w:hAnsiTheme="majorBidi" w:cstheme="majorBidi"/>
          <w:color w:val="000000"/>
          <w:sz w:val="24"/>
          <w:szCs w:val="24"/>
          <w:u w:color="0000FF"/>
          <w:lang w:val="tr-TR" w:eastAsia="en-US"/>
        </w:rPr>
        <w:t xml:space="preserve"> </w:t>
      </w:r>
    </w:p>
    <w:p w14:paraId="6C84E5D2" w14:textId="5F8BA3BC" w:rsidR="000E026A" w:rsidRPr="00BC3D0D" w:rsidRDefault="000E026A" w:rsidP="000E026A">
      <w:pPr>
        <w:ind w:left="426" w:hanging="426"/>
        <w:rPr>
          <w:rFonts w:asciiTheme="majorBidi" w:hAnsiTheme="majorBidi" w:cstheme="majorBidi"/>
          <w:sz w:val="24"/>
          <w:szCs w:val="24"/>
        </w:rPr>
      </w:pPr>
      <w:proofErr w:type="spellStart"/>
      <w:r w:rsidRPr="00E65DAF">
        <w:rPr>
          <w:rFonts w:asciiTheme="majorBidi" w:eastAsiaTheme="minorHAnsi" w:hAnsiTheme="majorBidi" w:cstheme="majorBidi"/>
          <w:b/>
          <w:bCs/>
          <w:color w:val="000000"/>
          <w:sz w:val="24"/>
          <w:szCs w:val="24"/>
          <w:lang w:val="tr-TR" w:eastAsia="en-US"/>
        </w:rPr>
        <w:t>Organization</w:t>
      </w:r>
      <w:proofErr w:type="spellEnd"/>
      <w:r w:rsidRPr="00E65DAF">
        <w:rPr>
          <w:rFonts w:asciiTheme="majorBidi" w:eastAsiaTheme="minorHAnsi" w:hAnsiTheme="majorBidi" w:cstheme="majorBidi"/>
          <w:b/>
          <w:bCs/>
          <w:color w:val="000000"/>
          <w:sz w:val="24"/>
          <w:szCs w:val="24"/>
          <w:lang w:val="tr-TR" w:eastAsia="en-US"/>
        </w:rPr>
        <w:t xml:space="preserve"> </w:t>
      </w:r>
      <w:proofErr w:type="spellStart"/>
      <w:r w:rsidRPr="00E65DAF">
        <w:rPr>
          <w:rFonts w:asciiTheme="majorBidi" w:eastAsiaTheme="minorHAnsi" w:hAnsiTheme="majorBidi" w:cstheme="majorBidi"/>
          <w:b/>
          <w:bCs/>
          <w:color w:val="000000"/>
          <w:sz w:val="24"/>
          <w:szCs w:val="24"/>
          <w:lang w:val="tr-TR" w:eastAsia="en-US"/>
        </w:rPr>
        <w:t>for</w:t>
      </w:r>
      <w:proofErr w:type="spellEnd"/>
      <w:r w:rsidRPr="00E65DAF">
        <w:rPr>
          <w:rFonts w:asciiTheme="majorBidi" w:eastAsiaTheme="minorHAnsi" w:hAnsiTheme="majorBidi" w:cstheme="majorBidi"/>
          <w:b/>
          <w:bCs/>
          <w:color w:val="000000"/>
          <w:sz w:val="24"/>
          <w:szCs w:val="24"/>
          <w:lang w:val="tr-TR" w:eastAsia="en-US"/>
        </w:rPr>
        <w:t xml:space="preserve"> </w:t>
      </w:r>
      <w:proofErr w:type="spellStart"/>
      <w:r w:rsidRPr="00E65DAF">
        <w:rPr>
          <w:rFonts w:asciiTheme="majorBidi" w:eastAsiaTheme="minorHAnsi" w:hAnsiTheme="majorBidi" w:cstheme="majorBidi"/>
          <w:b/>
          <w:bCs/>
          <w:color w:val="000000"/>
          <w:sz w:val="24"/>
          <w:szCs w:val="24"/>
          <w:lang w:val="tr-TR" w:eastAsia="en-US"/>
        </w:rPr>
        <w:t>Economic</w:t>
      </w:r>
      <w:proofErr w:type="spellEnd"/>
      <w:r w:rsidRPr="00E65DAF">
        <w:rPr>
          <w:rFonts w:asciiTheme="majorBidi" w:eastAsiaTheme="minorHAnsi" w:hAnsiTheme="majorBidi" w:cstheme="majorBidi"/>
          <w:b/>
          <w:bCs/>
          <w:color w:val="000000"/>
          <w:sz w:val="24"/>
          <w:szCs w:val="24"/>
          <w:lang w:val="tr-TR" w:eastAsia="en-US"/>
        </w:rPr>
        <w:t xml:space="preserve"> </w:t>
      </w:r>
      <w:proofErr w:type="spellStart"/>
      <w:r w:rsidRPr="00E65DAF">
        <w:rPr>
          <w:rFonts w:asciiTheme="majorBidi" w:eastAsiaTheme="minorHAnsi" w:hAnsiTheme="majorBidi" w:cstheme="majorBidi"/>
          <w:b/>
          <w:bCs/>
          <w:color w:val="000000"/>
          <w:sz w:val="24"/>
          <w:szCs w:val="24"/>
          <w:lang w:val="tr-TR" w:eastAsia="en-US"/>
        </w:rPr>
        <w:t>Co-Operation</w:t>
      </w:r>
      <w:proofErr w:type="spellEnd"/>
      <w:r w:rsidRPr="00E65DAF">
        <w:rPr>
          <w:rFonts w:asciiTheme="majorBidi" w:eastAsiaTheme="minorHAnsi" w:hAnsiTheme="majorBidi" w:cstheme="majorBidi"/>
          <w:b/>
          <w:bCs/>
          <w:color w:val="000000"/>
          <w:sz w:val="24"/>
          <w:szCs w:val="24"/>
          <w:lang w:val="tr-TR" w:eastAsia="en-US"/>
        </w:rPr>
        <w:t xml:space="preserve"> </w:t>
      </w:r>
      <w:proofErr w:type="spellStart"/>
      <w:r w:rsidRPr="00E65DAF">
        <w:rPr>
          <w:rFonts w:asciiTheme="majorBidi" w:eastAsiaTheme="minorHAnsi" w:hAnsiTheme="majorBidi" w:cstheme="majorBidi"/>
          <w:b/>
          <w:bCs/>
          <w:color w:val="000000"/>
          <w:sz w:val="24"/>
          <w:szCs w:val="24"/>
          <w:lang w:val="tr-TR" w:eastAsia="en-US"/>
        </w:rPr>
        <w:t>and</w:t>
      </w:r>
      <w:proofErr w:type="spellEnd"/>
      <w:r w:rsidRPr="00E65DAF">
        <w:rPr>
          <w:rFonts w:asciiTheme="majorBidi" w:eastAsiaTheme="minorHAnsi" w:hAnsiTheme="majorBidi" w:cstheme="majorBidi"/>
          <w:b/>
          <w:bCs/>
          <w:color w:val="000000"/>
          <w:sz w:val="24"/>
          <w:szCs w:val="24"/>
          <w:lang w:val="tr-TR" w:eastAsia="en-US"/>
        </w:rPr>
        <w:t xml:space="preserve"> Development (2019</w:t>
      </w:r>
      <w:r w:rsidRPr="00E65DAF">
        <w:rPr>
          <w:rFonts w:asciiTheme="majorBidi" w:eastAsiaTheme="minorHAnsi" w:hAnsiTheme="majorBidi" w:cstheme="majorBidi"/>
          <w:b/>
          <w:bCs/>
          <w:color w:val="000000"/>
          <w:sz w:val="24"/>
          <w:szCs w:val="24"/>
          <w:lang w:val="tr-TR" w:eastAsia="en-US"/>
        </w:rPr>
        <w:t>b</w:t>
      </w:r>
      <w:r w:rsidRPr="00E65DAF">
        <w:rPr>
          <w:rFonts w:asciiTheme="majorBidi" w:eastAsiaTheme="minorHAnsi" w:hAnsiTheme="majorBidi" w:cstheme="majorBidi"/>
          <w:b/>
          <w:bCs/>
          <w:color w:val="000000"/>
          <w:sz w:val="24"/>
          <w:szCs w:val="24"/>
          <w:lang w:val="tr-TR" w:eastAsia="en-US"/>
        </w:rPr>
        <w:t>)</w:t>
      </w:r>
      <w:r w:rsidRPr="00BC3D0D">
        <w:rPr>
          <w:rFonts w:asciiTheme="majorBidi" w:eastAsiaTheme="minorHAnsi" w:hAnsiTheme="majorBidi" w:cstheme="majorBidi"/>
          <w:color w:val="000000"/>
          <w:sz w:val="24"/>
          <w:szCs w:val="24"/>
          <w:lang w:val="tr-TR" w:eastAsia="en-US"/>
        </w:rPr>
        <w:t xml:space="preserve"> </w:t>
      </w:r>
      <w:proofErr w:type="spellStart"/>
      <w:r w:rsidRPr="00BC3D0D">
        <w:rPr>
          <w:rFonts w:asciiTheme="majorBidi" w:eastAsiaTheme="minorHAnsi" w:hAnsiTheme="majorBidi" w:cstheme="majorBidi"/>
          <w:color w:val="000000"/>
          <w:sz w:val="24"/>
          <w:szCs w:val="24"/>
          <w:lang w:val="tr-TR" w:eastAsia="en-US"/>
        </w:rPr>
        <w:t>Health</w:t>
      </w:r>
      <w:proofErr w:type="spellEnd"/>
      <w:r w:rsidRPr="00BC3D0D">
        <w:rPr>
          <w:rFonts w:asciiTheme="majorBidi" w:eastAsiaTheme="minorHAnsi" w:hAnsiTheme="majorBidi" w:cstheme="majorBidi"/>
          <w:color w:val="000000"/>
          <w:sz w:val="24"/>
          <w:szCs w:val="24"/>
          <w:lang w:val="tr-TR" w:eastAsia="en-US"/>
        </w:rPr>
        <w:t xml:space="preserve"> </w:t>
      </w:r>
      <w:proofErr w:type="spellStart"/>
      <w:r w:rsidRPr="00BC3D0D">
        <w:rPr>
          <w:rFonts w:asciiTheme="majorBidi" w:eastAsiaTheme="minorHAnsi" w:hAnsiTheme="majorBidi" w:cstheme="majorBidi"/>
          <w:color w:val="000000"/>
          <w:sz w:val="24"/>
          <w:szCs w:val="24"/>
          <w:lang w:val="tr-TR" w:eastAsia="en-US"/>
        </w:rPr>
        <w:t>Statistics</w:t>
      </w:r>
      <w:proofErr w:type="spellEnd"/>
      <w:r w:rsidRPr="00BC3D0D">
        <w:rPr>
          <w:rFonts w:asciiTheme="majorBidi" w:eastAsiaTheme="minorHAnsi" w:hAnsiTheme="majorBidi" w:cstheme="majorBidi"/>
          <w:color w:val="000000"/>
          <w:sz w:val="24"/>
          <w:szCs w:val="24"/>
          <w:lang w:val="tr-TR" w:eastAsia="en-US"/>
        </w:rPr>
        <w:t xml:space="preserve">. </w:t>
      </w:r>
      <w:r w:rsidRPr="00BC3D0D">
        <w:rPr>
          <w:rFonts w:asciiTheme="majorBidi" w:hAnsiTheme="majorBidi" w:cstheme="majorBidi"/>
          <w:sz w:val="24"/>
          <w:szCs w:val="24"/>
        </w:rPr>
        <w:t xml:space="preserve">Available at </w:t>
      </w:r>
      <w:hyperlink r:id="rId16" w:history="1">
        <w:r w:rsidRPr="00BC3D0D">
          <w:rPr>
            <w:rStyle w:val="Kpr"/>
            <w:rFonts w:asciiTheme="majorBidi" w:eastAsiaTheme="minorHAnsi" w:hAnsiTheme="majorBidi" w:cstheme="majorBidi"/>
            <w:sz w:val="24"/>
            <w:szCs w:val="24"/>
            <w:lang w:val="tr-TR" w:eastAsia="en-US"/>
          </w:rPr>
          <w:t>https://stats.oecd.org/index.aspx?DataSetCode=HEALTH_STAT</w:t>
        </w:r>
      </w:hyperlink>
      <w:r>
        <w:rPr>
          <w:rFonts w:asciiTheme="majorBidi" w:eastAsiaTheme="minorHAnsi" w:hAnsiTheme="majorBidi" w:cstheme="majorBidi"/>
          <w:color w:val="0000FF"/>
          <w:sz w:val="24"/>
          <w:szCs w:val="24"/>
          <w:u w:val="thick" w:color="0000FF"/>
          <w:lang w:val="tr-TR" w:eastAsia="en-US"/>
        </w:rPr>
        <w:t xml:space="preserve"> </w:t>
      </w:r>
      <w:r w:rsidRPr="00BC3D0D">
        <w:rPr>
          <w:rFonts w:asciiTheme="majorBidi" w:hAnsiTheme="majorBidi" w:cstheme="majorBidi"/>
          <w:sz w:val="24"/>
          <w:szCs w:val="24"/>
        </w:rPr>
        <w:t>(accessed 0</w:t>
      </w:r>
      <w:r>
        <w:rPr>
          <w:rFonts w:asciiTheme="majorBidi" w:hAnsiTheme="majorBidi" w:cstheme="majorBidi"/>
          <w:sz w:val="24"/>
          <w:szCs w:val="24"/>
        </w:rPr>
        <w:t>1</w:t>
      </w:r>
      <w:r w:rsidRPr="00BC3D0D">
        <w:rPr>
          <w:rFonts w:asciiTheme="majorBidi" w:hAnsiTheme="majorBidi" w:cstheme="majorBidi"/>
          <w:sz w:val="24"/>
          <w:szCs w:val="24"/>
        </w:rPr>
        <w:t xml:space="preserve"> </w:t>
      </w:r>
      <w:r>
        <w:rPr>
          <w:rFonts w:asciiTheme="majorBidi" w:hAnsiTheme="majorBidi" w:cstheme="majorBidi"/>
          <w:sz w:val="24"/>
          <w:szCs w:val="24"/>
        </w:rPr>
        <w:t>March</w:t>
      </w:r>
      <w:r w:rsidRPr="00BC3D0D">
        <w:rPr>
          <w:rFonts w:asciiTheme="majorBidi" w:hAnsiTheme="majorBidi" w:cstheme="majorBidi"/>
          <w:sz w:val="24"/>
          <w:szCs w:val="24"/>
        </w:rPr>
        <w:t xml:space="preserve"> 2020).</w:t>
      </w:r>
    </w:p>
    <w:p w14:paraId="5D20E18D" w14:textId="525EF43A" w:rsidR="00D2718C" w:rsidRPr="00BC3D0D" w:rsidRDefault="000F4620" w:rsidP="00BC3D0D">
      <w:pPr>
        <w:ind w:left="426" w:hanging="426"/>
        <w:rPr>
          <w:rFonts w:asciiTheme="majorBidi" w:hAnsiTheme="majorBidi" w:cstheme="majorBidi"/>
          <w:sz w:val="24"/>
          <w:szCs w:val="24"/>
        </w:rPr>
      </w:pPr>
      <w:r w:rsidRPr="00E65DAF">
        <w:rPr>
          <w:rFonts w:asciiTheme="majorBidi" w:hAnsiTheme="majorBidi" w:cstheme="majorBidi"/>
          <w:b/>
          <w:bCs/>
          <w:sz w:val="24"/>
          <w:szCs w:val="24"/>
        </w:rPr>
        <w:t xml:space="preserve">Organization for Economic Co-Operation and Development </w:t>
      </w:r>
      <w:r w:rsidR="00D2718C" w:rsidRPr="00E65DAF">
        <w:rPr>
          <w:rFonts w:asciiTheme="majorBidi" w:hAnsiTheme="majorBidi" w:cstheme="majorBidi"/>
          <w:b/>
          <w:bCs/>
          <w:sz w:val="24"/>
          <w:szCs w:val="24"/>
        </w:rPr>
        <w:t>(2020)</w:t>
      </w:r>
      <w:r w:rsidR="00D2718C" w:rsidRPr="00BC3D0D">
        <w:rPr>
          <w:rFonts w:asciiTheme="majorBidi" w:hAnsiTheme="majorBidi" w:cstheme="majorBidi"/>
          <w:sz w:val="24"/>
          <w:szCs w:val="24"/>
        </w:rPr>
        <w:t xml:space="preserve"> Health Statistics.</w:t>
      </w:r>
      <w:r w:rsidR="00BC3D0D">
        <w:rPr>
          <w:rFonts w:asciiTheme="majorBidi" w:hAnsiTheme="majorBidi" w:cstheme="majorBidi"/>
          <w:sz w:val="24"/>
          <w:szCs w:val="24"/>
        </w:rPr>
        <w:t xml:space="preserve"> </w:t>
      </w:r>
      <w:r w:rsidR="00BC3D0D" w:rsidRPr="00BC3D0D">
        <w:rPr>
          <w:rFonts w:asciiTheme="majorBidi" w:hAnsiTheme="majorBidi" w:cstheme="majorBidi"/>
          <w:sz w:val="24"/>
          <w:szCs w:val="24"/>
        </w:rPr>
        <w:t xml:space="preserve">Available at </w:t>
      </w:r>
      <w:r w:rsidR="00D2718C" w:rsidRPr="00BC3D0D">
        <w:rPr>
          <w:rFonts w:asciiTheme="majorBidi" w:hAnsiTheme="majorBidi" w:cstheme="majorBidi"/>
          <w:sz w:val="24"/>
          <w:szCs w:val="24"/>
        </w:rPr>
        <w:t xml:space="preserve"> </w:t>
      </w:r>
      <w:hyperlink r:id="rId17" w:history="1">
        <w:r w:rsidR="00D2718C" w:rsidRPr="00BC3D0D">
          <w:rPr>
            <w:rStyle w:val="Kpr"/>
            <w:rFonts w:asciiTheme="majorBidi" w:hAnsiTheme="majorBidi" w:cstheme="majorBidi"/>
            <w:sz w:val="24"/>
            <w:szCs w:val="24"/>
          </w:rPr>
          <w:t>https://stats.oecd.org/index.aspx?DataSetCode=HEALTH_STAT</w:t>
        </w:r>
      </w:hyperlink>
      <w:r w:rsidR="00BC3D0D">
        <w:rPr>
          <w:rStyle w:val="Kpr"/>
          <w:rFonts w:asciiTheme="majorBidi" w:hAnsiTheme="majorBidi" w:cstheme="majorBidi"/>
          <w:sz w:val="24"/>
          <w:szCs w:val="24"/>
        </w:rPr>
        <w:t xml:space="preserve"> </w:t>
      </w:r>
      <w:r w:rsidR="00BC3D0D" w:rsidRPr="00BC3D0D">
        <w:rPr>
          <w:rFonts w:asciiTheme="majorBidi" w:hAnsiTheme="majorBidi" w:cstheme="majorBidi"/>
          <w:sz w:val="24"/>
          <w:szCs w:val="24"/>
        </w:rPr>
        <w:t xml:space="preserve">(accessed </w:t>
      </w:r>
      <w:r w:rsidR="00BC3D0D">
        <w:rPr>
          <w:rFonts w:asciiTheme="majorBidi" w:hAnsiTheme="majorBidi" w:cstheme="majorBidi"/>
          <w:sz w:val="24"/>
          <w:szCs w:val="24"/>
        </w:rPr>
        <w:t>15</w:t>
      </w:r>
      <w:r w:rsidR="00BC3D0D" w:rsidRPr="00BC3D0D">
        <w:rPr>
          <w:rFonts w:asciiTheme="majorBidi" w:hAnsiTheme="majorBidi" w:cstheme="majorBidi"/>
          <w:sz w:val="24"/>
          <w:szCs w:val="24"/>
        </w:rPr>
        <w:t xml:space="preserve"> April 202</w:t>
      </w:r>
      <w:r w:rsidR="00BC3D0D">
        <w:rPr>
          <w:rFonts w:asciiTheme="majorBidi" w:hAnsiTheme="majorBidi" w:cstheme="majorBidi"/>
          <w:sz w:val="24"/>
          <w:szCs w:val="24"/>
        </w:rPr>
        <w:t>1</w:t>
      </w:r>
      <w:r w:rsidR="00BC3D0D" w:rsidRPr="00BC3D0D">
        <w:rPr>
          <w:rFonts w:asciiTheme="majorBidi" w:hAnsiTheme="majorBidi" w:cstheme="majorBidi"/>
          <w:sz w:val="24"/>
          <w:szCs w:val="24"/>
        </w:rPr>
        <w:t>).</w:t>
      </w:r>
    </w:p>
    <w:p w14:paraId="753E27D9" w14:textId="77777777" w:rsidR="00041E99" w:rsidRPr="00BC3D0D" w:rsidRDefault="00041E99" w:rsidP="00041E99">
      <w:pPr>
        <w:ind w:left="426" w:hanging="426"/>
        <w:rPr>
          <w:rFonts w:asciiTheme="majorBidi" w:hAnsiTheme="majorBidi" w:cstheme="majorBidi"/>
          <w:sz w:val="24"/>
          <w:szCs w:val="24"/>
        </w:rPr>
      </w:pPr>
      <w:r w:rsidRPr="0093516F">
        <w:rPr>
          <w:rFonts w:asciiTheme="majorBidi" w:hAnsiTheme="majorBidi" w:cstheme="majorBidi"/>
          <w:b/>
          <w:bCs/>
          <w:sz w:val="24"/>
          <w:szCs w:val="24"/>
        </w:rPr>
        <w:t>Turkish Statistical Institute (2019</w:t>
      </w:r>
      <w:r>
        <w:rPr>
          <w:rFonts w:asciiTheme="majorBidi" w:hAnsiTheme="majorBidi" w:cstheme="majorBidi"/>
          <w:b/>
          <w:bCs/>
          <w:sz w:val="24"/>
          <w:szCs w:val="24"/>
        </w:rPr>
        <w:t>a</w:t>
      </w:r>
      <w:r w:rsidRPr="0093516F">
        <w:rPr>
          <w:rFonts w:asciiTheme="majorBidi" w:hAnsiTheme="majorBidi" w:cstheme="majorBidi"/>
          <w:b/>
          <w:bCs/>
          <w:sz w:val="24"/>
          <w:szCs w:val="24"/>
        </w:rPr>
        <w:t>)</w:t>
      </w:r>
      <w:r w:rsidRPr="00BC3D0D">
        <w:rPr>
          <w:rFonts w:asciiTheme="majorBidi" w:hAnsiTheme="majorBidi" w:cstheme="majorBidi"/>
          <w:sz w:val="24"/>
          <w:szCs w:val="24"/>
        </w:rPr>
        <w:t xml:space="preserve"> </w:t>
      </w:r>
      <w:r w:rsidRPr="00BC3D0D">
        <w:rPr>
          <w:rFonts w:asciiTheme="majorBidi" w:hAnsiTheme="majorBidi" w:cstheme="majorBidi"/>
          <w:i/>
          <w:iCs/>
          <w:sz w:val="24"/>
          <w:szCs w:val="24"/>
        </w:rPr>
        <w:t>Turkish Education Expenditure Statistics.</w:t>
      </w:r>
      <w:r w:rsidRPr="00BC3D0D">
        <w:rPr>
          <w:rFonts w:asciiTheme="majorBidi" w:hAnsiTheme="majorBidi" w:cstheme="majorBidi"/>
          <w:sz w:val="24"/>
          <w:szCs w:val="24"/>
        </w:rPr>
        <w:t xml:space="preserve"> Available at </w:t>
      </w:r>
      <w:hyperlink r:id="rId18" w:history="1">
        <w:r w:rsidRPr="00831039">
          <w:rPr>
            <w:rStyle w:val="Kpr"/>
            <w:rFonts w:asciiTheme="majorBidi" w:hAnsiTheme="majorBidi" w:cstheme="majorBidi"/>
            <w:sz w:val="24"/>
            <w:szCs w:val="24"/>
          </w:rPr>
          <w:t>https://data.tuik.gov.tr/Bulten/Index?p=Education-Expenditure-Statistics-2019-33670</w:t>
        </w:r>
      </w:hyperlink>
      <w:r>
        <w:rPr>
          <w:rFonts w:asciiTheme="majorBidi" w:hAnsiTheme="majorBidi" w:cstheme="majorBidi"/>
          <w:sz w:val="24"/>
          <w:szCs w:val="24"/>
        </w:rPr>
        <w:t xml:space="preserve"> </w:t>
      </w:r>
      <w:r w:rsidRPr="00BC3D0D">
        <w:rPr>
          <w:rFonts w:asciiTheme="majorBidi" w:hAnsiTheme="majorBidi" w:cstheme="majorBidi"/>
          <w:sz w:val="24"/>
          <w:szCs w:val="24"/>
        </w:rPr>
        <w:t xml:space="preserve">(accessed </w:t>
      </w:r>
      <w:r>
        <w:rPr>
          <w:rFonts w:asciiTheme="majorBidi" w:hAnsiTheme="majorBidi" w:cstheme="majorBidi"/>
          <w:sz w:val="24"/>
          <w:szCs w:val="24"/>
        </w:rPr>
        <w:t>5 March</w:t>
      </w:r>
      <w:r w:rsidRPr="00BC3D0D">
        <w:rPr>
          <w:rFonts w:asciiTheme="majorBidi" w:hAnsiTheme="majorBidi" w:cstheme="majorBidi"/>
          <w:sz w:val="24"/>
          <w:szCs w:val="24"/>
        </w:rPr>
        <w:t xml:space="preserve"> </w:t>
      </w:r>
      <w:r>
        <w:rPr>
          <w:rFonts w:asciiTheme="majorBidi" w:hAnsiTheme="majorBidi" w:cstheme="majorBidi"/>
          <w:sz w:val="24"/>
          <w:szCs w:val="24"/>
        </w:rPr>
        <w:t>2020</w:t>
      </w:r>
      <w:r w:rsidRPr="00BC3D0D">
        <w:rPr>
          <w:rFonts w:asciiTheme="majorBidi" w:hAnsiTheme="majorBidi" w:cstheme="majorBidi"/>
          <w:sz w:val="24"/>
          <w:szCs w:val="24"/>
        </w:rPr>
        <w:t>).</w:t>
      </w:r>
    </w:p>
    <w:p w14:paraId="6208FF5F" w14:textId="2C75F359" w:rsidR="00722A6B" w:rsidRPr="00BC3D0D" w:rsidRDefault="003C3761" w:rsidP="00722A6B">
      <w:pPr>
        <w:ind w:left="426" w:hanging="426"/>
        <w:rPr>
          <w:rFonts w:asciiTheme="majorBidi" w:hAnsiTheme="majorBidi" w:cstheme="majorBidi"/>
          <w:sz w:val="24"/>
          <w:szCs w:val="24"/>
        </w:rPr>
      </w:pPr>
      <w:r w:rsidRPr="0093516F">
        <w:rPr>
          <w:rFonts w:asciiTheme="majorBidi" w:hAnsiTheme="majorBidi" w:cstheme="majorBidi"/>
          <w:b/>
          <w:bCs/>
          <w:sz w:val="24"/>
          <w:szCs w:val="24"/>
        </w:rPr>
        <w:t xml:space="preserve">Turkish Statistical Institute </w:t>
      </w:r>
      <w:r w:rsidR="00722A6B" w:rsidRPr="0093516F">
        <w:rPr>
          <w:rFonts w:asciiTheme="majorBidi" w:hAnsiTheme="majorBidi" w:cstheme="majorBidi"/>
          <w:b/>
          <w:bCs/>
          <w:sz w:val="24"/>
          <w:szCs w:val="24"/>
        </w:rPr>
        <w:t>(2019</w:t>
      </w:r>
      <w:r w:rsidR="00041E99">
        <w:rPr>
          <w:rFonts w:asciiTheme="majorBidi" w:hAnsiTheme="majorBidi" w:cstheme="majorBidi"/>
          <w:b/>
          <w:bCs/>
          <w:sz w:val="24"/>
          <w:szCs w:val="24"/>
        </w:rPr>
        <w:t>b</w:t>
      </w:r>
      <w:r w:rsidR="00722A6B" w:rsidRPr="0093516F">
        <w:rPr>
          <w:rFonts w:asciiTheme="majorBidi" w:hAnsiTheme="majorBidi" w:cstheme="majorBidi"/>
          <w:b/>
          <w:bCs/>
          <w:sz w:val="24"/>
          <w:szCs w:val="24"/>
        </w:rPr>
        <w:t>)</w:t>
      </w:r>
      <w:r w:rsidR="00722A6B" w:rsidRPr="00BC3D0D">
        <w:rPr>
          <w:rFonts w:asciiTheme="majorBidi" w:hAnsiTheme="majorBidi" w:cstheme="majorBidi"/>
          <w:sz w:val="24"/>
          <w:szCs w:val="24"/>
        </w:rPr>
        <w:t xml:space="preserve"> </w:t>
      </w:r>
      <w:r w:rsidR="00722A6B" w:rsidRPr="00BC3D0D">
        <w:rPr>
          <w:rFonts w:asciiTheme="majorBidi" w:hAnsiTheme="majorBidi" w:cstheme="majorBidi"/>
          <w:i/>
          <w:iCs/>
          <w:sz w:val="24"/>
          <w:szCs w:val="24"/>
        </w:rPr>
        <w:t>Turkish Health Statistics.</w:t>
      </w:r>
      <w:r w:rsidR="00722A6B" w:rsidRPr="00BC3D0D">
        <w:rPr>
          <w:rFonts w:asciiTheme="majorBidi" w:hAnsiTheme="majorBidi" w:cstheme="majorBidi"/>
          <w:sz w:val="24"/>
          <w:szCs w:val="24"/>
        </w:rPr>
        <w:t xml:space="preserve"> Available at  </w:t>
      </w:r>
      <w:hyperlink r:id="rId19" w:history="1">
        <w:r w:rsidR="00722A6B" w:rsidRPr="00BC3D0D">
          <w:rPr>
            <w:rStyle w:val="Kpr"/>
            <w:rFonts w:asciiTheme="majorBidi" w:hAnsiTheme="majorBidi" w:cstheme="majorBidi"/>
            <w:sz w:val="24"/>
            <w:szCs w:val="24"/>
          </w:rPr>
          <w:t>https://data.tuik.gov.tr/Kategori/GetKategori?p=Saglik-ve-Sosyal-Koruma-101</w:t>
        </w:r>
      </w:hyperlink>
      <w:r w:rsidR="00722A6B" w:rsidRPr="00BC3D0D">
        <w:rPr>
          <w:rFonts w:asciiTheme="majorBidi" w:hAnsiTheme="majorBidi" w:cstheme="majorBidi"/>
          <w:sz w:val="24"/>
          <w:szCs w:val="24"/>
        </w:rPr>
        <w:t xml:space="preserve"> (accessed 01 July 2020).</w:t>
      </w:r>
    </w:p>
    <w:p w14:paraId="70A090A2" w14:textId="4231D9D3" w:rsidR="0020189F" w:rsidRPr="00BC3D0D" w:rsidRDefault="0020189F" w:rsidP="0020189F">
      <w:pPr>
        <w:pStyle w:val="AklamaMetni"/>
        <w:ind w:left="426" w:hanging="426"/>
        <w:rPr>
          <w:rFonts w:asciiTheme="majorBidi" w:hAnsiTheme="majorBidi" w:cstheme="majorBidi"/>
          <w:sz w:val="24"/>
          <w:szCs w:val="24"/>
        </w:rPr>
      </w:pPr>
      <w:r w:rsidRPr="0093516F">
        <w:rPr>
          <w:rFonts w:asciiTheme="majorBidi" w:hAnsiTheme="majorBidi" w:cstheme="majorBidi"/>
          <w:b/>
          <w:bCs/>
          <w:sz w:val="24"/>
          <w:szCs w:val="24"/>
        </w:rPr>
        <w:t xml:space="preserve">UN Women and </w:t>
      </w:r>
      <w:r w:rsidR="006A341C" w:rsidRPr="0093516F">
        <w:rPr>
          <w:rFonts w:ascii="Times New Roman" w:hAnsi="Times New Roman" w:cs="Times New Roman"/>
          <w:b/>
          <w:bCs/>
          <w:sz w:val="24"/>
          <w:szCs w:val="24"/>
        </w:rPr>
        <w:t xml:space="preserve">International </w:t>
      </w:r>
      <w:proofErr w:type="spellStart"/>
      <w:r w:rsidR="006A341C" w:rsidRPr="0093516F">
        <w:rPr>
          <w:rFonts w:ascii="Times New Roman" w:hAnsi="Times New Roman" w:cs="Times New Roman"/>
          <w:b/>
          <w:bCs/>
          <w:sz w:val="24"/>
          <w:szCs w:val="24"/>
        </w:rPr>
        <w:t>Labour</w:t>
      </w:r>
      <w:proofErr w:type="spellEnd"/>
      <w:r w:rsidR="006A341C" w:rsidRPr="0093516F">
        <w:rPr>
          <w:rFonts w:ascii="Times New Roman" w:hAnsi="Times New Roman" w:cs="Times New Roman"/>
          <w:b/>
          <w:bCs/>
          <w:sz w:val="24"/>
          <w:szCs w:val="24"/>
        </w:rPr>
        <w:t xml:space="preserve"> Organization </w:t>
      </w:r>
      <w:r w:rsidRPr="0093516F">
        <w:rPr>
          <w:rFonts w:asciiTheme="majorBidi" w:hAnsiTheme="majorBidi" w:cstheme="majorBidi"/>
          <w:b/>
          <w:bCs/>
          <w:sz w:val="24"/>
          <w:szCs w:val="24"/>
        </w:rPr>
        <w:t>(2021)</w:t>
      </w:r>
      <w:r w:rsidRPr="00BC3D0D">
        <w:rPr>
          <w:rFonts w:asciiTheme="majorBidi" w:hAnsiTheme="majorBidi" w:cstheme="majorBidi"/>
          <w:sz w:val="24"/>
          <w:szCs w:val="24"/>
        </w:rPr>
        <w:t xml:space="preserve"> </w:t>
      </w:r>
      <w:r w:rsidRPr="00BC3D0D">
        <w:rPr>
          <w:rFonts w:asciiTheme="majorBidi" w:hAnsiTheme="majorBidi" w:cstheme="majorBidi"/>
          <w:i/>
          <w:iCs/>
          <w:sz w:val="24"/>
          <w:szCs w:val="24"/>
        </w:rPr>
        <w:t>A Guide to Public Investments in the Care Economy: Policy Support Tool for Estimating Care Deficits, Investment Costs, and Economic Returns.</w:t>
      </w:r>
      <w:r w:rsidRPr="00BC3D0D">
        <w:rPr>
          <w:rFonts w:asciiTheme="majorBidi" w:hAnsiTheme="majorBidi" w:cstheme="majorBidi"/>
          <w:sz w:val="24"/>
          <w:szCs w:val="24"/>
        </w:rPr>
        <w:t xml:space="preserve"> New York and Geneva: UN Women and </w:t>
      </w:r>
      <w:r w:rsidR="006A341C" w:rsidRPr="006A341C">
        <w:rPr>
          <w:rFonts w:ascii="Times New Roman" w:hAnsi="Times New Roman" w:cs="Times New Roman"/>
          <w:sz w:val="24"/>
          <w:szCs w:val="24"/>
        </w:rPr>
        <w:t xml:space="preserve">International </w:t>
      </w:r>
      <w:proofErr w:type="spellStart"/>
      <w:r w:rsidR="006A341C" w:rsidRPr="006A341C">
        <w:rPr>
          <w:rFonts w:ascii="Times New Roman" w:hAnsi="Times New Roman" w:cs="Times New Roman"/>
          <w:sz w:val="24"/>
          <w:szCs w:val="24"/>
        </w:rPr>
        <w:t>Labour</w:t>
      </w:r>
      <w:proofErr w:type="spellEnd"/>
      <w:r w:rsidR="006A341C" w:rsidRPr="006A341C">
        <w:rPr>
          <w:rFonts w:ascii="Times New Roman" w:hAnsi="Times New Roman" w:cs="Times New Roman"/>
          <w:sz w:val="24"/>
          <w:szCs w:val="24"/>
        </w:rPr>
        <w:t xml:space="preserve"> Organization</w:t>
      </w:r>
      <w:r w:rsidRPr="00BC3D0D">
        <w:rPr>
          <w:rFonts w:asciiTheme="majorBidi" w:hAnsiTheme="majorBidi" w:cstheme="majorBidi"/>
          <w:sz w:val="24"/>
          <w:szCs w:val="24"/>
        </w:rPr>
        <w:t xml:space="preserve">. Available at  </w:t>
      </w:r>
    </w:p>
    <w:p w14:paraId="5AD97BDB" w14:textId="77777777" w:rsidR="0020189F" w:rsidRPr="00BC3D0D" w:rsidRDefault="0020189F" w:rsidP="0020189F">
      <w:pPr>
        <w:ind w:left="426" w:hanging="426"/>
        <w:rPr>
          <w:rFonts w:asciiTheme="majorBidi" w:hAnsiTheme="majorBidi" w:cstheme="majorBidi"/>
          <w:i/>
          <w:iCs/>
          <w:sz w:val="24"/>
          <w:szCs w:val="24"/>
        </w:rPr>
      </w:pPr>
      <w:hyperlink r:id="rId20" w:history="1">
        <w:r w:rsidRPr="00BC3D0D">
          <w:rPr>
            <w:rFonts w:asciiTheme="majorBidi" w:hAnsiTheme="majorBidi" w:cstheme="majorBidi"/>
            <w:i/>
            <w:iCs/>
            <w:sz w:val="24"/>
            <w:szCs w:val="24"/>
          </w:rPr>
          <w:tab/>
        </w:r>
        <w:r w:rsidRPr="00BC3D0D">
          <w:rPr>
            <w:rStyle w:val="Kpr"/>
            <w:rFonts w:asciiTheme="majorBidi" w:hAnsiTheme="majorBidi" w:cstheme="majorBidi"/>
            <w:sz w:val="24"/>
            <w:szCs w:val="24"/>
          </w:rPr>
          <w:t>https://www.unwomen.org/sites/default/files/Headquarters/Attachments/Sections/Library/Publications/2021/Policy-tool-Care-economy-en.pdf</w:t>
        </w:r>
      </w:hyperlink>
      <w:r w:rsidRPr="00BC3D0D">
        <w:rPr>
          <w:rFonts w:asciiTheme="majorBidi" w:hAnsiTheme="majorBidi" w:cstheme="majorBidi"/>
          <w:sz w:val="24"/>
          <w:szCs w:val="24"/>
        </w:rPr>
        <w:t xml:space="preserve">  (accessed 10 June 2022).</w:t>
      </w:r>
      <w:r w:rsidRPr="00BC3D0D">
        <w:rPr>
          <w:rFonts w:asciiTheme="majorBidi" w:hAnsiTheme="majorBidi" w:cstheme="majorBidi"/>
          <w:i/>
          <w:iCs/>
          <w:sz w:val="24"/>
          <w:szCs w:val="24"/>
        </w:rPr>
        <w:t xml:space="preserve"> </w:t>
      </w:r>
    </w:p>
    <w:p w14:paraId="77AF14B7" w14:textId="54DB001F" w:rsidR="00F249A7" w:rsidRPr="003E6B11" w:rsidRDefault="00F249A7" w:rsidP="0020189F">
      <w:pPr>
        <w:spacing w:line="480" w:lineRule="auto"/>
        <w:ind w:firstLine="426"/>
        <w:rPr>
          <w:rFonts w:ascii="Times New Roman" w:hAnsi="Times New Roman" w:cs="Times New Roman"/>
          <w:sz w:val="24"/>
          <w:szCs w:val="24"/>
        </w:rPr>
      </w:pPr>
    </w:p>
    <w:sectPr w:rsidR="00F249A7" w:rsidRPr="003E6B11" w:rsidSect="00492691">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94DF2" w14:textId="77777777" w:rsidR="00D75A63" w:rsidRDefault="00D75A63" w:rsidP="00C00902">
      <w:r>
        <w:separator/>
      </w:r>
    </w:p>
  </w:endnote>
  <w:endnote w:type="continuationSeparator" w:id="0">
    <w:p w14:paraId="3C420884" w14:textId="77777777" w:rsidR="00D75A63" w:rsidRDefault="00D75A63" w:rsidP="00C0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631384103"/>
      <w:docPartObj>
        <w:docPartGallery w:val="Page Numbers (Bottom of Page)"/>
        <w:docPartUnique/>
      </w:docPartObj>
    </w:sdtPr>
    <w:sdtContent>
      <w:p w14:paraId="4E439BF7" w14:textId="67BF2A1C" w:rsidR="003E6B11" w:rsidRDefault="003E6B11" w:rsidP="009A4AC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F565690" w14:textId="77777777" w:rsidR="003E6B11" w:rsidRDefault="003E6B11" w:rsidP="003E6B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364556385"/>
      <w:docPartObj>
        <w:docPartGallery w:val="Page Numbers (Bottom of Page)"/>
        <w:docPartUnique/>
      </w:docPartObj>
    </w:sdtPr>
    <w:sdtContent>
      <w:p w14:paraId="148FCF1D" w14:textId="2FCB3AEF" w:rsidR="003E6B11" w:rsidRDefault="003E6B11" w:rsidP="009A4AC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2F66C492" w14:textId="77777777" w:rsidR="003E6B11" w:rsidRDefault="003E6B11" w:rsidP="003E6B1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DF405" w14:textId="77777777" w:rsidR="00D75A63" w:rsidRDefault="00D75A63" w:rsidP="00C00902">
      <w:r>
        <w:separator/>
      </w:r>
    </w:p>
  </w:footnote>
  <w:footnote w:type="continuationSeparator" w:id="0">
    <w:p w14:paraId="2717D5EA" w14:textId="77777777" w:rsidR="00D75A63" w:rsidRDefault="00D75A63" w:rsidP="00C00902">
      <w:r>
        <w:continuationSeparator/>
      </w:r>
    </w:p>
  </w:footnote>
  <w:footnote w:id="1">
    <w:p w14:paraId="4AAC8EA6" w14:textId="77777777" w:rsidR="00C00902" w:rsidRPr="00DF2108" w:rsidRDefault="00C00902" w:rsidP="0089219B">
      <w:pPr>
        <w:pStyle w:val="DipnotMetni"/>
        <w:rPr>
          <w:rFonts w:ascii="Times New Roman" w:hAnsi="Times New Roman"/>
        </w:rPr>
      </w:pPr>
      <w:r w:rsidRPr="00DF2108">
        <w:rPr>
          <w:rStyle w:val="DipnotBavurusu"/>
          <w:rFonts w:ascii="Times New Roman" w:hAnsi="Times New Roman"/>
        </w:rPr>
        <w:footnoteRef/>
      </w:r>
      <w:r w:rsidRPr="00DF2108">
        <w:rPr>
          <w:rFonts w:ascii="Times New Roman" w:hAnsi="Times New Roman"/>
        </w:rPr>
        <w:t xml:space="preserve"> In the 2019-20 school year, assistant teacher salaries approximated the minimum wage. The minimum annual and monthly gross wages in 2019 were </w:t>
      </w:r>
      <w:r>
        <w:t>₺</w:t>
      </w:r>
      <w:r w:rsidRPr="00DF2108">
        <w:rPr>
          <w:rFonts w:ascii="Times New Roman" w:hAnsi="Times New Roman"/>
        </w:rPr>
        <w:t xml:space="preserve">30,701 and </w:t>
      </w:r>
      <w:r>
        <w:t>₺</w:t>
      </w:r>
      <w:r w:rsidRPr="00DF2108">
        <w:rPr>
          <w:rFonts w:ascii="Times New Roman" w:hAnsi="Times New Roman"/>
        </w:rPr>
        <w:t xml:space="preserve">2,558.4, respectively, accounting for 51.1 percent of a kindergarten teacher's salary. We projected that the gross annual salary for assistant teachers would reach </w:t>
      </w:r>
      <w:r>
        <w:t>₺</w:t>
      </w:r>
      <w:r w:rsidRPr="00DF2108">
        <w:rPr>
          <w:rFonts w:ascii="Times New Roman" w:hAnsi="Times New Roman"/>
        </w:rPr>
        <w:t xml:space="preserve">42,562, considering the targeted increase in teacher pay. </w:t>
      </w:r>
    </w:p>
  </w:footnote>
  <w:footnote w:id="2">
    <w:p w14:paraId="58E9407C" w14:textId="77777777" w:rsidR="00C00902" w:rsidRPr="00DF2108" w:rsidRDefault="00C00902" w:rsidP="0089219B">
      <w:pPr>
        <w:pStyle w:val="DipnotMetni"/>
        <w:rPr>
          <w:rFonts w:ascii="Times New Roman" w:hAnsi="Times New Roman"/>
        </w:rPr>
      </w:pPr>
      <w:r w:rsidRPr="00DF2108">
        <w:rPr>
          <w:rStyle w:val="DipnotBavurusu"/>
          <w:rFonts w:ascii="Times New Roman" w:hAnsi="Times New Roman"/>
        </w:rPr>
        <w:footnoteRef/>
      </w:r>
      <w:r w:rsidRPr="00DF2108">
        <w:rPr>
          <w:rFonts w:ascii="Times New Roman" w:hAnsi="Times New Roman"/>
        </w:rPr>
        <w:t xml:space="preserve"> In 2019, the total expenditure for public and private primary school education, including kindergarten education for 5-year-olds, amounted to </w:t>
      </w:r>
      <w:r>
        <w:t>₺</w:t>
      </w:r>
      <w:r w:rsidRPr="00DF2108">
        <w:rPr>
          <w:rFonts w:ascii="Times New Roman" w:hAnsi="Times New Roman"/>
        </w:rPr>
        <w:t>47 billion. Assuming that kindergarten education’s costs make up 8.45 percent of primary school expenditures (</w:t>
      </w:r>
      <w:r w:rsidRPr="0080148B">
        <w:rPr>
          <w:rFonts w:ascii="Times New Roman" w:hAnsi="Times New Roman"/>
        </w:rPr>
        <w:t>see Ilkkaracan et al. 2015), the</w:t>
      </w:r>
      <w:r w:rsidRPr="00DF2108">
        <w:rPr>
          <w:rFonts w:ascii="Times New Roman" w:hAnsi="Times New Roman"/>
        </w:rPr>
        <w:t xml:space="preserve"> cost alone is estimated to be </w:t>
      </w:r>
      <w:r>
        <w:t>₺</w:t>
      </w:r>
      <w:r w:rsidRPr="00DF2108">
        <w:rPr>
          <w:rFonts w:ascii="Times New Roman" w:hAnsi="Times New Roman"/>
        </w:rPr>
        <w:t xml:space="preserve">4 billion. The overall expenditure for public and private preschool education in 2019 was </w:t>
      </w:r>
      <w:r>
        <w:t>₺</w:t>
      </w:r>
      <w:r w:rsidRPr="00DF2108">
        <w:rPr>
          <w:rFonts w:ascii="Times New Roman" w:hAnsi="Times New Roman"/>
        </w:rPr>
        <w:t xml:space="preserve">15.9 billion. </w:t>
      </w:r>
      <w:r>
        <w:t>₺</w:t>
      </w:r>
      <w:r w:rsidRPr="00DF2108">
        <w:rPr>
          <w:rFonts w:ascii="Times New Roman" w:hAnsi="Times New Roman"/>
        </w:rPr>
        <w:t xml:space="preserve">4 billion </w:t>
      </w:r>
      <w:r w:rsidRPr="00DF2108">
        <w:rPr>
          <w:rFonts w:ascii="Times New Roman" w:hAnsi="Times New Roman"/>
          <w:color w:val="000000" w:themeColor="text1"/>
        </w:rPr>
        <w:t xml:space="preserve">was added to </w:t>
      </w:r>
      <w:r>
        <w:t>₺</w:t>
      </w:r>
      <w:r w:rsidRPr="00DF2108">
        <w:rPr>
          <w:rFonts w:ascii="Times New Roman" w:hAnsi="Times New Roman"/>
          <w:color w:val="000000" w:themeColor="text1"/>
        </w:rPr>
        <w:t>15.9 billion to find the total cost of preschool education (</w:t>
      </w:r>
      <w:r>
        <w:t>₺</w:t>
      </w:r>
      <w:r w:rsidRPr="00DF2108">
        <w:rPr>
          <w:rFonts w:ascii="Times New Roman" w:hAnsi="Times New Roman"/>
          <w:color w:val="000000" w:themeColor="text1"/>
        </w:rPr>
        <w:t xml:space="preserve">19.9 billion). </w:t>
      </w:r>
    </w:p>
  </w:footnote>
  <w:footnote w:id="3">
    <w:p w14:paraId="075BA825" w14:textId="5DCDA180" w:rsidR="00C00902" w:rsidRPr="00DF2108" w:rsidRDefault="00C00902" w:rsidP="00683FA0">
      <w:pPr>
        <w:rPr>
          <w:rFonts w:ascii="Times New Roman" w:eastAsia="Calibri" w:hAnsi="Times New Roman" w:cs="Times New Roman"/>
          <w:sz w:val="20"/>
          <w:szCs w:val="20"/>
        </w:rPr>
      </w:pPr>
      <w:r w:rsidRPr="00DF2108">
        <w:rPr>
          <w:rStyle w:val="DipnotBavurusu"/>
          <w:rFonts w:ascii="Times New Roman" w:hAnsi="Times New Roman" w:cs="Times New Roman"/>
          <w:sz w:val="20"/>
          <w:szCs w:val="20"/>
        </w:rPr>
        <w:footnoteRef/>
      </w:r>
      <w:r w:rsidRPr="00DF2108">
        <w:rPr>
          <w:rStyle w:val="DipnotBavurusu"/>
          <w:rFonts w:ascii="Times New Roman" w:hAnsi="Times New Roman" w:cs="Times New Roman"/>
          <w:sz w:val="20"/>
          <w:szCs w:val="20"/>
        </w:rPr>
        <w:t xml:space="preserve"> </w:t>
      </w:r>
      <w:r w:rsidRPr="00DF2108">
        <w:rPr>
          <w:rFonts w:ascii="Times New Roman" w:eastAsia="Calibri" w:hAnsi="Times New Roman" w:cs="Times New Roman"/>
          <w:sz w:val="20"/>
          <w:szCs w:val="20"/>
        </w:rPr>
        <w:t xml:space="preserve">The total annual average salary expenditure for the existing 354,198 teachers was </w:t>
      </w:r>
      <w:r>
        <w:rPr>
          <w:sz w:val="20"/>
          <w:szCs w:val="20"/>
        </w:rPr>
        <w:t>₺</w:t>
      </w:r>
      <w:r w:rsidRPr="00DF2108">
        <w:rPr>
          <w:rFonts w:ascii="Times New Roman" w:eastAsia="Calibri" w:hAnsi="Times New Roman" w:cs="Times New Roman"/>
          <w:sz w:val="20"/>
          <w:szCs w:val="20"/>
        </w:rPr>
        <w:t>21.3 billion. A</w:t>
      </w:r>
      <w:r w:rsidR="00683FA0">
        <w:rPr>
          <w:rFonts w:ascii="Times New Roman" w:eastAsia="Calibri" w:hAnsi="Times New Roman" w:cs="Times New Roman"/>
          <w:sz w:val="20"/>
          <w:szCs w:val="20"/>
        </w:rPr>
        <w:t xml:space="preserve">fter </w:t>
      </w:r>
      <w:r w:rsidRPr="00DF2108">
        <w:rPr>
          <w:rFonts w:ascii="Times New Roman" w:eastAsia="Calibri" w:hAnsi="Times New Roman" w:cs="Times New Roman"/>
          <w:sz w:val="20"/>
          <w:szCs w:val="20"/>
        </w:rPr>
        <w:t xml:space="preserve">deducting this from the total lower secondary school expenditures of </w:t>
      </w:r>
      <w:r>
        <w:rPr>
          <w:sz w:val="20"/>
          <w:szCs w:val="20"/>
        </w:rPr>
        <w:t>₺</w:t>
      </w:r>
      <w:r w:rsidRPr="00DF2108">
        <w:rPr>
          <w:rFonts w:ascii="Times New Roman" w:eastAsia="Calibri" w:hAnsi="Times New Roman" w:cs="Times New Roman"/>
          <w:sz w:val="20"/>
          <w:szCs w:val="20"/>
        </w:rPr>
        <w:t xml:space="preserve">51.8 billion, the annual non-salary expenditures amounted to </w:t>
      </w:r>
      <w:r>
        <w:rPr>
          <w:sz w:val="20"/>
          <w:szCs w:val="20"/>
        </w:rPr>
        <w:t>₺</w:t>
      </w:r>
      <w:r w:rsidRPr="00DF2108">
        <w:rPr>
          <w:rFonts w:ascii="Times New Roman" w:eastAsia="Calibri" w:hAnsi="Times New Roman" w:cs="Times New Roman"/>
          <w:sz w:val="20"/>
          <w:szCs w:val="20"/>
        </w:rPr>
        <w:t xml:space="preserve">30.5 billion. With 5,627,075 enrolled students, the non-salary expenditure per student was </w:t>
      </w:r>
      <w:r>
        <w:rPr>
          <w:sz w:val="20"/>
          <w:szCs w:val="20"/>
        </w:rPr>
        <w:t>₺</w:t>
      </w:r>
      <w:r w:rsidRPr="00DF2108">
        <w:rPr>
          <w:rFonts w:ascii="Times New Roman" w:eastAsia="Calibri" w:hAnsi="Times New Roman" w:cs="Times New Roman"/>
          <w:sz w:val="20"/>
          <w:szCs w:val="20"/>
        </w:rPr>
        <w:t xml:space="preserve">5,415. Multiplying this figure by the number of additional students (343,748) required to fill the coverage gap resulted in a total non-salary expenditure of </w:t>
      </w:r>
      <w:r>
        <w:rPr>
          <w:sz w:val="20"/>
          <w:szCs w:val="20"/>
        </w:rPr>
        <w:t>₺</w:t>
      </w:r>
      <w:r w:rsidRPr="00DF2108">
        <w:rPr>
          <w:rFonts w:ascii="Times New Roman" w:eastAsia="Calibri" w:hAnsi="Times New Roman" w:cs="Times New Roman"/>
          <w:sz w:val="20"/>
          <w:szCs w:val="20"/>
        </w:rPr>
        <w:t>1.9 billion.</w:t>
      </w:r>
    </w:p>
  </w:footnote>
  <w:footnote w:id="4">
    <w:p w14:paraId="624E57C6" w14:textId="77777777" w:rsidR="00C00902" w:rsidRPr="00DF2108" w:rsidRDefault="00C00902" w:rsidP="0089219B">
      <w:pPr>
        <w:rPr>
          <w:rFonts w:ascii="Times New Roman" w:hAnsi="Times New Roman" w:cs="Times New Roman"/>
          <w:sz w:val="20"/>
          <w:szCs w:val="20"/>
        </w:rPr>
      </w:pPr>
      <w:r w:rsidRPr="00DF2108">
        <w:rPr>
          <w:rStyle w:val="DipnotBavurusu"/>
          <w:rFonts w:ascii="Times New Roman" w:hAnsi="Times New Roman" w:cs="Times New Roman"/>
          <w:sz w:val="20"/>
          <w:szCs w:val="20"/>
        </w:rPr>
        <w:footnoteRef/>
      </w:r>
      <w:r w:rsidRPr="00DF2108">
        <w:rPr>
          <w:rStyle w:val="DipnotBavurusu"/>
          <w:rFonts w:ascii="Times New Roman" w:hAnsi="Times New Roman" w:cs="Times New Roman"/>
          <w:sz w:val="20"/>
          <w:szCs w:val="20"/>
        </w:rPr>
        <w:t xml:space="preserve"> </w:t>
      </w:r>
      <w:r w:rsidRPr="00DF2108">
        <w:rPr>
          <w:rFonts w:ascii="Times New Roman" w:eastAsia="Calibri" w:hAnsi="Times New Roman" w:cs="Times New Roman"/>
          <w:sz w:val="20"/>
          <w:szCs w:val="20"/>
        </w:rPr>
        <w:t xml:space="preserve">The average annual salary expenditure for the existing 371,234 teachers was </w:t>
      </w:r>
      <w:r>
        <w:rPr>
          <w:sz w:val="20"/>
          <w:szCs w:val="20"/>
        </w:rPr>
        <w:t>₺</w:t>
      </w:r>
      <w:r w:rsidRPr="00DF2108">
        <w:rPr>
          <w:rFonts w:ascii="Times New Roman" w:eastAsia="Calibri" w:hAnsi="Times New Roman" w:cs="Times New Roman"/>
          <w:sz w:val="20"/>
          <w:szCs w:val="20"/>
        </w:rPr>
        <w:t xml:space="preserve">22.3 billion. After deducting this from the total high school expenditures of </w:t>
      </w:r>
      <w:r>
        <w:rPr>
          <w:sz w:val="20"/>
          <w:szCs w:val="20"/>
        </w:rPr>
        <w:t>₺</w:t>
      </w:r>
      <w:r w:rsidRPr="00DF2108">
        <w:rPr>
          <w:rFonts w:ascii="Times New Roman" w:eastAsia="Calibri" w:hAnsi="Times New Roman" w:cs="Times New Roman"/>
          <w:sz w:val="20"/>
          <w:szCs w:val="20"/>
        </w:rPr>
        <w:t xml:space="preserve">72.3 billion, the annual non-salary expenditures amounted to </w:t>
      </w:r>
      <w:r>
        <w:rPr>
          <w:sz w:val="20"/>
          <w:szCs w:val="20"/>
        </w:rPr>
        <w:t>₺</w:t>
      </w:r>
      <w:r w:rsidRPr="00DF2108">
        <w:rPr>
          <w:rFonts w:ascii="Times New Roman" w:eastAsia="Calibri" w:hAnsi="Times New Roman" w:cs="Times New Roman"/>
          <w:sz w:val="20"/>
          <w:szCs w:val="20"/>
        </w:rPr>
        <w:t xml:space="preserve">50 billion. With 5,267,378 registered students, the current non-salary expenditure per registered student was </w:t>
      </w:r>
      <w:r>
        <w:rPr>
          <w:sz w:val="20"/>
          <w:szCs w:val="20"/>
        </w:rPr>
        <w:t>₺</w:t>
      </w:r>
      <w:r w:rsidRPr="00DF2108">
        <w:rPr>
          <w:rFonts w:ascii="Times New Roman" w:eastAsia="Calibri" w:hAnsi="Times New Roman" w:cs="Times New Roman"/>
          <w:sz w:val="20"/>
          <w:szCs w:val="20"/>
        </w:rPr>
        <w:t>4,740. This figure was multiplied by the number of students (4,657,210) to find total non-salary expenditures (</w:t>
      </w:r>
      <w:r>
        <w:rPr>
          <w:sz w:val="20"/>
          <w:szCs w:val="20"/>
        </w:rPr>
        <w:t>₺</w:t>
      </w:r>
      <w:r w:rsidRPr="00DF2108">
        <w:rPr>
          <w:rFonts w:ascii="Times New Roman" w:eastAsia="Calibri" w:hAnsi="Times New Roman" w:cs="Times New Roman"/>
          <w:sz w:val="20"/>
          <w:szCs w:val="20"/>
        </w:rPr>
        <w:t>22 billion). We divided the total non-salary expenditures (22 billion) by the number of students (4,657,210) and the current non-salary expenditures per student were found (</w:t>
      </w:r>
      <w:r>
        <w:rPr>
          <w:sz w:val="20"/>
          <w:szCs w:val="20"/>
        </w:rPr>
        <w:t>₺</w:t>
      </w:r>
      <w:r w:rsidRPr="00DF2108">
        <w:rPr>
          <w:rFonts w:ascii="Times New Roman" w:eastAsia="Calibri" w:hAnsi="Times New Roman" w:cs="Times New Roman"/>
          <w:sz w:val="20"/>
          <w:szCs w:val="20"/>
        </w:rPr>
        <w:t xml:space="preserve">9,492). Multiplying this figure by the number of additional students (783,873) required to fill the coverage gap resulted in a total non-salary expenditure of </w:t>
      </w:r>
      <w:r>
        <w:rPr>
          <w:sz w:val="20"/>
          <w:szCs w:val="20"/>
        </w:rPr>
        <w:t>₺</w:t>
      </w:r>
      <w:r w:rsidRPr="00DF2108">
        <w:rPr>
          <w:rFonts w:ascii="Times New Roman" w:eastAsia="Calibri" w:hAnsi="Times New Roman" w:cs="Times New Roman"/>
          <w:sz w:val="20"/>
          <w:szCs w:val="20"/>
        </w:rPr>
        <w:t>7.4 billion.</w:t>
      </w:r>
    </w:p>
  </w:footnote>
  <w:footnote w:id="5">
    <w:p w14:paraId="2EFC75FD" w14:textId="3AE9773F" w:rsidR="00C037DD" w:rsidRPr="0089219B" w:rsidRDefault="00C037DD" w:rsidP="0089219B">
      <w:pPr>
        <w:pStyle w:val="DipnotMetni"/>
        <w:rPr>
          <w:rFonts w:asciiTheme="majorBidi" w:hAnsiTheme="majorBidi" w:cstheme="majorBidi"/>
        </w:rPr>
      </w:pPr>
      <w:r w:rsidRPr="0089219B">
        <w:rPr>
          <w:rStyle w:val="DipnotBavurusu"/>
          <w:rFonts w:asciiTheme="majorBidi" w:hAnsiTheme="majorBidi" w:cstheme="majorBidi"/>
        </w:rPr>
        <w:footnoteRef/>
      </w:r>
      <w:r w:rsidRPr="0089219B">
        <w:rPr>
          <w:rFonts w:asciiTheme="majorBidi" w:hAnsiTheme="majorBidi" w:cstheme="majorBidi"/>
        </w:rPr>
        <w:t xml:space="preserve"> For midwives and nurses </w:t>
      </w:r>
      <w:r w:rsidR="0089219B" w:rsidRPr="0089219B">
        <w:rPr>
          <w:rFonts w:asciiTheme="majorBidi" w:hAnsiTheme="majorBidi" w:cstheme="majorBidi"/>
        </w:rPr>
        <w:t>threshold</w:t>
      </w:r>
      <w:r w:rsidRPr="0089219B">
        <w:rPr>
          <w:rFonts w:asciiTheme="majorBidi" w:hAnsiTheme="majorBidi" w:cstheme="majorBidi"/>
        </w:rPr>
        <w:t xml:space="preserve"> is 4.84. </w:t>
      </w:r>
    </w:p>
  </w:footnote>
  <w:footnote w:id="6">
    <w:p w14:paraId="10FC2FB4" w14:textId="252CA7DF" w:rsidR="00C00902" w:rsidRPr="0080148B" w:rsidRDefault="00C00902" w:rsidP="0089219B">
      <w:pPr>
        <w:rPr>
          <w:rFonts w:ascii="Times New Roman" w:hAnsi="Times New Roman" w:cs="Times New Roman"/>
          <w:sz w:val="20"/>
          <w:szCs w:val="20"/>
        </w:rPr>
      </w:pPr>
      <w:r w:rsidRPr="00DF2108">
        <w:rPr>
          <w:rStyle w:val="DipnotBavurusu"/>
          <w:rFonts w:ascii="Times New Roman" w:hAnsi="Times New Roman" w:cs="Times New Roman"/>
          <w:sz w:val="20"/>
          <w:szCs w:val="20"/>
        </w:rPr>
        <w:footnoteRef/>
      </w:r>
      <w:r w:rsidRPr="00DF2108">
        <w:rPr>
          <w:rFonts w:ascii="Times New Roman" w:hAnsi="Times New Roman" w:cs="Times New Roman"/>
          <w:sz w:val="20"/>
          <w:szCs w:val="20"/>
        </w:rPr>
        <w:t xml:space="preserve"> </w:t>
      </w:r>
      <w:r w:rsidRPr="00DF2108">
        <w:rPr>
          <w:rFonts w:ascii="Times New Roman" w:eastAsia="Calibri" w:hAnsi="Times New Roman" w:cs="Times New Roman"/>
          <w:sz w:val="20"/>
          <w:szCs w:val="20"/>
        </w:rPr>
        <w:t xml:space="preserve">According to the OECD 2020 data, there were 2.93 doctors and 9.8 nurses per 1,000 </w:t>
      </w:r>
      <w:r w:rsidRPr="0080148B">
        <w:rPr>
          <w:rFonts w:ascii="Times New Roman" w:eastAsia="Calibri" w:hAnsi="Times New Roman" w:cs="Times New Roman"/>
          <w:sz w:val="20"/>
          <w:szCs w:val="20"/>
        </w:rPr>
        <w:t>persons on average (The ratio of nurses to doctors exceeded 3) (</w:t>
      </w:r>
      <w:r w:rsidR="000F4620" w:rsidRPr="0080148B">
        <w:rPr>
          <w:rFonts w:ascii="Times New Roman" w:eastAsia="Calibri" w:hAnsi="Times New Roman" w:cs="Times New Roman"/>
          <w:sz w:val="20"/>
          <w:szCs w:val="20"/>
        </w:rPr>
        <w:t xml:space="preserve">Organization for Economic Co-Operation and Development </w:t>
      </w:r>
      <w:r w:rsidRPr="0080148B">
        <w:rPr>
          <w:rFonts w:ascii="Times New Roman" w:eastAsia="Calibri" w:hAnsi="Times New Roman" w:cs="Times New Roman"/>
          <w:sz w:val="20"/>
          <w:szCs w:val="20"/>
        </w:rPr>
        <w:t>2020). In 2017, the OECD had 9.4 midwives and nurses per 1,000 people (</w:t>
      </w:r>
      <w:r w:rsidR="000F4620" w:rsidRPr="0080148B">
        <w:rPr>
          <w:rFonts w:ascii="Times New Roman" w:eastAsia="Calibri" w:hAnsi="Times New Roman" w:cs="Times New Roman"/>
          <w:sz w:val="20"/>
          <w:szCs w:val="20"/>
        </w:rPr>
        <w:t>Ministry of Health</w:t>
      </w:r>
      <w:r w:rsidRPr="0080148B">
        <w:rPr>
          <w:rFonts w:ascii="Times New Roman" w:eastAsia="Calibri" w:hAnsi="Times New Roman" w:cs="Times New Roman"/>
          <w:sz w:val="20"/>
          <w:szCs w:val="20"/>
        </w:rPr>
        <w:t xml:space="preserve"> 2019a). For setting targets in Türkiye,</w:t>
      </w:r>
      <w:r w:rsidRPr="0080148B">
        <w:rPr>
          <w:rFonts w:ascii="Times New Roman" w:hAnsi="Times New Roman" w:cs="Times New Roman"/>
          <w:sz w:val="20"/>
          <w:szCs w:val="20"/>
        </w:rPr>
        <w:t xml:space="preserve"> it was considered reasonable to use the OECD average for the targeted number of physicians; however</w:t>
      </w:r>
      <w:r w:rsidRPr="0080148B">
        <w:rPr>
          <w:rFonts w:ascii="Times New Roman" w:eastAsia="Calibri" w:hAnsi="Times New Roman" w:cs="Times New Roman"/>
          <w:sz w:val="20"/>
          <w:szCs w:val="20"/>
        </w:rPr>
        <w:t>, the average OECD ratio was not used for midwives and nurses. This is because the ratio of midwives and nurses to doctors in Türkiye was lower than the OECD average (1.47 in 2017, 1.61 in 2018, and 1.58 in 2019). The Ministry of Health's 2019–2023 Strategic Plan</w:t>
      </w:r>
      <w:r w:rsidRPr="0080148B">
        <w:rPr>
          <w:rFonts w:ascii="Times New Roman" w:hAnsi="Times New Roman" w:cs="Times New Roman"/>
          <w:sz w:val="20"/>
          <w:szCs w:val="20"/>
        </w:rPr>
        <w:t xml:space="preserve"> (</w:t>
      </w:r>
      <w:r w:rsidR="000F4620" w:rsidRPr="0080148B">
        <w:rPr>
          <w:rFonts w:ascii="Times New Roman" w:hAnsi="Times New Roman" w:cs="Times New Roman"/>
          <w:sz w:val="20"/>
          <w:szCs w:val="20"/>
        </w:rPr>
        <w:t>Ministry of Health</w:t>
      </w:r>
      <w:r w:rsidR="000F4620" w:rsidRPr="0080148B">
        <w:rPr>
          <w:rFonts w:ascii="Times New Roman" w:hAnsi="Times New Roman" w:cs="Times New Roman"/>
          <w:sz w:val="20"/>
          <w:szCs w:val="20"/>
        </w:rPr>
        <w:t xml:space="preserve"> </w:t>
      </w:r>
      <w:r w:rsidRPr="0080148B">
        <w:rPr>
          <w:rFonts w:ascii="Times New Roman" w:hAnsi="Times New Roman" w:cs="Times New Roman"/>
          <w:sz w:val="20"/>
          <w:szCs w:val="20"/>
        </w:rPr>
        <w:t>2019b)</w:t>
      </w:r>
      <w:r w:rsidRPr="0080148B">
        <w:rPr>
          <w:rFonts w:ascii="Times New Roman" w:eastAsia="Calibri" w:hAnsi="Times New Roman" w:cs="Times New Roman"/>
          <w:sz w:val="20"/>
          <w:szCs w:val="20"/>
        </w:rPr>
        <w:t xml:space="preserve"> indicated a need for approximately 426,000 physicians and 258,000 nurses and midwives by 2023, with a predicted ratio of 1.65 nurses and midwives per doctor. </w:t>
      </w:r>
      <w:r w:rsidRPr="0080148B">
        <w:rPr>
          <w:rFonts w:ascii="Times New Roman" w:hAnsi="Times New Roman" w:cs="Times New Roman"/>
          <w:sz w:val="20"/>
          <w:szCs w:val="20"/>
        </w:rPr>
        <w:t>Considering the COVID-19 pandemic, we used the threshold values of 4.84 nurses and midwives and 2.93 doctors per 1,000 people.</w:t>
      </w:r>
    </w:p>
  </w:footnote>
  <w:footnote w:id="7">
    <w:p w14:paraId="35BECAA8" w14:textId="4E4C5122" w:rsidR="00C00902" w:rsidRPr="0080148B" w:rsidRDefault="00C00902" w:rsidP="0089219B">
      <w:pPr>
        <w:pStyle w:val="DipnotMetni"/>
        <w:rPr>
          <w:rFonts w:ascii="Times New Roman" w:hAnsi="Times New Roman"/>
        </w:rPr>
      </w:pPr>
      <w:r w:rsidRPr="0080148B">
        <w:rPr>
          <w:rStyle w:val="DipnotBavurusu"/>
          <w:rFonts w:ascii="Times New Roman" w:hAnsi="Times New Roman"/>
        </w:rPr>
        <w:footnoteRef/>
      </w:r>
      <w:r w:rsidRPr="0080148B">
        <w:rPr>
          <w:rFonts w:ascii="Times New Roman" w:hAnsi="Times New Roman"/>
        </w:rPr>
        <w:t xml:space="preserve"> In parallel with UN Women and </w:t>
      </w:r>
      <w:r w:rsidR="006A341C" w:rsidRPr="0080148B">
        <w:rPr>
          <w:rFonts w:ascii="Times New Roman" w:hAnsi="Times New Roman"/>
        </w:rPr>
        <w:t xml:space="preserve">International </w:t>
      </w:r>
      <w:proofErr w:type="spellStart"/>
      <w:r w:rsidR="006A341C" w:rsidRPr="0080148B">
        <w:rPr>
          <w:rFonts w:ascii="Times New Roman" w:hAnsi="Times New Roman"/>
        </w:rPr>
        <w:t>Labour</w:t>
      </w:r>
      <w:proofErr w:type="spellEnd"/>
      <w:r w:rsidR="006A341C" w:rsidRPr="0080148B">
        <w:rPr>
          <w:rFonts w:ascii="Times New Roman" w:hAnsi="Times New Roman"/>
        </w:rPr>
        <w:t xml:space="preserve"> Organization </w:t>
      </w:r>
      <w:r w:rsidRPr="0080148B">
        <w:rPr>
          <w:rFonts w:ascii="Times New Roman" w:hAnsi="Times New Roman"/>
        </w:rPr>
        <w:t xml:space="preserve">(2021), 2019 salaries were used as target salaries for physicians, midwives and nurses. That is because, in 2019, the average annual gross salaries for physicians (an average of </w:t>
      </w:r>
      <w:r w:rsidRPr="0080148B">
        <w:t>₺</w:t>
      </w:r>
      <w:r w:rsidRPr="0080148B">
        <w:rPr>
          <w:rFonts w:ascii="Times New Roman" w:hAnsi="Times New Roman"/>
        </w:rPr>
        <w:t>173,233.7) and midwives and nurses (</w:t>
      </w:r>
      <w:r w:rsidRPr="0080148B">
        <w:t>₺</w:t>
      </w:r>
      <w:r w:rsidRPr="0080148B">
        <w:rPr>
          <w:rFonts w:ascii="Times New Roman" w:hAnsi="Times New Roman"/>
        </w:rPr>
        <w:t>86,844) were higher than the average annual gross salary of higher education graduates (</w:t>
      </w:r>
      <w:r w:rsidRPr="0080148B">
        <w:t>₺</w:t>
      </w:r>
      <w:r w:rsidRPr="0080148B">
        <w:rPr>
          <w:rFonts w:ascii="Times New Roman" w:hAnsi="Times New Roman"/>
        </w:rPr>
        <w:t>83,348).</w:t>
      </w:r>
    </w:p>
  </w:footnote>
  <w:footnote w:id="8">
    <w:p w14:paraId="737166B2" w14:textId="538B5ABB" w:rsidR="00C00902" w:rsidRPr="00DF2108" w:rsidRDefault="00C00902" w:rsidP="0089219B">
      <w:pPr>
        <w:pStyle w:val="DipnotMetni"/>
        <w:rPr>
          <w:rFonts w:ascii="Times New Roman" w:hAnsi="Times New Roman"/>
        </w:rPr>
      </w:pPr>
      <w:r w:rsidRPr="0080148B">
        <w:rPr>
          <w:rStyle w:val="DipnotBavurusu"/>
          <w:rFonts w:ascii="Times New Roman" w:hAnsi="Times New Roman"/>
        </w:rPr>
        <w:footnoteRef/>
      </w:r>
      <w:r w:rsidRPr="0080148B">
        <w:rPr>
          <w:rFonts w:ascii="Times New Roman" w:hAnsi="Times New Roman"/>
        </w:rPr>
        <w:t xml:space="preserve"> Due to the lack of available data on the entire health industry, our cost calculations focused exclusively on the number of employees within the Ministry of Health. The affiliated institutes of the Ministry employed 281,544 doctors, midwives, and nurses. In 2018, the Ministry of Health allocated a total expenditure of </w:t>
      </w:r>
      <w:r w:rsidRPr="0080148B">
        <w:t>₺</w:t>
      </w:r>
      <w:r w:rsidRPr="0080148B">
        <w:rPr>
          <w:rFonts w:ascii="Times New Roman" w:hAnsi="Times New Roman"/>
        </w:rPr>
        <w:t xml:space="preserve">51.5 billion, with </w:t>
      </w:r>
      <w:r w:rsidRPr="0080148B">
        <w:t>₺</w:t>
      </w:r>
      <w:r w:rsidRPr="0080148B">
        <w:rPr>
          <w:rFonts w:ascii="Times New Roman" w:hAnsi="Times New Roman"/>
        </w:rPr>
        <w:t>26.4 billion dedicated to salary payments for all health workers (</w:t>
      </w:r>
      <w:r w:rsidR="000F4620" w:rsidRPr="0080148B">
        <w:rPr>
          <w:rFonts w:ascii="Times New Roman" w:hAnsi="Times New Roman"/>
        </w:rPr>
        <w:t>Ministry of Health</w:t>
      </w:r>
      <w:r w:rsidR="000F4620" w:rsidRPr="0080148B">
        <w:rPr>
          <w:rFonts w:ascii="Times New Roman" w:hAnsi="Times New Roman"/>
        </w:rPr>
        <w:t xml:space="preserve"> </w:t>
      </w:r>
      <w:r w:rsidRPr="0080148B">
        <w:rPr>
          <w:rFonts w:ascii="Times New Roman" w:hAnsi="Times New Roman"/>
        </w:rPr>
        <w:t>2019</w:t>
      </w:r>
      <w:r w:rsidR="00836487" w:rsidRPr="0080148B">
        <w:rPr>
          <w:rFonts w:ascii="Times New Roman" w:hAnsi="Times New Roman"/>
        </w:rPr>
        <w:t>a</w:t>
      </w:r>
      <w:r w:rsidRPr="0080148B">
        <w:rPr>
          <w:rFonts w:ascii="Times New Roman" w:hAnsi="Times New Roman"/>
        </w:rPr>
        <w:t xml:space="preserve">). Accordingly, the Ministry’s central budget allocated </w:t>
      </w:r>
      <w:r w:rsidRPr="0080148B">
        <w:t>₺</w:t>
      </w:r>
      <w:r w:rsidRPr="0080148B">
        <w:rPr>
          <w:rFonts w:ascii="Times New Roman" w:hAnsi="Times New Roman"/>
        </w:rPr>
        <w:t>25.1 billion in 2019 for non-salary expenses on health workers.</w:t>
      </w:r>
    </w:p>
  </w:footnote>
  <w:footnote w:id="9">
    <w:p w14:paraId="607DA86F" w14:textId="77777777" w:rsidR="00C00902" w:rsidRPr="00DF2108" w:rsidRDefault="00C00902" w:rsidP="0089219B">
      <w:pPr>
        <w:pStyle w:val="DipnotMetni"/>
        <w:rPr>
          <w:rFonts w:ascii="Times New Roman" w:hAnsi="Times New Roman"/>
        </w:rPr>
      </w:pPr>
      <w:r w:rsidRPr="00DF2108">
        <w:rPr>
          <w:rStyle w:val="DipnotBavurusu"/>
          <w:rFonts w:ascii="Times New Roman" w:hAnsi="Times New Roman"/>
        </w:rPr>
        <w:footnoteRef/>
      </w:r>
      <w:r w:rsidRPr="00DF2108">
        <w:rPr>
          <w:rFonts w:ascii="Times New Roman" w:hAnsi="Times New Roman"/>
        </w:rPr>
        <w:t xml:space="preserve"> We focused solely on calculating the direct employment effect of health workers for two main reasons. Firstly, the inclusion of non-bed health institutions and facilities with beds of varying sizes and locations makes it difficult to estimate the average capacity of these institutions and determine the number of staff other than health workers. Secondly, the significant variation in bed and patient capacities among healthcare facilities with beds further complicates the estimation process.</w:t>
      </w:r>
    </w:p>
  </w:footnote>
  <w:footnote w:id="10">
    <w:p w14:paraId="4FB38835" w14:textId="77777777" w:rsidR="00C00902" w:rsidRPr="00DF2108" w:rsidRDefault="00C00902" w:rsidP="0089219B">
      <w:pPr>
        <w:rPr>
          <w:rFonts w:ascii="Times New Roman" w:hAnsi="Times New Roman" w:cs="Times New Roman"/>
          <w:sz w:val="20"/>
          <w:szCs w:val="20"/>
        </w:rPr>
      </w:pPr>
      <w:r w:rsidRPr="00DF2108">
        <w:rPr>
          <w:rStyle w:val="DipnotBavurusu"/>
          <w:rFonts w:ascii="Times New Roman" w:hAnsi="Times New Roman" w:cs="Times New Roman"/>
          <w:sz w:val="20"/>
          <w:szCs w:val="20"/>
        </w:rPr>
        <w:footnoteRef/>
      </w:r>
      <w:r w:rsidRPr="00DF2108">
        <w:rPr>
          <w:rFonts w:ascii="Times New Roman" w:hAnsi="Times New Roman" w:cs="Times New Roman"/>
          <w:sz w:val="20"/>
          <w:szCs w:val="20"/>
        </w:rPr>
        <w:t xml:space="preserve"> Hospital managers, assistant managers, health statisticians, warehouse clerks, and patient admission clerks are just a few examples of the employees that can be </w:t>
      </w:r>
      <w:r w:rsidRPr="0080148B">
        <w:rPr>
          <w:rFonts w:ascii="Times New Roman" w:hAnsi="Times New Roman" w:cs="Times New Roman"/>
          <w:sz w:val="20"/>
          <w:szCs w:val="20"/>
        </w:rPr>
        <w:t>employed (Official Gazette 1983).</w:t>
      </w:r>
      <w:r w:rsidRPr="00DF2108">
        <w:rPr>
          <w:rFonts w:ascii="Times New Roman" w:hAnsi="Times New Roman" w:cs="Times New Roman"/>
          <w:sz w:val="20"/>
          <w:szCs w:val="20"/>
        </w:rPr>
        <w:t xml:space="preserve"> </w:t>
      </w:r>
    </w:p>
  </w:footnote>
  <w:footnote w:id="11">
    <w:p w14:paraId="357D49F2" w14:textId="77777777" w:rsidR="00C00902" w:rsidRPr="00DF2108" w:rsidRDefault="00C00902" w:rsidP="0089219B">
      <w:pPr>
        <w:pStyle w:val="DipnotMetni"/>
        <w:rPr>
          <w:rFonts w:ascii="Times New Roman" w:hAnsi="Times New Roman"/>
          <w:color w:val="000000" w:themeColor="text1"/>
        </w:rPr>
      </w:pPr>
    </w:p>
  </w:footnote>
  <w:footnote w:id="12">
    <w:p w14:paraId="39B24118" w14:textId="4C71EFDF" w:rsidR="00CA352C" w:rsidRPr="0080148B" w:rsidRDefault="00CA352C" w:rsidP="0089219B">
      <w:pPr>
        <w:rPr>
          <w:rFonts w:ascii="Times New Roman" w:hAnsi="Times New Roman" w:cs="Times New Roman"/>
          <w:sz w:val="20"/>
          <w:szCs w:val="20"/>
        </w:rPr>
      </w:pPr>
      <w:r w:rsidRPr="00DF2108">
        <w:rPr>
          <w:rStyle w:val="DipnotBavurusu"/>
          <w:rFonts w:ascii="Times New Roman" w:hAnsi="Times New Roman" w:cs="Times New Roman"/>
          <w:sz w:val="20"/>
          <w:szCs w:val="20"/>
        </w:rPr>
        <w:footnoteRef/>
      </w:r>
      <w:r w:rsidRPr="00DF2108">
        <w:rPr>
          <w:rFonts w:ascii="Times New Roman" w:hAnsi="Times New Roman" w:cs="Times New Roman"/>
          <w:iCs/>
          <w:sz w:val="20"/>
          <w:szCs w:val="20"/>
        </w:rPr>
        <w:t xml:space="preserve"> In 2020, nurses in Türkiye received a net pay of </w:t>
      </w:r>
      <w:r>
        <w:rPr>
          <w:sz w:val="20"/>
          <w:szCs w:val="20"/>
        </w:rPr>
        <w:t>₺</w:t>
      </w:r>
      <w:r w:rsidRPr="00DF2108">
        <w:rPr>
          <w:rFonts w:ascii="Times New Roman" w:hAnsi="Times New Roman" w:cs="Times New Roman"/>
          <w:iCs/>
          <w:sz w:val="20"/>
          <w:szCs w:val="20"/>
        </w:rPr>
        <w:t xml:space="preserve">5,250, and care workers in nursing homes made an average of </w:t>
      </w:r>
      <w:r>
        <w:rPr>
          <w:sz w:val="20"/>
          <w:szCs w:val="20"/>
        </w:rPr>
        <w:t>₺</w:t>
      </w:r>
      <w:r w:rsidRPr="00DF2108">
        <w:rPr>
          <w:rFonts w:ascii="Times New Roman" w:hAnsi="Times New Roman" w:cs="Times New Roman"/>
          <w:iCs/>
          <w:sz w:val="20"/>
          <w:szCs w:val="20"/>
        </w:rPr>
        <w:t xml:space="preserve">3,200. Before the gross salary figures were calculated, the 2020 salary data was adjusted to 2019 </w:t>
      </w:r>
      <w:r w:rsidRPr="0080148B">
        <w:rPr>
          <w:rFonts w:ascii="Times New Roman" w:hAnsi="Times New Roman" w:cs="Times New Roman"/>
          <w:iCs/>
          <w:sz w:val="20"/>
          <w:szCs w:val="20"/>
        </w:rPr>
        <w:t xml:space="preserve">in accordance with 4 percent and 5.75 percent wage increase rates for the first and second half of the year, respectively </w:t>
      </w:r>
      <w:r w:rsidRPr="0080148B">
        <w:rPr>
          <w:rFonts w:ascii="Times New Roman" w:hAnsi="Times New Roman" w:cs="Times New Roman"/>
          <w:sz w:val="20"/>
          <w:szCs w:val="20"/>
        </w:rPr>
        <w:t xml:space="preserve">(Milliyet Daily 2020). Accordingly, in 2019, the gross monthly salary of a care worker working in LTC institutions was </w:t>
      </w:r>
      <w:r w:rsidRPr="0080148B">
        <w:rPr>
          <w:sz w:val="20"/>
          <w:szCs w:val="20"/>
        </w:rPr>
        <w:t>₺</w:t>
      </w:r>
      <w:r w:rsidRPr="0080148B">
        <w:rPr>
          <w:rFonts w:ascii="Times New Roman" w:hAnsi="Times New Roman" w:cs="Times New Roman"/>
          <w:sz w:val="20"/>
          <w:szCs w:val="20"/>
        </w:rPr>
        <w:t xml:space="preserve">4,300, while the monthly gross salary of a nurse was </w:t>
      </w:r>
      <w:r w:rsidRPr="0080148B">
        <w:rPr>
          <w:sz w:val="20"/>
          <w:szCs w:val="20"/>
        </w:rPr>
        <w:t>₺</w:t>
      </w:r>
      <w:r w:rsidRPr="0080148B">
        <w:rPr>
          <w:rFonts w:ascii="Times New Roman" w:hAnsi="Times New Roman" w:cs="Times New Roman"/>
          <w:sz w:val="20"/>
          <w:szCs w:val="20"/>
        </w:rPr>
        <w:t>6,800. The number of care staff employed in Türkiye for the same year was 7,947 and the number of nurses was 684 (</w:t>
      </w:r>
      <w:r w:rsidR="000F4620" w:rsidRPr="0080148B">
        <w:rPr>
          <w:rFonts w:ascii="Times New Roman" w:hAnsi="Times New Roman" w:cs="Times New Roman"/>
          <w:sz w:val="20"/>
          <w:szCs w:val="20"/>
        </w:rPr>
        <w:t xml:space="preserve">Organization for Economic Co-Operation and Development </w:t>
      </w:r>
      <w:r w:rsidRPr="0080148B">
        <w:rPr>
          <w:rFonts w:ascii="Times New Roman" w:hAnsi="Times New Roman" w:cs="Times New Roman"/>
          <w:sz w:val="20"/>
          <w:szCs w:val="20"/>
        </w:rPr>
        <w:t>2019</w:t>
      </w:r>
      <w:r w:rsidR="000E026A" w:rsidRPr="0080148B">
        <w:rPr>
          <w:rFonts w:ascii="Times New Roman" w:hAnsi="Times New Roman" w:cs="Times New Roman"/>
          <w:sz w:val="20"/>
          <w:szCs w:val="20"/>
        </w:rPr>
        <w:t>b</w:t>
      </w:r>
      <w:r w:rsidRPr="0080148B">
        <w:rPr>
          <w:rFonts w:ascii="Times New Roman" w:hAnsi="Times New Roman" w:cs="Times New Roman"/>
          <w:sz w:val="20"/>
          <w:szCs w:val="20"/>
        </w:rPr>
        <w:t xml:space="preserve">). In this case, the average gross monthly salary of the LTC employee was $4,498. On an annual basis, it corresponded to </w:t>
      </w:r>
      <w:r w:rsidRPr="0080148B">
        <w:rPr>
          <w:sz w:val="20"/>
          <w:szCs w:val="20"/>
        </w:rPr>
        <w:t>₺</w:t>
      </w:r>
      <w:r w:rsidRPr="0080148B">
        <w:rPr>
          <w:rFonts w:ascii="Times New Roman" w:hAnsi="Times New Roman" w:cs="Times New Roman"/>
          <w:sz w:val="20"/>
          <w:szCs w:val="20"/>
        </w:rPr>
        <w:t>53,978.</w:t>
      </w:r>
    </w:p>
    <w:p w14:paraId="06780778" w14:textId="51C3602F" w:rsidR="00CA352C" w:rsidRPr="00DF2108" w:rsidRDefault="00CA352C" w:rsidP="0089219B">
      <w:pPr>
        <w:rPr>
          <w:rFonts w:ascii="Times New Roman" w:hAnsi="Times New Roman" w:cs="Times New Roman"/>
          <w:color w:val="000000"/>
          <w:sz w:val="20"/>
          <w:szCs w:val="20"/>
        </w:rPr>
      </w:pPr>
      <w:r w:rsidRPr="0080148B">
        <w:rPr>
          <w:rFonts w:ascii="Times New Roman" w:hAnsi="Times New Roman" w:cs="Times New Roman"/>
          <w:color w:val="000000"/>
          <w:sz w:val="20"/>
          <w:szCs w:val="20"/>
        </w:rPr>
        <w:t>We calculated the difference between the average annual gross salary of the current LTC employee (</w:t>
      </w:r>
      <w:r w:rsidRPr="0080148B">
        <w:rPr>
          <w:sz w:val="20"/>
          <w:szCs w:val="20"/>
        </w:rPr>
        <w:t>₺</w:t>
      </w:r>
      <w:r w:rsidRPr="0080148B">
        <w:rPr>
          <w:rFonts w:ascii="Times New Roman" w:hAnsi="Times New Roman" w:cs="Times New Roman"/>
          <w:color w:val="000000"/>
          <w:sz w:val="20"/>
          <w:szCs w:val="20"/>
        </w:rPr>
        <w:t>53,978) and the average annual gross salary of a nurse working in STC services (</w:t>
      </w:r>
      <w:r w:rsidRPr="0080148B">
        <w:rPr>
          <w:sz w:val="20"/>
          <w:szCs w:val="20"/>
        </w:rPr>
        <w:t>₺</w:t>
      </w:r>
      <w:r w:rsidRPr="0080148B">
        <w:rPr>
          <w:rFonts w:ascii="Times New Roman" w:hAnsi="Times New Roman" w:cs="Times New Roman"/>
          <w:color w:val="000000"/>
          <w:sz w:val="20"/>
          <w:szCs w:val="20"/>
        </w:rPr>
        <w:t xml:space="preserve">86,844) to determine the targeted annual gross salary for the LTC employee in accordance with the salary improvement proposed by UN Women and </w:t>
      </w:r>
      <w:r w:rsidR="006A341C" w:rsidRPr="0080148B">
        <w:rPr>
          <w:rFonts w:ascii="Times New Roman" w:hAnsi="Times New Roman" w:cs="Times New Roman"/>
          <w:color w:val="000000"/>
          <w:sz w:val="20"/>
          <w:szCs w:val="20"/>
        </w:rPr>
        <w:t xml:space="preserve">International </w:t>
      </w:r>
      <w:proofErr w:type="spellStart"/>
      <w:r w:rsidR="006A341C" w:rsidRPr="0080148B">
        <w:rPr>
          <w:rFonts w:ascii="Times New Roman" w:hAnsi="Times New Roman" w:cs="Times New Roman"/>
          <w:color w:val="000000"/>
          <w:sz w:val="20"/>
          <w:szCs w:val="20"/>
        </w:rPr>
        <w:t>Labour</w:t>
      </w:r>
      <w:proofErr w:type="spellEnd"/>
      <w:r w:rsidR="006A341C" w:rsidRPr="0080148B">
        <w:rPr>
          <w:rFonts w:ascii="Times New Roman" w:hAnsi="Times New Roman" w:cs="Times New Roman"/>
          <w:color w:val="000000"/>
          <w:sz w:val="20"/>
          <w:szCs w:val="20"/>
        </w:rPr>
        <w:t xml:space="preserve"> Organization </w:t>
      </w:r>
      <w:r w:rsidRPr="0080148B">
        <w:rPr>
          <w:rFonts w:ascii="Times New Roman" w:hAnsi="Times New Roman" w:cs="Times New Roman"/>
          <w:color w:val="000000"/>
          <w:sz w:val="20"/>
          <w:szCs w:val="20"/>
        </w:rPr>
        <w:t>(2021). The estimated difference (</w:t>
      </w:r>
      <w:r w:rsidRPr="0080148B">
        <w:rPr>
          <w:sz w:val="20"/>
          <w:szCs w:val="20"/>
        </w:rPr>
        <w:t>₺</w:t>
      </w:r>
      <w:r w:rsidRPr="0080148B">
        <w:rPr>
          <w:rFonts w:ascii="Times New Roman" w:hAnsi="Times New Roman" w:cs="Times New Roman"/>
          <w:color w:val="000000"/>
          <w:sz w:val="20"/>
          <w:szCs w:val="20"/>
        </w:rPr>
        <w:t>32,867) was then divided by two. The targeted annual wage for LTC staff (</w:t>
      </w:r>
      <w:r w:rsidRPr="0080148B">
        <w:rPr>
          <w:sz w:val="20"/>
          <w:szCs w:val="20"/>
        </w:rPr>
        <w:t>₺</w:t>
      </w:r>
      <w:r w:rsidRPr="0080148B">
        <w:rPr>
          <w:rFonts w:ascii="Times New Roman" w:hAnsi="Times New Roman" w:cs="Times New Roman"/>
          <w:color w:val="000000"/>
          <w:sz w:val="20"/>
          <w:szCs w:val="20"/>
        </w:rPr>
        <w:t>70,410,8) was determined by deducting half of this difference from the yearly gross nursing salary (</w:t>
      </w:r>
      <w:r w:rsidRPr="0080148B">
        <w:rPr>
          <w:sz w:val="20"/>
          <w:szCs w:val="20"/>
        </w:rPr>
        <w:t>₺</w:t>
      </w:r>
      <w:r w:rsidRPr="0080148B">
        <w:rPr>
          <w:rFonts w:ascii="Times New Roman" w:hAnsi="Times New Roman" w:cs="Times New Roman"/>
          <w:color w:val="000000"/>
          <w:sz w:val="20"/>
          <w:szCs w:val="20"/>
        </w:rPr>
        <w:t xml:space="preserve">86,844). By doing this, we hoped to narrow the wage difference between an LTC employee and a nurse employed in the public STC sector and to raise LTC employees' pay accordingly. Even such a small increase in the LTC employee's wages is considered significant (Ilkkaracan and Kim 2019; UN Women and </w:t>
      </w:r>
      <w:r w:rsidR="006A341C" w:rsidRPr="0080148B">
        <w:rPr>
          <w:rFonts w:ascii="Times New Roman" w:hAnsi="Times New Roman" w:cs="Times New Roman"/>
          <w:color w:val="000000"/>
          <w:sz w:val="20"/>
          <w:szCs w:val="20"/>
        </w:rPr>
        <w:t xml:space="preserve">International </w:t>
      </w:r>
      <w:proofErr w:type="spellStart"/>
      <w:r w:rsidR="006A341C" w:rsidRPr="0080148B">
        <w:rPr>
          <w:rFonts w:ascii="Times New Roman" w:hAnsi="Times New Roman" w:cs="Times New Roman"/>
          <w:color w:val="000000"/>
          <w:sz w:val="20"/>
          <w:szCs w:val="20"/>
        </w:rPr>
        <w:t>Labour</w:t>
      </w:r>
      <w:proofErr w:type="spellEnd"/>
      <w:r w:rsidR="006A341C" w:rsidRPr="0080148B">
        <w:rPr>
          <w:rFonts w:ascii="Times New Roman" w:hAnsi="Times New Roman" w:cs="Times New Roman"/>
          <w:color w:val="000000"/>
          <w:sz w:val="20"/>
          <w:szCs w:val="20"/>
        </w:rPr>
        <w:t xml:space="preserve"> Organization </w:t>
      </w:r>
      <w:r w:rsidRPr="0080148B">
        <w:rPr>
          <w:rFonts w:ascii="Times New Roman" w:hAnsi="Times New Roman" w:cs="Times New Roman"/>
          <w:color w:val="000000"/>
          <w:sz w:val="20"/>
          <w:szCs w:val="20"/>
        </w:rPr>
        <w:t>2021).</w:t>
      </w:r>
      <w:r w:rsidRPr="00DF2108">
        <w:rPr>
          <w:rFonts w:ascii="Times New Roman" w:hAnsi="Times New Roman" w:cs="Times New Roman"/>
          <w:color w:val="000000"/>
          <w:sz w:val="20"/>
          <w:szCs w:val="20"/>
        </w:rPr>
        <w:t xml:space="preserve"> </w:t>
      </w:r>
    </w:p>
    <w:p w14:paraId="45C34097" w14:textId="77777777" w:rsidR="00CA352C" w:rsidRPr="00DF2108" w:rsidRDefault="00CA352C" w:rsidP="0089219B">
      <w:pPr>
        <w:rPr>
          <w:rFonts w:ascii="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D08"/>
    <w:multiLevelType w:val="hybridMultilevel"/>
    <w:tmpl w:val="C0CE4846"/>
    <w:lvl w:ilvl="0" w:tplc="331E57CA">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26625"/>
    <w:multiLevelType w:val="hybridMultilevel"/>
    <w:tmpl w:val="EBFCB4C0"/>
    <w:lvl w:ilvl="0" w:tplc="9DDA308E">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71685E"/>
    <w:multiLevelType w:val="hybridMultilevel"/>
    <w:tmpl w:val="F6B63262"/>
    <w:lvl w:ilvl="0" w:tplc="2EF0062A">
      <w:start w:val="1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602753"/>
    <w:multiLevelType w:val="hybridMultilevel"/>
    <w:tmpl w:val="CF0A45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0B80E1D"/>
    <w:multiLevelType w:val="multilevel"/>
    <w:tmpl w:val="2ED61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486797">
    <w:abstractNumId w:val="0"/>
  </w:num>
  <w:num w:numId="2" w16cid:durableId="559826510">
    <w:abstractNumId w:val="2"/>
  </w:num>
  <w:num w:numId="3" w16cid:durableId="2126344460">
    <w:abstractNumId w:val="3"/>
  </w:num>
  <w:num w:numId="4" w16cid:durableId="1725714901">
    <w:abstractNumId w:val="1"/>
  </w:num>
  <w:num w:numId="5" w16cid:durableId="394164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02"/>
    <w:rsid w:val="00041E99"/>
    <w:rsid w:val="00044F00"/>
    <w:rsid w:val="000E026A"/>
    <w:rsid w:val="000F4620"/>
    <w:rsid w:val="00190B3B"/>
    <w:rsid w:val="0019157A"/>
    <w:rsid w:val="001A60D5"/>
    <w:rsid w:val="001B56D9"/>
    <w:rsid w:val="001B65C9"/>
    <w:rsid w:val="001D46D2"/>
    <w:rsid w:val="001D5D4C"/>
    <w:rsid w:val="001E2FEA"/>
    <w:rsid w:val="00200610"/>
    <w:rsid w:val="0020189F"/>
    <w:rsid w:val="00230DD4"/>
    <w:rsid w:val="002930D7"/>
    <w:rsid w:val="002A718A"/>
    <w:rsid w:val="002D1961"/>
    <w:rsid w:val="002D7D2B"/>
    <w:rsid w:val="003055A9"/>
    <w:rsid w:val="0033422A"/>
    <w:rsid w:val="00357986"/>
    <w:rsid w:val="00391858"/>
    <w:rsid w:val="0039337A"/>
    <w:rsid w:val="003C1E16"/>
    <w:rsid w:val="003C3761"/>
    <w:rsid w:val="003E6B11"/>
    <w:rsid w:val="00407447"/>
    <w:rsid w:val="0041238C"/>
    <w:rsid w:val="004506BB"/>
    <w:rsid w:val="00477AA4"/>
    <w:rsid w:val="0048211C"/>
    <w:rsid w:val="00482F26"/>
    <w:rsid w:val="00492691"/>
    <w:rsid w:val="004B42CD"/>
    <w:rsid w:val="004C4A2C"/>
    <w:rsid w:val="00524F2A"/>
    <w:rsid w:val="00530908"/>
    <w:rsid w:val="005430E2"/>
    <w:rsid w:val="00594377"/>
    <w:rsid w:val="0059590A"/>
    <w:rsid w:val="00607B43"/>
    <w:rsid w:val="00683FA0"/>
    <w:rsid w:val="00690D91"/>
    <w:rsid w:val="006A341C"/>
    <w:rsid w:val="006C7DF6"/>
    <w:rsid w:val="00700C6A"/>
    <w:rsid w:val="00700F82"/>
    <w:rsid w:val="00717F5A"/>
    <w:rsid w:val="00722A6B"/>
    <w:rsid w:val="00787C15"/>
    <w:rsid w:val="007B5C86"/>
    <w:rsid w:val="007B6662"/>
    <w:rsid w:val="0080148B"/>
    <w:rsid w:val="00832CC3"/>
    <w:rsid w:val="00836487"/>
    <w:rsid w:val="00870B80"/>
    <w:rsid w:val="0089219B"/>
    <w:rsid w:val="008A1004"/>
    <w:rsid w:val="008C3420"/>
    <w:rsid w:val="008F6B83"/>
    <w:rsid w:val="00904E0C"/>
    <w:rsid w:val="009210A0"/>
    <w:rsid w:val="00921273"/>
    <w:rsid w:val="00931D2A"/>
    <w:rsid w:val="0093516F"/>
    <w:rsid w:val="00980B4B"/>
    <w:rsid w:val="00987456"/>
    <w:rsid w:val="00997C7D"/>
    <w:rsid w:val="009E7761"/>
    <w:rsid w:val="009F3975"/>
    <w:rsid w:val="009F590C"/>
    <w:rsid w:val="00A01D4A"/>
    <w:rsid w:val="00A5776F"/>
    <w:rsid w:val="00A57AAE"/>
    <w:rsid w:val="00A75C69"/>
    <w:rsid w:val="00A803E9"/>
    <w:rsid w:val="00A94BEA"/>
    <w:rsid w:val="00A9694C"/>
    <w:rsid w:val="00AA073E"/>
    <w:rsid w:val="00B3673C"/>
    <w:rsid w:val="00B8266B"/>
    <w:rsid w:val="00B971F0"/>
    <w:rsid w:val="00BB5C5F"/>
    <w:rsid w:val="00BC3D0D"/>
    <w:rsid w:val="00BD38A9"/>
    <w:rsid w:val="00BF117D"/>
    <w:rsid w:val="00BF6C7A"/>
    <w:rsid w:val="00C00902"/>
    <w:rsid w:val="00C037DD"/>
    <w:rsid w:val="00C14711"/>
    <w:rsid w:val="00C25F32"/>
    <w:rsid w:val="00C40C2F"/>
    <w:rsid w:val="00C478EA"/>
    <w:rsid w:val="00C669C2"/>
    <w:rsid w:val="00C77798"/>
    <w:rsid w:val="00CA352C"/>
    <w:rsid w:val="00CC1692"/>
    <w:rsid w:val="00CC2CCD"/>
    <w:rsid w:val="00CF1574"/>
    <w:rsid w:val="00CF6887"/>
    <w:rsid w:val="00D06AFF"/>
    <w:rsid w:val="00D2718C"/>
    <w:rsid w:val="00D4755D"/>
    <w:rsid w:val="00D75A63"/>
    <w:rsid w:val="00DA2B64"/>
    <w:rsid w:val="00DD0601"/>
    <w:rsid w:val="00DD4A3D"/>
    <w:rsid w:val="00DE461F"/>
    <w:rsid w:val="00DE7D9C"/>
    <w:rsid w:val="00E42C53"/>
    <w:rsid w:val="00E5215F"/>
    <w:rsid w:val="00E65DAF"/>
    <w:rsid w:val="00E747BB"/>
    <w:rsid w:val="00E81AA4"/>
    <w:rsid w:val="00E868D0"/>
    <w:rsid w:val="00E9366C"/>
    <w:rsid w:val="00E960FC"/>
    <w:rsid w:val="00EE3F0D"/>
    <w:rsid w:val="00F13742"/>
    <w:rsid w:val="00F16C05"/>
    <w:rsid w:val="00F249A7"/>
    <w:rsid w:val="00F35A20"/>
    <w:rsid w:val="00F431EE"/>
    <w:rsid w:val="00FB66FC"/>
    <w:rsid w:val="00FD6D0F"/>
    <w:rsid w:val="00FF47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1399"/>
  <w15:chartTrackingRefBased/>
  <w15:docId w15:val="{951178EC-8C21-B448-8C22-C9EA8611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86"/>
    <w:pPr>
      <w:suppressAutoHyphens/>
      <w:overflowPunct w:val="0"/>
      <w:autoSpaceDE w:val="0"/>
      <w:autoSpaceDN w:val="0"/>
      <w:adjustRightInd w:val="0"/>
      <w:jc w:val="both"/>
      <w:textAlignment w:val="baseline"/>
    </w:pPr>
    <w:rPr>
      <w:rFonts w:ascii="Arial" w:eastAsia="Times New Roman" w:hAnsi="Arial" w:cs="Arial"/>
      <w:sz w:val="22"/>
      <w:szCs w:val="22"/>
      <w:lang w:val="en-US"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Reference,fn,Footnote ak,Footnotes,Voetnoottekst Char,Footnote Text BF Char,ftx Char,Footnote Text BF,ftx,Voetnoottekst Char2 Char,ftx Char1 Char,Voetnoottekst Char Char Char,ftx Char Char1 Char,Voetnoottekst Char1 Char Char,ft"/>
    <w:basedOn w:val="Normal"/>
    <w:link w:val="DipnotMetniChar"/>
    <w:uiPriority w:val="99"/>
    <w:rsid w:val="00C00902"/>
    <w:rPr>
      <w:rFonts w:eastAsia="Calibri" w:cs="Times New Roman"/>
      <w:sz w:val="20"/>
      <w:szCs w:val="20"/>
    </w:rPr>
  </w:style>
  <w:style w:type="character" w:customStyle="1" w:styleId="DipnotMetniChar">
    <w:name w:val="Dipnot Metni Char"/>
    <w:aliases w:val="Reference Char,fn Char,Footnote ak Char,Footnotes Char,Voetnoottekst Char Char,Footnote Text BF Char Char,ftx Char Char,Footnote Text BF Char1,ftx Char1,Voetnoottekst Char2 Char Char,ftx Char1 Char Char,ftx Char Char1 Char Char,ft Char"/>
    <w:basedOn w:val="VarsaylanParagrafYazTipi"/>
    <w:link w:val="DipnotMetni"/>
    <w:uiPriority w:val="99"/>
    <w:rsid w:val="00C00902"/>
    <w:rPr>
      <w:rFonts w:ascii="Arial" w:eastAsia="Calibri" w:hAnsi="Arial" w:cs="Times New Roman"/>
      <w:sz w:val="20"/>
      <w:szCs w:val="20"/>
      <w:lang w:val="en-US" w:eastAsia="tr-TR"/>
    </w:rPr>
  </w:style>
  <w:style w:type="character" w:styleId="DipnotBavurusu">
    <w:name w:val="footnote reference"/>
    <w:aliases w:val="Footnote Reference BF,Ref,de nota al pie,FR,16 Point,Superscript 6 Point"/>
    <w:basedOn w:val="VarsaylanParagrafYazTipi"/>
    <w:uiPriority w:val="99"/>
    <w:unhideWhenUsed/>
    <w:rsid w:val="00C00902"/>
    <w:rPr>
      <w:vertAlign w:val="superscript"/>
    </w:rPr>
  </w:style>
  <w:style w:type="paragraph" w:styleId="ListeParagraf">
    <w:name w:val="List Paragraph"/>
    <w:basedOn w:val="Normal"/>
    <w:uiPriority w:val="34"/>
    <w:qFormat/>
    <w:rsid w:val="00C00902"/>
    <w:pPr>
      <w:suppressAutoHyphens w:val="0"/>
      <w:overflowPunct/>
      <w:autoSpaceDE/>
      <w:autoSpaceDN/>
      <w:adjustRightInd/>
      <w:spacing w:after="200" w:line="276" w:lineRule="auto"/>
      <w:ind w:left="720"/>
      <w:contextualSpacing/>
      <w:jc w:val="left"/>
      <w:textAlignment w:val="auto"/>
    </w:pPr>
    <w:rPr>
      <w:rFonts w:asciiTheme="minorHAnsi" w:eastAsiaTheme="minorHAnsi" w:hAnsiTheme="minorHAnsi" w:cstheme="minorBidi"/>
      <w:lang w:val="tr-TR" w:eastAsia="en-US"/>
    </w:rPr>
  </w:style>
  <w:style w:type="character" w:styleId="AklamaBavurusu">
    <w:name w:val="annotation reference"/>
    <w:basedOn w:val="VarsaylanParagrafYazTipi"/>
    <w:uiPriority w:val="99"/>
    <w:semiHidden/>
    <w:unhideWhenUsed/>
    <w:rsid w:val="00C00902"/>
    <w:rPr>
      <w:sz w:val="16"/>
      <w:szCs w:val="16"/>
    </w:rPr>
  </w:style>
  <w:style w:type="paragraph" w:styleId="AklamaMetni">
    <w:name w:val="annotation text"/>
    <w:basedOn w:val="Normal"/>
    <w:link w:val="AklamaMetniChar"/>
    <w:uiPriority w:val="99"/>
    <w:unhideWhenUsed/>
    <w:rsid w:val="00C00902"/>
    <w:rPr>
      <w:sz w:val="20"/>
      <w:szCs w:val="20"/>
    </w:rPr>
  </w:style>
  <w:style w:type="character" w:customStyle="1" w:styleId="AklamaMetniChar">
    <w:name w:val="Açıklama Metni Char"/>
    <w:basedOn w:val="VarsaylanParagrafYazTipi"/>
    <w:link w:val="AklamaMetni"/>
    <w:uiPriority w:val="99"/>
    <w:rsid w:val="00C00902"/>
    <w:rPr>
      <w:rFonts w:ascii="Arial" w:eastAsia="Times New Roman" w:hAnsi="Arial" w:cs="Arial"/>
      <w:sz w:val="20"/>
      <w:szCs w:val="20"/>
      <w:lang w:val="en-US" w:eastAsia="tr-TR"/>
    </w:rPr>
  </w:style>
  <w:style w:type="paragraph" w:styleId="AklamaKonusu">
    <w:name w:val="annotation subject"/>
    <w:basedOn w:val="AklamaMetni"/>
    <w:next w:val="AklamaMetni"/>
    <w:link w:val="AklamaKonusuChar"/>
    <w:uiPriority w:val="99"/>
    <w:semiHidden/>
    <w:unhideWhenUsed/>
    <w:rsid w:val="00C00902"/>
    <w:rPr>
      <w:b/>
      <w:bCs/>
    </w:rPr>
  </w:style>
  <w:style w:type="character" w:customStyle="1" w:styleId="AklamaKonusuChar">
    <w:name w:val="Açıklama Konusu Char"/>
    <w:basedOn w:val="AklamaMetniChar"/>
    <w:link w:val="AklamaKonusu"/>
    <w:uiPriority w:val="99"/>
    <w:semiHidden/>
    <w:rsid w:val="00C00902"/>
    <w:rPr>
      <w:rFonts w:ascii="Arial" w:eastAsia="Times New Roman" w:hAnsi="Arial" w:cs="Arial"/>
      <w:b/>
      <w:bCs/>
      <w:sz w:val="20"/>
      <w:szCs w:val="20"/>
      <w:lang w:val="en-US" w:eastAsia="tr-TR"/>
    </w:rPr>
  </w:style>
  <w:style w:type="paragraph" w:styleId="Dzeltme">
    <w:name w:val="Revision"/>
    <w:hidden/>
    <w:uiPriority w:val="99"/>
    <w:semiHidden/>
    <w:rsid w:val="00200610"/>
    <w:rPr>
      <w:rFonts w:ascii="Arial" w:eastAsia="Times New Roman" w:hAnsi="Arial" w:cs="Arial"/>
      <w:sz w:val="22"/>
      <w:szCs w:val="22"/>
      <w:lang w:val="en-US" w:eastAsia="tr-TR"/>
    </w:rPr>
  </w:style>
  <w:style w:type="paragraph" w:styleId="AltBilgi">
    <w:name w:val="footer"/>
    <w:basedOn w:val="Normal"/>
    <w:link w:val="AltBilgiChar"/>
    <w:uiPriority w:val="99"/>
    <w:unhideWhenUsed/>
    <w:rsid w:val="003E6B11"/>
    <w:pPr>
      <w:tabs>
        <w:tab w:val="center" w:pos="4536"/>
        <w:tab w:val="right" w:pos="9072"/>
      </w:tabs>
    </w:pPr>
  </w:style>
  <w:style w:type="character" w:customStyle="1" w:styleId="AltBilgiChar">
    <w:name w:val="Alt Bilgi Char"/>
    <w:basedOn w:val="VarsaylanParagrafYazTipi"/>
    <w:link w:val="AltBilgi"/>
    <w:uiPriority w:val="99"/>
    <w:rsid w:val="003E6B11"/>
    <w:rPr>
      <w:rFonts w:ascii="Arial" w:eastAsia="Times New Roman" w:hAnsi="Arial" w:cs="Arial"/>
      <w:sz w:val="22"/>
      <w:szCs w:val="22"/>
      <w:lang w:val="en-US" w:eastAsia="tr-TR"/>
    </w:rPr>
  </w:style>
  <w:style w:type="character" w:styleId="SayfaNumaras">
    <w:name w:val="page number"/>
    <w:basedOn w:val="VarsaylanParagrafYazTipi"/>
    <w:uiPriority w:val="99"/>
    <w:semiHidden/>
    <w:unhideWhenUsed/>
    <w:rsid w:val="003E6B11"/>
  </w:style>
  <w:style w:type="character" w:styleId="Kpr">
    <w:name w:val="Hyperlink"/>
    <w:uiPriority w:val="99"/>
    <w:rsid w:val="006C7DF6"/>
    <w:rPr>
      <w:rFonts w:cs="Times New Roman"/>
      <w:color w:val="0000FF"/>
      <w:u w:val="single"/>
    </w:rPr>
  </w:style>
  <w:style w:type="character" w:styleId="zmlenmeyenBahsetme">
    <w:name w:val="Unresolved Mention"/>
    <w:basedOn w:val="VarsaylanParagrafYazTipi"/>
    <w:uiPriority w:val="99"/>
    <w:semiHidden/>
    <w:unhideWhenUsed/>
    <w:rsid w:val="007B5C86"/>
    <w:rPr>
      <w:color w:val="605E5C"/>
      <w:shd w:val="clear" w:color="auto" w:fill="E1DFDD"/>
    </w:rPr>
  </w:style>
  <w:style w:type="character" w:styleId="zlenenKpr">
    <w:name w:val="FollowedHyperlink"/>
    <w:basedOn w:val="VarsaylanParagrafYazTipi"/>
    <w:uiPriority w:val="99"/>
    <w:semiHidden/>
    <w:unhideWhenUsed/>
    <w:rsid w:val="00E960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11901">
      <w:bodyDiv w:val="1"/>
      <w:marLeft w:val="0"/>
      <w:marRight w:val="0"/>
      <w:marTop w:val="0"/>
      <w:marBottom w:val="0"/>
      <w:divBdr>
        <w:top w:val="none" w:sz="0" w:space="0" w:color="auto"/>
        <w:left w:val="none" w:sz="0" w:space="0" w:color="auto"/>
        <w:bottom w:val="none" w:sz="0" w:space="0" w:color="auto"/>
        <w:right w:val="none" w:sz="0" w:space="0" w:color="auto"/>
      </w:divBdr>
      <w:divsChild>
        <w:div w:id="43571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wcmsp5/groups/public/---europe/---ro-geneva/---ilo-ankara/documents/publication/wcms_409804.pdf" TargetMode="External"/><Relationship Id="rId13" Type="http://schemas.openxmlformats.org/officeDocument/2006/relationships/hyperlink" Target="https://www.mevzuat.gov.tr/mevzuat?MevzuatNo=85319&amp;MevzuatTur=3&amp;MevzuatTertip=5" TargetMode="External"/><Relationship Id="rId18" Type="http://schemas.openxmlformats.org/officeDocument/2006/relationships/hyperlink" Target="https://data.tuik.gov.tr/Bulten/Index?p=Education-Expenditure-Statistics-2019-3367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b.meb.gov.tr/meb_iys_dosyalar/2019_09/30102730_meb_istatistikleri_orgun_egitim_2018_2019.pdf" TargetMode="External"/><Relationship Id="rId17" Type="http://schemas.openxmlformats.org/officeDocument/2006/relationships/hyperlink" Target="https://stats.oecd.org/index.aspx?DataSetCode=HEALTH_STAT" TargetMode="External"/><Relationship Id="rId2" Type="http://schemas.openxmlformats.org/officeDocument/2006/relationships/numbering" Target="numbering.xml"/><Relationship Id="rId16" Type="http://schemas.openxmlformats.org/officeDocument/2006/relationships/hyperlink" Target="https://stats.oecd.org/index.aspx?DataSetCode=HEALTH_STAT" TargetMode="External"/><Relationship Id="rId20" Type="http://schemas.openxmlformats.org/officeDocument/2006/relationships/hyperlink" Target="file:////Users/derya/Desktop/My%20Mac%20(MacBook-Air.local)/Masau&#776;stu&#776;/Desktop%20belgeler/covid%2019%20tu&#776;bitak/yay&#305;n%20as&#807;amas&#305;/New%20perspectives%20on%20Turkey/submission/https:/www.unwomen.org/sites/default/files/Headquarters/Attachments/Sections/Library/Publications/2021/Policy-tool-Care-economy-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gb.saglik.gov.tr/Eklenti/37312/0/stratejik-plan-2020-ingilizcepdf.pdf?_tag1=5326746E973C7229E9E9210476EA7943419931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787/f8d7880d-en" TargetMode="External"/><Relationship Id="rId23" Type="http://schemas.openxmlformats.org/officeDocument/2006/relationships/fontTable" Target="fontTable.xml"/><Relationship Id="rId10" Type="http://schemas.openxmlformats.org/officeDocument/2006/relationships/hyperlink" Target="https://dosyasb.saglik.gov.tr/Eklenti/36134,siy2018trpdf.pdf?0" TargetMode="External"/><Relationship Id="rId19" Type="http://schemas.openxmlformats.org/officeDocument/2006/relationships/hyperlink" Target="https://data.tuik.gov.tr/Kategori/GetKategori?p=Saglik-ve-Sosyal-Koruma-101" TargetMode="External"/><Relationship Id="rId4" Type="http://schemas.openxmlformats.org/officeDocument/2006/relationships/settings" Target="settings.xml"/><Relationship Id="rId9" Type="http://schemas.openxmlformats.org/officeDocument/2006/relationships/hyperlink" Target="https://www.milliyet.com.tr/ekonomi/memur-maasi-zamlari-ne-kadar-2020-temmuz-ayi-ogretmen-doktor-polis-memur-maasi-zam-tablosu-6252488" TargetMode="External"/><Relationship Id="rId14" Type="http://schemas.openxmlformats.org/officeDocument/2006/relationships/hyperlink" Target="https://www.mevzuat.gov.tr/mevzuat?MevzuatNo=18812&amp;MevzuatTur=7&amp;MevzuatTertip=5" TargetMode="External"/><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D251-2A1D-C045-8163-B37C3E77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3511</Words>
  <Characters>20013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Gultekin</dc:creator>
  <cp:keywords/>
  <dc:description/>
  <cp:lastModifiedBy>deryagultekin14@gmail.com</cp:lastModifiedBy>
  <cp:revision>37</cp:revision>
  <cp:lastPrinted>2024-09-05T07:59:00Z</cp:lastPrinted>
  <dcterms:created xsi:type="dcterms:W3CDTF">2024-09-06T09:34:00Z</dcterms:created>
  <dcterms:modified xsi:type="dcterms:W3CDTF">2024-11-16T10:57:00Z</dcterms:modified>
</cp:coreProperties>
</file>