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F17003" w14:textId="77777777" w:rsidR="00FB61E9" w:rsidRPr="0037020A" w:rsidRDefault="00FB61E9" w:rsidP="00FB61E9">
      <w:pPr>
        <w:shd w:val="clear" w:color="auto" w:fill="FFFFFF"/>
        <w:spacing w:after="0" w:line="480" w:lineRule="auto"/>
        <w:jc w:val="center"/>
        <w:rPr>
          <w:rFonts w:ascii="Times New Roman" w:eastAsia="Times New Roman" w:hAnsi="Times New Roman" w:cs="Times New Roman"/>
          <w:b/>
          <w:bCs/>
          <w:color w:val="000000"/>
          <w:sz w:val="24"/>
          <w:szCs w:val="24"/>
          <w:bdr w:val="none" w:sz="0" w:space="0" w:color="auto" w:frame="1"/>
        </w:rPr>
      </w:pPr>
      <w:r w:rsidRPr="0037020A">
        <w:rPr>
          <w:rFonts w:ascii="Times New Roman" w:eastAsia="Times New Roman" w:hAnsi="Times New Roman" w:cs="Times New Roman"/>
          <w:b/>
          <w:bCs/>
          <w:color w:val="000000"/>
          <w:sz w:val="24"/>
          <w:szCs w:val="24"/>
          <w:bdr w:val="none" w:sz="0" w:space="0" w:color="auto" w:frame="1"/>
        </w:rPr>
        <w:t xml:space="preserve">Resistance Profile of Glufosinate-Resistant </w:t>
      </w:r>
      <w:r w:rsidRPr="0037020A">
        <w:rPr>
          <w:rFonts w:ascii="Times New Roman" w:eastAsia="Times New Roman" w:hAnsi="Times New Roman" w:cs="Times New Roman"/>
          <w:b/>
          <w:bCs/>
          <w:i/>
          <w:iCs/>
          <w:color w:val="000000"/>
          <w:sz w:val="24"/>
          <w:szCs w:val="24"/>
          <w:bdr w:val="none" w:sz="0" w:space="0" w:color="auto" w:frame="1"/>
        </w:rPr>
        <w:t>Amaranthus palmeri</w:t>
      </w:r>
      <w:r w:rsidRPr="0037020A">
        <w:rPr>
          <w:rFonts w:ascii="Times New Roman" w:eastAsia="Times New Roman" w:hAnsi="Times New Roman" w:cs="Times New Roman"/>
          <w:b/>
          <w:bCs/>
          <w:color w:val="000000"/>
          <w:sz w:val="24"/>
          <w:szCs w:val="24"/>
          <w:bdr w:val="none" w:sz="0" w:space="0" w:color="auto" w:frame="1"/>
        </w:rPr>
        <w:t xml:space="preserve"> Accessions and Herbicidal Options</w:t>
      </w:r>
    </w:p>
    <w:p w14:paraId="646304B8" w14:textId="77777777" w:rsidR="00FB61E9" w:rsidRPr="0037020A" w:rsidRDefault="00FB61E9" w:rsidP="00FB61E9">
      <w:pPr>
        <w:shd w:val="clear" w:color="auto" w:fill="FFFFFF"/>
        <w:spacing w:after="0" w:line="480" w:lineRule="auto"/>
        <w:rPr>
          <w:rFonts w:ascii="Times New Roman" w:hAnsi="Times New Roman" w:cs="Times New Roman"/>
          <w:i/>
          <w:iCs/>
          <w:sz w:val="24"/>
          <w:szCs w:val="24"/>
          <w:lang w:val="pt-BR"/>
        </w:rPr>
      </w:pPr>
      <w:r w:rsidRPr="0037020A">
        <w:rPr>
          <w:rFonts w:ascii="Times New Roman" w:hAnsi="Times New Roman" w:cs="Times New Roman"/>
          <w:i/>
          <w:iCs/>
          <w:sz w:val="24"/>
          <w:szCs w:val="24"/>
          <w:lang w:val="pt-BR"/>
        </w:rPr>
        <w:t>Pâmela Carvalho-Moore</w:t>
      </w:r>
      <w:r w:rsidRPr="0037020A">
        <w:rPr>
          <w:rFonts w:ascii="Times New Roman" w:hAnsi="Times New Roman" w:cs="Times New Roman"/>
          <w:i/>
          <w:iCs/>
          <w:sz w:val="24"/>
          <w:szCs w:val="24"/>
          <w:vertAlign w:val="superscript"/>
          <w:lang w:val="pt-BR"/>
        </w:rPr>
        <w:t>1</w:t>
      </w:r>
      <w:r w:rsidRPr="0037020A">
        <w:rPr>
          <w:rFonts w:ascii="Times New Roman" w:hAnsi="Times New Roman" w:cs="Times New Roman"/>
          <w:i/>
          <w:iCs/>
          <w:sz w:val="24"/>
          <w:szCs w:val="24"/>
          <w:lang w:val="pt-BR"/>
        </w:rPr>
        <w:t>, Jason K</w:t>
      </w:r>
      <w:r>
        <w:rPr>
          <w:rFonts w:ascii="Times New Roman" w:hAnsi="Times New Roman" w:cs="Times New Roman"/>
          <w:i/>
          <w:iCs/>
          <w:sz w:val="24"/>
          <w:szCs w:val="24"/>
          <w:lang w:val="pt-BR"/>
        </w:rPr>
        <w:t>.</w:t>
      </w:r>
      <w:r w:rsidRPr="0037020A">
        <w:rPr>
          <w:rFonts w:ascii="Times New Roman" w:hAnsi="Times New Roman" w:cs="Times New Roman"/>
          <w:i/>
          <w:iCs/>
          <w:sz w:val="24"/>
          <w:szCs w:val="24"/>
          <w:lang w:val="pt-BR"/>
        </w:rPr>
        <w:t xml:space="preserve"> Norsworthy</w:t>
      </w:r>
      <w:r w:rsidRPr="0037020A">
        <w:rPr>
          <w:rFonts w:ascii="Times New Roman" w:hAnsi="Times New Roman" w:cs="Times New Roman"/>
          <w:i/>
          <w:iCs/>
          <w:sz w:val="24"/>
          <w:szCs w:val="24"/>
          <w:vertAlign w:val="superscript"/>
          <w:lang w:val="pt-BR"/>
        </w:rPr>
        <w:t>2</w:t>
      </w:r>
      <w:r w:rsidRPr="0037020A">
        <w:rPr>
          <w:rFonts w:ascii="Times New Roman" w:hAnsi="Times New Roman" w:cs="Times New Roman"/>
          <w:i/>
          <w:iCs/>
          <w:sz w:val="24"/>
          <w:szCs w:val="24"/>
          <w:lang w:val="pt-BR"/>
        </w:rPr>
        <w:t>, Maria C</w:t>
      </w:r>
      <w:r>
        <w:rPr>
          <w:rFonts w:ascii="Times New Roman" w:hAnsi="Times New Roman" w:cs="Times New Roman"/>
          <w:i/>
          <w:iCs/>
          <w:sz w:val="24"/>
          <w:szCs w:val="24"/>
          <w:lang w:val="pt-BR"/>
        </w:rPr>
        <w:t>.</w:t>
      </w:r>
      <w:r w:rsidRPr="0037020A">
        <w:rPr>
          <w:rFonts w:ascii="Times New Roman" w:hAnsi="Times New Roman" w:cs="Times New Roman"/>
          <w:i/>
          <w:iCs/>
          <w:sz w:val="24"/>
          <w:szCs w:val="24"/>
          <w:lang w:val="pt-BR"/>
        </w:rPr>
        <w:t xml:space="preserve"> de Carvalho Rocha Souza</w:t>
      </w:r>
      <w:r w:rsidRPr="0037020A">
        <w:rPr>
          <w:rFonts w:ascii="Times New Roman" w:hAnsi="Times New Roman" w:cs="Times New Roman"/>
          <w:i/>
          <w:iCs/>
          <w:sz w:val="24"/>
          <w:szCs w:val="24"/>
          <w:vertAlign w:val="superscript"/>
          <w:lang w:val="pt-BR"/>
        </w:rPr>
        <w:t>1</w:t>
      </w:r>
      <w:r w:rsidRPr="0037020A">
        <w:rPr>
          <w:rFonts w:ascii="Times New Roman" w:hAnsi="Times New Roman" w:cs="Times New Roman"/>
          <w:i/>
          <w:iCs/>
          <w:sz w:val="24"/>
          <w:szCs w:val="24"/>
          <w:lang w:val="pt-BR"/>
        </w:rPr>
        <w:t>,  L. Tom Barber</w:t>
      </w:r>
      <w:r w:rsidRPr="0037020A">
        <w:rPr>
          <w:rFonts w:ascii="Times New Roman" w:hAnsi="Times New Roman" w:cs="Times New Roman"/>
          <w:i/>
          <w:iCs/>
          <w:sz w:val="24"/>
          <w:szCs w:val="24"/>
          <w:vertAlign w:val="superscript"/>
          <w:lang w:val="pt-BR"/>
        </w:rPr>
        <w:t>3</w:t>
      </w:r>
      <w:r w:rsidRPr="0037020A">
        <w:rPr>
          <w:rFonts w:ascii="Times New Roman" w:hAnsi="Times New Roman" w:cs="Times New Roman"/>
          <w:i/>
          <w:iCs/>
          <w:sz w:val="24"/>
          <w:szCs w:val="24"/>
          <w:lang w:val="pt-BR"/>
        </w:rPr>
        <w:t>, Leonard Bonilha Piveta</w:t>
      </w:r>
      <w:r w:rsidRPr="0037020A">
        <w:rPr>
          <w:rFonts w:ascii="Times New Roman" w:hAnsi="Times New Roman" w:cs="Times New Roman"/>
          <w:i/>
          <w:iCs/>
          <w:sz w:val="24"/>
          <w:szCs w:val="24"/>
          <w:vertAlign w:val="superscript"/>
          <w:lang w:val="pt-BR"/>
        </w:rPr>
        <w:t>4</w:t>
      </w:r>
      <w:r w:rsidRPr="0037020A">
        <w:rPr>
          <w:rFonts w:ascii="Times New Roman" w:hAnsi="Times New Roman" w:cs="Times New Roman"/>
          <w:i/>
          <w:iCs/>
          <w:sz w:val="24"/>
          <w:szCs w:val="24"/>
          <w:lang w:val="pt-BR"/>
        </w:rPr>
        <w:t>, Ingo Meiners</w:t>
      </w:r>
      <w:r w:rsidRPr="0037020A">
        <w:rPr>
          <w:rFonts w:ascii="Times New Roman" w:hAnsi="Times New Roman" w:cs="Times New Roman"/>
          <w:i/>
          <w:iCs/>
          <w:sz w:val="24"/>
          <w:szCs w:val="24"/>
          <w:vertAlign w:val="superscript"/>
          <w:lang w:val="pt-BR"/>
        </w:rPr>
        <w:t>5</w:t>
      </w:r>
    </w:p>
    <w:p w14:paraId="45B8FAAF" w14:textId="77777777" w:rsidR="00FB61E9" w:rsidRPr="005D0CE0" w:rsidRDefault="00FB61E9" w:rsidP="00FB61E9">
      <w:pPr>
        <w:spacing w:after="0" w:line="480" w:lineRule="auto"/>
        <w:rPr>
          <w:rFonts w:ascii="Times New Roman" w:hAnsi="Times New Roman" w:cs="Times New Roman"/>
          <w:b/>
          <w:bCs/>
          <w:sz w:val="24"/>
          <w:szCs w:val="24"/>
          <w:lang w:val="pt-BR"/>
        </w:rPr>
      </w:pPr>
    </w:p>
    <w:p w14:paraId="6475DE5E" w14:textId="77777777" w:rsidR="00FB61E9" w:rsidRPr="0037020A" w:rsidRDefault="00FB61E9" w:rsidP="00FB61E9">
      <w:pPr>
        <w:rPr>
          <w:rFonts w:ascii="Times New Roman" w:hAnsi="Times New Roman" w:cs="Times New Roman"/>
          <w:sz w:val="24"/>
          <w:szCs w:val="24"/>
        </w:rPr>
      </w:pPr>
      <w:r w:rsidRPr="0037020A">
        <w:rPr>
          <w:rFonts w:ascii="Times New Roman" w:hAnsi="Times New Roman" w:cs="Times New Roman"/>
          <w:sz w:val="24"/>
          <w:szCs w:val="24"/>
          <w:vertAlign w:val="superscript"/>
        </w:rPr>
        <w:t>1</w:t>
      </w:r>
      <w:r w:rsidRPr="0037020A">
        <w:rPr>
          <w:rFonts w:ascii="Times New Roman" w:hAnsi="Times New Roman" w:cs="Times New Roman"/>
          <w:sz w:val="24"/>
          <w:szCs w:val="24"/>
        </w:rPr>
        <w:t xml:space="preserve"> Graduate Research Assistant (0000-0002-4832-9062 and 0000-0002-9378-9586), Department of Crop, Soil and Environmental Sciences, University of Arkansas, Fayetteville, AR, USA </w:t>
      </w:r>
    </w:p>
    <w:p w14:paraId="18E0B157" w14:textId="77777777" w:rsidR="00FB61E9" w:rsidRPr="0037020A" w:rsidRDefault="00FB61E9" w:rsidP="00FB61E9">
      <w:pPr>
        <w:rPr>
          <w:rFonts w:ascii="Times New Roman" w:hAnsi="Times New Roman" w:cs="Times New Roman"/>
          <w:sz w:val="24"/>
          <w:szCs w:val="24"/>
        </w:rPr>
      </w:pPr>
      <w:r w:rsidRPr="0037020A">
        <w:rPr>
          <w:rFonts w:ascii="Times New Roman" w:hAnsi="Times New Roman" w:cs="Times New Roman"/>
          <w:sz w:val="24"/>
          <w:szCs w:val="24"/>
          <w:vertAlign w:val="superscript"/>
        </w:rPr>
        <w:t>2</w:t>
      </w:r>
      <w:r w:rsidRPr="0037020A">
        <w:rPr>
          <w:rFonts w:ascii="Times New Roman" w:hAnsi="Times New Roman" w:cs="Times New Roman"/>
          <w:sz w:val="24"/>
          <w:szCs w:val="24"/>
        </w:rPr>
        <w:t xml:space="preserve"> Distinguished Professor and Elms Farming Chair of Weed Science (0000-0002-7379-6201), Department of Crop, Soil and Environmental Sciences, University of Arkansas, Fayetteville, AR, USA</w:t>
      </w:r>
    </w:p>
    <w:p w14:paraId="7F000D60" w14:textId="77777777" w:rsidR="00FB61E9" w:rsidRPr="0037020A" w:rsidRDefault="00FB61E9" w:rsidP="00FB61E9">
      <w:pPr>
        <w:rPr>
          <w:rFonts w:ascii="Times New Roman" w:hAnsi="Times New Roman" w:cs="Times New Roman"/>
          <w:sz w:val="24"/>
          <w:szCs w:val="24"/>
        </w:rPr>
      </w:pPr>
      <w:r w:rsidRPr="0037020A">
        <w:rPr>
          <w:rFonts w:ascii="Times New Roman" w:hAnsi="Times New Roman" w:cs="Times New Roman"/>
          <w:sz w:val="24"/>
          <w:szCs w:val="24"/>
          <w:vertAlign w:val="superscript"/>
        </w:rPr>
        <w:t xml:space="preserve">3 </w:t>
      </w:r>
      <w:r w:rsidRPr="0037020A">
        <w:rPr>
          <w:rFonts w:ascii="Times New Roman" w:hAnsi="Times New Roman" w:cs="Times New Roman"/>
          <w:sz w:val="24"/>
          <w:szCs w:val="24"/>
        </w:rPr>
        <w:t>Professor and Extension Weed Scientist, Department of Crop, Soil, and Environmental Sciences, University of Arkansas, Lonoke, AR, USA</w:t>
      </w:r>
    </w:p>
    <w:p w14:paraId="400E139C" w14:textId="77777777" w:rsidR="00FB61E9" w:rsidRPr="0037020A" w:rsidRDefault="00FB61E9" w:rsidP="00FB61E9">
      <w:pPr>
        <w:rPr>
          <w:rFonts w:ascii="Times New Roman" w:hAnsi="Times New Roman" w:cs="Times New Roman"/>
          <w:sz w:val="24"/>
          <w:szCs w:val="24"/>
        </w:rPr>
      </w:pPr>
      <w:r w:rsidRPr="0037020A">
        <w:rPr>
          <w:rFonts w:ascii="Times New Roman" w:hAnsi="Times New Roman" w:cs="Times New Roman"/>
          <w:sz w:val="24"/>
          <w:szCs w:val="24"/>
          <w:vertAlign w:val="superscript"/>
        </w:rPr>
        <w:t xml:space="preserve">4 </w:t>
      </w:r>
      <w:r w:rsidRPr="0037020A">
        <w:rPr>
          <w:rFonts w:ascii="Times New Roman" w:hAnsi="Times New Roman" w:cs="Times New Roman"/>
          <w:sz w:val="24"/>
          <w:szCs w:val="24"/>
        </w:rPr>
        <w:t>Post-Doctoral Researcher (0000-0002-6238-0710), Department of Botany and Plant Pathology, Purdue University, West Lafayette.</w:t>
      </w:r>
    </w:p>
    <w:p w14:paraId="77132BB3" w14:textId="77777777" w:rsidR="00FB61E9" w:rsidRPr="0037020A" w:rsidRDefault="00FB61E9" w:rsidP="00FB61E9">
      <w:pPr>
        <w:rPr>
          <w:rFonts w:ascii="Times New Roman" w:hAnsi="Times New Roman" w:cs="Times New Roman"/>
          <w:sz w:val="24"/>
          <w:szCs w:val="24"/>
        </w:rPr>
      </w:pPr>
      <w:r w:rsidRPr="0037020A">
        <w:rPr>
          <w:rFonts w:ascii="Times New Roman" w:hAnsi="Times New Roman" w:cs="Times New Roman"/>
          <w:sz w:val="24"/>
          <w:szCs w:val="24"/>
          <w:vertAlign w:val="superscript"/>
        </w:rPr>
        <w:t>5</w:t>
      </w:r>
      <w:r w:rsidRPr="0037020A">
        <w:rPr>
          <w:rFonts w:ascii="Times New Roman" w:hAnsi="Times New Roman" w:cs="Times New Roman"/>
          <w:sz w:val="24"/>
          <w:szCs w:val="24"/>
        </w:rPr>
        <w:t xml:space="preserve"> Biology R &amp; D Group Leader – Weed Control (0009-0005-6094-0859), BASF Corporation, Research Triangle Park, NC, USA</w:t>
      </w:r>
    </w:p>
    <w:p w14:paraId="35805EAD" w14:textId="77777777" w:rsidR="00FB61E9" w:rsidRPr="0037020A" w:rsidRDefault="00FB61E9" w:rsidP="00FB61E9">
      <w:pPr>
        <w:rPr>
          <w:rFonts w:ascii="Times New Roman" w:hAnsi="Times New Roman" w:cs="Times New Roman"/>
          <w:sz w:val="24"/>
          <w:szCs w:val="24"/>
        </w:rPr>
      </w:pPr>
    </w:p>
    <w:p w14:paraId="18BCD503" w14:textId="5EB22E60" w:rsidR="00FB61E9" w:rsidRPr="00945D27" w:rsidRDefault="00FB61E9" w:rsidP="00FB61E9">
      <w:pPr>
        <w:spacing w:after="0" w:line="480" w:lineRule="auto"/>
        <w:rPr>
          <w:rFonts w:ascii="Times New Roman" w:hAnsi="Times New Roman" w:cs="Times New Roman"/>
          <w:sz w:val="24"/>
          <w:szCs w:val="24"/>
          <w:lang w:val="pt-BR"/>
        </w:rPr>
      </w:pPr>
      <w:r w:rsidRPr="00945D27">
        <w:rPr>
          <w:rFonts w:ascii="Times New Roman" w:hAnsi="Times New Roman" w:cs="Times New Roman"/>
          <w:b/>
          <w:bCs/>
          <w:sz w:val="24"/>
          <w:szCs w:val="24"/>
          <w:lang w:val="pt-BR"/>
        </w:rPr>
        <w:t>Corresponding author:</w:t>
      </w:r>
      <w:r w:rsidRPr="00945D27">
        <w:rPr>
          <w:rFonts w:ascii="Times New Roman" w:hAnsi="Times New Roman" w:cs="Times New Roman"/>
          <w:sz w:val="24"/>
          <w:szCs w:val="24"/>
          <w:lang w:val="pt-BR"/>
        </w:rPr>
        <w:t xml:space="preserve"> Pâmela Carvalho-Moore, University of Arkansas, 1354 W Altheimer Dr, Fayetteville, AR 72704 (</w:t>
      </w:r>
      <w:hyperlink r:id="rId4" w:history="1">
        <w:r w:rsidRPr="00945D27">
          <w:rPr>
            <w:rStyle w:val="Hyperlink"/>
            <w:rFonts w:ascii="Times New Roman" w:hAnsi="Times New Roman" w:cs="Times New Roman"/>
            <w:sz w:val="24"/>
            <w:szCs w:val="24"/>
          </w:rPr>
          <w:t>pcarvalh@uark.edu</w:t>
        </w:r>
      </w:hyperlink>
      <w:r w:rsidRPr="00945D27">
        <w:rPr>
          <w:rFonts w:ascii="Times New Roman" w:hAnsi="Times New Roman" w:cs="Times New Roman"/>
          <w:sz w:val="24"/>
          <w:szCs w:val="24"/>
          <w:lang w:val="pt-BR"/>
        </w:rPr>
        <w:t>)</w:t>
      </w:r>
    </w:p>
    <w:p w14:paraId="7BCF3A03" w14:textId="77777777" w:rsidR="00FB61E9" w:rsidRPr="00945D27" w:rsidRDefault="00FB61E9">
      <w:pPr>
        <w:spacing w:line="278" w:lineRule="auto"/>
        <w:rPr>
          <w:lang w:val="pt-BR"/>
        </w:rPr>
      </w:pPr>
      <w:r w:rsidRPr="00945D27">
        <w:rPr>
          <w:lang w:val="pt-BR"/>
        </w:rPr>
        <w:br w:type="page"/>
      </w:r>
    </w:p>
    <w:p w14:paraId="16340E98" w14:textId="7BEE30B3" w:rsidR="00FB61E9" w:rsidRDefault="00FB61E9" w:rsidP="00FB61E9">
      <w:r>
        <w:rPr>
          <w:noProof/>
          <w14:ligatures w14:val="standardContextual"/>
        </w:rPr>
        <w:lastRenderedPageBreak/>
        <w:drawing>
          <wp:inline distT="0" distB="0" distL="0" distR="0" wp14:anchorId="0C8F34FE" wp14:editId="46D88ED6">
            <wp:extent cx="5943600" cy="4800600"/>
            <wp:effectExtent l="0" t="0" r="0" b="0"/>
            <wp:docPr id="146273673" name="Picture 3" descr="A graph showing treatment resul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273673" name="Picture 3" descr="A graph showing treatment results&#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5943600" cy="4800600"/>
                    </a:xfrm>
                    <a:prstGeom prst="rect">
                      <a:avLst/>
                    </a:prstGeom>
                  </pic:spPr>
                </pic:pic>
              </a:graphicData>
            </a:graphic>
          </wp:inline>
        </w:drawing>
      </w:r>
    </w:p>
    <w:p w14:paraId="66209F61" w14:textId="5CD353CF" w:rsidR="00FB61E9" w:rsidRPr="00A92C9D" w:rsidRDefault="00FB61E9" w:rsidP="00FB61E9">
      <w:pPr>
        <w:spacing w:after="0" w:line="360" w:lineRule="auto"/>
        <w:rPr>
          <w:rFonts w:ascii="Times New Roman" w:hAnsi="Times New Roman" w:cs="Times New Roman"/>
          <w:sz w:val="24"/>
          <w:szCs w:val="24"/>
        </w:rPr>
      </w:pPr>
      <w:r>
        <w:rPr>
          <w:rFonts w:ascii="Times New Roman" w:hAnsi="Times New Roman" w:cs="Times New Roman"/>
          <w:sz w:val="24"/>
          <w:szCs w:val="24"/>
        </w:rPr>
        <w:t>Supplementary Figure 1</w:t>
      </w:r>
      <w:r w:rsidRPr="00E17842">
        <w:rPr>
          <w:rFonts w:ascii="Times New Roman" w:hAnsi="Times New Roman" w:cs="Times New Roman"/>
          <w:sz w:val="24"/>
          <w:szCs w:val="24"/>
        </w:rPr>
        <w:t xml:space="preserve">. </w:t>
      </w:r>
      <w:r>
        <w:rPr>
          <w:rFonts w:ascii="Times New Roman" w:hAnsi="Times New Roman" w:cs="Times New Roman"/>
          <w:sz w:val="24"/>
          <w:szCs w:val="24"/>
        </w:rPr>
        <w:t>G</w:t>
      </w:r>
      <w:r w:rsidRPr="00E17842">
        <w:rPr>
          <w:rFonts w:ascii="Times New Roman" w:hAnsi="Times New Roman" w:cs="Times New Roman"/>
          <w:sz w:val="24"/>
          <w:szCs w:val="24"/>
        </w:rPr>
        <w:t>lufosinate-resistant Palmer amaranth (</w:t>
      </w:r>
      <w:r>
        <w:rPr>
          <w:rFonts w:ascii="Times New Roman" w:hAnsi="Times New Roman" w:cs="Times New Roman"/>
          <w:sz w:val="24"/>
          <w:szCs w:val="24"/>
        </w:rPr>
        <w:t>GLU-R1</w:t>
      </w:r>
      <w:r w:rsidRPr="00E17842">
        <w:rPr>
          <w:rFonts w:ascii="Times New Roman" w:hAnsi="Times New Roman" w:cs="Times New Roman"/>
          <w:sz w:val="24"/>
          <w:szCs w:val="24"/>
        </w:rPr>
        <w:t xml:space="preserve">) </w:t>
      </w:r>
      <w:r>
        <w:rPr>
          <w:rFonts w:ascii="Times New Roman" w:hAnsi="Times New Roman" w:cs="Times New Roman"/>
          <w:sz w:val="24"/>
          <w:szCs w:val="24"/>
        </w:rPr>
        <w:t xml:space="preserve">biomass reduction (%) </w:t>
      </w:r>
      <w:proofErr w:type="gramStart"/>
      <w:r>
        <w:rPr>
          <w:rFonts w:ascii="Times New Roman" w:hAnsi="Times New Roman" w:cs="Times New Roman"/>
          <w:sz w:val="24"/>
          <w:szCs w:val="24"/>
        </w:rPr>
        <w:t>relative</w:t>
      </w:r>
      <w:proofErr w:type="gramEnd"/>
      <w:r>
        <w:rPr>
          <w:rFonts w:ascii="Times New Roman" w:hAnsi="Times New Roman" w:cs="Times New Roman"/>
          <w:sz w:val="24"/>
          <w:szCs w:val="24"/>
        </w:rPr>
        <w:t xml:space="preserve"> to nontreated</w:t>
      </w:r>
      <w:r w:rsidRPr="00E17842">
        <w:rPr>
          <w:rFonts w:ascii="Times New Roman" w:hAnsi="Times New Roman" w:cs="Times New Roman"/>
          <w:sz w:val="24"/>
          <w:szCs w:val="24"/>
        </w:rPr>
        <w:t xml:space="preserve">  at 6 weeks after </w:t>
      </w:r>
      <w:r>
        <w:rPr>
          <w:rFonts w:ascii="Times New Roman" w:hAnsi="Times New Roman" w:cs="Times New Roman"/>
          <w:sz w:val="24"/>
          <w:szCs w:val="24"/>
        </w:rPr>
        <w:t xml:space="preserve">preemergence </w:t>
      </w:r>
      <w:r w:rsidRPr="00E17842">
        <w:rPr>
          <w:rFonts w:ascii="Times New Roman" w:hAnsi="Times New Roman" w:cs="Times New Roman"/>
          <w:sz w:val="24"/>
          <w:szCs w:val="24"/>
        </w:rPr>
        <w:t>treatmen</w:t>
      </w:r>
      <w:r>
        <w:rPr>
          <w:rFonts w:ascii="Times New Roman" w:hAnsi="Times New Roman" w:cs="Times New Roman"/>
          <w:sz w:val="24"/>
          <w:szCs w:val="24"/>
        </w:rPr>
        <w:t>t</w:t>
      </w:r>
      <w:r w:rsidRPr="00E17842">
        <w:rPr>
          <w:rFonts w:ascii="Times New Roman" w:hAnsi="Times New Roman" w:cs="Times New Roman"/>
          <w:sz w:val="24"/>
          <w:szCs w:val="24"/>
        </w:rPr>
        <w:t xml:space="preserve">. The data was averaged across </w:t>
      </w:r>
      <w:r>
        <w:rPr>
          <w:rFonts w:ascii="Times New Roman" w:hAnsi="Times New Roman" w:cs="Times New Roman"/>
          <w:sz w:val="24"/>
          <w:szCs w:val="24"/>
        </w:rPr>
        <w:t>experiments</w:t>
      </w:r>
      <w:r w:rsidRPr="004A5698">
        <w:rPr>
          <w:rFonts w:ascii="Times New Roman" w:hAnsi="Times New Roman" w:cs="Times New Roman"/>
          <w:sz w:val="24"/>
          <w:szCs w:val="24"/>
        </w:rPr>
        <w:t xml:space="preserve"> </w:t>
      </w:r>
      <w:r w:rsidRPr="00E17842">
        <w:rPr>
          <w:rFonts w:ascii="Times New Roman" w:hAnsi="Times New Roman" w:cs="Times New Roman"/>
          <w:sz w:val="24"/>
          <w:szCs w:val="24"/>
        </w:rPr>
        <w:t xml:space="preserve">conducted at </w:t>
      </w:r>
      <w:r w:rsidRPr="008032B1">
        <w:rPr>
          <w:rFonts w:ascii="Times New Roman" w:hAnsi="Times New Roman" w:cs="Times New Roman"/>
          <w:sz w:val="24"/>
          <w:szCs w:val="24"/>
        </w:rPr>
        <w:t>Milo J. Shult Agricultural Research and Extension Center, Fayetteville, AR</w:t>
      </w:r>
      <w:r>
        <w:rPr>
          <w:rFonts w:ascii="Times New Roman" w:hAnsi="Times New Roman" w:cs="Times New Roman"/>
          <w:sz w:val="24"/>
          <w:szCs w:val="24"/>
        </w:rPr>
        <w:t>,</w:t>
      </w:r>
      <w:r w:rsidRPr="008032B1">
        <w:rPr>
          <w:rFonts w:ascii="Times New Roman" w:hAnsi="Times New Roman" w:cs="Times New Roman"/>
          <w:sz w:val="24"/>
          <w:szCs w:val="24"/>
        </w:rPr>
        <w:t xml:space="preserve"> </w:t>
      </w:r>
      <w:r w:rsidRPr="00E17842">
        <w:rPr>
          <w:rFonts w:ascii="Times New Roman" w:hAnsi="Times New Roman" w:cs="Times New Roman"/>
          <w:sz w:val="24"/>
          <w:szCs w:val="24"/>
        </w:rPr>
        <w:t xml:space="preserve">in 2022, 2023, and 2024. </w:t>
      </w:r>
      <w:r>
        <w:rPr>
          <w:rFonts w:ascii="Times New Roman" w:hAnsi="Times New Roman" w:cs="Times New Roman"/>
          <w:sz w:val="24"/>
          <w:szCs w:val="24"/>
        </w:rPr>
        <w:t>S</w:t>
      </w:r>
      <w:r w:rsidRPr="008B0C1C">
        <w:rPr>
          <w:rFonts w:ascii="Times New Roman" w:hAnsi="Times New Roman" w:cs="Times New Roman"/>
          <w:sz w:val="24"/>
          <w:szCs w:val="24"/>
        </w:rPr>
        <w:t>tandard errors of the means</w:t>
      </w:r>
      <w:r>
        <w:rPr>
          <w:rFonts w:ascii="Times New Roman" w:hAnsi="Times New Roman" w:cs="Times New Roman"/>
          <w:sz w:val="24"/>
          <w:szCs w:val="24"/>
        </w:rPr>
        <w:t xml:space="preserve"> are represented by error bars</w:t>
      </w:r>
      <w:r w:rsidRPr="008B0C1C">
        <w:rPr>
          <w:rFonts w:ascii="Times New Roman" w:hAnsi="Times New Roman" w:cs="Times New Roman"/>
          <w:sz w:val="24"/>
          <w:szCs w:val="24"/>
        </w:rPr>
        <w:t>.</w:t>
      </w:r>
      <w:r>
        <w:rPr>
          <w:rFonts w:ascii="Times New Roman" w:hAnsi="Times New Roman" w:cs="Times New Roman"/>
          <w:sz w:val="24"/>
          <w:szCs w:val="24"/>
        </w:rPr>
        <w:t xml:space="preserve"> </w:t>
      </w:r>
      <w:r w:rsidRPr="00E17842">
        <w:rPr>
          <w:rFonts w:ascii="Times New Roman" w:hAnsi="Times New Roman" w:cs="Times New Roman"/>
          <w:sz w:val="24"/>
          <w:szCs w:val="24"/>
        </w:rPr>
        <w:t xml:space="preserve">Means followed by the same uppercase letters are not statistically different according to </w:t>
      </w:r>
      <w:r w:rsidRPr="00A92C9D">
        <w:rPr>
          <w:rFonts w:ascii="Times New Roman" w:hAnsi="Times New Roman" w:cs="Times New Roman"/>
          <w:sz w:val="24"/>
          <w:szCs w:val="24"/>
        </w:rPr>
        <w:t>Fisher’s protected LSD (α=0.05).</w:t>
      </w:r>
    </w:p>
    <w:p w14:paraId="36F5FE93" w14:textId="77777777" w:rsidR="00FB61E9" w:rsidRDefault="00FB61E9">
      <w:pPr>
        <w:spacing w:line="278" w:lineRule="auto"/>
        <w:rPr>
          <w:rFonts w:ascii="Times New Roman" w:hAnsi="Times New Roman" w:cs="Times New Roman"/>
        </w:rPr>
      </w:pPr>
      <w:r>
        <w:rPr>
          <w:rFonts w:ascii="Times New Roman" w:hAnsi="Times New Roman" w:cs="Times New Roman"/>
        </w:rPr>
        <w:br w:type="page"/>
      </w:r>
    </w:p>
    <w:p w14:paraId="0763B88A" w14:textId="0007668E" w:rsidR="00FB61E9" w:rsidRDefault="00FB61E9" w:rsidP="00FB61E9">
      <w:pPr>
        <w:spacing w:after="0" w:line="480" w:lineRule="auto"/>
        <w:rPr>
          <w:rFonts w:ascii="Times New Roman" w:hAnsi="Times New Roman" w:cs="Times New Roman"/>
        </w:rPr>
      </w:pPr>
      <w:r>
        <w:rPr>
          <w:rFonts w:ascii="Times New Roman" w:hAnsi="Times New Roman" w:cs="Times New Roman"/>
          <w:noProof/>
          <w14:ligatures w14:val="standardContextual"/>
        </w:rPr>
        <w:lastRenderedPageBreak/>
        <w:drawing>
          <wp:inline distT="0" distB="0" distL="0" distR="0" wp14:anchorId="1EF065CB" wp14:editId="077DEB0D">
            <wp:extent cx="5943600" cy="4973955"/>
            <wp:effectExtent l="0" t="0" r="0" b="0"/>
            <wp:docPr id="1050221325" name="Picture 9" descr="A graph of treatment resul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0221325" name="Picture 9" descr="A graph of treatment results&#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43600" cy="4973955"/>
                    </a:xfrm>
                    <a:prstGeom prst="rect">
                      <a:avLst/>
                    </a:prstGeom>
                  </pic:spPr>
                </pic:pic>
              </a:graphicData>
            </a:graphic>
          </wp:inline>
        </w:drawing>
      </w:r>
    </w:p>
    <w:p w14:paraId="17AB3A83" w14:textId="30B399BD" w:rsidR="00FB61E9" w:rsidRPr="00A92C9D" w:rsidRDefault="00FB61E9" w:rsidP="00FB61E9">
      <w:pPr>
        <w:spacing w:after="0" w:line="360" w:lineRule="auto"/>
        <w:rPr>
          <w:rFonts w:ascii="Times New Roman" w:hAnsi="Times New Roman" w:cs="Times New Roman"/>
          <w:sz w:val="24"/>
          <w:szCs w:val="24"/>
        </w:rPr>
      </w:pPr>
      <w:r>
        <w:rPr>
          <w:rFonts w:ascii="Times New Roman" w:hAnsi="Times New Roman" w:cs="Times New Roman"/>
          <w:sz w:val="24"/>
          <w:szCs w:val="24"/>
        </w:rPr>
        <w:t>Supplementary Figure 2</w:t>
      </w:r>
      <w:r w:rsidRPr="00A92C9D">
        <w:rPr>
          <w:rFonts w:ascii="Times New Roman" w:hAnsi="Times New Roman" w:cs="Times New Roman"/>
          <w:sz w:val="24"/>
          <w:szCs w:val="24"/>
        </w:rPr>
        <w:t>. Glufosinate-resistant Palmer amaranth (</w:t>
      </w:r>
      <w:r>
        <w:rPr>
          <w:rFonts w:ascii="Times New Roman" w:hAnsi="Times New Roman" w:cs="Times New Roman"/>
          <w:sz w:val="24"/>
          <w:szCs w:val="24"/>
        </w:rPr>
        <w:t>GLU-R1</w:t>
      </w:r>
      <w:r w:rsidRPr="00A92C9D">
        <w:rPr>
          <w:rFonts w:ascii="Times New Roman" w:hAnsi="Times New Roman" w:cs="Times New Roman"/>
          <w:sz w:val="24"/>
          <w:szCs w:val="24"/>
        </w:rPr>
        <w:t xml:space="preserve">) biomass reduction (%) relative to nontreated at 4 weeks after </w:t>
      </w:r>
      <w:r>
        <w:rPr>
          <w:rFonts w:ascii="Times New Roman" w:hAnsi="Times New Roman" w:cs="Times New Roman"/>
          <w:sz w:val="24"/>
          <w:szCs w:val="24"/>
        </w:rPr>
        <w:t xml:space="preserve">postemergence </w:t>
      </w:r>
      <w:r w:rsidRPr="00A92C9D">
        <w:rPr>
          <w:rFonts w:ascii="Times New Roman" w:hAnsi="Times New Roman" w:cs="Times New Roman"/>
          <w:sz w:val="24"/>
          <w:szCs w:val="24"/>
        </w:rPr>
        <w:t>treatment. The data was averaged across experiments conducted at Milo J. Shult Agricultural Research and Extension Center, Fayetteville, AR, in 2023 and 2024. Standard errors of the means are represented by error bars. Means followed by the same uppercase letters are not statistically different according to Fisher’s protected LSD (α=0.05).</w:t>
      </w:r>
    </w:p>
    <w:p w14:paraId="533BA515" w14:textId="77777777" w:rsidR="00FB61E9" w:rsidRDefault="00FB61E9"/>
    <w:sectPr w:rsidR="00FB61E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zOzNDY0MTY0NDE1NDdT0lEKTi0uzszPAykwrgUAPkTb5ywAAAA="/>
  </w:docVars>
  <w:rsids>
    <w:rsidRoot w:val="00FB61E9"/>
    <w:rsid w:val="00270362"/>
    <w:rsid w:val="005D0CE0"/>
    <w:rsid w:val="00721000"/>
    <w:rsid w:val="00945D27"/>
    <w:rsid w:val="00AD1007"/>
    <w:rsid w:val="00CA2B84"/>
    <w:rsid w:val="00FB61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839E1A3"/>
  <w15:chartTrackingRefBased/>
  <w15:docId w15:val="{BD7677E2-2710-4AA8-913B-C24C4E7CE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61E9"/>
    <w:pPr>
      <w:spacing w:line="259" w:lineRule="auto"/>
    </w:pPr>
    <w:rPr>
      <w:kern w:val="0"/>
      <w:sz w:val="22"/>
      <w:szCs w:val="22"/>
      <w14:ligatures w14:val="none"/>
    </w:rPr>
  </w:style>
  <w:style w:type="paragraph" w:styleId="Heading1">
    <w:name w:val="heading 1"/>
    <w:basedOn w:val="Normal"/>
    <w:next w:val="Normal"/>
    <w:link w:val="Heading1Char"/>
    <w:uiPriority w:val="9"/>
    <w:qFormat/>
    <w:rsid w:val="00FB61E9"/>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FB61E9"/>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FB61E9"/>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FB61E9"/>
    <w:pPr>
      <w:keepNext/>
      <w:keepLines/>
      <w:spacing w:before="80" w:after="40" w:line="278" w:lineRule="auto"/>
      <w:outlineLvl w:val="3"/>
    </w:pPr>
    <w:rPr>
      <w:rFonts w:eastAsiaTheme="majorEastAsia"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FB61E9"/>
    <w:pPr>
      <w:keepNext/>
      <w:keepLines/>
      <w:spacing w:before="80" w:after="40" w:line="278" w:lineRule="auto"/>
      <w:outlineLvl w:val="4"/>
    </w:pPr>
    <w:rPr>
      <w:rFonts w:eastAsiaTheme="majorEastAsia"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FB61E9"/>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FB61E9"/>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FB61E9"/>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FB61E9"/>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61E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B61E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B61E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B61E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B61E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B61E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B61E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B61E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B61E9"/>
    <w:rPr>
      <w:rFonts w:eastAsiaTheme="majorEastAsia" w:cstheme="majorBidi"/>
      <w:color w:val="272727" w:themeColor="text1" w:themeTint="D8"/>
    </w:rPr>
  </w:style>
  <w:style w:type="paragraph" w:styleId="Title">
    <w:name w:val="Title"/>
    <w:basedOn w:val="Normal"/>
    <w:next w:val="Normal"/>
    <w:link w:val="TitleChar"/>
    <w:uiPriority w:val="10"/>
    <w:qFormat/>
    <w:rsid w:val="00FB61E9"/>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FB61E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B61E9"/>
    <w:pPr>
      <w:numPr>
        <w:ilvl w:val="1"/>
      </w:numPr>
      <w:spacing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FB61E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B61E9"/>
    <w:pPr>
      <w:spacing w:before="160" w:line="278" w:lineRule="auto"/>
      <w:jc w:val="center"/>
    </w:pPr>
    <w:rPr>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FB61E9"/>
    <w:rPr>
      <w:i/>
      <w:iCs/>
      <w:color w:val="404040" w:themeColor="text1" w:themeTint="BF"/>
    </w:rPr>
  </w:style>
  <w:style w:type="paragraph" w:styleId="ListParagraph">
    <w:name w:val="List Paragraph"/>
    <w:basedOn w:val="Normal"/>
    <w:uiPriority w:val="34"/>
    <w:qFormat/>
    <w:rsid w:val="00FB61E9"/>
    <w:pPr>
      <w:spacing w:line="278" w:lineRule="auto"/>
      <w:ind w:left="720"/>
      <w:contextualSpacing/>
    </w:pPr>
    <w:rPr>
      <w:kern w:val="2"/>
      <w:sz w:val="24"/>
      <w:szCs w:val="24"/>
      <w14:ligatures w14:val="standardContextual"/>
    </w:rPr>
  </w:style>
  <w:style w:type="character" w:styleId="IntenseEmphasis">
    <w:name w:val="Intense Emphasis"/>
    <w:basedOn w:val="DefaultParagraphFont"/>
    <w:uiPriority w:val="21"/>
    <w:qFormat/>
    <w:rsid w:val="00FB61E9"/>
    <w:rPr>
      <w:i/>
      <w:iCs/>
      <w:color w:val="0F4761" w:themeColor="accent1" w:themeShade="BF"/>
    </w:rPr>
  </w:style>
  <w:style w:type="paragraph" w:styleId="IntenseQuote">
    <w:name w:val="Intense Quote"/>
    <w:basedOn w:val="Normal"/>
    <w:next w:val="Normal"/>
    <w:link w:val="IntenseQuoteChar"/>
    <w:uiPriority w:val="30"/>
    <w:qFormat/>
    <w:rsid w:val="00FB61E9"/>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FB61E9"/>
    <w:rPr>
      <w:i/>
      <w:iCs/>
      <w:color w:val="0F4761" w:themeColor="accent1" w:themeShade="BF"/>
    </w:rPr>
  </w:style>
  <w:style w:type="character" w:styleId="IntenseReference">
    <w:name w:val="Intense Reference"/>
    <w:basedOn w:val="DefaultParagraphFont"/>
    <w:uiPriority w:val="32"/>
    <w:qFormat/>
    <w:rsid w:val="00FB61E9"/>
    <w:rPr>
      <w:b/>
      <w:bCs/>
      <w:smallCaps/>
      <w:color w:val="0F4761" w:themeColor="accent1" w:themeShade="BF"/>
      <w:spacing w:val="5"/>
    </w:rPr>
  </w:style>
  <w:style w:type="character" w:styleId="Hyperlink">
    <w:name w:val="Hyperlink"/>
    <w:basedOn w:val="DefaultParagraphFont"/>
    <w:uiPriority w:val="99"/>
    <w:unhideWhenUsed/>
    <w:rsid w:val="00FB61E9"/>
    <w:rPr>
      <w:color w:val="467886" w:themeColor="hyperlink"/>
      <w:u w:val="single"/>
    </w:rPr>
  </w:style>
  <w:style w:type="paragraph" w:styleId="Revision">
    <w:name w:val="Revision"/>
    <w:hidden/>
    <w:uiPriority w:val="99"/>
    <w:semiHidden/>
    <w:rsid w:val="005D0CE0"/>
    <w:pPr>
      <w:spacing w:after="0" w:line="240" w:lineRule="auto"/>
    </w:pPr>
    <w:rPr>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hyperlink" Target="mailto:pcarvalh@uark.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320</Words>
  <Characters>1827</Characters>
  <Application>Microsoft Office Word</Application>
  <DocSecurity>0</DocSecurity>
  <Lines>15</Lines>
  <Paragraphs>4</Paragraphs>
  <ScaleCrop>false</ScaleCrop>
  <Company/>
  <LinksUpToDate>false</LinksUpToDate>
  <CharactersWithSpaces>2143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Pamela Carvalho-Moore</dc:creator>
  <cp:keywords/>
  <dc:description/>
  <cp:lastModifiedBy>Mrs. Pamela Carvalho-Moore</cp:lastModifiedBy>
  <cp:revision>2</cp:revision>
  <dcterms:created xsi:type="dcterms:W3CDTF">2024-12-20T21:56:00Z</dcterms:created>
  <dcterms:modified xsi:type="dcterms:W3CDTF">2024-12-20T21:56:00Z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b7db9dff8af99efa08022cbd4b87cfe352abf48db589ad3d94e4ce63e613deef</vt:lpwstr>
  </property>
</Properties>
</file>