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E923" w14:textId="7DA1B67C" w:rsidR="00DD7686" w:rsidRPr="00DD7686" w:rsidRDefault="00DD7686" w:rsidP="00DD7686">
      <w:pPr>
        <w:rPr>
          <w:rFonts w:eastAsia="DengXian"/>
          <w:kern w:val="0"/>
          <w14:ligatures w14:val="none"/>
        </w:rPr>
      </w:pPr>
      <w:r w:rsidRPr="00DD7686">
        <w:rPr>
          <w:color w:val="FF0000"/>
        </w:rPr>
        <w:t>&lt;AT&gt;</w:t>
      </w:r>
      <w:r w:rsidR="00914F12" w:rsidRPr="00DD7686">
        <w:t>Methodological Appendix</w:t>
      </w:r>
      <w:r w:rsidR="00274078">
        <w:t xml:space="preserve">. </w:t>
      </w:r>
      <w:r w:rsidR="00274078" w:rsidRPr="00DD7686">
        <w:rPr>
          <w:rFonts w:eastAsia="DengXian"/>
          <w:kern w:val="0"/>
          <w14:ligatures w14:val="none"/>
        </w:rPr>
        <w:t>Responsible Religious Freedom: Factual Scrutiny in Free Exercise Doctrine</w:t>
      </w:r>
      <w:r w:rsidRPr="00DD7686">
        <w:rPr>
          <w:rFonts w:eastAsia="DengXian"/>
          <w:color w:val="FF0000"/>
          <w:kern w:val="0"/>
          <w14:ligatures w14:val="none"/>
        </w:rPr>
        <w:t>&lt;/AT&gt;</w:t>
      </w:r>
    </w:p>
    <w:p w14:paraId="118E9C37" w14:textId="77777777" w:rsidR="00DD7686" w:rsidRPr="00DD7686" w:rsidRDefault="00DD7686" w:rsidP="00DD7686">
      <w:pPr>
        <w:rPr>
          <w:rFonts w:eastAsia="DengXian"/>
          <w:kern w:val="0"/>
          <w14:ligatures w14:val="none"/>
        </w:rPr>
      </w:pPr>
    </w:p>
    <w:p w14:paraId="270B9BCF" w14:textId="77777777" w:rsidR="00DD7686" w:rsidRPr="00DD7686" w:rsidRDefault="00DD7686" w:rsidP="00DD7686">
      <w:pPr>
        <w:rPr>
          <w:rFonts w:eastAsia="DengXian"/>
          <w:kern w:val="0"/>
          <w14:ligatures w14:val="none"/>
        </w:rPr>
      </w:pPr>
      <w:r w:rsidRPr="00DD7686">
        <w:rPr>
          <w:rFonts w:eastAsia="DengXian"/>
          <w:color w:val="FF0000"/>
          <w:kern w:val="0"/>
          <w14:ligatures w14:val="none"/>
        </w:rPr>
        <w:t>&lt;AU&gt;</w:t>
      </w:r>
      <w:r w:rsidRPr="00DD7686">
        <w:rPr>
          <w:rFonts w:eastAsia="DengXian"/>
          <w:kern w:val="0"/>
          <w14:ligatures w14:val="none"/>
        </w:rPr>
        <w:t>Brady Earley</w:t>
      </w:r>
      <w:r w:rsidRPr="00DD7686">
        <w:rPr>
          <w:rFonts w:eastAsia="DengXian"/>
          <w:color w:val="FF0000"/>
          <w:kern w:val="0"/>
          <w14:ligatures w14:val="none"/>
        </w:rPr>
        <w:t>&lt;/AU&gt;</w:t>
      </w:r>
    </w:p>
    <w:p w14:paraId="03652606" w14:textId="72F85B60" w:rsidR="00DD7686" w:rsidRPr="00DD7686" w:rsidRDefault="00DD7686" w:rsidP="00DD7686">
      <w:pPr>
        <w:rPr>
          <w:rFonts w:eastAsia="DengXian"/>
          <w:kern w:val="0"/>
          <w14:ligatures w14:val="none"/>
        </w:rPr>
      </w:pPr>
      <w:r w:rsidRPr="00DD7686">
        <w:rPr>
          <w:rFonts w:eastAsia="DengXian"/>
          <w:color w:val="FF0000"/>
          <w:kern w:val="0"/>
          <w14:ligatures w14:val="none"/>
        </w:rPr>
        <w:t>&lt;AF&gt;</w:t>
      </w:r>
      <w:r w:rsidR="00762F1A" w:rsidRPr="004070EC">
        <w:rPr>
          <w:rFonts w:eastAsia="DengXian"/>
          <w:kern w:val="0"/>
          <w14:ligatures w14:val="none"/>
        </w:rPr>
        <w:t>Empirical Research Fellow</w:t>
      </w:r>
      <w:r w:rsidRPr="00DD7686">
        <w:rPr>
          <w:rFonts w:eastAsia="DengXian"/>
          <w:kern w:val="0"/>
          <w14:ligatures w14:val="none"/>
        </w:rPr>
        <w:t>, Brigham Young University, USA</w:t>
      </w:r>
      <w:r w:rsidRPr="00DD7686">
        <w:rPr>
          <w:rFonts w:eastAsia="DengXian"/>
          <w:color w:val="FF0000"/>
          <w:kern w:val="0"/>
          <w14:ligatures w14:val="none"/>
        </w:rPr>
        <w:t>&lt;/AF&gt;</w:t>
      </w:r>
    </w:p>
    <w:p w14:paraId="5A707524" w14:textId="20140665" w:rsidR="00DD7686" w:rsidRPr="00DD7686" w:rsidRDefault="00DD7686" w:rsidP="00DD7686">
      <w:pPr>
        <w:rPr>
          <w:rFonts w:eastAsia="DengXian"/>
          <w:kern w:val="0"/>
          <w14:ligatures w14:val="none"/>
        </w:rPr>
      </w:pPr>
      <w:r w:rsidRPr="00DD7686">
        <w:rPr>
          <w:rFonts w:eastAsia="DengXian"/>
          <w:color w:val="FF0000"/>
          <w:kern w:val="0"/>
          <w14:ligatures w14:val="none"/>
        </w:rPr>
        <w:t>&lt;AU EMAIL&gt;</w:t>
      </w:r>
      <w:r w:rsidR="00444FDB">
        <w:rPr>
          <w:rFonts w:eastAsia="DengXian"/>
          <w:kern w:val="0"/>
          <w14:ligatures w14:val="none"/>
        </w:rPr>
        <w:t>bearley@uchicago.edu</w:t>
      </w:r>
      <w:r w:rsidRPr="00DD7686">
        <w:rPr>
          <w:rFonts w:eastAsia="DengXian"/>
          <w:color w:val="FF0000"/>
          <w:kern w:val="0"/>
          <w14:ligatures w14:val="none"/>
        </w:rPr>
        <w:t>/AU EMAIL&gt;</w:t>
      </w:r>
    </w:p>
    <w:p w14:paraId="5D966162" w14:textId="77777777" w:rsidR="00290AC2" w:rsidRPr="00DD7686" w:rsidRDefault="00290AC2" w:rsidP="00EB5016"/>
    <w:p w14:paraId="6B1523DB" w14:textId="0970A08E" w:rsidR="00290AC2" w:rsidRPr="00DD7686" w:rsidRDefault="00290AC2" w:rsidP="00EB5016">
      <w:r w:rsidRPr="00DD7686">
        <w:t xml:space="preserve">This </w:t>
      </w:r>
      <w:r w:rsidR="00DE19DB">
        <w:t>appendix</w:t>
      </w:r>
      <w:r w:rsidRPr="00DD7686">
        <w:t xml:space="preserve"> provides a detailed summary of case </w:t>
      </w:r>
      <w:r w:rsidR="00DE19DB">
        <w:t>selection</w:t>
      </w:r>
      <w:r w:rsidRPr="00DD7686">
        <w:t xml:space="preserve">, coding, and analysis for the empirical results in </w:t>
      </w:r>
      <w:r w:rsidR="00DE19DB">
        <w:t>“</w:t>
      </w:r>
      <w:r w:rsidRPr="00F45102">
        <w:t>Responsible Religious Freedom: Factual Scrutiny in Free Exercise Doctrine</w:t>
      </w:r>
      <w:r w:rsidR="00DE19DB">
        <w:t xml:space="preserve">,” published in volume 39, issue 3 (2024) of the </w:t>
      </w:r>
      <w:r w:rsidR="00DE19DB" w:rsidRPr="00F45102">
        <w:rPr>
          <w:i/>
          <w:iCs/>
        </w:rPr>
        <w:t>Journal of Law and Religion</w:t>
      </w:r>
      <w:r w:rsidRPr="00DD7686">
        <w:t xml:space="preserve">. Any questions </w:t>
      </w:r>
      <w:r w:rsidR="00DE19DB">
        <w:t>about the method for compiling and analyzing the database</w:t>
      </w:r>
      <w:r w:rsidRPr="00DD7686">
        <w:t xml:space="preserve"> can be emailed to </w:t>
      </w:r>
      <w:hyperlink r:id="rId8" w:history="1">
        <w:r w:rsidRPr="00DD7686">
          <w:rPr>
            <w:rStyle w:val="Hyperlink"/>
          </w:rPr>
          <w:t>bearley@uchicago.edu</w:t>
        </w:r>
      </w:hyperlink>
      <w:r w:rsidRPr="00DD7686">
        <w:t>.</w:t>
      </w:r>
    </w:p>
    <w:p w14:paraId="0BC13956" w14:textId="77777777" w:rsidR="00290AC2" w:rsidRPr="00DD7686" w:rsidRDefault="00290AC2" w:rsidP="00EB5016"/>
    <w:p w14:paraId="78124109" w14:textId="7CB0468F" w:rsidR="00243865" w:rsidRPr="00DD7686" w:rsidRDefault="00DD7686" w:rsidP="00EB5016">
      <w:r w:rsidRPr="00DD7686">
        <w:rPr>
          <w:color w:val="FF0000"/>
        </w:rPr>
        <w:t>&lt;H1&gt;</w:t>
      </w:r>
      <w:r w:rsidR="002B09A7" w:rsidRPr="00DD7686">
        <w:t>Case Selection</w:t>
      </w:r>
      <w:r w:rsidRPr="00DD7686">
        <w:rPr>
          <w:color w:val="FF0000"/>
        </w:rPr>
        <w:t>&lt;/H1&gt;</w:t>
      </w:r>
      <w:r w:rsidR="002B09A7" w:rsidRPr="00DD7686">
        <w:rPr>
          <w:color w:val="FF0000"/>
        </w:rPr>
        <w:t xml:space="preserve"> </w:t>
      </w:r>
    </w:p>
    <w:p w14:paraId="29155431" w14:textId="4BB30561" w:rsidR="002762E2" w:rsidRPr="00DD7686" w:rsidRDefault="002B09A7" w:rsidP="00EB5016">
      <w:r w:rsidRPr="00DD7686">
        <w:t>Cases were selected using various searches in Westlaw Precision</w:t>
      </w:r>
      <w:r w:rsidR="00CE7B27" w:rsidRPr="00DD7686">
        <w:t>.</w:t>
      </w:r>
      <w:r w:rsidR="000368D3" w:rsidRPr="00DD7686">
        <w:t xml:space="preserve"> First, the following filters were applied to all searches conducted: (1) jurisdiction was limited to state court cases</w:t>
      </w:r>
      <w:r w:rsidR="004512EB">
        <w:t>;</w:t>
      </w:r>
      <w:r w:rsidR="000368D3" w:rsidRPr="00DD7686">
        <w:t xml:space="preserve"> (2) </w:t>
      </w:r>
      <w:r w:rsidR="009E2AC9" w:rsidRPr="00DD7686">
        <w:t>time period was limited to all cases between May 15, 1972</w:t>
      </w:r>
      <w:r w:rsidR="00EB5016" w:rsidRPr="00DD7686">
        <w:t>,</w:t>
      </w:r>
      <w:r w:rsidR="009E2AC9" w:rsidRPr="00DD7686">
        <w:t xml:space="preserve"> and Dec</w:t>
      </w:r>
      <w:r w:rsidR="004512EB">
        <w:t>ember</w:t>
      </w:r>
      <w:r w:rsidR="009E2AC9" w:rsidRPr="00DD7686">
        <w:t xml:space="preserve"> 31, 2022</w:t>
      </w:r>
      <w:r w:rsidR="004512EB">
        <w:t>; and</w:t>
      </w:r>
      <w:r w:rsidR="009E2AC9" w:rsidRPr="00DD7686">
        <w:t xml:space="preserve"> (3) </w:t>
      </w:r>
      <w:r w:rsidR="002A6094" w:rsidRPr="00DD7686">
        <w:t xml:space="preserve">type of opinion was limited to </w:t>
      </w:r>
      <w:r w:rsidR="000A3DD7" w:rsidRPr="00DD7686">
        <w:t>reported</w:t>
      </w:r>
      <w:r w:rsidR="002A6094" w:rsidRPr="00DD7686">
        <w:t xml:space="preserve"> opinions. For additional justifications for each of these filters, please refer to </w:t>
      </w:r>
      <w:r w:rsidR="002762E2" w:rsidRPr="00DD7686">
        <w:t xml:space="preserve">the section of the </w:t>
      </w:r>
      <w:r w:rsidR="00DD7686">
        <w:t>article</w:t>
      </w:r>
      <w:r w:rsidR="002762E2" w:rsidRPr="00DD7686">
        <w:t xml:space="preserve"> </w:t>
      </w:r>
      <w:r w:rsidR="004512EB">
        <w:t>headed</w:t>
      </w:r>
      <w:r w:rsidR="002762E2" w:rsidRPr="00DD7686">
        <w:t xml:space="preserve"> “Quantitative Evidence for Factual Scrutiny.” </w:t>
      </w:r>
    </w:p>
    <w:p w14:paraId="4EA7509A" w14:textId="74F7D74D" w:rsidR="00176931" w:rsidRPr="00DD7686" w:rsidRDefault="002762E2" w:rsidP="00F45102">
      <w:pPr>
        <w:ind w:firstLine="720"/>
      </w:pPr>
      <w:r w:rsidRPr="00DD7686">
        <w:t xml:space="preserve">After limiting searches to the above parameters, the following search query was used: </w:t>
      </w:r>
      <w:r w:rsidR="007B2030" w:rsidRPr="00DD7686">
        <w:t>(</w:t>
      </w:r>
      <w:r w:rsidR="007B2030" w:rsidRPr="00F45102">
        <w:rPr>
          <w:i/>
          <w:iCs/>
        </w:rPr>
        <w:t>religious freedom</w:t>
      </w:r>
      <w:r w:rsidR="00DE19DB">
        <w:t>,</w:t>
      </w:r>
      <w:r w:rsidR="007B2030" w:rsidRPr="00DD7686">
        <w:t xml:space="preserve"> </w:t>
      </w:r>
      <w:r w:rsidR="007B2030" w:rsidRPr="00F45102">
        <w:rPr>
          <w:i/>
          <w:iCs/>
        </w:rPr>
        <w:t>free exercise</w:t>
      </w:r>
      <w:r w:rsidR="007B2030" w:rsidRPr="00DD7686">
        <w:t>)</w:t>
      </w:r>
      <w:r w:rsidR="00FB0CE9" w:rsidRPr="00DD7686">
        <w:t xml:space="preserve"> </w:t>
      </w:r>
      <w:r w:rsidR="00FB0CE9" w:rsidRPr="004070EC">
        <w:rPr>
          <w:i/>
          <w:iCs/>
        </w:rPr>
        <w:t>% establishment clause</w:t>
      </w:r>
      <w:r w:rsidR="00EB5016" w:rsidRPr="00DD7686">
        <w:t>.</w:t>
      </w:r>
      <w:r w:rsidR="00FB0CE9" w:rsidRPr="00DD7686">
        <w:t xml:space="preserve"> After running this query, other iterations include</w:t>
      </w:r>
      <w:r w:rsidR="00DE19DB">
        <w:t>d</w:t>
      </w:r>
      <w:r w:rsidR="00FB0CE9" w:rsidRPr="00DD7686">
        <w:t xml:space="preserve"> the following alternate phrasings: </w:t>
      </w:r>
      <w:r w:rsidR="00FB0CE9" w:rsidRPr="00F45102">
        <w:rPr>
          <w:i/>
          <w:iCs/>
        </w:rPr>
        <w:t>freedom of religion</w:t>
      </w:r>
      <w:r w:rsidR="00DD7686">
        <w:t>,</w:t>
      </w:r>
      <w:r w:rsidR="00FB0CE9" w:rsidRPr="00DD7686">
        <w:t xml:space="preserve"> </w:t>
      </w:r>
      <w:r w:rsidR="00FB0CE9" w:rsidRPr="00F45102">
        <w:rPr>
          <w:i/>
          <w:iCs/>
        </w:rPr>
        <w:t>religious exercise</w:t>
      </w:r>
      <w:r w:rsidR="00DD7686">
        <w:t>,</w:t>
      </w:r>
      <w:r w:rsidR="00FB0CE9" w:rsidRPr="00DD7686">
        <w:t xml:space="preserve"> </w:t>
      </w:r>
      <w:r w:rsidR="00394EE1" w:rsidRPr="00DD7686">
        <w:t xml:space="preserve">and </w:t>
      </w:r>
      <w:r w:rsidR="00394EE1" w:rsidRPr="00F45102">
        <w:rPr>
          <w:i/>
          <w:iCs/>
        </w:rPr>
        <w:t>religious liberty</w:t>
      </w:r>
      <w:r w:rsidR="00EB5016" w:rsidRPr="00DD7686">
        <w:t>.</w:t>
      </w:r>
      <w:r w:rsidR="00394EE1" w:rsidRPr="00DD7686">
        <w:t xml:space="preserve"> </w:t>
      </w:r>
      <w:r w:rsidR="00264DB6" w:rsidRPr="00DD7686">
        <w:t xml:space="preserve">After running these alternative queries, each list of cases was </w:t>
      </w:r>
      <w:r w:rsidR="00AE1739" w:rsidRPr="00DD7686">
        <w:t xml:space="preserve">downloaded and </w:t>
      </w:r>
      <w:r w:rsidR="00AE1739" w:rsidRPr="00DD7686">
        <w:lastRenderedPageBreak/>
        <w:t xml:space="preserve">exported as a CSV. Using the case name, </w:t>
      </w:r>
      <w:r w:rsidR="00432668" w:rsidRPr="00DD7686">
        <w:t>court, citation, and date, duplicates were then eliminated. This brought the list of cases to be coded to 3,311.</w:t>
      </w:r>
      <w:r w:rsidR="00176931" w:rsidRPr="00DD7686">
        <w:t xml:space="preserve"> </w:t>
      </w:r>
    </w:p>
    <w:p w14:paraId="1B847D46" w14:textId="59CC643F" w:rsidR="002762E2" w:rsidRPr="00DD7686" w:rsidRDefault="00EC6103" w:rsidP="00F45102">
      <w:pPr>
        <w:ind w:firstLine="720"/>
      </w:pPr>
      <w:r w:rsidRPr="00DD7686">
        <w:t>As an additional check,</w:t>
      </w:r>
      <w:r w:rsidR="00176931" w:rsidRPr="00DD7686">
        <w:t xml:space="preserve"> </w:t>
      </w:r>
      <w:r w:rsidR="00DD7686">
        <w:t xml:space="preserve">I </w:t>
      </w:r>
      <w:r w:rsidR="00176931" w:rsidRPr="00DD7686">
        <w:t xml:space="preserve">also </w:t>
      </w:r>
      <w:r w:rsidRPr="00DD7686">
        <w:t>reviewed</w:t>
      </w:r>
      <w:r w:rsidR="00176931" w:rsidRPr="00DD7686">
        <w:t xml:space="preserve"> cases that included the Establishment Clause to ensure cases that may have raised an establishment and free exercise issue were not excluded. This included an additional 914 cases. Of these, </w:t>
      </w:r>
      <w:r w:rsidR="00DD7686">
        <w:t>thirty-five</w:t>
      </w:r>
      <w:r w:rsidR="00176931" w:rsidRPr="00DD7686">
        <w:t xml:space="preserve"> also dealt with a free exercise issue on the merits and were thus added to the final total of cases</w:t>
      </w:r>
      <w:r w:rsidRPr="00DD7686">
        <w:t>.</w:t>
      </w:r>
    </w:p>
    <w:p w14:paraId="24CE7DA6" w14:textId="77777777" w:rsidR="00CE7B27" w:rsidRPr="00DD7686" w:rsidRDefault="00CE7B27" w:rsidP="00EB5016"/>
    <w:p w14:paraId="2C9B3650" w14:textId="574D4883" w:rsidR="00CE7B27" w:rsidRPr="00DD7686" w:rsidRDefault="00DD7686" w:rsidP="00EB5016">
      <w:r w:rsidRPr="00DD7686">
        <w:rPr>
          <w:color w:val="FF0000"/>
        </w:rPr>
        <w:t>&lt;H1&gt;</w:t>
      </w:r>
      <w:r w:rsidR="00CE7B27" w:rsidRPr="00DD7686">
        <w:t>Case Co</w:t>
      </w:r>
      <w:r w:rsidR="008860B0" w:rsidRPr="00DD7686">
        <w:t>ding</w:t>
      </w:r>
      <w:r w:rsidRPr="00DD7686">
        <w:rPr>
          <w:color w:val="FF0000"/>
        </w:rPr>
        <w:t>&lt;/H1&gt;</w:t>
      </w:r>
    </w:p>
    <w:p w14:paraId="41EC09A4" w14:textId="258078F1" w:rsidR="00243865" w:rsidRPr="00DD7686" w:rsidRDefault="00DD7686" w:rsidP="00243865">
      <w:r w:rsidRPr="00DD7686">
        <w:rPr>
          <w:color w:val="FF0000"/>
        </w:rPr>
        <w:t>&lt;H2&gt;</w:t>
      </w:r>
      <w:r w:rsidR="008860B0" w:rsidRPr="00DD7686">
        <w:t>Research Assistant Training</w:t>
      </w:r>
      <w:r w:rsidR="004512EB">
        <w:t xml:space="preserve"> </w:t>
      </w:r>
      <w:r w:rsidRPr="00DD7686">
        <w:rPr>
          <w:color w:val="FF0000"/>
        </w:rPr>
        <w:t>&lt;/H2&gt;</w:t>
      </w:r>
      <w:r w:rsidR="00545FC0" w:rsidRPr="00DD7686">
        <w:rPr>
          <w:color w:val="FF0000"/>
        </w:rPr>
        <w:t xml:space="preserve"> </w:t>
      </w:r>
    </w:p>
    <w:p w14:paraId="66FE7210" w14:textId="4AE933AF" w:rsidR="008860B0" w:rsidRPr="00DD7686" w:rsidRDefault="00545FC0" w:rsidP="00F45102">
      <w:r w:rsidRPr="00DD7686">
        <w:t xml:space="preserve">After compiling the universe of cases, the next step was to </w:t>
      </w:r>
      <w:r w:rsidR="00145838" w:rsidRPr="00DD7686">
        <w:t xml:space="preserve">identify which cases decided a free exercise issue on the merits. To do this, three </w:t>
      </w:r>
      <w:r w:rsidR="00045D02" w:rsidRPr="00DD7686">
        <w:t xml:space="preserve">law students were sent a </w:t>
      </w:r>
      <w:r w:rsidR="009914F3" w:rsidRPr="00DD7686">
        <w:t xml:space="preserve">spreadsheet of federal cases using the same search parameters described above. </w:t>
      </w:r>
      <w:r w:rsidR="00D079A9" w:rsidRPr="00DD7686">
        <w:t xml:space="preserve">They were asked to do </w:t>
      </w:r>
      <w:r w:rsidR="00DD7686">
        <w:t>five hundred</w:t>
      </w:r>
      <w:r w:rsidR="00D079A9" w:rsidRPr="00DD7686">
        <w:t xml:space="preserve"> federal cases that could operate as a training set before coding the state cases and allow them to ask questions and get familiar with the research task. </w:t>
      </w:r>
      <w:r w:rsidR="00DB2374" w:rsidRPr="00DD7686">
        <w:t xml:space="preserve">This list was randomized to ensure students were exposed to a variety of case types across time and place. </w:t>
      </w:r>
      <w:r w:rsidR="00C32874" w:rsidRPr="00DD7686">
        <w:t>The instructional video included the following</w:t>
      </w:r>
      <w:r w:rsidR="00DD7686">
        <w:t xml:space="preserve"> four</w:t>
      </w:r>
      <w:r w:rsidR="00C32874" w:rsidRPr="00DD7686">
        <w:t xml:space="preserve"> steps to coding:</w:t>
      </w:r>
    </w:p>
    <w:p w14:paraId="41883683" w14:textId="582743C7" w:rsidR="00045D02" w:rsidRPr="00DD7686" w:rsidRDefault="00DB2374" w:rsidP="00F45102">
      <w:pPr>
        <w:pStyle w:val="ListParagraph"/>
        <w:numPr>
          <w:ilvl w:val="0"/>
          <w:numId w:val="9"/>
        </w:numPr>
        <w:tabs>
          <w:tab w:val="clear" w:pos="1080"/>
        </w:tabs>
      </w:pPr>
      <w:r w:rsidRPr="00DD7686">
        <w:t>Open Westlaw and ensure you are looking at the appropriate type of cases in the search filter (</w:t>
      </w:r>
      <w:r w:rsidR="00CF4A83">
        <w:t>that is</w:t>
      </w:r>
      <w:r w:rsidRPr="00DD7686">
        <w:t>, federal or state).</w:t>
      </w:r>
    </w:p>
    <w:p w14:paraId="68CDD835" w14:textId="6A92639E" w:rsidR="00DB2374" w:rsidRPr="00DD7686" w:rsidRDefault="000175E3" w:rsidP="00F45102">
      <w:pPr>
        <w:pStyle w:val="ListParagraph"/>
        <w:numPr>
          <w:ilvl w:val="0"/>
          <w:numId w:val="9"/>
        </w:numPr>
      </w:pPr>
      <w:r w:rsidRPr="00DD7686">
        <w:t xml:space="preserve">Using the case name, court name, date, and citation, search for the case in Westlaw. </w:t>
      </w:r>
      <w:r w:rsidR="00CF4A83">
        <w:t xml:space="preserve">If you </w:t>
      </w:r>
      <w:r w:rsidRPr="00DD7686">
        <w:t>c</w:t>
      </w:r>
      <w:r w:rsidR="00CF4A83">
        <w:t>an</w:t>
      </w:r>
      <w:r w:rsidRPr="00DD7686">
        <w:t>not identify the case</w:t>
      </w:r>
      <w:r w:rsidR="00CF4A83">
        <w:t>,</w:t>
      </w:r>
      <w:r w:rsidRPr="00DD7686">
        <w:t xml:space="preserve"> flag it for the author.</w:t>
      </w:r>
    </w:p>
    <w:p w14:paraId="3C1BE6AD" w14:textId="67593CDD" w:rsidR="000175E3" w:rsidRPr="00DD7686" w:rsidRDefault="0044273B" w:rsidP="00F45102">
      <w:pPr>
        <w:pStyle w:val="ListParagraph"/>
        <w:numPr>
          <w:ilvl w:val="0"/>
          <w:numId w:val="9"/>
        </w:numPr>
      </w:pPr>
      <w:r w:rsidRPr="00DD7686">
        <w:t xml:space="preserve">After verifying they had found the correct case, identify whether the case involved a free exercise issue decided on the merits. </w:t>
      </w:r>
      <w:r w:rsidR="002E5415" w:rsidRPr="00DD7686">
        <w:t xml:space="preserve">For example, if a case discussed free </w:t>
      </w:r>
      <w:r w:rsidR="002E5415" w:rsidRPr="00DD7686">
        <w:lastRenderedPageBreak/>
        <w:t xml:space="preserve">exercise of religion </w:t>
      </w:r>
      <w:r w:rsidR="00C17DAF" w:rsidRPr="00DD7686">
        <w:t>and free speech claims, but the court resolved the case on the issue of free speech, code</w:t>
      </w:r>
      <w:r w:rsidR="00CF4A83">
        <w:t xml:space="preserve"> it</w:t>
      </w:r>
      <w:r w:rsidR="00C17DAF" w:rsidRPr="00DD7686">
        <w:t xml:space="preserve"> as “No </w:t>
      </w:r>
      <w:r w:rsidR="00450B84">
        <w:t>f</w:t>
      </w:r>
      <w:r w:rsidR="00C17DAF" w:rsidRPr="00DD7686">
        <w:t xml:space="preserve">ree </w:t>
      </w:r>
      <w:r w:rsidR="00450B84">
        <w:t>e</w:t>
      </w:r>
      <w:r w:rsidR="00C17DAF" w:rsidRPr="00DD7686">
        <w:t xml:space="preserve">xercise </w:t>
      </w:r>
      <w:r w:rsidR="00450B84">
        <w:t>i</w:t>
      </w:r>
      <w:r w:rsidR="00C17DAF" w:rsidRPr="00DD7686">
        <w:t>ssue” and move to the next case.</w:t>
      </w:r>
    </w:p>
    <w:p w14:paraId="1C8465C9" w14:textId="3CFC6F57" w:rsidR="00C17DAF" w:rsidRPr="00DD7686" w:rsidRDefault="00C17DAF" w:rsidP="00F45102">
      <w:pPr>
        <w:pStyle w:val="ListParagraph"/>
        <w:numPr>
          <w:ilvl w:val="0"/>
          <w:numId w:val="9"/>
        </w:numPr>
      </w:pPr>
      <w:r w:rsidRPr="00DD7686">
        <w:t xml:space="preserve">If </w:t>
      </w:r>
      <w:r w:rsidR="00CF4A83">
        <w:t>you</w:t>
      </w:r>
      <w:r w:rsidRPr="00DD7686">
        <w:t xml:space="preserve"> identif</w:t>
      </w:r>
      <w:r w:rsidR="00CF4A83">
        <w:t>y</w:t>
      </w:r>
      <w:r w:rsidRPr="00DD7686">
        <w:t xml:space="preserve"> a case where a free exercise issue was decided, </w:t>
      </w:r>
      <w:r w:rsidR="000C567C" w:rsidRPr="00DD7686">
        <w:t>then code</w:t>
      </w:r>
      <w:r w:rsidR="00CF4A83">
        <w:t xml:space="preserve"> it</w:t>
      </w:r>
      <w:r w:rsidR="000C567C" w:rsidRPr="00DD7686">
        <w:t xml:space="preserve"> the case on four different variables:</w:t>
      </w:r>
    </w:p>
    <w:p w14:paraId="26D18C39" w14:textId="6FE52D2F" w:rsidR="00DB2374" w:rsidRPr="00DD7686" w:rsidRDefault="003C46F0" w:rsidP="00F45102">
      <w:pPr>
        <w:pStyle w:val="ListParagraph"/>
        <w:numPr>
          <w:ilvl w:val="1"/>
          <w:numId w:val="9"/>
        </w:numPr>
      </w:pPr>
      <w:r w:rsidRPr="00CF4A83">
        <w:t>Religion of claimant</w:t>
      </w:r>
      <w:r w:rsidR="003557AE">
        <w:t>.</w:t>
      </w:r>
      <w:r w:rsidRPr="00DD7686">
        <w:t xml:space="preserve"> </w:t>
      </w:r>
      <w:r w:rsidR="00CF4A83">
        <w:t>N</w:t>
      </w:r>
      <w:r w:rsidR="00DC29E4" w:rsidRPr="00DD7686">
        <w:t xml:space="preserve">ame </w:t>
      </w:r>
      <w:r w:rsidR="00BF2739" w:rsidRPr="00DD7686">
        <w:t xml:space="preserve">the religion based on a broad categorization or as stated in the text. For example, Protestant, Catholic, Muslim, Hindu, Buddhist, </w:t>
      </w:r>
      <w:r w:rsidR="00CF4A83">
        <w:t>a</w:t>
      </w:r>
      <w:r w:rsidR="00BF2739" w:rsidRPr="00DD7686">
        <w:t>gnostic/</w:t>
      </w:r>
      <w:r w:rsidR="00CF4A83">
        <w:t>a</w:t>
      </w:r>
      <w:r w:rsidR="00BF2739" w:rsidRPr="00DD7686">
        <w:t xml:space="preserve">theist, Jewish, </w:t>
      </w:r>
      <w:r w:rsidR="00937296" w:rsidRPr="00DD7686">
        <w:t xml:space="preserve">Christian (general), or </w:t>
      </w:r>
      <w:r w:rsidR="00CF4A83">
        <w:t>u</w:t>
      </w:r>
      <w:r w:rsidR="00937296" w:rsidRPr="00DD7686">
        <w:t>nspecified.</w:t>
      </w:r>
      <w:r w:rsidR="00DB2374" w:rsidRPr="00DD7686">
        <w:rPr>
          <w:rStyle w:val="FootnoteReference"/>
        </w:rPr>
        <w:footnoteReference w:id="1"/>
      </w:r>
    </w:p>
    <w:p w14:paraId="4F7E0D0A" w14:textId="2A65CF04" w:rsidR="00937296" w:rsidRPr="00DD7686" w:rsidRDefault="00937296" w:rsidP="00F45102">
      <w:pPr>
        <w:pStyle w:val="ListParagraph"/>
        <w:numPr>
          <w:ilvl w:val="1"/>
          <w:numId w:val="9"/>
        </w:numPr>
      </w:pPr>
      <w:r w:rsidRPr="00CF4A83">
        <w:t>Religious belief</w:t>
      </w:r>
      <w:r w:rsidR="00DE19DB">
        <w:t>.</w:t>
      </w:r>
      <w:r w:rsidRPr="00DD7686">
        <w:t xml:space="preserve"> </w:t>
      </w:r>
      <w:r w:rsidR="00CF4A83">
        <w:t>Use t</w:t>
      </w:r>
      <w:r w:rsidRPr="00DD7686">
        <w:t>his category if no religious affiliation was specified in the case, but a particular religious belief was.</w:t>
      </w:r>
    </w:p>
    <w:p w14:paraId="3D21B7DE" w14:textId="7BC07CF8" w:rsidR="0073044C" w:rsidRPr="00DD7686" w:rsidRDefault="0073044C" w:rsidP="00F45102">
      <w:pPr>
        <w:pStyle w:val="ListParagraph"/>
        <w:numPr>
          <w:ilvl w:val="1"/>
          <w:numId w:val="9"/>
        </w:numPr>
      </w:pPr>
      <w:r w:rsidRPr="00CF4A83">
        <w:t xml:space="preserve">Test </w:t>
      </w:r>
      <w:r w:rsidR="00A2524D" w:rsidRPr="00F45102">
        <w:t>u</w:t>
      </w:r>
      <w:r w:rsidRPr="00CF4A83">
        <w:t>sed</w:t>
      </w:r>
      <w:r w:rsidR="00DE19DB">
        <w:t>.</w:t>
      </w:r>
      <w:r w:rsidRPr="00DD7686">
        <w:t xml:space="preserve"> </w:t>
      </w:r>
      <w:r w:rsidR="00CF4A83">
        <w:t>M</w:t>
      </w:r>
      <w:r w:rsidRPr="00DD7686">
        <w:t xml:space="preserve">ark 1 when the test used </w:t>
      </w:r>
      <w:r w:rsidR="00C849BC" w:rsidRPr="00DD7686">
        <w:t xml:space="preserve">scrutinized the government justification for an action that burdened religious exercise. </w:t>
      </w:r>
      <w:r w:rsidR="00CF4A83">
        <w:t>Use</w:t>
      </w:r>
      <w:r w:rsidR="00C849BC" w:rsidRPr="00DD7686">
        <w:t xml:space="preserve"> the following list of potential key words that would suggest this type of test was used: </w:t>
      </w:r>
      <w:r w:rsidR="009807EB" w:rsidRPr="00F45102">
        <w:rPr>
          <w:i/>
          <w:iCs/>
        </w:rPr>
        <w:t>balancing</w:t>
      </w:r>
      <w:r w:rsidR="009807EB" w:rsidRPr="00DD7686">
        <w:t xml:space="preserve">, </w:t>
      </w:r>
      <w:r w:rsidR="009807EB" w:rsidRPr="00F45102">
        <w:rPr>
          <w:i/>
          <w:iCs/>
        </w:rPr>
        <w:t>strict scrutiny</w:t>
      </w:r>
      <w:r w:rsidR="009807EB" w:rsidRPr="00DD7686">
        <w:t xml:space="preserve">, </w:t>
      </w:r>
      <w:r w:rsidR="009807EB" w:rsidRPr="00F45102">
        <w:rPr>
          <w:i/>
          <w:iCs/>
        </w:rPr>
        <w:t>least restrictive means</w:t>
      </w:r>
      <w:r w:rsidR="009807EB" w:rsidRPr="00DD7686">
        <w:t xml:space="preserve">, </w:t>
      </w:r>
      <w:r w:rsidR="009807EB" w:rsidRPr="00F45102">
        <w:rPr>
          <w:i/>
          <w:iCs/>
        </w:rPr>
        <w:t>compelling state interest</w:t>
      </w:r>
      <w:r w:rsidR="009807EB" w:rsidRPr="00DD7686">
        <w:t xml:space="preserve">, </w:t>
      </w:r>
      <w:r w:rsidR="009807EB" w:rsidRPr="00F45102">
        <w:rPr>
          <w:i/>
          <w:iCs/>
        </w:rPr>
        <w:t>heightened scrutiny</w:t>
      </w:r>
      <w:r w:rsidR="009807EB" w:rsidRPr="00DD7686">
        <w:t xml:space="preserve">, </w:t>
      </w:r>
      <w:r w:rsidR="009807EB" w:rsidRPr="00F45102">
        <w:rPr>
          <w:i/>
          <w:iCs/>
        </w:rPr>
        <w:t>substantial burden</w:t>
      </w:r>
      <w:r w:rsidR="009807EB" w:rsidRPr="00DD7686">
        <w:t xml:space="preserve">, </w:t>
      </w:r>
      <w:r w:rsidR="009807EB" w:rsidRPr="00F45102">
        <w:rPr>
          <w:i/>
          <w:iCs/>
        </w:rPr>
        <w:t>targeting</w:t>
      </w:r>
      <w:r w:rsidR="009807EB" w:rsidRPr="00DD7686">
        <w:t xml:space="preserve">, Yoder, Sherbert. If the test used gave deference to the governmental interest and asserted justification for burdening religious exercise, assigned </w:t>
      </w:r>
      <w:r w:rsidR="003019A8" w:rsidRPr="00DD7686">
        <w:t xml:space="preserve">a 0. Some key words for this category include </w:t>
      </w:r>
      <w:r w:rsidR="003019A8" w:rsidRPr="00F45102">
        <w:rPr>
          <w:i/>
          <w:iCs/>
        </w:rPr>
        <w:lastRenderedPageBreak/>
        <w:t>neutral</w:t>
      </w:r>
      <w:r w:rsidR="003019A8" w:rsidRPr="00DD7686">
        <w:t xml:space="preserve"> and </w:t>
      </w:r>
      <w:r w:rsidR="003019A8" w:rsidRPr="00F45102">
        <w:rPr>
          <w:i/>
          <w:iCs/>
        </w:rPr>
        <w:t>generally applicable law</w:t>
      </w:r>
      <w:r w:rsidR="003019A8" w:rsidRPr="00DD7686">
        <w:t xml:space="preserve">, </w:t>
      </w:r>
      <w:r w:rsidR="003019A8" w:rsidRPr="00F45102">
        <w:rPr>
          <w:i/>
          <w:iCs/>
        </w:rPr>
        <w:t>Employment Division v. Smith</w:t>
      </w:r>
      <w:r w:rsidR="003019A8" w:rsidRPr="00DD7686">
        <w:t xml:space="preserve">, </w:t>
      </w:r>
      <w:r w:rsidR="003019A8" w:rsidRPr="00F45102">
        <w:rPr>
          <w:i/>
          <w:iCs/>
        </w:rPr>
        <w:t>deference to government</w:t>
      </w:r>
      <w:r w:rsidR="003019A8" w:rsidRPr="00DD7686">
        <w:t xml:space="preserve">, and </w:t>
      </w:r>
      <w:r w:rsidR="003019A8" w:rsidRPr="00F45102">
        <w:rPr>
          <w:i/>
          <w:iCs/>
        </w:rPr>
        <w:t>incidental burden</w:t>
      </w:r>
      <w:r w:rsidR="003019A8" w:rsidRPr="00DD7686">
        <w:t xml:space="preserve">. </w:t>
      </w:r>
      <w:r w:rsidR="006D3C08">
        <w:t>I</w:t>
      </w:r>
      <w:r w:rsidR="003019A8" w:rsidRPr="00DD7686">
        <w:t xml:space="preserve">f the opinion focused on </w:t>
      </w:r>
      <w:r w:rsidR="00EB6BF3" w:rsidRPr="00DD7686">
        <w:t>why the religious belief was insincere, mark this variable as NA.</w:t>
      </w:r>
    </w:p>
    <w:p w14:paraId="63A04D2D" w14:textId="361C202C" w:rsidR="00EB6BF3" w:rsidRPr="00DD7686" w:rsidRDefault="00EB6BF3" w:rsidP="00F45102">
      <w:pPr>
        <w:pStyle w:val="ListParagraph"/>
        <w:numPr>
          <w:ilvl w:val="1"/>
          <w:numId w:val="9"/>
        </w:numPr>
      </w:pPr>
      <w:r w:rsidRPr="00CF4A83">
        <w:t>Outcome</w:t>
      </w:r>
      <w:r w:rsidR="00DE19DB">
        <w:t>.</w:t>
      </w:r>
      <w:r w:rsidRPr="00DD7686">
        <w:t xml:space="preserve"> </w:t>
      </w:r>
      <w:r w:rsidR="00CF4A83">
        <w:t>M</w:t>
      </w:r>
      <w:r w:rsidRPr="00DD7686">
        <w:t>ark</w:t>
      </w:r>
      <w:r w:rsidR="00A2524D" w:rsidRPr="00DD7686">
        <w:t xml:space="preserve"> 1, denoting</w:t>
      </w:r>
      <w:r w:rsidRPr="00DD7686">
        <w:t xml:space="preserve"> the outcome as success</w:t>
      </w:r>
      <w:r w:rsidR="00A2524D" w:rsidRPr="00DD7686">
        <w:t>,</w:t>
      </w:r>
      <w:r w:rsidRPr="00DD7686">
        <w:t xml:space="preserve"> if any part of the </w:t>
      </w:r>
      <w:r w:rsidR="00E57CC4" w:rsidRPr="00DD7686">
        <w:t>religious claimant’s</w:t>
      </w:r>
      <w:r w:rsidRPr="00DD7686">
        <w:t xml:space="preserve"> </w:t>
      </w:r>
      <w:r w:rsidR="005E7D3B" w:rsidRPr="00DD7686">
        <w:t>claim</w:t>
      </w:r>
      <w:r w:rsidRPr="00DD7686">
        <w:t xml:space="preserve"> in the case succeeded. For example, if the government had two compelling interest</w:t>
      </w:r>
      <w:r w:rsidR="00A2524D" w:rsidRPr="00DD7686">
        <w:t>s</w:t>
      </w:r>
      <w:r w:rsidRPr="00DD7686">
        <w:t xml:space="preserve"> found to be narrowly tailored, but the </w:t>
      </w:r>
      <w:r w:rsidR="00CF4A83">
        <w:t>c</w:t>
      </w:r>
      <w:r w:rsidRPr="00DD7686">
        <w:t>ourt found that a final interest was not narrowly tailored</w:t>
      </w:r>
      <w:r w:rsidR="00FB45B9" w:rsidRPr="00DD7686">
        <w:t xml:space="preserve"> and therefore unconstitutionally burdened claimant’s religious exercise, this would be marked as a 1 on the outcome.</w:t>
      </w:r>
      <w:r w:rsidR="00A2524D" w:rsidRPr="00DD7686">
        <w:t xml:space="preserve"> </w:t>
      </w:r>
      <w:r w:rsidR="00CF4A83">
        <w:t>A</w:t>
      </w:r>
      <w:r w:rsidR="00A2524D" w:rsidRPr="00DD7686">
        <w:t xml:space="preserve">ssign a 0 to cases where all of the religious claimant’s claims were unsuccessful. </w:t>
      </w:r>
    </w:p>
    <w:p w14:paraId="2EB3F900" w14:textId="34C7D6E4" w:rsidR="00FB45B9" w:rsidRPr="00DD7686" w:rsidRDefault="00FB45B9" w:rsidP="00F45102">
      <w:pPr>
        <w:pStyle w:val="ListParagraph"/>
        <w:numPr>
          <w:ilvl w:val="1"/>
          <w:numId w:val="9"/>
        </w:numPr>
      </w:pPr>
      <w:r w:rsidRPr="00CF4A83">
        <w:t>Notes</w:t>
      </w:r>
      <w:r w:rsidR="00DE19DB">
        <w:t>.</w:t>
      </w:r>
      <w:r w:rsidRPr="00DD7686">
        <w:t xml:space="preserve"> </w:t>
      </w:r>
      <w:r w:rsidR="00CF4A83">
        <w:t>In t</w:t>
      </w:r>
      <w:r w:rsidRPr="00DD7686">
        <w:t>his final column</w:t>
      </w:r>
      <w:r w:rsidR="00CF4A83">
        <w:t>,</w:t>
      </w:r>
      <w:r w:rsidRPr="00DD7686">
        <w:t xml:space="preserve"> flag any borderline or otherwise irregular cases that the author could </w:t>
      </w:r>
      <w:r w:rsidR="003D7DD2" w:rsidRPr="00DD7686">
        <w:t>assist in coding.</w:t>
      </w:r>
    </w:p>
    <w:p w14:paraId="66387B90" w14:textId="29908F94" w:rsidR="002D4795" w:rsidRPr="00DD7686" w:rsidRDefault="002D4795" w:rsidP="00F45102">
      <w:r w:rsidRPr="00DD7686">
        <w:t xml:space="preserve">As they coded through each case, coders were encouraged to ask questions on the federal sample of </w:t>
      </w:r>
      <w:r w:rsidR="006D3C08">
        <w:t>five hundred</w:t>
      </w:r>
      <w:r w:rsidRPr="00DD7686">
        <w:t xml:space="preserve"> cases.</w:t>
      </w:r>
    </w:p>
    <w:p w14:paraId="378C50D1" w14:textId="77777777" w:rsidR="009C399C" w:rsidRPr="00DD7686" w:rsidRDefault="009C399C" w:rsidP="00EB5016">
      <w:pPr>
        <w:pStyle w:val="ListParagraph"/>
        <w:ind w:left="1440"/>
      </w:pPr>
    </w:p>
    <w:p w14:paraId="36A879C4" w14:textId="351A1C3F" w:rsidR="002D4795" w:rsidRPr="00F45102" w:rsidRDefault="006D3C08" w:rsidP="00F45102">
      <w:pPr>
        <w:rPr>
          <w:b/>
          <w:bCs/>
        </w:rPr>
      </w:pPr>
      <w:r w:rsidRPr="006D3C08">
        <w:rPr>
          <w:color w:val="FF0000"/>
        </w:rPr>
        <w:t>&lt;H2&gt;</w:t>
      </w:r>
      <w:r w:rsidR="00545FC0" w:rsidRPr="006D3C08">
        <w:t>Validation Checks</w:t>
      </w:r>
      <w:r w:rsidRPr="006D3C08">
        <w:rPr>
          <w:color w:val="FF0000"/>
        </w:rPr>
        <w:t>&lt;/H2&gt;</w:t>
      </w:r>
      <w:r w:rsidR="00545FC0" w:rsidRPr="00F45102">
        <w:rPr>
          <w:b/>
          <w:bCs/>
          <w:color w:val="FF0000"/>
        </w:rPr>
        <w:t xml:space="preserve"> </w:t>
      </w:r>
    </w:p>
    <w:p w14:paraId="47E06FED" w14:textId="2ED83B86" w:rsidR="00D51278" w:rsidRPr="00DD7686" w:rsidRDefault="006D3C08" w:rsidP="00F45102">
      <w:pPr>
        <w:rPr>
          <w:b/>
          <w:bCs/>
        </w:rPr>
      </w:pPr>
      <w:r>
        <w:t>I</w:t>
      </w:r>
      <w:r w:rsidR="00895783" w:rsidRPr="00DD7686">
        <w:t xml:space="preserve"> independently coded all 3,311 state cases and then sent a randomized sample of 499 cases to the law student coders from the state case law dataset. </w:t>
      </w:r>
      <w:r w:rsidR="003765C3" w:rsidRPr="00DD7686">
        <w:t xml:space="preserve">After completing the random sample of </w:t>
      </w:r>
      <w:r>
        <w:t xml:space="preserve">five hundred </w:t>
      </w:r>
      <w:r w:rsidR="003765C3" w:rsidRPr="00DD7686">
        <w:t xml:space="preserve">federal cases, the three law student coders were then asked to complete the state sample of </w:t>
      </w:r>
      <w:r w:rsidR="00B206F7" w:rsidRPr="00DD7686">
        <w:t xml:space="preserve">499 cases that could be used to compare with </w:t>
      </w:r>
      <w:r>
        <w:t>my</w:t>
      </w:r>
      <w:r w:rsidR="00B206F7" w:rsidRPr="00DD7686">
        <w:t xml:space="preserve"> coding. </w:t>
      </w:r>
      <w:r w:rsidR="002B19D1" w:rsidRPr="00DD7686">
        <w:t xml:space="preserve">Because students had already worked through the federal dataset, they were told not to ask </w:t>
      </w:r>
      <w:r>
        <w:t>me</w:t>
      </w:r>
      <w:r w:rsidR="002B19D1" w:rsidRPr="00DD7686">
        <w:t xml:space="preserve"> any additional questions on the state dataset so coding could be done independently by the student coders and the author.</w:t>
      </w:r>
    </w:p>
    <w:p w14:paraId="00813F18" w14:textId="64D1B5D0" w:rsidR="00914F12" w:rsidRPr="00914F12" w:rsidRDefault="00895783" w:rsidP="00DD7686">
      <w:pPr>
        <w:ind w:firstLine="720"/>
      </w:pPr>
      <w:r w:rsidRPr="00DD7686">
        <w:lastRenderedPageBreak/>
        <w:t xml:space="preserve">Once student coders completed the state sample, their categories were compared to </w:t>
      </w:r>
      <w:r w:rsidR="006D3C08">
        <w:t>my</w:t>
      </w:r>
      <w:r w:rsidRPr="00DD7686">
        <w:t xml:space="preserve"> coding. Across the 499 cases, </w:t>
      </w:r>
      <w:r w:rsidR="008D79D9" w:rsidRPr="00DD7686">
        <w:t>there was agreement in 397 between author and law student coding.</w:t>
      </w:r>
      <w:r w:rsidR="009E37F4" w:rsidRPr="00DD7686">
        <w:t xml:space="preserve"> This is just under 80</w:t>
      </w:r>
      <w:r w:rsidR="006D3C08">
        <w:t xml:space="preserve"> percent</w:t>
      </w:r>
      <w:r w:rsidR="009E37F4" w:rsidRPr="00DD7686">
        <w:t xml:space="preserve"> agreement. When disagreements did arise, </w:t>
      </w:r>
      <w:r w:rsidR="006D3C08">
        <w:t>I</w:t>
      </w:r>
      <w:r w:rsidR="009E37F4" w:rsidRPr="00DD7686">
        <w:t xml:space="preserve"> checked </w:t>
      </w:r>
      <w:r w:rsidR="006D3C08">
        <w:t>my</w:t>
      </w:r>
      <w:r w:rsidR="009E37F4" w:rsidRPr="00DD7686">
        <w:t xml:space="preserve"> coding against </w:t>
      </w:r>
      <w:r w:rsidR="006D3C08">
        <w:t xml:space="preserve">that of </w:t>
      </w:r>
      <w:r w:rsidR="009E37F4" w:rsidRPr="00DD7686">
        <w:t>the students</w:t>
      </w:r>
      <w:r w:rsidR="00F45102">
        <w:t xml:space="preserve"> and</w:t>
      </w:r>
      <w:r w:rsidR="004B134D" w:rsidRPr="00DD7686">
        <w:t xml:space="preserve"> discuss</w:t>
      </w:r>
      <w:r w:rsidR="006D3C08">
        <w:t>ed</w:t>
      </w:r>
      <w:r w:rsidR="004B134D" w:rsidRPr="00DD7686">
        <w:t xml:space="preserve"> the case with the student</w:t>
      </w:r>
      <w:r w:rsidR="009E37F4" w:rsidRPr="00DD7686">
        <w:t xml:space="preserve"> as needed. Generally, disagreements arose over what test was applied. For example, </w:t>
      </w:r>
      <w:r w:rsidR="0085254B" w:rsidRPr="00DD7686">
        <w:t>some cases applied both deference and scrutiny in different parts of the case. In these instances, the case was marked as scrutiny of government</w:t>
      </w:r>
      <w:r w:rsidR="004B134D" w:rsidRPr="00DD7686">
        <w:t xml:space="preserve"> even though deference may have also been present. </w:t>
      </w:r>
    </w:p>
    <w:sectPr w:rsidR="00914F12" w:rsidRPr="00914F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021A" w14:textId="77777777" w:rsidR="008938DC" w:rsidRDefault="008938DC" w:rsidP="008463C3">
      <w:r>
        <w:separator/>
      </w:r>
    </w:p>
  </w:endnote>
  <w:endnote w:type="continuationSeparator" w:id="0">
    <w:p w14:paraId="6D339F39" w14:textId="77777777" w:rsidR="008938DC" w:rsidRDefault="008938DC" w:rsidP="008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B84BA" w14:textId="77777777" w:rsidR="008938DC" w:rsidRDefault="008938DC" w:rsidP="008463C3">
      <w:r>
        <w:separator/>
      </w:r>
    </w:p>
  </w:footnote>
  <w:footnote w:type="continuationSeparator" w:id="0">
    <w:p w14:paraId="2EFDBCBF" w14:textId="77777777" w:rsidR="008938DC" w:rsidRDefault="008938DC" w:rsidP="008463C3">
      <w:r>
        <w:continuationSeparator/>
      </w:r>
    </w:p>
  </w:footnote>
  <w:footnote w:id="1">
    <w:p w14:paraId="06BF291C" w14:textId="43D86589" w:rsidR="00DB2374" w:rsidRPr="00CF4A83" w:rsidRDefault="00DB2374" w:rsidP="00DB2374">
      <w:pPr>
        <w:pStyle w:val="FootnoteText"/>
        <w:rPr>
          <w:sz w:val="24"/>
          <w:szCs w:val="24"/>
        </w:rPr>
      </w:pPr>
      <w:r w:rsidRPr="00CF4A83">
        <w:rPr>
          <w:rStyle w:val="FootnoteReference"/>
          <w:sz w:val="24"/>
          <w:szCs w:val="24"/>
        </w:rPr>
        <w:footnoteRef/>
      </w:r>
      <w:r w:rsidRPr="00CF4A83">
        <w:rPr>
          <w:sz w:val="24"/>
          <w:szCs w:val="24"/>
        </w:rPr>
        <w:t xml:space="preserve"> </w:t>
      </w:r>
      <w:r w:rsidR="006D3C08" w:rsidRPr="006D3C08">
        <w:rPr>
          <w:sz w:val="24"/>
          <w:szCs w:val="24"/>
        </w:rPr>
        <w:t xml:space="preserve">Because some coders were unfamiliar with several </w:t>
      </w:r>
      <w:r w:rsidR="004512EB">
        <w:rPr>
          <w:sz w:val="24"/>
          <w:szCs w:val="24"/>
        </w:rPr>
        <w:t>P</w:t>
      </w:r>
      <w:r w:rsidR="006D3C08" w:rsidRPr="006D3C08">
        <w:rPr>
          <w:sz w:val="24"/>
          <w:szCs w:val="24"/>
        </w:rPr>
        <w:t xml:space="preserve">rotestant denominations, </w:t>
      </w:r>
      <w:r w:rsidR="006D3C08" w:rsidRPr="004070EC">
        <w:rPr>
          <w:sz w:val="24"/>
          <w:szCs w:val="24"/>
        </w:rPr>
        <w:t>I</w:t>
      </w:r>
      <w:r w:rsidR="006D3C08" w:rsidRPr="006D3C08">
        <w:rPr>
          <w:sz w:val="24"/>
          <w:szCs w:val="24"/>
        </w:rPr>
        <w:t xml:space="preserve"> also </w:t>
      </w:r>
      <w:r w:rsidR="006D3C08" w:rsidRPr="004070EC">
        <w:rPr>
          <w:sz w:val="24"/>
          <w:szCs w:val="24"/>
        </w:rPr>
        <w:t>provided</w:t>
      </w:r>
      <w:r w:rsidR="006D3C08" w:rsidRPr="006D3C08">
        <w:rPr>
          <w:sz w:val="24"/>
          <w:szCs w:val="24"/>
        </w:rPr>
        <w:t xml:space="preserve"> a link to </w:t>
      </w:r>
      <w:r w:rsidR="004512EB">
        <w:rPr>
          <w:sz w:val="24"/>
          <w:szCs w:val="24"/>
        </w:rPr>
        <w:t>resource within a</w:t>
      </w:r>
      <w:r w:rsidR="006D3C08" w:rsidRPr="006D3C08">
        <w:rPr>
          <w:sz w:val="24"/>
          <w:szCs w:val="24"/>
        </w:rPr>
        <w:t xml:space="preserve"> Pew </w:t>
      </w:r>
      <w:r w:rsidR="006D3C08" w:rsidRPr="004070EC">
        <w:rPr>
          <w:sz w:val="24"/>
          <w:szCs w:val="24"/>
        </w:rPr>
        <w:t>Research Center r</w:t>
      </w:r>
      <w:r w:rsidR="006D3C08" w:rsidRPr="006D3C08">
        <w:rPr>
          <w:sz w:val="24"/>
          <w:szCs w:val="24"/>
        </w:rPr>
        <w:t xml:space="preserve">eport </w:t>
      </w:r>
      <w:r w:rsidR="004512EB">
        <w:rPr>
          <w:sz w:val="24"/>
          <w:szCs w:val="24"/>
        </w:rPr>
        <w:t>that classifies</w:t>
      </w:r>
      <w:r w:rsidR="006D3C08" w:rsidRPr="006D3C08">
        <w:rPr>
          <w:sz w:val="24"/>
          <w:szCs w:val="24"/>
        </w:rPr>
        <w:t xml:space="preserve"> sub-traditions within Protestantism.</w:t>
      </w:r>
      <w:r w:rsidR="006D3C08">
        <w:rPr>
          <w:i/>
          <w:iCs/>
          <w:sz w:val="24"/>
          <w:szCs w:val="24"/>
        </w:rPr>
        <w:t xml:space="preserve"> </w:t>
      </w:r>
      <w:r w:rsidRPr="00CF4A83">
        <w:rPr>
          <w:i/>
          <w:iCs/>
          <w:sz w:val="24"/>
          <w:szCs w:val="24"/>
        </w:rPr>
        <w:t>Appendix B: Classification of Protestant Denominations</w:t>
      </w:r>
      <w:r w:rsidRPr="00CF4A83">
        <w:rPr>
          <w:sz w:val="24"/>
          <w:szCs w:val="24"/>
        </w:rPr>
        <w:t xml:space="preserve">, </w:t>
      </w:r>
      <w:r w:rsidRPr="00CF4A83">
        <w:rPr>
          <w:i/>
          <w:iCs/>
          <w:sz w:val="24"/>
          <w:szCs w:val="24"/>
        </w:rPr>
        <w:t xml:space="preserve">in </w:t>
      </w:r>
      <w:r w:rsidRPr="00CF4A83">
        <w:rPr>
          <w:smallCaps/>
          <w:sz w:val="24"/>
          <w:szCs w:val="24"/>
        </w:rPr>
        <w:t>America’s Changing Religious Landscape</w:t>
      </w:r>
      <w:r w:rsidRPr="00CF4A83">
        <w:rPr>
          <w:sz w:val="24"/>
          <w:szCs w:val="24"/>
        </w:rPr>
        <w:t xml:space="preserve">, </w:t>
      </w:r>
      <w:r w:rsidRPr="00CF4A83">
        <w:rPr>
          <w:smallCaps/>
          <w:sz w:val="24"/>
          <w:szCs w:val="24"/>
        </w:rPr>
        <w:t>Pew Research Center</w:t>
      </w:r>
      <w:r w:rsidRPr="00CF4A83">
        <w:rPr>
          <w:sz w:val="24"/>
          <w:szCs w:val="24"/>
        </w:rPr>
        <w:t xml:space="preserve"> (May 12, 2015)</w:t>
      </w:r>
      <w:r w:rsidR="00A2524D" w:rsidRPr="00CF4A83">
        <w:rPr>
          <w:sz w:val="24"/>
          <w:szCs w:val="24"/>
        </w:rPr>
        <w:t>,</w:t>
      </w:r>
      <w:r w:rsidRPr="00CF4A83">
        <w:rPr>
          <w:sz w:val="24"/>
          <w:szCs w:val="24"/>
        </w:rPr>
        <w:t xml:space="preserve"> </w:t>
      </w:r>
      <w:r w:rsidR="004070EC" w:rsidRPr="004070EC">
        <w:rPr>
          <w:sz w:val="24"/>
          <w:szCs w:val="24"/>
        </w:rPr>
        <w:t>https://www.pewresearch.org/religion/2015/05/12/appendix-b-classification-of-protestant-denominations/</w:t>
      </w:r>
      <w:r w:rsidRPr="00CF4A83">
        <w:rPr>
          <w:sz w:val="24"/>
          <w:szCs w:val="24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1B45"/>
    <w:multiLevelType w:val="multilevel"/>
    <w:tmpl w:val="7BAA8F3C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F4FFB"/>
    <w:multiLevelType w:val="hybridMultilevel"/>
    <w:tmpl w:val="65A4BD44"/>
    <w:lvl w:ilvl="0" w:tplc="0D5A806E">
      <w:start w:val="1"/>
      <w:numFmt w:val="upperLetter"/>
      <w:pStyle w:val="TOCsections"/>
      <w:lvlText w:val="%1."/>
      <w:lvlJc w:val="left"/>
      <w:pPr>
        <w:ind w:left="1080" w:hanging="360"/>
      </w:pPr>
      <w:rPr>
        <w:rFonts w:hint="default"/>
      </w:rPr>
    </w:lvl>
    <w:lvl w:ilvl="1" w:tplc="52784E8E">
      <w:start w:val="1"/>
      <w:numFmt w:val="decimal"/>
      <w:pStyle w:val="TOCsubsection1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95A65"/>
    <w:multiLevelType w:val="multilevel"/>
    <w:tmpl w:val="A7E2132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6A50F1"/>
    <w:multiLevelType w:val="hybridMultilevel"/>
    <w:tmpl w:val="82243528"/>
    <w:lvl w:ilvl="0" w:tplc="C394A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6D7A83C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C5C9D"/>
    <w:multiLevelType w:val="hybridMultilevel"/>
    <w:tmpl w:val="70D402A4"/>
    <w:lvl w:ilvl="0" w:tplc="B6B617FA">
      <w:start w:val="1"/>
      <w:numFmt w:val="upperRoman"/>
      <w:pStyle w:val="TOCparts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95737">
    <w:abstractNumId w:val="4"/>
  </w:num>
  <w:num w:numId="2" w16cid:durableId="480924894">
    <w:abstractNumId w:val="1"/>
  </w:num>
  <w:num w:numId="3" w16cid:durableId="869681820">
    <w:abstractNumId w:val="1"/>
  </w:num>
  <w:num w:numId="4" w16cid:durableId="2033914118">
    <w:abstractNumId w:val="4"/>
  </w:num>
  <w:num w:numId="5" w16cid:durableId="1331954857">
    <w:abstractNumId w:val="1"/>
  </w:num>
  <w:num w:numId="6" w16cid:durableId="1930387390">
    <w:abstractNumId w:val="4"/>
  </w:num>
  <w:num w:numId="7" w16cid:durableId="1949698892">
    <w:abstractNumId w:val="1"/>
  </w:num>
  <w:num w:numId="8" w16cid:durableId="2027245670">
    <w:abstractNumId w:val="1"/>
  </w:num>
  <w:num w:numId="9" w16cid:durableId="67921607">
    <w:abstractNumId w:val="3"/>
  </w:num>
  <w:num w:numId="10" w16cid:durableId="1313372199">
    <w:abstractNumId w:val="0"/>
  </w:num>
  <w:num w:numId="11" w16cid:durableId="1364208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409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12"/>
    <w:rsid w:val="000175E3"/>
    <w:rsid w:val="000368D3"/>
    <w:rsid w:val="00045D02"/>
    <w:rsid w:val="00060711"/>
    <w:rsid w:val="0008042F"/>
    <w:rsid w:val="000A3DD7"/>
    <w:rsid w:val="000C567C"/>
    <w:rsid w:val="00145838"/>
    <w:rsid w:val="00176931"/>
    <w:rsid w:val="001A7231"/>
    <w:rsid w:val="001D669B"/>
    <w:rsid w:val="00243865"/>
    <w:rsid w:val="002547AA"/>
    <w:rsid w:val="00264DB6"/>
    <w:rsid w:val="00274078"/>
    <w:rsid w:val="002762E2"/>
    <w:rsid w:val="00290AC2"/>
    <w:rsid w:val="002A6094"/>
    <w:rsid w:val="002B09A7"/>
    <w:rsid w:val="002B19D1"/>
    <w:rsid w:val="002C6AEC"/>
    <w:rsid w:val="002D4795"/>
    <w:rsid w:val="002E5415"/>
    <w:rsid w:val="003019A8"/>
    <w:rsid w:val="00335CFF"/>
    <w:rsid w:val="003504AF"/>
    <w:rsid w:val="003557AE"/>
    <w:rsid w:val="003630DD"/>
    <w:rsid w:val="003765C3"/>
    <w:rsid w:val="0038040F"/>
    <w:rsid w:val="00394EE1"/>
    <w:rsid w:val="003A55D8"/>
    <w:rsid w:val="003C46F0"/>
    <w:rsid w:val="003D7DD2"/>
    <w:rsid w:val="00404E83"/>
    <w:rsid w:val="004070EC"/>
    <w:rsid w:val="00432668"/>
    <w:rsid w:val="00440B96"/>
    <w:rsid w:val="0044273B"/>
    <w:rsid w:val="00444FDB"/>
    <w:rsid w:val="00450B84"/>
    <w:rsid w:val="004512EB"/>
    <w:rsid w:val="0045385C"/>
    <w:rsid w:val="004B134D"/>
    <w:rsid w:val="00545FC0"/>
    <w:rsid w:val="00562A3D"/>
    <w:rsid w:val="005E0CFE"/>
    <w:rsid w:val="005E7D3B"/>
    <w:rsid w:val="005F4F87"/>
    <w:rsid w:val="0064786C"/>
    <w:rsid w:val="0066419C"/>
    <w:rsid w:val="006D3C08"/>
    <w:rsid w:val="0071523D"/>
    <w:rsid w:val="0073044C"/>
    <w:rsid w:val="00762F1A"/>
    <w:rsid w:val="00783900"/>
    <w:rsid w:val="007B2030"/>
    <w:rsid w:val="007E274F"/>
    <w:rsid w:val="007F5747"/>
    <w:rsid w:val="008463C3"/>
    <w:rsid w:val="0085254B"/>
    <w:rsid w:val="00856F1B"/>
    <w:rsid w:val="00864346"/>
    <w:rsid w:val="008860B0"/>
    <w:rsid w:val="008938DC"/>
    <w:rsid w:val="00895783"/>
    <w:rsid w:val="008A3EF7"/>
    <w:rsid w:val="008D79D9"/>
    <w:rsid w:val="008E1723"/>
    <w:rsid w:val="00914F12"/>
    <w:rsid w:val="00937296"/>
    <w:rsid w:val="009807EB"/>
    <w:rsid w:val="009914F3"/>
    <w:rsid w:val="009C399C"/>
    <w:rsid w:val="009E2AC9"/>
    <w:rsid w:val="009E37F4"/>
    <w:rsid w:val="00A17853"/>
    <w:rsid w:val="00A2524D"/>
    <w:rsid w:val="00A7521B"/>
    <w:rsid w:val="00A96CF5"/>
    <w:rsid w:val="00AE1739"/>
    <w:rsid w:val="00B206F7"/>
    <w:rsid w:val="00B81D47"/>
    <w:rsid w:val="00B94DCC"/>
    <w:rsid w:val="00BC1F12"/>
    <w:rsid w:val="00BF2739"/>
    <w:rsid w:val="00C17DAF"/>
    <w:rsid w:val="00C32874"/>
    <w:rsid w:val="00C62E7D"/>
    <w:rsid w:val="00C74F4E"/>
    <w:rsid w:val="00C849BC"/>
    <w:rsid w:val="00CE7B27"/>
    <w:rsid w:val="00CF4A83"/>
    <w:rsid w:val="00CF728D"/>
    <w:rsid w:val="00CF7C0B"/>
    <w:rsid w:val="00D03DD4"/>
    <w:rsid w:val="00D0758C"/>
    <w:rsid w:val="00D079A9"/>
    <w:rsid w:val="00D12C01"/>
    <w:rsid w:val="00D51278"/>
    <w:rsid w:val="00D80910"/>
    <w:rsid w:val="00DA4ACF"/>
    <w:rsid w:val="00DB2374"/>
    <w:rsid w:val="00DC29E4"/>
    <w:rsid w:val="00DD7686"/>
    <w:rsid w:val="00DE19DB"/>
    <w:rsid w:val="00E57CC4"/>
    <w:rsid w:val="00EB5016"/>
    <w:rsid w:val="00EB57E6"/>
    <w:rsid w:val="00EB6BF3"/>
    <w:rsid w:val="00EC6103"/>
    <w:rsid w:val="00EF4221"/>
    <w:rsid w:val="00EF664B"/>
    <w:rsid w:val="00F45102"/>
    <w:rsid w:val="00FB0CE9"/>
    <w:rsid w:val="00FB45B9"/>
    <w:rsid w:val="00FE126E"/>
    <w:rsid w:val="00FE6120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5778"/>
  <w15:chartTrackingRefBased/>
  <w15:docId w15:val="{71E2BE67-2164-1C45-A3FA-7EE236B0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86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F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F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F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F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F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F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F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Intro"/>
    <w:basedOn w:val="TOCpaper"/>
    <w:next w:val="Normal"/>
    <w:autoRedefine/>
    <w:uiPriority w:val="39"/>
    <w:semiHidden/>
    <w:unhideWhenUsed/>
    <w:rsid w:val="00D03DD4"/>
    <w:pPr>
      <w:spacing w:before="120" w:line="240" w:lineRule="auto"/>
      <w:jc w:val="left"/>
    </w:pPr>
    <w:rPr>
      <w:rFonts w:asciiTheme="minorHAnsi" w:hAnsiTheme="minorHAnsi" w:cstheme="minorHAnsi"/>
      <w:b/>
      <w:bCs/>
      <w:i/>
      <w:iCs/>
      <w:smallCaps w:val="0"/>
    </w:rPr>
  </w:style>
  <w:style w:type="paragraph" w:customStyle="1" w:styleId="TOCpaper">
    <w:name w:val="TOC_paper"/>
    <w:basedOn w:val="Normal"/>
    <w:next w:val="Normal"/>
    <w:qFormat/>
    <w:rsid w:val="00CF728D"/>
    <w:pPr>
      <w:jc w:val="center"/>
    </w:pPr>
    <w:rPr>
      <w:rFonts w:eastAsia="Times New Roman"/>
      <w:smallCaps/>
    </w:rPr>
  </w:style>
  <w:style w:type="paragraph" w:customStyle="1" w:styleId="TOCparts">
    <w:name w:val="TOC_parts"/>
    <w:basedOn w:val="ListParagraph"/>
    <w:next w:val="TOCpaper"/>
    <w:qFormat/>
    <w:rsid w:val="0066419C"/>
    <w:pPr>
      <w:numPr>
        <w:numId w:val="6"/>
      </w:numPr>
    </w:pPr>
    <w:rPr>
      <w:rFonts w:eastAsia="Times New Roman"/>
      <w:smallCaps/>
    </w:rPr>
  </w:style>
  <w:style w:type="paragraph" w:styleId="ListParagraph">
    <w:name w:val="List Paragraph"/>
    <w:basedOn w:val="Normal"/>
    <w:uiPriority w:val="34"/>
    <w:qFormat/>
    <w:rsid w:val="00CF728D"/>
    <w:pPr>
      <w:ind w:left="720"/>
      <w:contextualSpacing/>
    </w:pPr>
  </w:style>
  <w:style w:type="paragraph" w:customStyle="1" w:styleId="TOCsections">
    <w:name w:val="TOC_sections"/>
    <w:basedOn w:val="ListParagraph"/>
    <w:next w:val="TOCparts"/>
    <w:qFormat/>
    <w:rsid w:val="0066419C"/>
    <w:pPr>
      <w:numPr>
        <w:numId w:val="8"/>
      </w:numPr>
    </w:pPr>
    <w:rPr>
      <w:rFonts w:eastAsia="Times New Roman"/>
      <w:i/>
      <w:iCs/>
    </w:rPr>
  </w:style>
  <w:style w:type="paragraph" w:customStyle="1" w:styleId="TOCsubsection1">
    <w:name w:val="TOC_subsection1"/>
    <w:basedOn w:val="ListParagraph"/>
    <w:next w:val="TOCsections"/>
    <w:qFormat/>
    <w:rsid w:val="0066419C"/>
    <w:pPr>
      <w:numPr>
        <w:ilvl w:val="1"/>
        <w:numId w:val="8"/>
      </w:numPr>
    </w:pPr>
    <w:rPr>
      <w:rFonts w:eastAsia="Times New Roman"/>
      <w:iCs/>
    </w:rPr>
  </w:style>
  <w:style w:type="paragraph" w:styleId="TOC2">
    <w:name w:val="toc 2"/>
    <w:aliases w:val="Level 1"/>
    <w:basedOn w:val="TOCparts"/>
    <w:next w:val="Normal"/>
    <w:autoRedefine/>
    <w:uiPriority w:val="39"/>
    <w:semiHidden/>
    <w:unhideWhenUsed/>
    <w:rsid w:val="0066419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aliases w:val="Level 2"/>
    <w:basedOn w:val="TOCsections"/>
    <w:next w:val="Normal"/>
    <w:autoRedefine/>
    <w:uiPriority w:val="39"/>
    <w:semiHidden/>
    <w:unhideWhenUsed/>
    <w:rsid w:val="0066419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aliases w:val="Level 3"/>
    <w:basedOn w:val="TOCsubsection1"/>
    <w:next w:val="Normal"/>
    <w:autoRedefine/>
    <w:uiPriority w:val="39"/>
    <w:semiHidden/>
    <w:unhideWhenUsed/>
    <w:rsid w:val="0066419C"/>
    <w:pPr>
      <w:ind w:left="720"/>
    </w:pPr>
    <w:rPr>
      <w:rFonts w:asciiTheme="minorHAnsi" w:hAnsiTheme="minorHAnsi"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F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F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F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F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F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F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F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F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F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F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F1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14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F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A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3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3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3C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B5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16"/>
    <w:rPr>
      <w:b/>
      <w:bCs/>
      <w:sz w:val="20"/>
      <w:szCs w:val="20"/>
    </w:rPr>
  </w:style>
  <w:style w:type="numbering" w:customStyle="1" w:styleId="CurrentList1">
    <w:name w:val="Current List1"/>
    <w:uiPriority w:val="99"/>
    <w:rsid w:val="00243865"/>
    <w:pPr>
      <w:numPr>
        <w:numId w:val="10"/>
      </w:numPr>
    </w:pPr>
  </w:style>
  <w:style w:type="numbering" w:customStyle="1" w:styleId="CurrentList2">
    <w:name w:val="Current List2"/>
    <w:uiPriority w:val="99"/>
    <w:rsid w:val="00243865"/>
    <w:pPr>
      <w:numPr>
        <w:numId w:val="11"/>
      </w:numPr>
    </w:pPr>
  </w:style>
  <w:style w:type="paragraph" w:styleId="Revision">
    <w:name w:val="Revision"/>
    <w:hidden/>
    <w:uiPriority w:val="99"/>
    <w:semiHidden/>
    <w:rsid w:val="00A2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rley@uchicag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8A69B7-165E-2C48-8B75-DEDF415E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Earley</dc:creator>
  <cp:keywords/>
  <dc:description/>
  <cp:lastModifiedBy>Ellen Wert</cp:lastModifiedBy>
  <cp:revision>2</cp:revision>
  <dcterms:created xsi:type="dcterms:W3CDTF">2024-08-29T13:56:00Z</dcterms:created>
  <dcterms:modified xsi:type="dcterms:W3CDTF">2024-08-29T13:56:00Z</dcterms:modified>
</cp:coreProperties>
</file>