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F227" w14:textId="03AD6566" w:rsidR="00D50689" w:rsidRPr="00293FB6" w:rsidRDefault="007E317A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293FB6">
        <w:rPr>
          <w:rFonts w:ascii="Times New Roman" w:hAnsi="Times New Roman" w:cs="Times New Roman"/>
          <w:sz w:val="20"/>
          <w:szCs w:val="20"/>
        </w:rPr>
        <w:t>Online Appendix for “</w:t>
      </w:r>
      <w:r w:rsidRPr="00293FB6">
        <w:rPr>
          <w:rFonts w:ascii="Times New Roman" w:hAnsi="Times New Roman" w:cs="Times New Roman"/>
          <w:color w:val="000000"/>
          <w:sz w:val="20"/>
          <w:szCs w:val="20"/>
        </w:rPr>
        <w:t>The Role of Pre-and Post-Birth Factors in the Transmission of Political Engagement”</w:t>
      </w:r>
    </w:p>
    <w:p w14:paraId="044B1E58" w14:textId="77777777" w:rsidR="007E317A" w:rsidRDefault="007E317A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B05741E" w14:textId="77777777" w:rsidR="000E2BAB" w:rsidRDefault="000E2BA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3905A34A" w14:textId="12CE03B9" w:rsidR="000E2BAB" w:rsidRPr="00A3057C" w:rsidRDefault="000E2BAB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A3057C">
        <w:rPr>
          <w:rFonts w:ascii="Times New Roman" w:hAnsi="Times New Roman" w:cs="Times New Roman"/>
          <w:b/>
          <w:bCs/>
          <w:color w:val="000000"/>
          <w:sz w:val="20"/>
          <w:szCs w:val="20"/>
        </w:rPr>
        <w:t>Empirical Approach</w:t>
      </w:r>
    </w:p>
    <w:p w14:paraId="1C3FCC67" w14:textId="77777777" w:rsidR="000E2BAB" w:rsidRDefault="000E2BA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1F03D366" w14:textId="40E8E58A" w:rsidR="000E2BAB" w:rsidRPr="00A3057C" w:rsidRDefault="000E2BAB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Following </w:t>
      </w:r>
      <w:r w:rsidRPr="000E2BAB">
        <w:rPr>
          <w:rFonts w:ascii="Times New Roman" w:hAnsi="Times New Roman" w:cs="Times New Roman"/>
          <w:color w:val="000000"/>
          <w:sz w:val="20"/>
          <w:szCs w:val="20"/>
        </w:rPr>
        <w:t>Oskarsson et al. (2022)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A3057C">
        <w:rPr>
          <w:rFonts w:ascii="Times New Roman" w:hAnsi="Times New Roman" w:cs="Times New Roman"/>
          <w:color w:val="000000"/>
          <w:sz w:val="20"/>
          <w:szCs w:val="20"/>
        </w:rPr>
        <w:t>the</w:t>
      </w:r>
      <w:r w:rsidR="00217B0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17B00" w:rsidRPr="000E2BAB">
        <w:rPr>
          <w:rFonts w:ascii="Times New Roman" w:hAnsi="Times New Roman" w:cs="Times New Roman"/>
          <w:color w:val="000000"/>
          <w:sz w:val="20"/>
          <w:szCs w:val="20"/>
        </w:rPr>
        <w:t>overall</w:t>
      </w:r>
      <w:r w:rsidR="00217B00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17B00" w:rsidRPr="000E2BAB">
        <w:rPr>
          <w:rFonts w:ascii="Times New Roman" w:hAnsi="Times New Roman" w:cs="Times New Roman"/>
          <w:color w:val="000000"/>
          <w:sz w:val="20"/>
          <w:szCs w:val="20"/>
        </w:rPr>
        <w:t xml:space="preserve">transmission of </w:t>
      </w:r>
      <w:r w:rsidR="00217B00">
        <w:rPr>
          <w:rFonts w:ascii="Times New Roman" w:hAnsi="Times New Roman" w:cs="Times New Roman"/>
          <w:color w:val="000000"/>
          <w:sz w:val="20"/>
          <w:szCs w:val="20"/>
        </w:rPr>
        <w:t xml:space="preserve">political engagement, captured by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1</m:t>
            </m:r>
          </m:sub>
        </m:sSub>
      </m:oMath>
      <w:r w:rsidR="00217B00">
        <w:rPr>
          <w:rFonts w:ascii="Times New Roman" w:hAnsi="Times New Roman" w:cs="Times New Roman"/>
          <w:color w:val="000000"/>
          <w:sz w:val="20"/>
          <w:szCs w:val="20"/>
        </w:rPr>
        <w:t xml:space="preserve"> in equation 1</w:t>
      </w:r>
      <w:r w:rsidR="00AE646B">
        <w:rPr>
          <w:rFonts w:ascii="Times New Roman" w:hAnsi="Times New Roman" w:cs="Times New Roman"/>
          <w:color w:val="000000"/>
          <w:sz w:val="20"/>
          <w:szCs w:val="20"/>
        </w:rPr>
        <w:t xml:space="preserve"> below</w:t>
      </w:r>
      <w:r w:rsidR="00217B00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A3057C">
        <w:rPr>
          <w:rFonts w:ascii="Times New Roman" w:hAnsi="Times New Roman" w:cs="Times New Roman"/>
          <w:color w:val="000000"/>
          <w:sz w:val="20"/>
          <w:szCs w:val="20"/>
        </w:rPr>
        <w:t xml:space="preserve">could be estimated using a </w:t>
      </w:r>
      <w:r w:rsidR="00A3057C" w:rsidRPr="00A3057C">
        <w:rPr>
          <w:rFonts w:ascii="Times New Roman" w:hAnsi="Times New Roman"/>
          <w:color w:val="000000"/>
          <w:sz w:val="20"/>
          <w:szCs w:val="20"/>
        </w:rPr>
        <w:t>sample of nonadopted children and</w:t>
      </w:r>
      <w:r w:rsidR="00A3057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A3057C" w:rsidRPr="00A3057C">
        <w:rPr>
          <w:rFonts w:ascii="Times New Roman" w:hAnsi="Times New Roman" w:cs="Times New Roman"/>
          <w:color w:val="000000"/>
          <w:sz w:val="20"/>
          <w:szCs w:val="20"/>
        </w:rPr>
        <w:t>their parents</w:t>
      </w:r>
      <w:r w:rsidR="00AE646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3057C">
        <w:rPr>
          <w:rFonts w:ascii="Times New Roman" w:hAnsi="Times New Roman" w:cs="Times New Roman"/>
          <w:color w:val="000000"/>
          <w:sz w:val="20"/>
          <w:szCs w:val="20"/>
        </w:rPr>
        <w:t xml:space="preserve">by </w:t>
      </w:r>
      <w:r w:rsidRPr="000E2BAB">
        <w:rPr>
          <w:rFonts w:ascii="Times New Roman" w:hAnsi="Times New Roman" w:cs="Times New Roman"/>
          <w:color w:val="000000"/>
          <w:sz w:val="20"/>
          <w:szCs w:val="20"/>
        </w:rPr>
        <w:t>regress</w:t>
      </w:r>
      <w:r w:rsidR="00217B00">
        <w:rPr>
          <w:rFonts w:ascii="Times New Roman" w:hAnsi="Times New Roman" w:cs="Times New Roman"/>
          <w:color w:val="000000"/>
          <w:sz w:val="20"/>
          <w:szCs w:val="20"/>
        </w:rPr>
        <w:t>ing</w:t>
      </w:r>
      <w:r w:rsidRPr="000E2BAB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political engagement of a child from family </w:t>
      </w:r>
      <w:r w:rsidR="00217B00" w:rsidRPr="00217B00">
        <w:rPr>
          <w:rFonts w:ascii="Times New Roman" w:hAnsi="Times New Roman" w:cs="Times New Roman"/>
          <w:i/>
          <w:iCs/>
          <w:color w:val="000000"/>
          <w:sz w:val="20"/>
          <w:szCs w:val="20"/>
        </w:rPr>
        <w:t>i</w:t>
      </w:r>
      <w:r w:rsidRPr="00217B00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(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c</m:t>
            </m:r>
          </m:sup>
        </m:sSubSup>
        <m:r>
          <w:rPr>
            <w:rFonts w:ascii="Cambria Math" w:eastAsiaTheme="minorEastAsia" w:hAnsi="Cambria Math" w:cs="Times New Roman"/>
            <w:color w:val="000000"/>
            <w:sz w:val="20"/>
            <w:szCs w:val="20"/>
          </w:rPr>
          <m:t xml:space="preserve">) </m:t>
        </m:r>
      </m:oMath>
      <w:r w:rsidRPr="000E2BAB">
        <w:rPr>
          <w:rFonts w:ascii="Times New Roman" w:hAnsi="Times New Roman" w:cs="Times New Roman"/>
          <w:color w:val="000000"/>
          <w:sz w:val="20"/>
          <w:szCs w:val="20"/>
        </w:rPr>
        <w:t>on the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17B00">
        <w:rPr>
          <w:rFonts w:ascii="Times New Roman" w:hAnsi="Times New Roman" w:cs="Times New Roman"/>
          <w:color w:val="000000"/>
          <w:sz w:val="20"/>
          <w:szCs w:val="20"/>
        </w:rPr>
        <w:t>political engagement</w:t>
      </w:r>
      <w:r w:rsidRPr="000E2BAB">
        <w:rPr>
          <w:rFonts w:ascii="Times New Roman" w:hAnsi="Times New Roman" w:cs="Times New Roman"/>
          <w:color w:val="000000"/>
          <w:sz w:val="20"/>
          <w:szCs w:val="20"/>
        </w:rPr>
        <w:t xml:space="preserve"> of her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17B00">
        <w:rPr>
          <w:rFonts w:ascii="Times New Roman" w:hAnsi="Times New Roman" w:cs="Times New Roman"/>
          <w:color w:val="000000"/>
          <w:sz w:val="20"/>
          <w:szCs w:val="20"/>
        </w:rPr>
        <w:t>biological parents (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i</m:t>
            </m:r>
          </m:sub>
          <m:sup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bp</m:t>
            </m:r>
          </m:sup>
        </m:sSubSup>
        <m:r>
          <w:rPr>
            <w:rFonts w:ascii="Cambria Math" w:hAnsi="Times New Roman" w:cs="Times New Roman"/>
            <w:color w:val="000000"/>
            <w:sz w:val="20"/>
            <w:szCs w:val="20"/>
          </w:rPr>
          <m:t>)</m:t>
        </m:r>
      </m:oMath>
      <w:r w:rsidR="00217B0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F5D5A72" w14:textId="77777777" w:rsidR="000E2BAB" w:rsidRDefault="000E2BAB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E104897" w14:textId="20FC0869" w:rsidR="000E2BAB" w:rsidRDefault="00000000" w:rsidP="000E2BAB">
      <w:pPr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j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c</m:t>
            </m:r>
          </m:sup>
        </m:sSubSup>
        <m:r>
          <w:rPr>
            <w:rFonts w:ascii="Cambria Math" w:eastAsiaTheme="minorEastAsia" w:hAnsi="Cambria Math" w:cs="Times New Roman"/>
            <w:color w:val="000000"/>
            <w:sz w:val="20"/>
            <w:szCs w:val="20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color w:val="000000"/>
            <w:sz w:val="20"/>
            <w:szCs w:val="20"/>
          </w:rPr>
          <m:t>+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1</m:t>
            </m:r>
          </m:sub>
        </m:sSub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y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bp</m:t>
            </m:r>
          </m:sup>
        </m:sSubSup>
        <m:r>
          <w:rPr>
            <w:rFonts w:ascii="Cambria Math" w:eastAsiaTheme="minorEastAsia" w:hAnsi="Cambria Math" w:cs="Times New Roman"/>
            <w:color w:val="000000"/>
            <w:sz w:val="20"/>
            <w:szCs w:val="20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color w:val="000000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ϵ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i</m:t>
            </m:r>
          </m:sub>
          <m:sup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c</m:t>
            </m:r>
          </m:sup>
        </m:sSubSup>
      </m:oMath>
      <w:r w:rsidR="000E2BAB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(1)</w:t>
      </w:r>
    </w:p>
    <w:p w14:paraId="75FBB0AF" w14:textId="77777777" w:rsidR="00217B00" w:rsidRDefault="00217B00" w:rsidP="000E2BAB">
      <w:pPr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</w:rPr>
      </w:pPr>
    </w:p>
    <w:p w14:paraId="0BBE87E1" w14:textId="68D24759" w:rsidR="00217B00" w:rsidRDefault="00A3057C" w:rsidP="00217B00">
      <w:pPr>
        <w:rPr>
          <w:rFonts w:ascii="Times New Roman" w:eastAsiaTheme="minorEastAsia" w:hAnsi="Times New Roman" w:cs="Times New Roman"/>
          <w:color w:val="000000"/>
          <w:sz w:val="20"/>
          <w:szCs w:val="20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</w:rPr>
        <w:t>Further,</w:t>
      </w:r>
      <w:r w:rsidR="00217B00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</w:rPr>
        <w:t>the</w:t>
      </w:r>
      <w:r w:rsidR="00217B00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overall transmission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of political engagement could be decomposed </w:t>
      </w:r>
      <w:r w:rsidR="00217B00">
        <w:rPr>
          <w:rFonts w:ascii="Times New Roman" w:eastAsiaTheme="minorEastAsia" w:hAnsi="Times New Roman" w:cs="Times New Roman"/>
          <w:color w:val="000000"/>
          <w:sz w:val="20"/>
          <w:szCs w:val="20"/>
        </w:rPr>
        <w:t>into pre-birth</w:t>
      </w:r>
      <w:r w:rsidR="00574AC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</w:t>
      </w:r>
      <w:r w:rsidR="00217B00">
        <w:rPr>
          <w:rFonts w:ascii="Times New Roman" w:eastAsiaTheme="minorEastAsia" w:hAnsi="Times New Roman" w:cs="Times New Roman"/>
          <w:color w:val="000000"/>
          <w:sz w:val="20"/>
          <w:szCs w:val="20"/>
        </w:rPr>
        <w:t>and post-birth effects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by analyzing</w:t>
      </w:r>
      <w:r w:rsidR="00574AC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</w:rPr>
        <w:t>a</w:t>
      </w:r>
      <w:r w:rsidR="00217B00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sample of adoptees and their biological and adoptive parents </w:t>
      </w:r>
      <w:r w:rsidR="003D08CE">
        <w:rPr>
          <w:rFonts w:ascii="Times New Roman" w:eastAsiaTheme="minorEastAsia" w:hAnsi="Times New Roman" w:cs="Times New Roman"/>
          <w:color w:val="000000"/>
          <w:sz w:val="20"/>
          <w:szCs w:val="20"/>
        </w:rPr>
        <w:t>(</w:t>
      </w:r>
      <w:r w:rsidR="00217B00">
        <w:rPr>
          <w:rFonts w:ascii="Times New Roman" w:eastAsiaTheme="minorEastAsia" w:hAnsi="Times New Roman" w:cs="Times New Roman"/>
          <w:color w:val="000000"/>
          <w:sz w:val="20"/>
          <w:szCs w:val="20"/>
        </w:rPr>
        <w:t>equation 2</w:t>
      </w:r>
      <w:r w:rsidR="003D08CE">
        <w:rPr>
          <w:rFonts w:ascii="Times New Roman" w:eastAsiaTheme="minorEastAsia" w:hAnsi="Times New Roman" w:cs="Times New Roman"/>
          <w:color w:val="000000"/>
          <w:sz w:val="20"/>
          <w:szCs w:val="20"/>
        </w:rPr>
        <w:t>)</w:t>
      </w:r>
      <w:r w:rsidR="00217B00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.  In this model, </w:t>
      </w:r>
      <w:r w:rsidR="00574AC4">
        <w:rPr>
          <w:rFonts w:ascii="Times New Roman" w:eastAsiaTheme="minorEastAsia" w:hAnsi="Times New Roman" w:cs="Times New Roman"/>
          <w:color w:val="000000"/>
          <w:sz w:val="20"/>
          <w:szCs w:val="20"/>
        </w:rPr>
        <w:t>the political engagement of an adopted child is regressed on the political engagement of their biological parents (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i</m:t>
            </m:r>
          </m:sub>
          <m:sup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bp</m:t>
            </m:r>
          </m:sup>
        </m:sSubSup>
        <m:r>
          <w:rPr>
            <w:rFonts w:ascii="Cambria Math" w:hAnsi="Cambria Math" w:cs="Times New Roman"/>
            <w:color w:val="000000"/>
            <w:sz w:val="20"/>
            <w:szCs w:val="20"/>
          </w:rPr>
          <m:t>)</m:t>
        </m:r>
      </m:oMath>
      <w:r w:rsidR="00574AC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as well as the political engagement of their adoptive parents (</w:t>
      </w: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j</m:t>
            </m:r>
          </m:sub>
          <m:sup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ap</m:t>
            </m:r>
          </m:sup>
        </m:sSubSup>
        <m:r>
          <w:rPr>
            <w:rFonts w:ascii="Cambria Math" w:hAnsi="Cambria Math" w:cs="Times New Roman"/>
            <w:color w:val="000000"/>
            <w:sz w:val="20"/>
            <w:szCs w:val="20"/>
          </w:rPr>
          <m:t>)</m:t>
        </m:r>
      </m:oMath>
      <w:r w:rsidR="00574AC4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.  The pre-birth effects are captured by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0"/>
            <w:szCs w:val="20"/>
          </w:rPr>
          <m:t xml:space="preserve"> and </m:t>
        </m:r>
      </m:oMath>
      <w:r w:rsidR="00574AC4">
        <w:rPr>
          <w:rFonts w:ascii="Times New Roman" w:eastAsiaTheme="minorEastAsia" w:hAnsi="Times New Roman" w:cs="Times New Roman"/>
          <w:color w:val="000000"/>
          <w:sz w:val="20"/>
          <w:szCs w:val="20"/>
        </w:rPr>
        <w:t>the post-birth effects are captured by</w:t>
      </w:r>
      <m:oMath>
        <m:r>
          <w:rPr>
            <w:rFonts w:ascii="Cambria Math" w:eastAsiaTheme="minorEastAsia" w:hAnsi="Cambria Math" w:cs="Times New Roman"/>
            <w:color w:val="000000"/>
            <w:sz w:val="20"/>
            <w:szCs w:val="20"/>
          </w:rPr>
          <m:t xml:space="preserve">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2</m:t>
            </m:r>
          </m:sub>
        </m:sSub>
      </m:oMath>
      <w:r w:rsidR="00574AC4">
        <w:rPr>
          <w:rFonts w:ascii="Times New Roman" w:eastAsiaTheme="minorEastAsia" w:hAnsi="Times New Roman" w:cs="Times New Roman"/>
          <w:color w:val="000000"/>
          <w:sz w:val="20"/>
          <w:szCs w:val="20"/>
        </w:rPr>
        <w:t>.</w:t>
      </w:r>
    </w:p>
    <w:p w14:paraId="10C320E3" w14:textId="7D82F92E" w:rsidR="00A3057C" w:rsidRDefault="00000000" w:rsidP="00920F8C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j</m:t>
            </m:r>
          </m:sub>
          <m:sup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ac</m:t>
            </m:r>
          </m:sup>
        </m:sSubSup>
        <m:r>
          <w:rPr>
            <w:rFonts w:ascii="Cambria Math" w:hAnsi="Cambria Math" w:cs="Times New Roman"/>
            <w:color w:val="000000"/>
            <w:sz w:val="20"/>
            <w:szCs w:val="20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0</m:t>
            </m:r>
          </m:sub>
        </m:sSub>
        <m:r>
          <w:rPr>
            <w:rFonts w:ascii="Cambria Math" w:hAnsi="Cambria Math" w:cs="Times New Roman"/>
            <w:color w:val="000000"/>
            <w:sz w:val="20"/>
            <w:szCs w:val="20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1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i</m:t>
            </m:r>
          </m:sub>
          <m:sup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bp</m:t>
            </m:r>
          </m:sup>
        </m:sSubSup>
        <m:r>
          <w:rPr>
            <w:rFonts w:ascii="Cambria Math" w:hAnsi="Cambria Math" w:cs="Times New Roman"/>
            <w:color w:val="000000"/>
            <w:sz w:val="20"/>
            <w:szCs w:val="20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2</m:t>
            </m:r>
          </m:sub>
        </m:sSub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y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j</m:t>
            </m:r>
          </m:sub>
          <m:sup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ap</m:t>
            </m:r>
          </m:sup>
        </m:sSubSup>
        <m:r>
          <w:rPr>
            <w:rFonts w:ascii="Cambria Math" w:hAnsi="Cambria Math" w:cs="Times New Roman"/>
            <w:color w:val="000000"/>
            <w:sz w:val="20"/>
            <w:szCs w:val="20"/>
          </w:rPr>
          <m:t>+</m:t>
        </m:r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</w:rPr>
              <m:t>ϵ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j</m:t>
            </m:r>
          </m:sub>
          <m:sup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ac</m:t>
            </m:r>
          </m:sup>
        </m:sSubSup>
      </m:oMath>
      <w:r w:rsidR="00920F8C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(2)</w:t>
      </w:r>
    </w:p>
    <w:p w14:paraId="2DE40D21" w14:textId="77777777" w:rsidR="00920F8C" w:rsidRDefault="00920F8C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200CE681" w14:textId="68500621" w:rsidR="00312162" w:rsidRDefault="00DD4E8D">
      <w:pPr>
        <w:rPr>
          <w:rFonts w:ascii="Times New Roman" w:hAnsi="Times New Roman" w:cs="Times New Roman"/>
          <w:color w:val="000000"/>
          <w:sz w:val="20"/>
          <w:szCs w:val="20"/>
        </w:rPr>
      </w:pPr>
      <w:r w:rsidRPr="00DD4E8D">
        <w:rPr>
          <w:rFonts w:ascii="Times New Roman" w:hAnsi="Times New Roman" w:cs="Times New Roman"/>
          <w:color w:val="000000"/>
          <w:sz w:val="20"/>
          <w:szCs w:val="20"/>
        </w:rPr>
        <w:t>In most adoption studies, as is the case here, data on the biological parents of adoptees are not available.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Pr="00DD4E8D">
        <w:rPr>
          <w:rFonts w:ascii="Times New Roman" w:hAnsi="Times New Roman" w:cs="Times New Roman"/>
          <w:color w:val="000000"/>
          <w:sz w:val="20"/>
          <w:szCs w:val="20"/>
        </w:rPr>
        <w:t xml:space="preserve">In such cases, the standard approach </w:t>
      </w:r>
      <w:r w:rsidR="0053360A">
        <w:rPr>
          <w:rFonts w:ascii="Times New Roman" w:hAnsi="Times New Roman" w:cs="Times New Roman"/>
          <w:color w:val="000000"/>
          <w:sz w:val="20"/>
          <w:szCs w:val="20"/>
        </w:rPr>
        <w:t xml:space="preserve">is to </w:t>
      </w:r>
      <w:r w:rsidR="003D08CE">
        <w:rPr>
          <w:rFonts w:ascii="Times New Roman" w:hAnsi="Times New Roman" w:cs="Times New Roman"/>
          <w:color w:val="000000"/>
          <w:sz w:val="20"/>
          <w:szCs w:val="20"/>
        </w:rPr>
        <w:t xml:space="preserve">indirectly infer </w:t>
      </w:r>
      <w:r w:rsidR="003D08CE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indirectly infer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1</m:t>
            </m:r>
          </m:sub>
        </m:sSub>
      </m:oMath>
      <w:r w:rsidR="003D08CE">
        <w:rPr>
          <w:rFonts w:ascii="Times New Roman" w:hAnsi="Times New Roman" w:cs="Times New Roman"/>
          <w:color w:val="000000"/>
          <w:sz w:val="20"/>
          <w:szCs w:val="20"/>
        </w:rPr>
        <w:t xml:space="preserve"> by </w:t>
      </w:r>
      <w:r w:rsidR="0053360A">
        <w:rPr>
          <w:rFonts w:ascii="Times New Roman" w:hAnsi="Times New Roman" w:cs="Times New Roman"/>
          <w:color w:val="000000"/>
          <w:sz w:val="20"/>
          <w:szCs w:val="20"/>
        </w:rPr>
        <w:t>estimat</w:t>
      </w:r>
      <w:r w:rsidR="003D08CE">
        <w:rPr>
          <w:rFonts w:ascii="Times New Roman" w:hAnsi="Times New Roman" w:cs="Times New Roman"/>
          <w:color w:val="000000"/>
          <w:sz w:val="20"/>
          <w:szCs w:val="20"/>
        </w:rPr>
        <w:t>ing</w:t>
      </w:r>
      <w:r w:rsidR="0053360A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1</m:t>
            </m:r>
          </m:sub>
        </m:sSub>
      </m:oMath>
      <w:r w:rsidR="0053360A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in a sample of </w:t>
      </w:r>
      <w:r w:rsidR="003D08CE">
        <w:rPr>
          <w:rFonts w:ascii="Times New Roman" w:eastAsiaTheme="minorEastAsia" w:hAnsi="Times New Roman" w:cs="Times New Roman"/>
          <w:color w:val="000000"/>
          <w:sz w:val="20"/>
          <w:szCs w:val="20"/>
        </w:rPr>
        <w:t>biological families</w:t>
      </w:r>
      <w:r w:rsidR="0053360A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and </w:t>
      </w:r>
      <w:r w:rsidR="003D08CE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estimating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2</m:t>
            </m:r>
          </m:sub>
        </m:sSub>
      </m:oMath>
      <w:r w:rsidR="003D08CE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based on a sample of adoptive families.  </w:t>
      </w:r>
      <w:r w:rsidR="003D08CE">
        <w:rPr>
          <w:rFonts w:ascii="Times New Roman" w:hAnsi="Times New Roman" w:cs="Times New Roman"/>
          <w:color w:val="000000"/>
          <w:sz w:val="20"/>
          <w:szCs w:val="20"/>
        </w:rPr>
        <w:t>Since sample we analyze (SIBS) for this study is made up of adopted children and their adoptive parents as well as nonadopted children and their biological parents, we follow</w:t>
      </w:r>
      <w:r w:rsidRPr="00DD4E8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3D08CE" w:rsidRPr="000E2BAB">
        <w:rPr>
          <w:rFonts w:ascii="Times New Roman" w:hAnsi="Times New Roman" w:cs="Times New Roman"/>
          <w:color w:val="000000"/>
          <w:sz w:val="20"/>
          <w:szCs w:val="20"/>
        </w:rPr>
        <w:t>Oskarsson et al. (2022)</w:t>
      </w:r>
      <w:r w:rsidR="003D08CE">
        <w:rPr>
          <w:rFonts w:ascii="Times New Roman" w:hAnsi="Times New Roman" w:cs="Times New Roman"/>
          <w:color w:val="000000"/>
          <w:sz w:val="20"/>
          <w:szCs w:val="20"/>
        </w:rPr>
        <w:t xml:space="preserve"> in using </w:t>
      </w:r>
      <w:r w:rsidRPr="00DD4E8D">
        <w:rPr>
          <w:rFonts w:ascii="Times New Roman" w:hAnsi="Times New Roman" w:cs="Times New Roman"/>
          <w:color w:val="000000"/>
          <w:sz w:val="20"/>
          <w:szCs w:val="20"/>
        </w:rPr>
        <w:t xml:space="preserve">the </w:t>
      </w:r>
      <w:r w:rsidR="003D08CE">
        <w:rPr>
          <w:rFonts w:ascii="Times New Roman" w:hAnsi="Times New Roman" w:cs="Times New Roman"/>
          <w:color w:val="000000"/>
          <w:sz w:val="20"/>
          <w:szCs w:val="20"/>
        </w:rPr>
        <w:t xml:space="preserve">following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interaction </w:t>
      </w:r>
      <w:r w:rsidRPr="00DD4E8D">
        <w:rPr>
          <w:rFonts w:ascii="Times New Roman" w:hAnsi="Times New Roman" w:cs="Times New Roman"/>
          <w:color w:val="000000"/>
          <w:sz w:val="20"/>
          <w:szCs w:val="20"/>
        </w:rPr>
        <w:t>model</w:t>
      </w:r>
      <w:r w:rsidR="003D08CE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13B34B45" w14:textId="77777777" w:rsidR="00DA3A9E" w:rsidRDefault="00DA3A9E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0764C88" w14:textId="21345638" w:rsidR="000A7429" w:rsidRDefault="00000000" w:rsidP="000A7429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m:oMath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  <w:vertAlign w:val="superscript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y</m:t>
            </m:r>
            <m:ctrl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c</m:t>
            </m:r>
          </m:sup>
        </m:sSubSup>
        <m:r>
          <w:rPr>
            <w:rFonts w:ascii="Cambria Math" w:hAnsi="Cambria Math" w:cs="Times New Roman"/>
            <w:color w:val="000000"/>
            <w:sz w:val="20"/>
            <w:szCs w:val="20"/>
            <w:vertAlign w:val="superscript"/>
          </w:rPr>
          <m:t>=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  <w:vertAlign w:val="superscript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β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0</m:t>
            </m:r>
          </m:sub>
        </m:sSub>
        <m:r>
          <w:rPr>
            <w:rFonts w:ascii="Cambria Math" w:hAnsi="Cambria Math" w:cs="Times New Roman"/>
            <w:color w:val="000000"/>
            <w:sz w:val="20"/>
            <w:szCs w:val="20"/>
            <w:vertAlign w:val="superscript"/>
          </w:rPr>
          <m:t>+ 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  <w:vertAlign w:val="super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β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0"/>
            <w:szCs w:val="20"/>
            <w:vertAlign w:val="superscript"/>
          </w:rPr>
          <m:t> </m:t>
        </m:r>
        <m:r>
          <m:rPr>
            <m:sty m:val="p"/>
          </m:rPr>
          <w:rPr>
            <w:rFonts w:ascii="Cambria Math" w:hAnsi="Cambria Math" w:cs="Times New Roman"/>
            <w:color w:val="000000"/>
            <w:sz w:val="20"/>
            <w:szCs w:val="20"/>
            <w:vertAlign w:val="superscript"/>
          </w:rPr>
          <m:t>Bi</m:t>
        </m:r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  <w:vertAlign w:val="superscript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o</m:t>
            </m:r>
            <m:ctrl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c</m:t>
            </m:r>
          </m:sup>
        </m:sSubSup>
        <m:r>
          <w:rPr>
            <w:rFonts w:ascii="Cambria Math" w:hAnsi="Cambria Math" w:cs="Times New Roman"/>
            <w:color w:val="000000"/>
            <w:sz w:val="20"/>
            <w:szCs w:val="20"/>
            <w:vertAlign w:val="superscript"/>
          </w:rPr>
          <m:t> + 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  <w:vertAlign w:val="super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β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0"/>
            <w:szCs w:val="20"/>
            <w:vertAlign w:val="superscript"/>
          </w:rPr>
          <m:t> </m:t>
        </m:r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  <w:vertAlign w:val="superscript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p</m:t>
            </m:r>
          </m:sup>
        </m:sSubSup>
        <m:r>
          <w:rPr>
            <w:rFonts w:ascii="Cambria Math" w:hAnsi="Cambria Math" w:cs="Times New Roman"/>
            <w:color w:val="000000"/>
            <w:sz w:val="20"/>
            <w:szCs w:val="20"/>
            <w:vertAlign w:val="superscript"/>
          </w:rPr>
          <m:t> + 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  <w:vertAlign w:val="superscript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β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3</m:t>
            </m:r>
          </m:sub>
        </m:sSub>
        <m:r>
          <w:rPr>
            <w:rFonts w:ascii="Cambria Math" w:hAnsi="Cambria Math" w:cs="Times New Roman"/>
            <w:color w:val="000000"/>
            <w:sz w:val="20"/>
            <w:szCs w:val="20"/>
            <w:vertAlign w:val="superscript"/>
          </w:rPr>
          <m:t> </m:t>
        </m:r>
        <m:r>
          <m:rPr>
            <m:sty m:val="p"/>
          </m:rPr>
          <w:rPr>
            <w:rFonts w:ascii="Cambria Math" w:hAnsi="Cambria Math" w:cs="Times New Roman"/>
            <w:color w:val="000000"/>
            <w:sz w:val="20"/>
            <w:szCs w:val="20"/>
            <w:vertAlign w:val="superscript"/>
          </w:rPr>
          <m:t>Bi</m:t>
        </m:r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  <w:vertAlign w:val="superscript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o</m:t>
            </m:r>
            <m:ctrl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c</m:t>
            </m:r>
          </m:sup>
        </m:sSubSup>
        <m:r>
          <w:rPr>
            <w:rFonts w:ascii="Cambria Math" w:hAnsi="Cambria Math" w:cs="Times New Roman"/>
            <w:color w:val="000000"/>
            <w:sz w:val="20"/>
            <w:szCs w:val="20"/>
            <w:vertAlign w:val="superscript"/>
          </w:rPr>
          <m:t> </m:t>
        </m:r>
        <m:r>
          <m:rPr>
            <m:sty m:val="p"/>
          </m:rPr>
          <w:rPr>
            <w:rFonts w:ascii="Cambria Math" w:hAnsi="Cambria Math" w:cs="Times New Roman"/>
            <w:color w:val="000000"/>
            <w:sz w:val="20"/>
            <w:szCs w:val="20"/>
            <w:vertAlign w:val="superscript"/>
          </w:rPr>
          <m:t>×</m:t>
        </m:r>
        <m:r>
          <w:rPr>
            <w:rFonts w:ascii="Cambria Math" w:hAnsi="Cambria Math" w:cs="Times New Roman"/>
            <w:color w:val="000000"/>
            <w:sz w:val="20"/>
            <w:szCs w:val="20"/>
            <w:vertAlign w:val="superscript"/>
          </w:rPr>
          <m:t> </m:t>
        </m:r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  <w:vertAlign w:val="superscript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p</m:t>
            </m:r>
          </m:sup>
        </m:sSubSup>
        <m:r>
          <w:rPr>
            <w:rFonts w:ascii="Cambria Math" w:hAnsi="Cambria Math" w:cs="Times New Roman"/>
            <w:color w:val="000000"/>
            <w:sz w:val="20"/>
            <w:szCs w:val="20"/>
            <w:vertAlign w:val="superscript"/>
          </w:rPr>
          <m:t> + </m:t>
        </m:r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  <w:vertAlign w:val="superscript"/>
              </w:rPr>
            </m:ctrlPr>
          </m:sSubSupPr>
          <m:e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ϵ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j</m:t>
            </m:r>
          </m:sub>
          <m:sup>
            <m:r>
              <m:rPr>
                <m:sty m:val="p"/>
              </m:r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c</m:t>
            </m:r>
          </m:sup>
        </m:sSubSup>
      </m:oMath>
      <w:r w:rsidR="000A742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 </w:t>
      </w:r>
      <w:r w:rsidR="000A7429">
        <w:rPr>
          <w:rFonts w:ascii="Times New Roman" w:hAnsi="Times New Roman" w:cs="Times New Roman"/>
          <w:color w:val="000000"/>
          <w:sz w:val="20"/>
          <w:szCs w:val="20"/>
        </w:rPr>
        <w:t>(3)</w:t>
      </w:r>
    </w:p>
    <w:p w14:paraId="277F3B5C" w14:textId="77777777" w:rsidR="000A7429" w:rsidRDefault="000A7429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6FCD4E7B" w14:textId="140590B4" w:rsidR="000A7429" w:rsidRPr="000A7429" w:rsidRDefault="00A3057C" w:rsidP="00D27481">
      <w:pPr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w</w:t>
      </w:r>
      <w:r w:rsidR="001829F6">
        <w:rPr>
          <w:rFonts w:ascii="Times New Roman" w:hAnsi="Times New Roman" w:cs="Times New Roman"/>
          <w:color w:val="000000"/>
          <w:sz w:val="20"/>
          <w:szCs w:val="20"/>
        </w:rPr>
        <w:t xml:space="preserve">here </w:t>
      </w:r>
      <m:oMath>
        <m:r>
          <w:rPr>
            <w:rFonts w:ascii="Cambria Math" w:hAnsi="Cambria Math" w:cs="Times New Roman"/>
            <w:color w:val="000000"/>
            <w:sz w:val="20"/>
            <w:szCs w:val="20"/>
            <w:vertAlign w:val="superscript"/>
          </w:rPr>
          <m:t>Bi</m:t>
        </m:r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o</m:t>
            </m:r>
            <m:ctrl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</m:ctrlP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j</m:t>
            </m:r>
          </m:sub>
          <m:sup>
            <m: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c</m:t>
            </m:r>
          </m:sup>
        </m:sSubSup>
      </m:oMath>
      <w:r w:rsidR="000A7429">
        <w:rPr>
          <w:rFonts w:ascii="Times New Roman" w:eastAsiaTheme="minorEastAsia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1829F6" w:rsidRPr="001829F6">
        <w:rPr>
          <w:rFonts w:ascii="Times New Roman" w:hAnsi="Times New Roman" w:cs="Times New Roman"/>
          <w:color w:val="000000"/>
          <w:sz w:val="20"/>
          <w:szCs w:val="20"/>
        </w:rPr>
        <w:t>is an indicator variable equal to 1 if a child was raised by their biological parents and 0 if they are adopted</w:t>
      </w:r>
      <w:r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DA3A9E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0A7429">
        <w:rPr>
          <w:rFonts w:ascii="Times New Roman" w:hAnsi="Times New Roman" w:cs="Times New Roman"/>
          <w:color w:val="000000"/>
          <w:sz w:val="20"/>
          <w:szCs w:val="20"/>
        </w:rPr>
        <w:t xml:space="preserve">In </w:t>
      </w:r>
      <w:r w:rsidR="00DD4E8D">
        <w:rPr>
          <w:rFonts w:ascii="Times New Roman" w:hAnsi="Times New Roman" w:cs="Times New Roman"/>
          <w:color w:val="000000"/>
          <w:sz w:val="20"/>
          <w:szCs w:val="20"/>
        </w:rPr>
        <w:t>this interaction model</w:t>
      </w:r>
      <w:r w:rsidR="001829F6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  <w:vertAlign w:val="superscript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β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2</m:t>
            </m:r>
          </m:sub>
        </m:sSub>
      </m:oMath>
      <w:r w:rsidR="001829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D4E8D" w:rsidRPr="00DD4E8D">
        <w:rPr>
          <w:rFonts w:ascii="Times New Roman" w:hAnsi="Times New Roman" w:cs="Times New Roman"/>
          <w:color w:val="000000"/>
          <w:sz w:val="20"/>
          <w:szCs w:val="20"/>
        </w:rPr>
        <w:t>represents transmission of political engagement among adoptive families</w:t>
      </w:r>
      <w:r w:rsidR="00DD4E8D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m:oMath>
        <m:r>
          <w:rPr>
            <w:rFonts w:ascii="Cambria Math" w:hAnsi="Cambria Math" w:cs="Times New Roman"/>
            <w:color w:val="000000"/>
            <w:sz w:val="20"/>
            <w:szCs w:val="20"/>
            <w:vertAlign w:val="superscript"/>
          </w:rPr>
          <m:t>Bi</m:t>
        </m:r>
        <m:sSubSup>
          <m:sSubSup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  <w:vertAlign w:val="superscript"/>
              </w:rPr>
            </m:ctrlPr>
          </m:sSubSup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o</m:t>
            </m:r>
            <m:ctrlP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</m:ctrlP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j</m:t>
            </m:r>
          </m:sub>
          <m:sup>
            <m: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c</m:t>
            </m:r>
          </m:sup>
        </m:sSubSup>
        <m:r>
          <w:rPr>
            <w:rFonts w:ascii="Cambria Math" w:hAnsi="Cambria Math" w:cs="Times New Roman"/>
            <w:color w:val="000000"/>
            <w:sz w:val="20"/>
            <w:szCs w:val="20"/>
            <w:vertAlign w:val="superscript"/>
          </w:rPr>
          <m:t>=0</m:t>
        </m:r>
      </m:oMath>
      <w:r w:rsidR="00DD4E8D">
        <w:rPr>
          <w:rFonts w:ascii="Times New Roman" w:hAnsi="Times New Roman" w:cs="Times New Roman"/>
          <w:color w:val="000000"/>
          <w:sz w:val="20"/>
          <w:szCs w:val="20"/>
        </w:rPr>
        <w:t>)</w:t>
      </w:r>
      <w:r w:rsidR="00DD4E8D" w:rsidRPr="00DD4E8D">
        <w:rPr>
          <w:rFonts w:ascii="Times New Roman" w:hAnsi="Times New Roman" w:cs="Times New Roman"/>
          <w:color w:val="000000"/>
          <w:sz w:val="20"/>
          <w:szCs w:val="20"/>
        </w:rPr>
        <w:t xml:space="preserve">, </w:t>
      </w:r>
      <w:r w:rsidR="00DD4E8D">
        <w:rPr>
          <w:rFonts w:ascii="Times New Roman" w:hAnsi="Times New Roman" w:cs="Times New Roman"/>
          <w:color w:val="000000"/>
          <w:sz w:val="20"/>
          <w:szCs w:val="20"/>
        </w:rPr>
        <w:t>directly estimating</w:t>
      </w:r>
      <w:r w:rsidR="001829F6">
        <w:rPr>
          <w:rFonts w:ascii="Times New Roman" w:hAnsi="Times New Roman" w:cs="Times New Roman"/>
          <w:color w:val="000000"/>
          <w:sz w:val="20"/>
          <w:szCs w:val="20"/>
        </w:rPr>
        <w:t xml:space="preserve"> the post-birth effec</w:t>
      </w:r>
      <w:r w:rsidR="00D27481">
        <w:rPr>
          <w:rFonts w:ascii="Times New Roman" w:hAnsi="Times New Roman" w:cs="Times New Roman"/>
          <w:color w:val="000000"/>
          <w:sz w:val="20"/>
          <w:szCs w:val="20"/>
        </w:rPr>
        <w:t xml:space="preserve">t (equal to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2</m:t>
            </m:r>
          </m:sub>
        </m:sSub>
      </m:oMath>
      <w:r w:rsidR="00D2748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27481" w:rsidRPr="00D27481">
        <w:rPr>
          <w:rFonts w:ascii="Times New Roman" w:hAnsi="Times New Roman" w:cs="Times New Roman"/>
          <w:color w:val="000000"/>
          <w:sz w:val="20"/>
          <w:szCs w:val="20"/>
        </w:rPr>
        <w:t>in</w:t>
      </w:r>
      <w:r w:rsidR="00D2748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27481" w:rsidRPr="00D27481">
        <w:rPr>
          <w:rFonts w:ascii="Times New Roman" w:hAnsi="Times New Roman" w:cs="Times New Roman"/>
          <w:color w:val="000000"/>
          <w:sz w:val="20"/>
          <w:szCs w:val="20"/>
        </w:rPr>
        <w:t>equation</w:t>
      </w:r>
      <w:r w:rsidR="00D2748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27481" w:rsidRPr="00D27481">
        <w:rPr>
          <w:rFonts w:ascii="Times New Roman" w:hAnsi="Times New Roman" w:cs="Times New Roman"/>
          <w:color w:val="000000"/>
          <w:sz w:val="20"/>
          <w:szCs w:val="20"/>
        </w:rPr>
        <w:t>2</w:t>
      </w:r>
      <w:r w:rsidR="00DD4E8D">
        <w:rPr>
          <w:rFonts w:ascii="Times New Roman" w:hAnsi="Times New Roman" w:cs="Times New Roman"/>
          <w:color w:val="000000"/>
          <w:sz w:val="20"/>
          <w:szCs w:val="20"/>
        </w:rPr>
        <w:t xml:space="preserve">) and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  <w:vertAlign w:val="superscript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β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3</m:t>
            </m:r>
          </m:sub>
        </m:sSub>
      </m:oMath>
      <w:r w:rsidR="00DD4E8D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DD4E8D" w:rsidRPr="00DD4E8D">
        <w:rPr>
          <w:rFonts w:ascii="Times New Roman" w:hAnsi="Times New Roman" w:cs="Times New Roman"/>
          <w:color w:val="000000"/>
          <w:sz w:val="20"/>
          <w:szCs w:val="20"/>
        </w:rPr>
        <w:t>represents the difference in transmission rates among adoptive and biological families</w:t>
      </w:r>
      <w:r w:rsidR="00D27481">
        <w:rPr>
          <w:rFonts w:ascii="Times New Roman" w:hAnsi="Times New Roman" w:cs="Times New Roman"/>
          <w:color w:val="000000"/>
          <w:sz w:val="20"/>
          <w:szCs w:val="20"/>
        </w:rPr>
        <w:t>.</w:t>
      </w:r>
      <w:r w:rsidR="00DD4E8D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53360A">
        <w:rPr>
          <w:rFonts w:ascii="Times New Roman" w:hAnsi="Times New Roman" w:cs="Times New Roman"/>
          <w:color w:val="000000"/>
          <w:sz w:val="20"/>
          <w:szCs w:val="20"/>
        </w:rPr>
        <w:t>Assuming</w:t>
      </w:r>
      <w:r w:rsidR="001829F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1</m:t>
            </m:r>
          </m:sub>
        </m:sSub>
        <m:r>
          <w:rPr>
            <w:rFonts w:ascii="Cambria Math" w:hAnsi="Cambria Math" w:cs="Times New Roman"/>
            <w:color w:val="000000"/>
            <w:sz w:val="20"/>
            <w:szCs w:val="20"/>
          </w:rPr>
          <m:t xml:space="preserve"> + </m:t>
        </m:r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0"/>
            <w:szCs w:val="20"/>
          </w:rPr>
          <m:t xml:space="preserve"> = </m:t>
        </m:r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1</m:t>
            </m:r>
          </m:sub>
        </m:sSub>
      </m:oMath>
      <w:r w:rsidR="001829F6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  <w:vertAlign w:val="superscript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β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  <w:vertAlign w:val="superscript"/>
              </w:rPr>
              <m:t>3</m:t>
            </m:r>
          </m:sub>
        </m:sSub>
      </m:oMath>
      <w:r w:rsidR="000A742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 </w:t>
      </w:r>
      <w:r w:rsidR="0053360A">
        <w:rPr>
          <w:rFonts w:ascii="Times New Roman" w:hAnsi="Times New Roman" w:cs="Times New Roman"/>
          <w:color w:val="000000"/>
          <w:sz w:val="20"/>
          <w:szCs w:val="20"/>
        </w:rPr>
        <w:t>captures</w:t>
      </w:r>
      <w:r w:rsidR="00DA3A9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0A7429">
        <w:rPr>
          <w:rFonts w:ascii="Times New Roman" w:hAnsi="Times New Roman" w:cs="Times New Roman"/>
          <w:color w:val="000000"/>
          <w:sz w:val="20"/>
          <w:szCs w:val="20"/>
        </w:rPr>
        <w:t>difference between the overall transmission effect (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  <w:color w:val="000000"/>
                <w:sz w:val="20"/>
                <w:szCs w:val="20"/>
              </w:rPr>
              <m:t>1</m:t>
            </m:r>
          </m:sub>
        </m:sSub>
      </m:oMath>
      <w:r w:rsidR="000A7429">
        <w:rPr>
          <w:rFonts w:ascii="Times New Roman" w:eastAsiaTheme="minorEastAsia" w:hAnsi="Times New Roman" w:cs="Times New Roman"/>
          <w:color w:val="000000"/>
          <w:sz w:val="20"/>
          <w:szCs w:val="20"/>
        </w:rPr>
        <w:t xml:space="preserve"> in equation 1) and the p</w:t>
      </w:r>
      <w:r w:rsidR="00DA3A9E">
        <w:rPr>
          <w:rFonts w:ascii="Times New Roman" w:eastAsiaTheme="minorEastAsia" w:hAnsi="Times New Roman" w:cs="Times New Roman"/>
          <w:color w:val="000000"/>
          <w:sz w:val="20"/>
          <w:szCs w:val="20"/>
        </w:rPr>
        <w:t>ost</w:t>
      </w:r>
      <w:r w:rsidR="000A7429">
        <w:rPr>
          <w:rFonts w:ascii="Times New Roman" w:eastAsiaTheme="minorEastAsia" w:hAnsi="Times New Roman" w:cs="Times New Roman"/>
          <w:color w:val="000000"/>
          <w:sz w:val="20"/>
          <w:szCs w:val="20"/>
        </w:rPr>
        <w:t>-birth effect (</w:t>
      </w:r>
      <m:oMath>
        <m:sSub>
          <m:sSubPr>
            <m:ctrlPr>
              <w:rPr>
                <w:rFonts w:ascii="Cambria Math" w:hAnsi="Cambria Math" w:cs="Times New Roman"/>
                <w:i/>
                <w:color w:val="000000"/>
                <w:sz w:val="20"/>
                <w:szCs w:val="20"/>
              </w:rPr>
            </m:ctrlPr>
          </m:sSubPr>
          <m:e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δ</m:t>
            </m:r>
          </m:e>
          <m:sub>
            <m:r>
              <w:rPr>
                <w:rFonts w:ascii="Cambria Math" w:hAnsi="Cambria Math" w:cs="Times New Roman"/>
                <w:color w:val="000000"/>
                <w:sz w:val="20"/>
                <w:szCs w:val="20"/>
              </w:rPr>
              <m:t>2</m:t>
            </m:r>
          </m:sub>
        </m:sSub>
        <m:r>
          <w:rPr>
            <w:rFonts w:ascii="Cambria Math" w:hAnsi="Cambria Math" w:cs="Times New Roman"/>
            <w:color w:val="000000"/>
            <w:sz w:val="20"/>
            <w:szCs w:val="20"/>
          </w:rPr>
          <m:t xml:space="preserve"> in equation 2</m:t>
        </m:r>
      </m:oMath>
      <w:r w:rsidR="000A7429">
        <w:rPr>
          <w:rFonts w:ascii="Times New Roman" w:eastAsiaTheme="minorEastAsia" w:hAnsi="Times New Roman" w:cs="Times New Roman"/>
          <w:color w:val="000000"/>
          <w:sz w:val="20"/>
          <w:szCs w:val="20"/>
        </w:rPr>
        <w:t>)</w:t>
      </w:r>
      <w:r w:rsidR="00920F8C">
        <w:rPr>
          <w:rFonts w:ascii="Times New Roman" w:eastAsiaTheme="minorEastAsia" w:hAnsi="Times New Roman" w:cs="Times New Roman"/>
          <w:color w:val="000000"/>
          <w:sz w:val="20"/>
          <w:szCs w:val="20"/>
        </w:rPr>
        <w:t>, which is an indirect measure of the pre-birth effect</w:t>
      </w:r>
      <w:r w:rsidR="000A7429">
        <w:rPr>
          <w:rFonts w:ascii="Times New Roman" w:eastAsiaTheme="minorEastAsia" w:hAnsi="Times New Roman" w:cs="Times New Roman"/>
          <w:color w:val="000000"/>
          <w:sz w:val="20"/>
          <w:szCs w:val="20"/>
        </w:rPr>
        <w:t>.</w:t>
      </w:r>
      <w:r>
        <w:rPr>
          <w:rStyle w:val="FootnoteReference"/>
          <w:rFonts w:ascii="Times New Roman" w:hAnsi="Times New Roman" w:cs="Times New Roman"/>
          <w:color w:val="000000"/>
          <w:sz w:val="20"/>
          <w:szCs w:val="20"/>
        </w:rPr>
        <w:footnoteReference w:id="1"/>
      </w:r>
    </w:p>
    <w:p w14:paraId="2C6E2D5F" w14:textId="77777777" w:rsidR="000A7429" w:rsidRDefault="000A7429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F63CAE9" w14:textId="77777777" w:rsidR="00396C68" w:rsidRDefault="00396C68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9273F11" w14:textId="77777777" w:rsidR="00396C68" w:rsidRDefault="00396C68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0B5CBCE" w14:textId="77777777" w:rsidR="00396C68" w:rsidRDefault="00396C68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C11BD4A" w14:textId="77777777" w:rsidR="00396C68" w:rsidRDefault="00396C68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3815BF2" w14:textId="77777777" w:rsidR="00396C68" w:rsidRDefault="00396C68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806C837" w14:textId="77777777" w:rsidR="00396C68" w:rsidRDefault="00396C68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7A86A94" w14:textId="77777777" w:rsidR="00396C68" w:rsidRDefault="00396C68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7064C45" w14:textId="77777777" w:rsidR="00396C68" w:rsidRDefault="00396C68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FCCFFD8" w14:textId="77777777" w:rsidR="00396C68" w:rsidRDefault="00396C68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67404C1" w14:textId="77777777" w:rsidR="00396C68" w:rsidRDefault="00396C68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B407584" w14:textId="77777777" w:rsidR="00396C68" w:rsidRDefault="00396C68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8B42BC7" w14:textId="77777777" w:rsidR="00396C68" w:rsidRDefault="00396C68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242CFFE" w14:textId="77777777" w:rsidR="00396C68" w:rsidRDefault="00396C68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335D6CAF" w14:textId="77777777" w:rsidR="00396C68" w:rsidRDefault="00396C68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27169D18" w14:textId="77777777" w:rsidR="00396C68" w:rsidRDefault="00396C68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B264E4C" w14:textId="29956C93" w:rsidR="007E317A" w:rsidRPr="00293FB6" w:rsidRDefault="007E317A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293FB6">
        <w:rPr>
          <w:rFonts w:ascii="Times New Roman" w:hAnsi="Times New Roman" w:cs="Times New Roman"/>
          <w:b/>
          <w:bCs/>
          <w:color w:val="000000"/>
          <w:sz w:val="20"/>
          <w:szCs w:val="20"/>
        </w:rPr>
        <w:lastRenderedPageBreak/>
        <w:t xml:space="preserve">Descriptive Statistics for Study Variables </w:t>
      </w:r>
    </w:p>
    <w:p w14:paraId="26A2A91F" w14:textId="77777777" w:rsidR="007E317A" w:rsidRPr="00293FB6" w:rsidRDefault="007E317A">
      <w:pPr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9364" w:type="dxa"/>
        <w:tblLook w:val="04A0" w:firstRow="1" w:lastRow="0" w:firstColumn="1" w:lastColumn="0" w:noHBand="0" w:noVBand="1"/>
      </w:tblPr>
      <w:tblGrid>
        <w:gridCol w:w="2452"/>
        <w:gridCol w:w="1012"/>
        <w:gridCol w:w="1475"/>
        <w:gridCol w:w="1475"/>
        <w:gridCol w:w="1475"/>
        <w:gridCol w:w="1475"/>
      </w:tblGrid>
      <w:tr w:rsidR="009311D3" w:rsidRPr="009311D3" w14:paraId="68E2341B" w14:textId="77777777" w:rsidTr="009311D3">
        <w:trPr>
          <w:trHeight w:val="319"/>
        </w:trPr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8A837B" w14:textId="77777777" w:rsidR="009311D3" w:rsidRPr="009311D3" w:rsidRDefault="009311D3" w:rsidP="009311D3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Variable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2F2B4" w14:textId="7053219B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Obs</w:t>
            </w:r>
            <w:r w:rsidR="00293F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85C83F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Mean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5FDF19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Std. Dev.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E7D21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Min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131390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Max</w:t>
            </w:r>
          </w:p>
        </w:tc>
      </w:tr>
      <w:tr w:rsidR="009311D3" w:rsidRPr="009311D3" w14:paraId="32289137" w14:textId="77777777" w:rsidTr="009311D3">
        <w:trPr>
          <w:trHeight w:val="319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5D1C" w14:textId="5FBF6E2E" w:rsidR="009311D3" w:rsidRPr="009311D3" w:rsidRDefault="009311D3" w:rsidP="009311D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93F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Respondent Vote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AD310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E920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3.936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4213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1.215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9763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A8B8E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9311D3" w:rsidRPr="009311D3" w14:paraId="26D8DA1C" w14:textId="77777777" w:rsidTr="009311D3">
        <w:trPr>
          <w:trHeight w:val="319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7C185" w14:textId="6F6D6347" w:rsidR="009311D3" w:rsidRPr="009311D3" w:rsidRDefault="009311D3" w:rsidP="009311D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93F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Respondent Informed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803A7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EC91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4.055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05AC8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0.854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777E8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E389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9311D3" w:rsidRPr="009311D3" w14:paraId="1BCB98AB" w14:textId="77777777" w:rsidTr="009311D3">
        <w:trPr>
          <w:trHeight w:val="319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427C1" w14:textId="1AF282F4" w:rsidR="009311D3" w:rsidRPr="009311D3" w:rsidRDefault="009311D3" w:rsidP="009311D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93F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Respondent Contact</w:t>
            </w:r>
            <w:r w:rsidR="00293FB6" w:rsidRPr="00293F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6112C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D9AB4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1.952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4BD71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1.157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4478F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9F292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9311D3" w:rsidRPr="009311D3" w14:paraId="354CB723" w14:textId="77777777" w:rsidTr="009311D3">
        <w:trPr>
          <w:trHeight w:val="319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927D" w14:textId="7B70B69E" w:rsidR="009311D3" w:rsidRPr="009311D3" w:rsidRDefault="009311D3" w:rsidP="009311D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93F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Respondent Attend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CB25B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436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32B18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1.626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90FFC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0.925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70F57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43972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9311D3" w:rsidRPr="009311D3" w14:paraId="47ECAEAA" w14:textId="77777777" w:rsidTr="009311D3">
        <w:trPr>
          <w:trHeight w:val="319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82C5" w14:textId="7B51AEA5" w:rsidR="009311D3" w:rsidRPr="009311D3" w:rsidRDefault="009311D3" w:rsidP="009311D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93F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Parental Vote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79D3B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448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795DB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4.761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3CDFF4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0.508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874F8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C4C6C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9311D3" w:rsidRPr="009311D3" w14:paraId="0FD030D5" w14:textId="77777777" w:rsidTr="009311D3">
        <w:trPr>
          <w:trHeight w:val="319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7635E" w14:textId="26A1795E" w:rsidR="009311D3" w:rsidRPr="009311D3" w:rsidRDefault="009311D3" w:rsidP="009311D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93F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Parental Informed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BDDB2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448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4D99F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4.404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6813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0.647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E8D66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35C7E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9311D3" w:rsidRPr="009311D3" w14:paraId="6647D5C5" w14:textId="77777777" w:rsidTr="009311D3">
        <w:trPr>
          <w:trHeight w:val="319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13CD" w14:textId="7D9089A2" w:rsidR="009311D3" w:rsidRPr="009311D3" w:rsidRDefault="009311D3" w:rsidP="009311D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93F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Parental Contact</w:t>
            </w:r>
            <w:r w:rsidR="00293FB6" w:rsidRPr="00293F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ed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70B3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448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2329B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2.838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C4B42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1.121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012D8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FC9A7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9311D3" w:rsidRPr="009311D3" w14:paraId="746E1C96" w14:textId="77777777" w:rsidTr="009311D3">
        <w:trPr>
          <w:trHeight w:val="319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0D90E" w14:textId="690EAF3F" w:rsidR="009311D3" w:rsidRPr="009311D3" w:rsidRDefault="009311D3" w:rsidP="009311D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93F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Parental Attend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3DCE9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448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E7CA3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2.544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03036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0.985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6DE4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2C1B4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</w:tr>
      <w:tr w:rsidR="009311D3" w:rsidRPr="009311D3" w14:paraId="3C51FCC9" w14:textId="77777777" w:rsidTr="009311D3">
        <w:trPr>
          <w:trHeight w:val="319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B8C9F" w14:textId="004C9145" w:rsidR="009311D3" w:rsidRPr="009311D3" w:rsidRDefault="00293FB6" w:rsidP="009311D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93F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Raised (1=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Bio</w:t>
            </w:r>
            <w:r w:rsidRPr="00293F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0=Adopted)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796A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4C68D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0.388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F067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0.488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08FD0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9E3B9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311D3" w:rsidRPr="009311D3" w14:paraId="29EE2501" w14:textId="77777777" w:rsidTr="009311D3">
        <w:trPr>
          <w:trHeight w:val="319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B76EC" w14:textId="2E8E9E8F" w:rsidR="009311D3" w:rsidRPr="009311D3" w:rsidRDefault="00293FB6" w:rsidP="009311D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93F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Respondent Birth Year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15A6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159F2" w14:textId="7318879E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1986.5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46E2F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2.829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3CFAD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1978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2E814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1993</w:t>
            </w:r>
          </w:p>
        </w:tc>
      </w:tr>
      <w:tr w:rsidR="009311D3" w:rsidRPr="009311D3" w14:paraId="06120B0D" w14:textId="77777777" w:rsidTr="009311D3">
        <w:trPr>
          <w:trHeight w:val="319"/>
        </w:trPr>
        <w:tc>
          <w:tcPr>
            <w:tcW w:w="245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2FE0BE4" w14:textId="4EF88292" w:rsidR="009311D3" w:rsidRPr="009311D3" w:rsidRDefault="00293FB6" w:rsidP="009311D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93F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Respondent Sex (1=Male)</w:t>
            </w:r>
          </w:p>
        </w:tc>
        <w:tc>
          <w:tcPr>
            <w:tcW w:w="101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71B0F95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454</w:t>
            </w: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4319462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0.396</w:t>
            </w: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D16317D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0.490</w:t>
            </w: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7589F6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47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33A7E74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</w:tr>
      <w:tr w:rsidR="009311D3" w:rsidRPr="009311D3" w14:paraId="7CBE0A35" w14:textId="77777777" w:rsidTr="00C72942">
        <w:trPr>
          <w:trHeight w:val="319"/>
        </w:trPr>
        <w:tc>
          <w:tcPr>
            <w:tcW w:w="24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9C34" w14:textId="3072138F" w:rsidR="009311D3" w:rsidRPr="009311D3" w:rsidRDefault="00293FB6" w:rsidP="009311D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293F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Avg. Parent Birth Year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B76B7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454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6462F" w14:textId="27E4A0EA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1954.</w:t>
            </w:r>
            <w:r w:rsidR="00293FB6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7502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4.681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891FC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1944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5C98" w14:textId="77777777" w:rsidR="009311D3" w:rsidRPr="009311D3" w:rsidRDefault="009311D3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9311D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1966</w:t>
            </w:r>
          </w:p>
        </w:tc>
      </w:tr>
      <w:tr w:rsidR="00C72942" w:rsidRPr="009311D3" w14:paraId="08B89013" w14:textId="77777777" w:rsidTr="009311D3">
        <w:trPr>
          <w:trHeight w:val="319"/>
        </w:trPr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7BE79A" w14:textId="7790CED3" w:rsidR="00C72942" w:rsidRPr="00293FB6" w:rsidRDefault="00C72942" w:rsidP="009311D3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710284" w14:textId="77777777" w:rsidR="00C72942" w:rsidRPr="009311D3" w:rsidRDefault="00C72942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47A80A7" w14:textId="77777777" w:rsidR="00C72942" w:rsidRPr="009311D3" w:rsidRDefault="00C72942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A68CDE" w14:textId="77777777" w:rsidR="00C72942" w:rsidRPr="009311D3" w:rsidRDefault="00C72942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276E06B" w14:textId="77777777" w:rsidR="00C72942" w:rsidRPr="009311D3" w:rsidRDefault="00C72942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8C0C17" w14:textId="77777777" w:rsidR="00C72942" w:rsidRPr="009311D3" w:rsidRDefault="00C72942" w:rsidP="009311D3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C824DF7" w14:textId="4BFAA23E" w:rsidR="007E317A" w:rsidRPr="00396C68" w:rsidRDefault="00396C6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96C68">
        <w:rPr>
          <w:rFonts w:ascii="TimesNewRomanPSMT" w:eastAsia="Times New Roman" w:hAnsi="TimesNewRomanPSMT" w:cs="Times New Roman"/>
          <w:i/>
          <w:iCs/>
          <w:color w:val="000000" w:themeColor="text1"/>
          <w:kern w:val="0"/>
          <w:sz w:val="20"/>
          <w:szCs w:val="20"/>
          <w14:ligatures w14:val="none"/>
        </w:rPr>
        <w:t>Notes</w:t>
      </w:r>
      <w:r w:rsidRPr="00396C68">
        <w:rPr>
          <w:rFonts w:ascii="TimesNewRomanPSMT" w:eastAsia="Times New Roman" w:hAnsi="TimesNewRomanPSMT" w:cs="Times New Roman"/>
          <w:color w:val="000000" w:themeColor="text1"/>
          <w:kern w:val="0"/>
          <w:sz w:val="20"/>
          <w:szCs w:val="20"/>
          <w14:ligatures w14:val="none"/>
        </w:rPr>
        <w:t>: The dependent variables we use were collected over the span of several years (315 respondents completed the survey in 2018, 109 completed in 2019, 25 completed in 2020, and 5 completed in 2021</w:t>
      </w:r>
      <w:r w:rsidR="00F70D4C">
        <w:rPr>
          <w:rFonts w:ascii="TimesNewRomanPSMT" w:eastAsia="Times New Roman" w:hAnsi="TimesNewRomanPSMT" w:cs="Times New Roman"/>
          <w:color w:val="000000" w:themeColor="text1"/>
          <w:kern w:val="0"/>
          <w:sz w:val="20"/>
          <w:szCs w:val="20"/>
          <w14:ligatures w14:val="none"/>
        </w:rPr>
        <w:t>)</w:t>
      </w:r>
      <w:r w:rsidRPr="00396C68">
        <w:rPr>
          <w:rFonts w:ascii="TimesNewRomanPSMT" w:eastAsia="Times New Roman" w:hAnsi="TimesNewRomanPSMT" w:cs="Times New Roman"/>
          <w:color w:val="000000" w:themeColor="text1"/>
          <w:kern w:val="0"/>
          <w:sz w:val="20"/>
          <w:szCs w:val="20"/>
          <w14:ligatures w14:val="none"/>
        </w:rPr>
        <w:t>.  Based on survey completion year – respondent birth year, the average respondent was 31.87 (median 32) with the youngest at 26 and the oldest at 40.</w:t>
      </w:r>
    </w:p>
    <w:sectPr w:rsidR="007E317A" w:rsidRPr="00396C68" w:rsidSect="007857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4F8F1" w14:textId="77777777" w:rsidR="00B42D5C" w:rsidRDefault="00B42D5C" w:rsidP="00A3057C">
      <w:r>
        <w:separator/>
      </w:r>
    </w:p>
  </w:endnote>
  <w:endnote w:type="continuationSeparator" w:id="0">
    <w:p w14:paraId="1054F981" w14:textId="77777777" w:rsidR="00B42D5C" w:rsidRDefault="00B42D5C" w:rsidP="00A3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BD792" w14:textId="77777777" w:rsidR="00B42D5C" w:rsidRDefault="00B42D5C" w:rsidP="00A3057C">
      <w:r>
        <w:separator/>
      </w:r>
    </w:p>
  </w:footnote>
  <w:footnote w:type="continuationSeparator" w:id="0">
    <w:p w14:paraId="4E317369" w14:textId="77777777" w:rsidR="00B42D5C" w:rsidRDefault="00B42D5C" w:rsidP="00A3057C">
      <w:r>
        <w:continuationSeparator/>
      </w:r>
    </w:p>
  </w:footnote>
  <w:footnote w:id="1">
    <w:p w14:paraId="5FA0ABE9" w14:textId="63DF22A4" w:rsidR="00A3057C" w:rsidRPr="00A3057C" w:rsidRDefault="00A3057C" w:rsidP="00A3057C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920F8C">
        <w:rPr>
          <w:rFonts w:ascii="Times New Roman" w:hAnsi="Times New Roman" w:cs="Times New Roman"/>
        </w:rPr>
        <w:t>When estimating equation 3, w</w:t>
      </w:r>
      <w:r w:rsidRPr="00A3057C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</w:t>
      </w:r>
      <w:r w:rsidRPr="00A3057C">
        <w:rPr>
          <w:rFonts w:ascii="Times New Roman" w:hAnsi="Times New Roman" w:cs="Times New Roman"/>
        </w:rPr>
        <w:t xml:space="preserve">include </w:t>
      </w:r>
      <w:r w:rsidR="00920F8C">
        <w:rPr>
          <w:rFonts w:ascii="Times New Roman" w:hAnsi="Times New Roman" w:cs="Times New Roman"/>
        </w:rPr>
        <w:t xml:space="preserve">controls for </w:t>
      </w:r>
      <w:r w:rsidR="00920F8C" w:rsidRPr="00920F8C">
        <w:rPr>
          <w:rFonts w:ascii="Times New Roman" w:hAnsi="Times New Roman" w:cs="Times New Roman"/>
        </w:rPr>
        <w:t>child birth year, sex (coded 1 for male, 0 for female), and parental birth year</w:t>
      </w:r>
      <w:r w:rsidR="00920F8C">
        <w:rPr>
          <w:rFonts w:ascii="Times New Roman" w:hAnsi="Times New Roman" w:cs="Times New Roman"/>
        </w:rPr>
        <w:t xml:space="preserve"> as well as a </w:t>
      </w:r>
      <w:r w:rsidRPr="00A3057C">
        <w:rPr>
          <w:rFonts w:ascii="Times New Roman" w:hAnsi="Times New Roman" w:cs="Times New Roman"/>
        </w:rPr>
        <w:t>full set of interaction terms between the control</w:t>
      </w:r>
      <w:r>
        <w:rPr>
          <w:rFonts w:ascii="Times New Roman" w:hAnsi="Times New Roman" w:cs="Times New Roman"/>
        </w:rPr>
        <w:t xml:space="preserve"> </w:t>
      </w:r>
      <w:r w:rsidRPr="00A3057C">
        <w:rPr>
          <w:rFonts w:ascii="Times New Roman" w:hAnsi="Times New Roman" w:cs="Times New Roman"/>
        </w:rPr>
        <w:t>variables and the indicator for being</w:t>
      </w:r>
      <w:r w:rsidR="00920F8C">
        <w:rPr>
          <w:rFonts w:ascii="Times New Roman" w:hAnsi="Times New Roman" w:cs="Times New Roman"/>
        </w:rPr>
        <w:t xml:space="preserve"> </w:t>
      </w:r>
      <w:r w:rsidRPr="00A3057C">
        <w:rPr>
          <w:rFonts w:ascii="Times New Roman" w:hAnsi="Times New Roman" w:cs="Times New Roman"/>
        </w:rPr>
        <w:t>raised by biological parents</w:t>
      </w:r>
      <w:r>
        <w:rPr>
          <w:rFonts w:ascii="Times New Roman" w:hAnsi="Times New Roman" w:cs="Times New Roman"/>
        </w:rPr>
        <w:t>.</w:t>
      </w:r>
    </w:p>
    <w:p w14:paraId="372D5BF2" w14:textId="31F005BA" w:rsidR="00A3057C" w:rsidRDefault="00A3057C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7A"/>
    <w:rsid w:val="000A7429"/>
    <w:rsid w:val="000E2BAB"/>
    <w:rsid w:val="001829F6"/>
    <w:rsid w:val="001F68C9"/>
    <w:rsid w:val="00207786"/>
    <w:rsid w:val="00217B00"/>
    <w:rsid w:val="00293FB6"/>
    <w:rsid w:val="00312162"/>
    <w:rsid w:val="00396C68"/>
    <w:rsid w:val="003D08CE"/>
    <w:rsid w:val="0053360A"/>
    <w:rsid w:val="00544D1F"/>
    <w:rsid w:val="00574AC4"/>
    <w:rsid w:val="006D70A9"/>
    <w:rsid w:val="007857D9"/>
    <w:rsid w:val="007E317A"/>
    <w:rsid w:val="00920F8C"/>
    <w:rsid w:val="009311D3"/>
    <w:rsid w:val="00956502"/>
    <w:rsid w:val="009605F2"/>
    <w:rsid w:val="00A3057C"/>
    <w:rsid w:val="00A51F46"/>
    <w:rsid w:val="00AE646B"/>
    <w:rsid w:val="00AF1F00"/>
    <w:rsid w:val="00B42D5C"/>
    <w:rsid w:val="00C72942"/>
    <w:rsid w:val="00D27481"/>
    <w:rsid w:val="00D32239"/>
    <w:rsid w:val="00D50689"/>
    <w:rsid w:val="00DA3A9E"/>
    <w:rsid w:val="00DD4E8D"/>
    <w:rsid w:val="00F210D1"/>
    <w:rsid w:val="00F70D4C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398F50"/>
  <w15:chartTrackingRefBased/>
  <w15:docId w15:val="{DB3560A1-E043-AF4B-AC16-FD1DE10F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5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E2BAB"/>
    <w:rPr>
      <w:color w:val="66666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3057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3057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3057C"/>
    <w:rPr>
      <w:vertAlign w:val="superscript"/>
    </w:rPr>
  </w:style>
  <w:style w:type="paragraph" w:customStyle="1" w:styleId="p1">
    <w:name w:val="p1"/>
    <w:basedOn w:val="Normal"/>
    <w:rsid w:val="00A3057C"/>
    <w:rPr>
      <w:rFonts w:ascii="Helvetica" w:eastAsia="Times New Roman" w:hAnsi="Helvetica" w:cs="Times New Roman"/>
      <w:color w:val="141413"/>
      <w:kern w:val="0"/>
      <w:sz w:val="15"/>
      <w:szCs w:val="15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0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Weinschenk, Aaron</dc:creator>
  <cp:keywords/>
  <dc:description/>
  <cp:lastModifiedBy>Weinschenk, Aaron</cp:lastModifiedBy>
  <cp:revision>8</cp:revision>
  <dcterms:created xsi:type="dcterms:W3CDTF">2025-10-29T02:09:00Z</dcterms:created>
  <dcterms:modified xsi:type="dcterms:W3CDTF">2025-11-18T01:40:00Z</dcterms:modified>
</cp:coreProperties>
</file>