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0234" w14:textId="77777777" w:rsidR="00031550" w:rsidRPr="00F27BF3" w:rsidRDefault="00031550" w:rsidP="00031550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Appendix A - </w:t>
      </w:r>
      <w:r w:rsidRPr="00F27BF3">
        <w:rPr>
          <w:b/>
          <w:bCs/>
          <w:color w:val="000000" w:themeColor="text1"/>
        </w:rPr>
        <w:t>Supplemental Material</w:t>
      </w:r>
    </w:p>
    <w:p w14:paraId="28486BD8" w14:textId="77777777" w:rsidR="00031550" w:rsidRPr="00F27BF3" w:rsidRDefault="00031550" w:rsidP="00031550">
      <w:pPr>
        <w:rPr>
          <w:color w:val="000000" w:themeColor="text1"/>
        </w:rPr>
      </w:pPr>
    </w:p>
    <w:p w14:paraId="7D5E06F8" w14:textId="77777777" w:rsidR="00031550" w:rsidRPr="00F27BF3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 w:themeColor="text1"/>
          <w:lang w:val="en-US"/>
        </w:rPr>
      </w:pPr>
      <w:r w:rsidRPr="00F27BF3">
        <w:rPr>
          <w:rFonts w:ascii="Calibri" w:hAnsi="Calibri" w:cs="Calibri"/>
          <w:color w:val="000000" w:themeColor="text1"/>
          <w:lang w:val="en-US"/>
        </w:rPr>
        <w:tab/>
      </w:r>
      <w:r w:rsidRPr="00F27BF3">
        <w:rPr>
          <w:color w:val="000000" w:themeColor="text1"/>
          <w:lang w:val="en-US"/>
        </w:rPr>
        <w:t>Supplemental Figure 1. presents the prevalence of audiometrically defined hearing impairment based on better-ear pure-tone averages (1, 2, 3, 4 kHz) across age–sex groups and study timepoints. At baseline, mild hearing impairment (PTA &gt; 25 dB HL) ranged from 6.7% to 52.4% across groups, whereas moderate or greater impairment (PTA &gt; 40 dB HL) ranged from 1.0% to 22.3%. Mild impairment at baseline was 13.4% in males aged 45–64 (n = 8,138), 6.7% in females aged 45–64 (n = 8,695), 52.4% in males aged 65+ (n = 6,019), and 37.0% in females aged 65+ (n = 5,970). Moderate or greater impairment at baseline was 2.8%, 1.0%, 22.3%, and 11.1% in these groups, respectively. By Follow-</w:t>
      </w:r>
      <w:r>
        <w:rPr>
          <w:color w:val="000000" w:themeColor="text1"/>
          <w:lang w:val="en-US"/>
        </w:rPr>
        <w:t>U</w:t>
      </w:r>
      <w:r w:rsidRPr="00F27BF3">
        <w:rPr>
          <w:color w:val="000000" w:themeColor="text1"/>
          <w:lang w:val="en-US"/>
        </w:rPr>
        <w:t>p 2, mild hearing impairment ranged from 6.9% to 27.5% and moderate or greater impairment ranged from 1.2% to 13.3%. At Follow-</w:t>
      </w:r>
      <w:r>
        <w:rPr>
          <w:color w:val="000000" w:themeColor="text1"/>
          <w:lang w:val="en-US"/>
        </w:rPr>
        <w:t>U</w:t>
      </w:r>
      <w:r w:rsidRPr="00F27BF3">
        <w:rPr>
          <w:color w:val="000000" w:themeColor="text1"/>
          <w:lang w:val="en-US"/>
        </w:rPr>
        <w:t>p 2, mild impairment was 11.0% in males aged 45–64 (n = 3,801), 6.9% in females aged 45–64 (n = 4,472), 27.5% in males aged 65+ (n = 2,578), and 22.1% in females aged 65+ (n = 2,634). Moderate or greater impairment at Follow-</w:t>
      </w:r>
      <w:r>
        <w:rPr>
          <w:color w:val="000000" w:themeColor="text1"/>
          <w:lang w:val="en-US"/>
        </w:rPr>
        <w:t>U</w:t>
      </w:r>
      <w:r w:rsidRPr="00F27BF3">
        <w:rPr>
          <w:color w:val="000000" w:themeColor="text1"/>
          <w:lang w:val="en-US"/>
        </w:rPr>
        <w:t xml:space="preserve">p 2 was 3.0%, 1.2%, 13.3%, and 9.1%, respectively. Overall, audiometric hearing impairment showed a higher prevalence in adults aged 65+ than those aged 45–64, and modest </w:t>
      </w:r>
      <w:r>
        <w:rPr>
          <w:color w:val="000000" w:themeColor="text1"/>
          <w:lang w:val="en-US"/>
        </w:rPr>
        <w:t>changes</w:t>
      </w:r>
      <w:r w:rsidRPr="00F27BF3">
        <w:rPr>
          <w:color w:val="000000" w:themeColor="text1"/>
          <w:lang w:val="en-US"/>
        </w:rPr>
        <w:t xml:space="preserve"> over time, particularly for moderate or greater impairment.</w:t>
      </w:r>
    </w:p>
    <w:p w14:paraId="1B3E5F91" w14:textId="77777777" w:rsidR="00031550" w:rsidRPr="00F27BF3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 w:themeColor="text1"/>
          <w:lang w:val="en-US"/>
        </w:rPr>
      </w:pPr>
    </w:p>
    <w:p w14:paraId="42E500BD" w14:textId="77777777" w:rsidR="00031550" w:rsidRPr="00F27BF3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 w:themeColor="text1"/>
          <w:lang w:val="en-US"/>
        </w:rPr>
      </w:pPr>
      <w:r w:rsidRPr="00F27BF3">
        <w:rPr>
          <w:rFonts w:ascii="Calibri" w:hAnsi="Calibri" w:cs="Calibri"/>
          <w:color w:val="000000" w:themeColor="text1"/>
          <w:lang w:val="en-US"/>
        </w:rPr>
        <w:t xml:space="preserve">Supplemental Figure S1. </w:t>
      </w:r>
      <w:r w:rsidRPr="00F27BF3">
        <w:rPr>
          <w:color w:val="000000" w:themeColor="text1"/>
        </w:rPr>
        <w:t xml:space="preserve">Prevalence of Mild and Moderate Audiometric Hearing Impairment </w:t>
      </w:r>
    </w:p>
    <w:p w14:paraId="665A1BF0" w14:textId="77777777" w:rsidR="00031550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141413"/>
          <w:lang w:val="en-US"/>
        </w:rPr>
      </w:pPr>
      <w:r>
        <w:rPr>
          <w:rFonts w:ascii="Calibri" w:hAnsi="Calibri" w:cs="Calibri"/>
          <w:noProof/>
          <w:color w:val="141413"/>
          <w:lang w:val="en-US"/>
        </w:rPr>
        <w:drawing>
          <wp:inline distT="0" distB="0" distL="0" distR="0" wp14:anchorId="11324A5A" wp14:editId="515B26DA">
            <wp:extent cx="5121935" cy="4097547"/>
            <wp:effectExtent l="0" t="0" r="0" b="5080"/>
            <wp:docPr id="9505588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58821" name="Picture 9505588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429" cy="416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EB8C1" w14:textId="77777777" w:rsidR="00031550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 w:themeColor="text1"/>
        </w:rPr>
      </w:pPr>
      <w:r w:rsidRPr="00F27BF3">
        <w:rPr>
          <w:rFonts w:ascii="Calibri" w:hAnsi="Calibri" w:cs="Calibri"/>
          <w:color w:val="000000" w:themeColor="text1"/>
          <w:lang w:val="en-US"/>
        </w:rPr>
        <w:t xml:space="preserve">Note. </w:t>
      </w:r>
      <w:r w:rsidRPr="00F27BF3">
        <w:rPr>
          <w:color w:val="000000" w:themeColor="text1"/>
        </w:rPr>
        <w:t>Hearing impairment was defined using better-ear pure-tone averages across 1, 2, 3, and 4 kHz. Mild hearing impairment was defined as &gt; 25 dB HL (light bars), and moderate or greater hearing impairment as &gt; 40 dB HL (dark bars).</w:t>
      </w:r>
    </w:p>
    <w:p w14:paraId="4632938A" w14:textId="77777777" w:rsidR="00031550" w:rsidRPr="00F27BF3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00000" w:themeColor="text1"/>
          <w:lang w:val="en-US"/>
        </w:rPr>
      </w:pPr>
    </w:p>
    <w:p w14:paraId="1D52DD4B" w14:textId="77777777" w:rsidR="00031550" w:rsidRPr="00F27BF3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F0036A7" w14:textId="77777777" w:rsidR="00031550" w:rsidRPr="00F27BF3" w:rsidRDefault="00031550" w:rsidP="000315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bCs/>
          <w:color w:val="000000" w:themeColor="text1"/>
          <w:lang w:val="en-US"/>
        </w:rPr>
      </w:pPr>
      <w:r w:rsidRPr="00F27BF3">
        <w:rPr>
          <w:b/>
          <w:bCs/>
          <w:color w:val="000000" w:themeColor="text1"/>
        </w:rPr>
        <w:t xml:space="preserve">Cross-Lagged Path Model (Baseline and </w:t>
      </w:r>
      <w:r>
        <w:rPr>
          <w:b/>
          <w:bCs/>
          <w:color w:val="000000" w:themeColor="text1"/>
        </w:rPr>
        <w:t>F</w:t>
      </w:r>
      <w:r w:rsidRPr="00F27BF3">
        <w:rPr>
          <w:b/>
          <w:bCs/>
          <w:color w:val="000000" w:themeColor="text1"/>
        </w:rPr>
        <w:t>ollow-</w:t>
      </w:r>
      <w:r>
        <w:rPr>
          <w:b/>
          <w:bCs/>
          <w:color w:val="000000" w:themeColor="text1"/>
        </w:rPr>
        <w:t>U</w:t>
      </w:r>
      <w:r w:rsidRPr="00F27BF3">
        <w:rPr>
          <w:b/>
          <w:bCs/>
          <w:color w:val="000000" w:themeColor="text1"/>
        </w:rPr>
        <w:t xml:space="preserve">p 1 only) </w:t>
      </w:r>
    </w:p>
    <w:p w14:paraId="163D652F" w14:textId="77777777" w:rsidR="00031550" w:rsidRPr="00DE7A2A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</w:pPr>
      <w:r w:rsidRPr="00DE7A2A">
        <w:rPr>
          <w:color w:val="000000" w:themeColor="text1"/>
        </w:rPr>
        <w:t>The cross-lagged panel model using audiometric hearing thresholds (better-ear pure-tone average) and loneliness demonstrated poor fit to the data, χ</w:t>
      </w:r>
      <w:proofErr w:type="gramStart"/>
      <w:r w:rsidRPr="00DE7A2A">
        <w:rPr>
          <w:color w:val="000000" w:themeColor="text1"/>
        </w:rPr>
        <w:t>²(</w:t>
      </w:r>
      <w:proofErr w:type="gramEnd"/>
      <w:r w:rsidRPr="00DE7A2A">
        <w:rPr>
          <w:color w:val="000000" w:themeColor="text1"/>
        </w:rPr>
        <w:t xml:space="preserve">48) = 9430.59, p &lt; .001, CFI = .858, TLI = .537, RMSEA = .167, 90% CI [.164, .170], SRMR = .113]. Robust fit indices were similarly below conventional thresholds (robust CFI = .876, robust TLI = .599, robust RMSEA = .170, 90% CI [.167, .173]). </w:t>
      </w:r>
      <w:r w:rsidRPr="00F27BF3">
        <w:rPr>
          <w:color w:val="000000" w:themeColor="text1"/>
        </w:rPr>
        <w:t>As p</w:t>
      </w:r>
      <w:r w:rsidRPr="00DE7A2A">
        <w:rPr>
          <w:color w:val="000000" w:themeColor="text1"/>
        </w:rPr>
        <w:t>oor fit was observed across all four subgroups</w:t>
      </w:r>
      <w:r w:rsidRPr="00F27BF3">
        <w:rPr>
          <w:color w:val="000000" w:themeColor="text1"/>
        </w:rPr>
        <w:t xml:space="preserve">, </w:t>
      </w:r>
      <w:r w:rsidRPr="00DE7A2A">
        <w:rPr>
          <w:color w:val="000000" w:themeColor="text1"/>
        </w:rPr>
        <w:t>findings from this model should be interpreted with caution.</w:t>
      </w:r>
    </w:p>
    <w:p w14:paraId="4C5F7E9C" w14:textId="77777777" w:rsidR="00031550" w:rsidRPr="00DE7A2A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</w:pPr>
      <w:r w:rsidRPr="00F27BF3">
        <w:rPr>
          <w:color w:val="000000" w:themeColor="text1"/>
        </w:rPr>
        <w:t xml:space="preserve">Results from the cross-lagged and autoregressive paths are summarized in Supplementary Table 1. </w:t>
      </w:r>
      <w:r w:rsidRPr="00DE7A2A">
        <w:rPr>
          <w:color w:val="000000" w:themeColor="text1"/>
        </w:rPr>
        <w:t>Among younger females, poorer audiometric hearing at baseline was associated with a small increase in loneliness at follow-up (β = .023, SE = .018, z = 2.00, p = .045; Path c). This effect was not observed in younger males (β = .008, p = .502), older males (β = −.004, p = .770), or older females (β = .018, p = .268). In the opposite direction, loneliness did not significantly predict subsequent changes in audiometric hearing in any subgroup (β = −.004 to .009, all p ≥ .152; Path d). Thus, evidence for bidirectionality between loneliness and audiometric hearing was weak and limited to a single subgroup, with no consistent pattern across age or sex groups.</w:t>
      </w:r>
    </w:p>
    <w:p w14:paraId="06890BE7" w14:textId="77777777" w:rsidR="00031550" w:rsidRPr="00DE7A2A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</w:pPr>
      <w:r w:rsidRPr="00DE7A2A">
        <w:rPr>
          <w:color w:val="000000" w:themeColor="text1"/>
        </w:rPr>
        <w:t>Autoregressive paths for audiometric hearing (Path a) and loneliness (Path b) were consistently strong across all subgroups. Stability of audiometric hearing from baseline to follow-up was very high (β = .895 to .931, all p &lt; .001), indicating substantial temporal stability of hearing thresholds. Loneliness also showed moderate stability across time (β = .390 to .442, all p &lt; .001), consistent with prior longitudinal research.</w:t>
      </w:r>
    </w:p>
    <w:p w14:paraId="529A5F9A" w14:textId="77777777" w:rsidR="00031550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</w:pPr>
      <w:r w:rsidRPr="00DE7A2A">
        <w:rPr>
          <w:color w:val="000000" w:themeColor="text1"/>
        </w:rPr>
        <w:t>At baseline, residual correlations between audiometric hearing and loneliness were small and statistically significant in younger adults (Younger0 r = .039, p = .001; Younger1 r = .061, p &lt; .001), but not significant among older males or females (Older0 r = .012, p = .396; Older1 r = .011, p = .456). At follow-up, residual covariances between hearing and loneliness were small and generally non-significant across groups, indicating limited concurrent association once stability and covariates were accounted for.</w:t>
      </w:r>
    </w:p>
    <w:p w14:paraId="07528A1D" w14:textId="77777777" w:rsidR="00031550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</w:pPr>
    </w:p>
    <w:p w14:paraId="048934FC" w14:textId="77777777" w:rsidR="00031550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  <w:sectPr w:rsidR="00031550" w:rsidSect="000315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EC24EBD" w14:textId="77777777" w:rsidR="00031550" w:rsidRDefault="00031550" w:rsidP="00031550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Supplemental Table S1</w:t>
      </w:r>
      <w:r w:rsidRPr="00B32C3B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</w:rPr>
        <w:t xml:space="preserve"> Better Ear Average Cross-lagged path model results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1536"/>
        <w:gridCol w:w="836"/>
        <w:gridCol w:w="1206"/>
        <w:gridCol w:w="836"/>
        <w:gridCol w:w="1280"/>
        <w:gridCol w:w="836"/>
        <w:gridCol w:w="1280"/>
        <w:gridCol w:w="836"/>
      </w:tblGrid>
      <w:tr w:rsidR="00031550" w14:paraId="4F98925F" w14:textId="77777777" w:rsidTr="00A60E6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535C10" w14:textId="77777777" w:rsidR="00031550" w:rsidRPr="00415AE4" w:rsidRDefault="00031550" w:rsidP="00A60E67">
            <w:pPr>
              <w:rPr>
                <w:rFonts w:ascii="Calibri" w:hAnsi="Calibri" w:cs="Calibri"/>
                <w:b/>
                <w:bCs/>
              </w:rPr>
            </w:pPr>
            <w:r w:rsidRPr="00415AE4">
              <w:rPr>
                <w:rFonts w:ascii="Calibri" w:hAnsi="Calibri" w:cs="Calibri"/>
                <w:b/>
                <w:bCs/>
              </w:rPr>
              <w:t>Path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FF9C84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45-64 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4517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45-64 F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561015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65+ 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B3C4FB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65+ F</w:t>
            </w:r>
          </w:p>
        </w:tc>
      </w:tr>
      <w:tr w:rsidR="00031550" w14:paraId="67CBA508" w14:textId="77777777" w:rsidTr="00A60E6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342167" w14:textId="77777777" w:rsidR="00031550" w:rsidRDefault="00031550" w:rsidP="00A60E67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F22C8F" w14:textId="77777777" w:rsidR="00031550" w:rsidRPr="001C04FF" w:rsidRDefault="00031550" w:rsidP="00A60E67">
            <w:pPr>
              <w:jc w:val="center"/>
              <w:rPr>
                <w:rFonts w:ascii="Calibri" w:hAnsi="Calibri" w:cs="Calibri"/>
              </w:rPr>
            </w:pPr>
            <w:r w:rsidRPr="001C04FF">
              <w:rPr>
                <w:rFonts w:ascii="Calibri" w:hAnsi="Calibri" w:cs="Calibri"/>
                <w:color w:val="000000"/>
                <w:lang w:val="en-US"/>
              </w:rPr>
              <w:t>β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[</w:t>
            </w:r>
            <w:r>
              <w:rPr>
                <w:rFonts w:ascii="Calibri" w:hAnsi="Calibri" w:cs="Calibri"/>
              </w:rPr>
              <w:t>95%CI]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A43002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D29032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 w:rsidRPr="001C04FF">
              <w:rPr>
                <w:rFonts w:ascii="Calibri" w:hAnsi="Calibri" w:cs="Calibri"/>
                <w:color w:val="000000"/>
                <w:lang w:val="en-US"/>
              </w:rPr>
              <w:t>β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[</w:t>
            </w:r>
            <w:r>
              <w:rPr>
                <w:rFonts w:ascii="Calibri" w:hAnsi="Calibri" w:cs="Calibri"/>
              </w:rPr>
              <w:t>95%CI]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F2B557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23A91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 w:rsidRPr="001C04FF">
              <w:rPr>
                <w:rFonts w:ascii="Calibri" w:hAnsi="Calibri" w:cs="Calibri"/>
                <w:color w:val="000000"/>
                <w:lang w:val="en-US"/>
              </w:rPr>
              <w:t>β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[</w:t>
            </w:r>
            <w:r>
              <w:rPr>
                <w:rFonts w:ascii="Calibri" w:hAnsi="Calibri" w:cs="Calibri"/>
              </w:rPr>
              <w:t>95%CI]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1AB312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54799B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 w:rsidRPr="001C04FF">
              <w:rPr>
                <w:rFonts w:ascii="Calibri" w:hAnsi="Calibri" w:cs="Calibri"/>
                <w:color w:val="000000"/>
                <w:lang w:val="en-US"/>
              </w:rPr>
              <w:t>β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[</w:t>
            </w:r>
            <w:r>
              <w:rPr>
                <w:rFonts w:ascii="Calibri" w:hAnsi="Calibri" w:cs="Calibri"/>
              </w:rPr>
              <w:t>95%CI]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C9EE67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</w:p>
        </w:tc>
      </w:tr>
      <w:tr w:rsidR="00031550" w14:paraId="675AAF86" w14:textId="77777777" w:rsidTr="00A60E67">
        <w:tc>
          <w:tcPr>
            <w:tcW w:w="0" w:type="auto"/>
            <w:tcBorders>
              <w:top w:val="single" w:sz="4" w:space="0" w:color="auto"/>
            </w:tcBorders>
          </w:tcPr>
          <w:p w14:paraId="0A8705EB" w14:textId="77777777" w:rsidR="00031550" w:rsidRPr="00AB5343" w:rsidRDefault="00031550" w:rsidP="00A60E67">
            <w:pPr>
              <w:rPr>
                <w:b/>
                <w:bCs/>
                <w:sz w:val="18"/>
                <w:szCs w:val="18"/>
              </w:rPr>
            </w:pPr>
            <w:r w:rsidRPr="00AB5343">
              <w:rPr>
                <w:b/>
                <w:bCs/>
                <w:sz w:val="18"/>
                <w:szCs w:val="18"/>
              </w:rPr>
              <w:t xml:space="preserve">a </w:t>
            </w:r>
          </w:p>
          <w:p w14:paraId="78FAABF5" w14:textId="77777777" w:rsidR="00031550" w:rsidRPr="00AB5343" w:rsidRDefault="00031550" w:rsidP="00A60E67">
            <w:pPr>
              <w:rPr>
                <w:b/>
                <w:bCs/>
                <w:sz w:val="18"/>
                <w:szCs w:val="18"/>
              </w:rPr>
            </w:pPr>
            <w:r w:rsidRPr="00AB5343">
              <w:rPr>
                <w:b/>
                <w:bCs/>
                <w:sz w:val="18"/>
                <w:szCs w:val="18"/>
              </w:rPr>
              <w:t>Prior hearing</w:t>
            </w:r>
            <w:r w:rsidRPr="00AB5343">
              <w:rPr>
                <w:b/>
                <w:bCs/>
                <w:sz w:val="18"/>
                <w:szCs w:val="18"/>
              </w:rPr>
              <w:sym w:font="Wingdings" w:char="F0E0"/>
            </w:r>
            <w:r w:rsidRPr="00AB5343">
              <w:rPr>
                <w:b/>
                <w:bCs/>
                <w:sz w:val="18"/>
                <w:szCs w:val="18"/>
              </w:rPr>
              <w:t xml:space="preserve"> next hearing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A3E0EC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931</w:t>
            </w:r>
          </w:p>
          <w:p w14:paraId="00F88E9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[0.92- 0.94]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A82C398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65967369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7D67C9A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7D6">
              <w:rPr>
                <w:color w:val="000000" w:themeColor="text1"/>
                <w:sz w:val="22"/>
                <w:szCs w:val="22"/>
              </w:rPr>
              <w:t>0.925</w:t>
            </w:r>
          </w:p>
          <w:p w14:paraId="5A770AA4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</w:t>
            </w:r>
            <w:r w:rsidRPr="005E17D6">
              <w:rPr>
                <w:color w:val="000000" w:themeColor="text1"/>
                <w:sz w:val="22"/>
                <w:szCs w:val="22"/>
              </w:rPr>
              <w:t>0.9</w:t>
            </w:r>
            <w:r>
              <w:rPr>
                <w:color w:val="000000" w:themeColor="text1"/>
                <w:sz w:val="22"/>
                <w:szCs w:val="22"/>
              </w:rPr>
              <w:t>2-0.94]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E02898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6982221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062A226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910</w:t>
            </w:r>
          </w:p>
          <w:p w14:paraId="22F364D2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[0.90- 0.92]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6F9E09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4B0E9FA1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0EADBF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905</w:t>
            </w:r>
          </w:p>
          <w:p w14:paraId="4D2C2C1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[0.89-0.92]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A42E92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5F9B6410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</w:tr>
      <w:tr w:rsidR="00031550" w14:paraId="06241EA3" w14:textId="77777777" w:rsidTr="00A60E67">
        <w:tc>
          <w:tcPr>
            <w:tcW w:w="0" w:type="auto"/>
          </w:tcPr>
          <w:p w14:paraId="1D0C8F3C" w14:textId="77777777" w:rsidR="00031550" w:rsidRPr="00AB5343" w:rsidRDefault="00031550" w:rsidP="00A60E67">
            <w:pPr>
              <w:rPr>
                <w:b/>
                <w:bCs/>
                <w:sz w:val="18"/>
                <w:szCs w:val="18"/>
              </w:rPr>
            </w:pPr>
            <w:r w:rsidRPr="00AB5343">
              <w:rPr>
                <w:b/>
                <w:bCs/>
                <w:sz w:val="18"/>
                <w:szCs w:val="18"/>
              </w:rPr>
              <w:t xml:space="preserve">b </w:t>
            </w:r>
          </w:p>
          <w:p w14:paraId="05DFA553" w14:textId="77777777" w:rsidR="00031550" w:rsidRPr="00AB5343" w:rsidRDefault="00031550" w:rsidP="00A60E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B5343">
              <w:rPr>
                <w:b/>
                <w:bCs/>
                <w:sz w:val="18"/>
                <w:szCs w:val="18"/>
              </w:rPr>
              <w:t xml:space="preserve">Prior Loneliness </w:t>
            </w:r>
            <w:r w:rsidRPr="00AB5343">
              <w:rPr>
                <w:b/>
                <w:bCs/>
                <w:sz w:val="18"/>
                <w:szCs w:val="18"/>
              </w:rPr>
              <w:sym w:font="Wingdings" w:char="F0E0"/>
            </w:r>
            <w:r w:rsidRPr="00AB5343">
              <w:rPr>
                <w:b/>
                <w:bCs/>
                <w:sz w:val="18"/>
                <w:szCs w:val="18"/>
              </w:rPr>
              <w:t xml:space="preserve"> next </w:t>
            </w:r>
            <w:r>
              <w:rPr>
                <w:b/>
                <w:bCs/>
                <w:sz w:val="18"/>
                <w:szCs w:val="18"/>
              </w:rPr>
              <w:t>l</w:t>
            </w:r>
            <w:r w:rsidRPr="00AB5343">
              <w:rPr>
                <w:b/>
                <w:bCs/>
                <w:sz w:val="18"/>
                <w:szCs w:val="18"/>
              </w:rPr>
              <w:t xml:space="preserve">oneliness                                                        </w:t>
            </w:r>
          </w:p>
        </w:tc>
        <w:tc>
          <w:tcPr>
            <w:tcW w:w="0" w:type="auto"/>
          </w:tcPr>
          <w:p w14:paraId="6FD6214A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394</w:t>
            </w:r>
          </w:p>
          <w:p w14:paraId="04C8004F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[0.37-0.42]</w:t>
            </w:r>
          </w:p>
        </w:tc>
        <w:tc>
          <w:tcPr>
            <w:tcW w:w="0" w:type="auto"/>
          </w:tcPr>
          <w:p w14:paraId="07C083E2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7F903CE1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B7C8464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0.3</w:t>
            </w:r>
            <w:r>
              <w:rPr>
                <w:color w:val="000000" w:themeColor="text1"/>
                <w:sz w:val="22"/>
                <w:szCs w:val="22"/>
              </w:rPr>
              <w:t>81</w:t>
            </w:r>
          </w:p>
          <w:p w14:paraId="52EFC585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[0.36-0.40]</w:t>
            </w:r>
          </w:p>
        </w:tc>
        <w:tc>
          <w:tcPr>
            <w:tcW w:w="0" w:type="auto"/>
          </w:tcPr>
          <w:p w14:paraId="53796D4F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74636269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3C359DF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0.4</w:t>
            </w:r>
            <w:r>
              <w:rPr>
                <w:color w:val="000000" w:themeColor="text1"/>
                <w:sz w:val="22"/>
                <w:szCs w:val="22"/>
              </w:rPr>
              <w:t>56</w:t>
            </w:r>
          </w:p>
          <w:p w14:paraId="185B8014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[0.43-0.48]</w:t>
            </w:r>
          </w:p>
        </w:tc>
        <w:tc>
          <w:tcPr>
            <w:tcW w:w="0" w:type="auto"/>
          </w:tcPr>
          <w:p w14:paraId="094D3E5C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735E00A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84BC71A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D39D3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408</w:t>
            </w:r>
          </w:p>
          <w:p w14:paraId="0E2238BE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  <w:r>
              <w:rPr>
                <w:color w:val="000000" w:themeColor="text1"/>
                <w:sz w:val="22"/>
                <w:szCs w:val="22"/>
              </w:rPr>
              <w:t>[0.38-0.44]</w:t>
            </w:r>
          </w:p>
        </w:tc>
        <w:tc>
          <w:tcPr>
            <w:tcW w:w="0" w:type="auto"/>
          </w:tcPr>
          <w:p w14:paraId="51E79415" w14:textId="77777777" w:rsidR="0003155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&lt;</w:t>
            </w:r>
            <w:r w:rsidRPr="008D39D3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3C28D946" w14:textId="77777777" w:rsidR="00031550" w:rsidRDefault="00031550" w:rsidP="00A60E67">
            <w:pPr>
              <w:jc w:val="center"/>
              <w:rPr>
                <w:rFonts w:ascii="Calibri" w:hAnsi="Calibri" w:cs="Calibri"/>
              </w:rPr>
            </w:pPr>
          </w:p>
        </w:tc>
      </w:tr>
      <w:tr w:rsidR="00031550" w14:paraId="20C3B45F" w14:textId="77777777" w:rsidTr="00A60E67">
        <w:tc>
          <w:tcPr>
            <w:tcW w:w="0" w:type="auto"/>
          </w:tcPr>
          <w:p w14:paraId="32B7FC47" w14:textId="77777777" w:rsidR="00031550" w:rsidRPr="00AB5343" w:rsidRDefault="00031550" w:rsidP="00A60E6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c </w:t>
            </w:r>
          </w:p>
          <w:p w14:paraId="5755F7F3" w14:textId="77777777" w:rsidR="00031550" w:rsidRPr="00AB5343" w:rsidRDefault="00031550" w:rsidP="00A60E6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>Prior hearing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sym w:font="Wingdings" w:char="F0E0"/>
            </w: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 next loneliness</w:t>
            </w:r>
          </w:p>
          <w:p w14:paraId="1815FC0C" w14:textId="77777777" w:rsidR="00031550" w:rsidRPr="00AB5343" w:rsidRDefault="00031550" w:rsidP="00A60E67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1E7318E0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9</w:t>
            </w:r>
          </w:p>
          <w:p w14:paraId="408E0BE9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</w:t>
            </w:r>
            <w:r>
              <w:rPr>
                <w:color w:val="000000" w:themeColor="text1"/>
                <w:sz w:val="22"/>
                <w:szCs w:val="22"/>
              </w:rPr>
              <w:t>-</w:t>
            </w: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461130">
              <w:rPr>
                <w:color w:val="000000" w:themeColor="text1"/>
                <w:sz w:val="22"/>
                <w:szCs w:val="22"/>
              </w:rPr>
              <w:t xml:space="preserve"> – 0.0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246BCEE0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502</w:t>
            </w:r>
          </w:p>
        </w:tc>
        <w:tc>
          <w:tcPr>
            <w:tcW w:w="0" w:type="auto"/>
          </w:tcPr>
          <w:p w14:paraId="56EC2A0F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36</w:t>
            </w:r>
          </w:p>
          <w:p w14:paraId="3D16749D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[0.00-0.0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21848BD8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4F5AB04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02</w:t>
            </w:r>
          </w:p>
          <w:p w14:paraId="0FAEB895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</w:t>
            </w:r>
            <w:r w:rsidRPr="00277FFE">
              <w:rPr>
                <w:color w:val="000000" w:themeColor="text1"/>
                <w:sz w:val="22"/>
                <w:szCs w:val="22"/>
              </w:rPr>
              <w:t>-0.03</w:t>
            </w:r>
            <w:r w:rsidRPr="00461130">
              <w:rPr>
                <w:color w:val="000000" w:themeColor="text1"/>
                <w:sz w:val="22"/>
                <w:szCs w:val="22"/>
              </w:rPr>
              <w:t>-</w:t>
            </w:r>
            <w:r w:rsidRPr="00277FFE">
              <w:rPr>
                <w:color w:val="000000" w:themeColor="text1"/>
                <w:sz w:val="22"/>
                <w:szCs w:val="22"/>
              </w:rPr>
              <w:t>0.02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3CEBF6FC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277FFE">
              <w:rPr>
                <w:color w:val="000000" w:themeColor="text1"/>
                <w:sz w:val="22"/>
                <w:szCs w:val="22"/>
              </w:rPr>
              <w:t>0.770</w:t>
            </w:r>
          </w:p>
        </w:tc>
        <w:tc>
          <w:tcPr>
            <w:tcW w:w="0" w:type="auto"/>
          </w:tcPr>
          <w:p w14:paraId="436EE6A2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21</w:t>
            </w:r>
          </w:p>
          <w:p w14:paraId="10929A77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[-0.02-0.0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633C70E4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268</w:t>
            </w:r>
          </w:p>
        </w:tc>
      </w:tr>
      <w:tr w:rsidR="00031550" w14:paraId="71C866C8" w14:textId="77777777" w:rsidTr="00A60E67">
        <w:tc>
          <w:tcPr>
            <w:tcW w:w="0" w:type="auto"/>
          </w:tcPr>
          <w:p w14:paraId="0EEB5650" w14:textId="77777777" w:rsidR="00031550" w:rsidRPr="00AB5343" w:rsidRDefault="00031550" w:rsidP="00A60E6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d </w:t>
            </w:r>
          </w:p>
          <w:p w14:paraId="755AFE92" w14:textId="77777777" w:rsidR="00031550" w:rsidRPr="00AB5343" w:rsidRDefault="00031550" w:rsidP="00A60E67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Prior loneliness </w:t>
            </w: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sym w:font="Wingdings" w:char="F0E0"/>
            </w: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 next hearing </w:t>
            </w:r>
          </w:p>
          <w:p w14:paraId="3EE51A21" w14:textId="77777777" w:rsidR="00031550" w:rsidRPr="00AB5343" w:rsidRDefault="00031550" w:rsidP="00A60E67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AB5343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76283DD3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  <w:r w:rsidRPr="00461130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004</w:t>
            </w:r>
          </w:p>
          <w:p w14:paraId="00D8BFB1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</w:t>
            </w:r>
            <w:r w:rsidRPr="005E17D6">
              <w:rPr>
                <w:color w:val="000000" w:themeColor="text1"/>
                <w:sz w:val="22"/>
                <w:szCs w:val="22"/>
              </w:rPr>
              <w:t>-0.01</w:t>
            </w:r>
            <w:r w:rsidRPr="00461130">
              <w:rPr>
                <w:color w:val="000000" w:themeColor="text1"/>
                <w:sz w:val="22"/>
                <w:szCs w:val="22"/>
              </w:rPr>
              <w:t xml:space="preserve"> – 0.0</w:t>
            </w:r>
            <w:r>
              <w:rPr>
                <w:color w:val="000000" w:themeColor="text1"/>
                <w:sz w:val="22"/>
                <w:szCs w:val="22"/>
              </w:rPr>
              <w:t>05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163E9C7B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5E17D6">
              <w:rPr>
                <w:color w:val="000000" w:themeColor="text1"/>
                <w:sz w:val="22"/>
                <w:szCs w:val="22"/>
              </w:rPr>
              <w:t>0.365</w:t>
            </w:r>
          </w:p>
        </w:tc>
        <w:tc>
          <w:tcPr>
            <w:tcW w:w="0" w:type="auto"/>
          </w:tcPr>
          <w:p w14:paraId="7B05D07B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02</w:t>
            </w:r>
          </w:p>
          <w:p w14:paraId="291BF40F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[0.00-0.0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306EBEF0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5E17D6">
              <w:rPr>
                <w:color w:val="000000" w:themeColor="text1"/>
                <w:sz w:val="22"/>
                <w:szCs w:val="22"/>
              </w:rPr>
              <w:t>0.486</w:t>
            </w:r>
          </w:p>
        </w:tc>
        <w:tc>
          <w:tcPr>
            <w:tcW w:w="0" w:type="auto"/>
          </w:tcPr>
          <w:p w14:paraId="239FCEB6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02</w:t>
            </w:r>
          </w:p>
          <w:p w14:paraId="44C9E792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</w:t>
            </w:r>
            <w:r>
              <w:rPr>
                <w:color w:val="000000" w:themeColor="text1"/>
                <w:sz w:val="22"/>
                <w:szCs w:val="22"/>
              </w:rPr>
              <w:t>-</w:t>
            </w:r>
            <w:r w:rsidRPr="00461130">
              <w:rPr>
                <w:color w:val="000000" w:themeColor="text1"/>
                <w:sz w:val="22"/>
                <w:szCs w:val="22"/>
              </w:rPr>
              <w:t>0.0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461130">
              <w:rPr>
                <w:color w:val="000000" w:themeColor="text1"/>
                <w:sz w:val="22"/>
                <w:szCs w:val="22"/>
              </w:rPr>
              <w:t>-0.0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10C5A282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277FFE">
              <w:rPr>
                <w:color w:val="000000" w:themeColor="text1"/>
                <w:sz w:val="22"/>
                <w:szCs w:val="22"/>
              </w:rPr>
              <w:t>0.316</w:t>
            </w:r>
          </w:p>
        </w:tc>
        <w:tc>
          <w:tcPr>
            <w:tcW w:w="0" w:type="auto"/>
          </w:tcPr>
          <w:p w14:paraId="08F8203C" w14:textId="77777777" w:rsidR="00031550" w:rsidRPr="00461130" w:rsidRDefault="00031550" w:rsidP="00A60E6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0.00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</w:p>
          <w:p w14:paraId="31F94A75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[0.0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461130">
              <w:rPr>
                <w:color w:val="000000" w:themeColor="text1"/>
                <w:sz w:val="22"/>
                <w:szCs w:val="22"/>
              </w:rPr>
              <w:t xml:space="preserve"> -0.0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461130">
              <w:rPr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0" w:type="auto"/>
          </w:tcPr>
          <w:p w14:paraId="43AA27DF" w14:textId="77777777" w:rsidR="00031550" w:rsidRPr="00461130" w:rsidRDefault="00031550" w:rsidP="00A60E6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61130">
              <w:rPr>
                <w:color w:val="000000" w:themeColor="text1"/>
                <w:sz w:val="22"/>
                <w:szCs w:val="22"/>
              </w:rPr>
              <w:t>0.</w:t>
            </w:r>
            <w:r>
              <w:rPr>
                <w:color w:val="000000" w:themeColor="text1"/>
                <w:sz w:val="22"/>
                <w:szCs w:val="22"/>
              </w:rPr>
              <w:t>152</w:t>
            </w:r>
          </w:p>
        </w:tc>
      </w:tr>
    </w:tbl>
    <w:p w14:paraId="301BFF84" w14:textId="77777777" w:rsidR="00031550" w:rsidRDefault="00031550" w:rsidP="0003155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Note. </w:t>
      </w:r>
      <w:r>
        <w:t>Estimates are standardized coefficients from models with poor overall fit and should be interpreted cautiously.</w:t>
      </w:r>
    </w:p>
    <w:p w14:paraId="3D264458" w14:textId="77777777" w:rsidR="00031550" w:rsidRDefault="00031550" w:rsidP="00031550">
      <w:pPr>
        <w:rPr>
          <w:rFonts w:ascii="Calibri" w:hAnsi="Calibri" w:cs="Calibri"/>
        </w:rPr>
      </w:pPr>
    </w:p>
    <w:p w14:paraId="0018B233" w14:textId="77777777" w:rsidR="00031550" w:rsidRPr="00DE7A2A" w:rsidRDefault="00031550" w:rsidP="00031550">
      <w:pPr>
        <w:spacing w:before="100" w:beforeAutospacing="1" w:after="100" w:afterAutospacing="1"/>
        <w:ind w:firstLine="720"/>
        <w:rPr>
          <w:color w:val="000000" w:themeColor="text1"/>
        </w:rPr>
      </w:pPr>
    </w:p>
    <w:p w14:paraId="4E78F3EA" w14:textId="77777777" w:rsidR="00031550" w:rsidRPr="004A6DC7" w:rsidRDefault="00031550" w:rsidP="00031550">
      <w:pPr>
        <w:rPr>
          <w:b/>
          <w:bCs/>
          <w:color w:val="000000" w:themeColor="text1"/>
        </w:rPr>
      </w:pPr>
    </w:p>
    <w:p w14:paraId="48215544" w14:textId="77777777" w:rsidR="00AE1315" w:rsidRDefault="00AE1315"/>
    <w:sectPr w:rsidR="00AE1315" w:rsidSect="0003155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50"/>
    <w:rsid w:val="00031550"/>
    <w:rsid w:val="007B2AEE"/>
    <w:rsid w:val="009E141C"/>
    <w:rsid w:val="00AE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19913"/>
  <w15:chartTrackingRefBased/>
  <w15:docId w15:val="{FD1D0FBA-F2B3-4077-A34D-3B4B0997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55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1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5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5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5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5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5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5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5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5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1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5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1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55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1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550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1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5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155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Vervaecke</dc:creator>
  <cp:keywords/>
  <dc:description/>
  <cp:lastModifiedBy>Deanna Vervaecke</cp:lastModifiedBy>
  <cp:revision>1</cp:revision>
  <dcterms:created xsi:type="dcterms:W3CDTF">2026-05-29T19:19:00Z</dcterms:created>
  <dcterms:modified xsi:type="dcterms:W3CDTF">2026-05-29T19:19:00Z</dcterms:modified>
</cp:coreProperties>
</file>