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90431" w14:textId="77777777" w:rsidR="004E39A3" w:rsidRPr="004E39A3" w:rsidRDefault="004E39A3" w:rsidP="004E39A3">
      <w:pPr>
        <w:pStyle w:val="NormalWeb"/>
        <w:spacing w:after="0" w:line="480" w:lineRule="auto"/>
        <w:jc w:val="both"/>
        <w:rPr>
          <w:rFonts w:ascii="Arial" w:hAnsi="Arial" w:cs="Arial"/>
          <w:b/>
          <w:iCs/>
          <w:color w:val="000000"/>
          <w:lang w:val="en-US"/>
        </w:rPr>
      </w:pPr>
      <w:bookmarkStart w:id="0" w:name="_GoBack"/>
      <w:bookmarkEnd w:id="0"/>
      <w:r w:rsidRPr="004E39A3">
        <w:rPr>
          <w:rFonts w:ascii="Arial" w:hAnsi="Arial" w:cs="Arial"/>
          <w:b/>
          <w:iCs/>
          <w:color w:val="000000"/>
          <w:lang w:val="en-US"/>
        </w:rPr>
        <w:t>Supplementary material</w:t>
      </w:r>
    </w:p>
    <w:p w14:paraId="25AD3759" w14:textId="77777777" w:rsidR="0050674C" w:rsidRDefault="004E39A3" w:rsidP="0050674C">
      <w:pPr>
        <w:pStyle w:val="NormalWeb"/>
        <w:spacing w:after="0" w:line="480" w:lineRule="auto"/>
        <w:jc w:val="both"/>
        <w:rPr>
          <w:rFonts w:ascii="Arial" w:hAnsi="Arial" w:cs="Arial"/>
          <w:iCs/>
          <w:color w:val="000000"/>
          <w:lang w:val="en-US"/>
        </w:rPr>
      </w:pPr>
      <w:r>
        <w:rPr>
          <w:rFonts w:ascii="Arial" w:hAnsi="Arial" w:cs="Arial"/>
          <w:iCs/>
          <w:color w:val="000000"/>
          <w:lang w:val="en-US"/>
        </w:rPr>
        <w:t>P</w:t>
      </w:r>
      <w:r w:rsidR="008B4D3E" w:rsidRPr="004E39A3">
        <w:rPr>
          <w:rFonts w:ascii="Arial" w:hAnsi="Arial" w:cs="Arial"/>
          <w:iCs/>
          <w:color w:val="000000"/>
          <w:lang w:val="en-US"/>
        </w:rPr>
        <w:t>hase 1</w:t>
      </w:r>
      <w:r w:rsidR="0050674C">
        <w:rPr>
          <w:rFonts w:ascii="Arial" w:hAnsi="Arial" w:cs="Arial"/>
          <w:iCs/>
          <w:color w:val="000000"/>
          <w:lang w:val="en-US"/>
        </w:rPr>
        <w:t>:</w:t>
      </w:r>
    </w:p>
    <w:p w14:paraId="5B727AA1" w14:textId="2C3D0DF2" w:rsidR="008B4D3E" w:rsidRPr="004E39A3" w:rsidRDefault="0050674C" w:rsidP="0050674C">
      <w:pPr>
        <w:pStyle w:val="NormalWeb"/>
        <w:numPr>
          <w:ilvl w:val="0"/>
          <w:numId w:val="2"/>
        </w:numPr>
        <w:spacing w:after="0" w:line="480" w:lineRule="auto"/>
        <w:jc w:val="both"/>
        <w:rPr>
          <w:rFonts w:ascii="Arial" w:hAnsi="Arial" w:cs="Arial"/>
          <w:iCs/>
          <w:color w:val="000000"/>
          <w:lang w:val="en-US"/>
        </w:rPr>
      </w:pPr>
      <w:r>
        <w:rPr>
          <w:rFonts w:ascii="Arial" w:hAnsi="Arial" w:cs="Arial"/>
          <w:iCs/>
          <w:color w:val="000000"/>
          <w:lang w:val="en-US"/>
        </w:rPr>
        <w:t>S</w:t>
      </w:r>
      <w:r w:rsidR="008B4D3E" w:rsidRPr="004E39A3">
        <w:rPr>
          <w:rFonts w:ascii="Arial" w:hAnsi="Arial" w:cs="Arial"/>
          <w:iCs/>
          <w:color w:val="000000"/>
          <w:lang w:val="en-US"/>
        </w:rPr>
        <w:t>tructured questionnaire: identification</w:t>
      </w:r>
      <w:r w:rsidR="00FE07D0">
        <w:rPr>
          <w:rFonts w:ascii="Arial" w:hAnsi="Arial" w:cs="Arial"/>
          <w:iCs/>
          <w:color w:val="000000"/>
          <w:lang w:val="en-US"/>
        </w:rPr>
        <w:t xml:space="preserve"> (name, sex, education, </w:t>
      </w:r>
      <w:r w:rsidR="00AC43A7">
        <w:rPr>
          <w:rFonts w:ascii="Arial" w:hAnsi="Arial" w:cs="Arial"/>
          <w:iCs/>
          <w:color w:val="000000"/>
          <w:lang w:val="en-US"/>
        </w:rPr>
        <w:t xml:space="preserve">marital status, age), </w:t>
      </w:r>
      <w:r w:rsidR="008B4D3E" w:rsidRPr="004E39A3">
        <w:rPr>
          <w:rFonts w:ascii="Arial" w:hAnsi="Arial" w:cs="Arial"/>
          <w:iCs/>
          <w:color w:val="000000"/>
          <w:lang w:val="en-US"/>
        </w:rPr>
        <w:t>socioeconomic status classification (Associação Brasileira de Empresas de Pesquisa, 2003), quality of life questionnaire, global functional performance (Brazilian Older Americans Resource and Services Multidimensional Functional Assessment Questionnaire - BOMFAQ) (Pfeiffer, 1978),  mobility, incidents of falls and fractures, frequency and type of physical activity,</w:t>
      </w:r>
      <w:r w:rsidR="008B4D3E" w:rsidRPr="004E39A3">
        <w:rPr>
          <w:rFonts w:ascii="Arial" w:hAnsi="Arial" w:cs="Arial"/>
          <w:iCs/>
          <w:color w:val="000000"/>
          <w:sz w:val="18"/>
          <w:szCs w:val="18"/>
          <w:lang w:val="en-US"/>
        </w:rPr>
        <w:t xml:space="preserve"> </w:t>
      </w:r>
      <w:r w:rsidR="008B4D3E" w:rsidRPr="004E39A3">
        <w:rPr>
          <w:rFonts w:ascii="Arial" w:hAnsi="Arial" w:cs="Arial"/>
          <w:iCs/>
          <w:color w:val="000000"/>
          <w:lang w:val="en-US"/>
        </w:rPr>
        <w:t>details about leisure activities (such as games, crafts, reading, social gatherings, religious practice) as well as lifestyle factors (smoking</w:t>
      </w:r>
      <w:r w:rsidR="007655D7">
        <w:rPr>
          <w:rFonts w:ascii="Arial" w:hAnsi="Arial" w:cs="Arial"/>
          <w:iCs/>
          <w:color w:val="000000"/>
          <w:lang w:val="en-US"/>
        </w:rPr>
        <w:t>, drinking</w:t>
      </w:r>
      <w:r w:rsidR="00FE07D0">
        <w:rPr>
          <w:rFonts w:ascii="Arial" w:hAnsi="Arial" w:cs="Arial"/>
          <w:iCs/>
          <w:color w:val="000000"/>
          <w:lang w:val="en-US"/>
        </w:rPr>
        <w:t xml:space="preserve"> </w:t>
      </w:r>
      <w:r w:rsidR="008B4D3E" w:rsidRPr="004E39A3">
        <w:rPr>
          <w:rFonts w:ascii="Arial" w:hAnsi="Arial" w:cs="Arial"/>
          <w:iCs/>
          <w:color w:val="000000"/>
          <w:lang w:val="en-US"/>
        </w:rPr>
        <w:t>and sleeping</w:t>
      </w:r>
      <w:r w:rsidR="00FE07D0">
        <w:rPr>
          <w:rFonts w:ascii="Arial" w:hAnsi="Arial" w:cs="Arial"/>
          <w:iCs/>
          <w:color w:val="000000"/>
          <w:lang w:val="en-US"/>
        </w:rPr>
        <w:t>)</w:t>
      </w:r>
      <w:r w:rsidR="008B4D3E" w:rsidRPr="004E39A3">
        <w:rPr>
          <w:rFonts w:ascii="Arial" w:hAnsi="Arial" w:cs="Arial"/>
          <w:iCs/>
          <w:color w:val="000000"/>
          <w:lang w:val="en-US"/>
        </w:rPr>
        <w:t>, nutritional information</w:t>
      </w:r>
      <w:r w:rsidR="00DC086C">
        <w:rPr>
          <w:rFonts w:ascii="Arial" w:hAnsi="Arial" w:cs="Arial"/>
          <w:iCs/>
          <w:color w:val="000000"/>
          <w:lang w:val="en-US"/>
        </w:rPr>
        <w:t xml:space="preserve"> (semi-quantitative assessment of weekly consumption frequency of meat, carbohydrates, fruits, vegetables, cereals, dairy products, candies and coffee)</w:t>
      </w:r>
      <w:r w:rsidR="008B4D3E" w:rsidRPr="004E39A3">
        <w:rPr>
          <w:rFonts w:ascii="Arial" w:hAnsi="Arial" w:cs="Arial"/>
          <w:iCs/>
          <w:color w:val="000000"/>
          <w:lang w:val="en-US"/>
        </w:rPr>
        <w:t xml:space="preserve">, and self-perception of visual and auditory function. </w:t>
      </w:r>
    </w:p>
    <w:p w14:paraId="4E9D4166" w14:textId="20D43879" w:rsidR="008B4D3E" w:rsidRDefault="0050674C" w:rsidP="0050674C">
      <w:pPr>
        <w:pStyle w:val="NormalWeb"/>
        <w:numPr>
          <w:ilvl w:val="0"/>
          <w:numId w:val="2"/>
        </w:numPr>
        <w:spacing w:after="0" w:line="480" w:lineRule="auto"/>
        <w:jc w:val="both"/>
        <w:rPr>
          <w:rFonts w:ascii="Arial" w:hAnsi="Arial" w:cs="Arial"/>
          <w:iCs/>
          <w:color w:val="000000" w:themeColor="text1"/>
          <w:lang w:val="en-US"/>
        </w:rPr>
      </w:pPr>
      <w:r>
        <w:rPr>
          <w:rFonts w:ascii="Arial" w:hAnsi="Arial" w:cs="Arial"/>
          <w:iCs/>
          <w:color w:val="000000"/>
          <w:lang w:val="en-US"/>
        </w:rPr>
        <w:t>A</w:t>
      </w:r>
      <w:r w:rsidR="008B4D3E" w:rsidRPr="004E39A3">
        <w:rPr>
          <w:rFonts w:ascii="Arial" w:hAnsi="Arial" w:cs="Arial"/>
          <w:iCs/>
          <w:color w:val="000000"/>
          <w:lang w:val="en-US"/>
        </w:rPr>
        <w:t xml:space="preserve">lcohol consumption habits – both current and previous (more than six months before the interview) </w:t>
      </w:r>
      <w:r w:rsidR="008B4D3E" w:rsidRPr="004E39A3">
        <w:rPr>
          <w:rFonts w:ascii="Arial" w:hAnsi="Arial" w:cs="Arial"/>
          <w:iCs/>
          <w:color w:val="000000" w:themeColor="text1"/>
          <w:lang w:val="en-US"/>
        </w:rPr>
        <w:t xml:space="preserve">- interviewers </w:t>
      </w:r>
      <w:r w:rsidR="008B4D3E" w:rsidRPr="004E39A3">
        <w:rPr>
          <w:rFonts w:ascii="Arial" w:hAnsi="Arial" w:cs="Arial"/>
          <w:iCs/>
          <w:color w:val="000000"/>
          <w:lang w:val="en-US"/>
        </w:rPr>
        <w:t xml:space="preserve">gathered information on the number of doses, frequency, duration, and types of beverages consumed </w:t>
      </w:r>
      <w:r w:rsidR="008B4D3E" w:rsidRPr="004E39A3">
        <w:rPr>
          <w:rFonts w:ascii="Arial" w:hAnsi="Arial" w:cs="Arial"/>
          <w:iCs/>
          <w:color w:val="000000" w:themeColor="text1"/>
          <w:lang w:val="en-US"/>
        </w:rPr>
        <w:t>from</w:t>
      </w:r>
      <w:r w:rsidR="008B4D3E" w:rsidRPr="004E39A3">
        <w:rPr>
          <w:rFonts w:ascii="Arial" w:hAnsi="Arial" w:cs="Arial"/>
          <w:iCs/>
          <w:color w:val="FF0000"/>
          <w:lang w:val="en-US"/>
        </w:rPr>
        <w:t xml:space="preserve"> </w:t>
      </w:r>
      <w:r w:rsidR="008B4D3E" w:rsidRPr="004E39A3">
        <w:rPr>
          <w:rFonts w:ascii="Arial" w:hAnsi="Arial" w:cs="Arial"/>
          <w:iCs/>
          <w:color w:val="000000"/>
          <w:lang w:val="en-US"/>
        </w:rPr>
        <w:t xml:space="preserve">the study participants or, whenever possible, with a close informant (e.g., family relative), especially for individuals with cognitive impairment. The quantity of each type of beverage ingested per day, week, or month was </w:t>
      </w:r>
      <w:r w:rsidR="008B4D3E" w:rsidRPr="004E39A3">
        <w:rPr>
          <w:rFonts w:ascii="Arial" w:hAnsi="Arial" w:cs="Arial"/>
          <w:iCs/>
          <w:color w:val="242424"/>
          <w:shd w:val="clear" w:color="auto" w:fill="FFFFFF"/>
          <w:lang w:val="en-US"/>
        </w:rPr>
        <w:t>independently queried, with a</w:t>
      </w:r>
      <w:r w:rsidR="008B4D3E" w:rsidRPr="004E39A3">
        <w:rPr>
          <w:rFonts w:ascii="Arial" w:hAnsi="Arial" w:cs="Arial"/>
          <w:iCs/>
          <w:color w:val="FF0000"/>
          <w:lang w:val="en-US"/>
        </w:rPr>
        <w:t xml:space="preserve"> </w:t>
      </w:r>
      <w:r w:rsidR="008B4D3E" w:rsidRPr="004E39A3">
        <w:rPr>
          <w:rFonts w:ascii="Arial" w:hAnsi="Arial" w:cs="Arial"/>
          <w:iCs/>
          <w:color w:val="000000" w:themeColor="text1"/>
          <w:lang w:val="en-US"/>
        </w:rPr>
        <w:t>minimum dose of 0.1 per week as the inclusion threshold for current users.</w:t>
      </w:r>
    </w:p>
    <w:p w14:paraId="440A8356" w14:textId="77777777" w:rsidR="0050674C" w:rsidRDefault="0050674C" w:rsidP="0050674C">
      <w:pPr>
        <w:pStyle w:val="NormalWeb"/>
        <w:spacing w:after="0" w:line="480" w:lineRule="auto"/>
        <w:jc w:val="both"/>
        <w:rPr>
          <w:rFonts w:ascii="Arial" w:hAnsi="Arial" w:cs="Arial"/>
          <w:iCs/>
          <w:color w:val="000000" w:themeColor="text1"/>
          <w:lang w:val="en-US"/>
        </w:rPr>
      </w:pPr>
    </w:p>
    <w:p w14:paraId="309AC4DF" w14:textId="77777777" w:rsidR="0050674C" w:rsidRPr="004E39A3" w:rsidRDefault="0050674C" w:rsidP="0050674C">
      <w:pPr>
        <w:pStyle w:val="NormalWeb"/>
        <w:spacing w:after="0" w:line="480" w:lineRule="auto"/>
        <w:jc w:val="both"/>
        <w:rPr>
          <w:rFonts w:ascii="Arial" w:hAnsi="Arial" w:cs="Arial"/>
          <w:iCs/>
          <w:color w:val="000000" w:themeColor="text1"/>
          <w:lang w:val="en-US"/>
        </w:rPr>
      </w:pPr>
    </w:p>
    <w:p w14:paraId="5032082F" w14:textId="17BFCADF" w:rsidR="0050674C" w:rsidRDefault="0050674C" w:rsidP="0050674C">
      <w:pPr>
        <w:pStyle w:val="NormalWeb"/>
        <w:spacing w:after="0" w:line="480" w:lineRule="auto"/>
        <w:jc w:val="both"/>
        <w:rPr>
          <w:rFonts w:ascii="Arial" w:hAnsi="Arial" w:cs="Arial"/>
          <w:iCs/>
          <w:color w:val="000000"/>
          <w:lang w:val="en-US"/>
        </w:rPr>
      </w:pPr>
      <w:r>
        <w:rPr>
          <w:rFonts w:ascii="Arial" w:hAnsi="Arial" w:cs="Arial"/>
          <w:iCs/>
          <w:color w:val="000000"/>
          <w:lang w:val="en-US"/>
        </w:rPr>
        <w:t>P</w:t>
      </w:r>
      <w:r w:rsidR="008B4D3E" w:rsidRPr="004E39A3">
        <w:rPr>
          <w:rFonts w:ascii="Arial" w:hAnsi="Arial" w:cs="Arial"/>
          <w:iCs/>
          <w:color w:val="000000"/>
          <w:lang w:val="en-US"/>
        </w:rPr>
        <w:t>hase 2</w:t>
      </w:r>
      <w:r w:rsidR="007655D7">
        <w:rPr>
          <w:rFonts w:ascii="Arial" w:hAnsi="Arial" w:cs="Arial"/>
          <w:iCs/>
          <w:color w:val="000000"/>
          <w:lang w:val="en-US"/>
        </w:rPr>
        <w:t>:</w:t>
      </w:r>
    </w:p>
    <w:p w14:paraId="52AFA97B" w14:textId="77777777" w:rsidR="0050674C" w:rsidRDefault="008B4D3E" w:rsidP="0050674C">
      <w:pPr>
        <w:pStyle w:val="NormalWeb"/>
        <w:numPr>
          <w:ilvl w:val="0"/>
          <w:numId w:val="2"/>
        </w:numPr>
        <w:spacing w:after="0" w:line="480" w:lineRule="auto"/>
        <w:jc w:val="both"/>
        <w:rPr>
          <w:rFonts w:ascii="Arial" w:hAnsi="Arial" w:cs="Arial"/>
          <w:iCs/>
          <w:color w:val="000000"/>
          <w:lang w:val="en-US"/>
        </w:rPr>
      </w:pPr>
      <w:r w:rsidRPr="004E39A3">
        <w:rPr>
          <w:rFonts w:ascii="Arial" w:hAnsi="Arial" w:cs="Arial"/>
          <w:iCs/>
          <w:color w:val="000000"/>
          <w:lang w:val="en-US"/>
        </w:rPr>
        <w:t>Anamnesis focused on cognitive, motor and psychiatric symptoms, as well as functionality.</w:t>
      </w:r>
    </w:p>
    <w:p w14:paraId="693F0FE6" w14:textId="77777777" w:rsidR="0050674C" w:rsidRDefault="008B4D3E" w:rsidP="0050674C">
      <w:pPr>
        <w:pStyle w:val="NormalWeb"/>
        <w:numPr>
          <w:ilvl w:val="0"/>
          <w:numId w:val="2"/>
        </w:numPr>
        <w:spacing w:after="0" w:line="480" w:lineRule="auto"/>
        <w:jc w:val="both"/>
        <w:rPr>
          <w:rFonts w:ascii="Arial" w:hAnsi="Arial" w:cs="Arial"/>
          <w:iCs/>
          <w:color w:val="000000"/>
          <w:lang w:val="en-US"/>
        </w:rPr>
      </w:pPr>
      <w:r w:rsidRPr="0050674C">
        <w:rPr>
          <w:rFonts w:ascii="Arial" w:hAnsi="Arial" w:cs="Arial"/>
          <w:iCs/>
          <w:color w:val="000000"/>
          <w:lang w:val="en-US"/>
        </w:rPr>
        <w:t>History of relevant diseases (including neurological and psychiatric disorders, such as epilepsy, dementia, Parkinson’s disease, stroke, major depression or psychotic disorders).</w:t>
      </w:r>
    </w:p>
    <w:p w14:paraId="493C0DAE" w14:textId="77777777" w:rsidR="0050674C" w:rsidRDefault="008B4D3E" w:rsidP="0050674C">
      <w:pPr>
        <w:pStyle w:val="NormalWeb"/>
        <w:numPr>
          <w:ilvl w:val="0"/>
          <w:numId w:val="2"/>
        </w:numPr>
        <w:spacing w:after="0" w:line="480" w:lineRule="auto"/>
        <w:jc w:val="both"/>
        <w:rPr>
          <w:rFonts w:ascii="Arial" w:hAnsi="Arial" w:cs="Arial"/>
          <w:iCs/>
          <w:color w:val="000000"/>
          <w:lang w:val="en-US"/>
        </w:rPr>
      </w:pPr>
      <w:r w:rsidRPr="0050674C">
        <w:rPr>
          <w:rFonts w:ascii="Arial" w:hAnsi="Arial" w:cs="Arial"/>
          <w:iCs/>
          <w:color w:val="000000"/>
          <w:lang w:val="en-US"/>
        </w:rPr>
        <w:t>Medications currently in use.</w:t>
      </w:r>
    </w:p>
    <w:p w14:paraId="5AF406CB" w14:textId="77777777" w:rsidR="0050674C" w:rsidRDefault="008B4D3E" w:rsidP="0050674C">
      <w:pPr>
        <w:pStyle w:val="NormalWeb"/>
        <w:numPr>
          <w:ilvl w:val="0"/>
          <w:numId w:val="2"/>
        </w:numPr>
        <w:spacing w:after="0" w:line="480" w:lineRule="auto"/>
        <w:jc w:val="both"/>
        <w:rPr>
          <w:rFonts w:ascii="Arial" w:hAnsi="Arial" w:cs="Arial"/>
          <w:iCs/>
          <w:color w:val="000000"/>
          <w:lang w:val="en-US"/>
        </w:rPr>
      </w:pPr>
      <w:r w:rsidRPr="0050674C">
        <w:rPr>
          <w:rFonts w:ascii="Arial" w:hAnsi="Arial" w:cs="Arial"/>
          <w:iCs/>
          <w:color w:val="000000"/>
          <w:lang w:val="en-US"/>
        </w:rPr>
        <w:t>Hospitalizations and surgeries within the last 12 months.</w:t>
      </w:r>
    </w:p>
    <w:p w14:paraId="5B4F28C4" w14:textId="77777777" w:rsidR="0050674C" w:rsidRDefault="008B4D3E" w:rsidP="0050674C">
      <w:pPr>
        <w:pStyle w:val="NormalWeb"/>
        <w:numPr>
          <w:ilvl w:val="0"/>
          <w:numId w:val="2"/>
        </w:numPr>
        <w:spacing w:after="0" w:line="480" w:lineRule="auto"/>
        <w:jc w:val="both"/>
        <w:rPr>
          <w:rFonts w:ascii="Arial" w:hAnsi="Arial" w:cs="Arial"/>
          <w:iCs/>
          <w:color w:val="000000"/>
          <w:lang w:val="en-US"/>
        </w:rPr>
      </w:pPr>
      <w:r w:rsidRPr="0050674C">
        <w:rPr>
          <w:rFonts w:ascii="Arial" w:hAnsi="Arial" w:cs="Arial"/>
          <w:iCs/>
          <w:color w:val="000000"/>
          <w:lang w:val="en-US"/>
        </w:rPr>
        <w:t>General physical examination (measurement of blood pressure, weight, height, heart rate, cardiac and cervical auscultation and measurement of the ankle-brachial index with Doppler).</w:t>
      </w:r>
    </w:p>
    <w:p w14:paraId="499D4CA0" w14:textId="3A7469D7" w:rsidR="0050674C" w:rsidRDefault="008B4D3E" w:rsidP="0050674C">
      <w:pPr>
        <w:pStyle w:val="NormalWeb"/>
        <w:numPr>
          <w:ilvl w:val="0"/>
          <w:numId w:val="2"/>
        </w:numPr>
        <w:spacing w:after="0" w:line="480" w:lineRule="auto"/>
        <w:jc w:val="both"/>
        <w:rPr>
          <w:rFonts w:ascii="Arial" w:hAnsi="Arial" w:cs="Arial"/>
          <w:iCs/>
          <w:color w:val="000000"/>
          <w:lang w:val="en-US"/>
        </w:rPr>
      </w:pPr>
      <w:r w:rsidRPr="0050674C">
        <w:rPr>
          <w:rFonts w:ascii="Arial" w:hAnsi="Arial" w:cs="Arial"/>
          <w:iCs/>
          <w:color w:val="000000"/>
          <w:lang w:val="en-US"/>
        </w:rPr>
        <w:t>Neurological examination including the motor part of the Unified Parkinson's Disease Rating Scale (UPDRS; part III) (Fahn &amp; Elton, 1987)</w:t>
      </w:r>
      <w:r w:rsidR="0050674C">
        <w:rPr>
          <w:rFonts w:ascii="Arial" w:hAnsi="Arial" w:cs="Arial"/>
          <w:iCs/>
          <w:color w:val="000000"/>
          <w:lang w:val="en-US"/>
        </w:rPr>
        <w:t>.</w:t>
      </w:r>
    </w:p>
    <w:p w14:paraId="6D0D0DB5" w14:textId="1463244D" w:rsidR="0050674C" w:rsidRDefault="008B4D3E" w:rsidP="0050674C">
      <w:pPr>
        <w:pStyle w:val="NormalWeb"/>
        <w:numPr>
          <w:ilvl w:val="0"/>
          <w:numId w:val="2"/>
        </w:numPr>
        <w:spacing w:after="0" w:line="480" w:lineRule="auto"/>
        <w:jc w:val="both"/>
        <w:rPr>
          <w:rFonts w:ascii="Arial" w:hAnsi="Arial" w:cs="Arial"/>
          <w:iCs/>
          <w:color w:val="000000"/>
          <w:lang w:val="en-US"/>
        </w:rPr>
      </w:pPr>
      <w:r w:rsidRPr="0050674C">
        <w:rPr>
          <w:rFonts w:ascii="Arial" w:hAnsi="Arial" w:cs="Arial"/>
          <w:iCs/>
          <w:color w:val="000000"/>
          <w:lang w:val="en-US"/>
        </w:rPr>
        <w:t>Brief cognitive assessment with the Mini-Mental State Examination (MMSE) (Brucki</w:t>
      </w:r>
      <w:r w:rsidR="00A45837">
        <w:rPr>
          <w:rFonts w:ascii="Arial" w:hAnsi="Arial" w:cs="Arial"/>
          <w:iCs/>
          <w:color w:val="000000"/>
          <w:lang w:val="en-US"/>
        </w:rPr>
        <w:t xml:space="preserve">, </w:t>
      </w:r>
      <w:r w:rsidRPr="0050674C">
        <w:rPr>
          <w:rFonts w:ascii="Arial" w:hAnsi="Arial" w:cs="Arial"/>
          <w:iCs/>
          <w:color w:val="000000"/>
          <w:lang w:val="en-US"/>
        </w:rPr>
        <w:t>Nitrini, Caramelli, Bertolucci, &amp; Okamoto, 2003)</w:t>
      </w:r>
      <w:r w:rsidRPr="0050674C">
        <w:rPr>
          <w:rFonts w:ascii="Arial" w:hAnsi="Arial" w:cs="Arial"/>
          <w:iCs/>
          <w:color w:val="000000"/>
          <w:sz w:val="18"/>
          <w:szCs w:val="18"/>
          <w:vertAlign w:val="superscript"/>
          <w:lang w:val="en-US"/>
        </w:rPr>
        <w:t xml:space="preserve"> </w:t>
      </w:r>
      <w:r w:rsidRPr="0050674C">
        <w:rPr>
          <w:rFonts w:ascii="Arial" w:hAnsi="Arial" w:cs="Arial"/>
          <w:iCs/>
          <w:color w:val="000000"/>
          <w:lang w:val="en-US"/>
        </w:rPr>
        <w:t>and the Brief Cognitive Screening Battery (i.e., figure memory test, category fluency test - animals/min., and clock drawing) (Nitrini et al., 1994).</w:t>
      </w:r>
    </w:p>
    <w:p w14:paraId="06D917B0" w14:textId="516C1B65" w:rsidR="0050674C" w:rsidRDefault="008B4D3E" w:rsidP="0050674C">
      <w:pPr>
        <w:pStyle w:val="NormalWeb"/>
        <w:numPr>
          <w:ilvl w:val="0"/>
          <w:numId w:val="2"/>
        </w:numPr>
        <w:spacing w:after="0" w:line="480" w:lineRule="auto"/>
        <w:jc w:val="both"/>
        <w:rPr>
          <w:rFonts w:ascii="Arial" w:hAnsi="Arial" w:cs="Arial"/>
          <w:iCs/>
          <w:color w:val="000000"/>
          <w:lang w:val="en-US"/>
        </w:rPr>
      </w:pPr>
      <w:r w:rsidRPr="0050674C">
        <w:rPr>
          <w:rFonts w:ascii="Arial" w:hAnsi="Arial" w:cs="Arial"/>
          <w:iCs/>
          <w:color w:val="000000"/>
          <w:lang w:val="en-US"/>
        </w:rPr>
        <w:t>Pfeffer Functional Activities Questionnaire (FAQ), administered to informants (Pfeffer, Kurosaki, Harrah, Chance &amp; Filos, 1982).</w:t>
      </w:r>
    </w:p>
    <w:p w14:paraId="15E2DA0B" w14:textId="77777777" w:rsidR="0050674C" w:rsidRDefault="008B4D3E" w:rsidP="0050674C">
      <w:pPr>
        <w:pStyle w:val="NormalWeb"/>
        <w:numPr>
          <w:ilvl w:val="0"/>
          <w:numId w:val="2"/>
        </w:numPr>
        <w:spacing w:after="0" w:line="480" w:lineRule="auto"/>
        <w:jc w:val="both"/>
        <w:rPr>
          <w:rFonts w:ascii="Arial" w:hAnsi="Arial" w:cs="Arial"/>
          <w:iCs/>
          <w:color w:val="000000"/>
          <w:lang w:val="en-US"/>
        </w:rPr>
      </w:pPr>
      <w:r w:rsidRPr="0050674C">
        <w:rPr>
          <w:rFonts w:ascii="Arial" w:hAnsi="Arial" w:cs="Arial"/>
          <w:iCs/>
          <w:color w:val="000000"/>
          <w:lang w:val="en-US"/>
        </w:rPr>
        <w:t>Functional Assessment Staging in Alzheimer's Disease (FAST). (Reisberg, 1988).</w:t>
      </w:r>
    </w:p>
    <w:p w14:paraId="252E527F" w14:textId="459725B7" w:rsidR="0050674C" w:rsidRPr="0050674C" w:rsidRDefault="008B4D3E" w:rsidP="0050674C">
      <w:pPr>
        <w:pStyle w:val="NormalWeb"/>
        <w:numPr>
          <w:ilvl w:val="0"/>
          <w:numId w:val="2"/>
        </w:numPr>
        <w:spacing w:after="0" w:line="480" w:lineRule="auto"/>
        <w:jc w:val="both"/>
        <w:rPr>
          <w:rFonts w:ascii="Arial" w:hAnsi="Arial" w:cs="Arial"/>
          <w:iCs/>
          <w:color w:val="000000"/>
          <w:lang w:val="en-US"/>
        </w:rPr>
      </w:pPr>
      <w:r w:rsidRPr="0050674C">
        <w:rPr>
          <w:rFonts w:ascii="Arial" w:hAnsi="Arial" w:cs="Arial"/>
          <w:iCs/>
          <w:color w:val="000000"/>
          <w:lang w:val="en-US"/>
        </w:rPr>
        <w:t>Geriatric Depression Scale (GDS-15) (Almeida &amp; Almeida, 1999)</w:t>
      </w:r>
      <w:r w:rsidR="00DC086C">
        <w:rPr>
          <w:rFonts w:ascii="Arial" w:hAnsi="Arial" w:cs="Arial"/>
          <w:iCs/>
          <w:color w:val="000000"/>
          <w:lang w:val="en-US"/>
        </w:rPr>
        <w:t>.</w:t>
      </w:r>
    </w:p>
    <w:p w14:paraId="030BC272" w14:textId="141282BD" w:rsidR="008B4D3E" w:rsidRPr="0050674C" w:rsidRDefault="008B4D3E" w:rsidP="0050674C">
      <w:pPr>
        <w:pStyle w:val="NormalWeb"/>
        <w:numPr>
          <w:ilvl w:val="0"/>
          <w:numId w:val="2"/>
        </w:numPr>
        <w:spacing w:after="0" w:line="480" w:lineRule="auto"/>
        <w:jc w:val="both"/>
        <w:rPr>
          <w:rFonts w:ascii="Arial" w:hAnsi="Arial" w:cs="Arial"/>
          <w:iCs/>
          <w:color w:val="000000"/>
          <w:lang w:val="en-US"/>
        </w:rPr>
      </w:pPr>
      <w:r w:rsidRPr="0050674C">
        <w:rPr>
          <w:rFonts w:ascii="Arial" w:hAnsi="Arial" w:cs="Arial"/>
          <w:iCs/>
          <w:color w:val="000000"/>
          <w:lang w:val="en-US"/>
        </w:rPr>
        <w:lastRenderedPageBreak/>
        <w:t>Mini International Neuropsychiatric Interview (M.I.N.I.). (Lecrubier et al., 1997).</w:t>
      </w:r>
    </w:p>
    <w:p w14:paraId="752F45F5" w14:textId="73B9715B" w:rsidR="008B4D3E" w:rsidRPr="004E39A3" w:rsidRDefault="0050674C" w:rsidP="0050674C">
      <w:pPr>
        <w:pStyle w:val="NormalWeb"/>
        <w:numPr>
          <w:ilvl w:val="0"/>
          <w:numId w:val="2"/>
        </w:numPr>
        <w:spacing w:after="0" w:line="480" w:lineRule="auto"/>
        <w:jc w:val="both"/>
        <w:rPr>
          <w:rFonts w:ascii="Arial" w:hAnsi="Arial" w:cs="Arial"/>
          <w:iCs/>
          <w:color w:val="000000"/>
          <w:lang w:val="en-US"/>
        </w:rPr>
      </w:pPr>
      <w:r>
        <w:rPr>
          <w:rFonts w:ascii="Arial" w:hAnsi="Arial" w:cs="Arial"/>
          <w:iCs/>
          <w:color w:val="000000"/>
          <w:lang w:val="en-US"/>
        </w:rPr>
        <w:t>N</w:t>
      </w:r>
      <w:r w:rsidR="008B4D3E" w:rsidRPr="004E39A3">
        <w:rPr>
          <w:rFonts w:ascii="Arial" w:hAnsi="Arial" w:cs="Arial"/>
          <w:iCs/>
          <w:color w:val="000000"/>
          <w:lang w:val="en-US"/>
        </w:rPr>
        <w:t>europsychological and functional assessments: Mattis Dementia Assessment Scale (Porto, Fichman, Caramelli, Bahia &amp; Nitrini, 2003), Rey Auditory-Verbal Learning Test (Malloy-Diniz, Lasmar, Gazinelli, Fuentes &amp; Salgado, 2007), Consortium to Establish a Registry for Alzheimer's Disease (CERAD) (Bertolucci et al., 2001), phonemic verbal fluency test</w:t>
      </w:r>
      <w:r w:rsidR="008B4D3E" w:rsidRPr="004E39A3">
        <w:rPr>
          <w:rFonts w:ascii="Arial" w:hAnsi="Arial" w:cs="Arial"/>
          <w:iCs/>
          <w:color w:val="000000"/>
          <w:sz w:val="14"/>
          <w:szCs w:val="14"/>
          <w:vertAlign w:val="superscript"/>
          <w:lang w:val="en-US"/>
        </w:rPr>
        <w:t xml:space="preserve"> </w:t>
      </w:r>
      <w:r w:rsidR="008B4D3E" w:rsidRPr="004E39A3">
        <w:rPr>
          <w:rFonts w:ascii="Arial" w:hAnsi="Arial" w:cs="Arial"/>
          <w:iCs/>
          <w:color w:val="000000"/>
          <w:lang w:val="en-US"/>
        </w:rPr>
        <w:t xml:space="preserve">(FAS) and Frontal Assessment Battery (Beato, Nitrini, Formigoni &amp; Caramelli, 2007). </w:t>
      </w:r>
    </w:p>
    <w:p w14:paraId="7C41C139" w14:textId="33D68489" w:rsidR="00B21D54" w:rsidRDefault="00B21D54" w:rsidP="00B21D54">
      <w:pPr>
        <w:pStyle w:val="NormalWeb"/>
        <w:spacing w:after="0" w:line="480" w:lineRule="auto"/>
        <w:jc w:val="both"/>
        <w:rPr>
          <w:rFonts w:ascii="Arial" w:hAnsi="Arial" w:cs="Arial"/>
          <w:iCs/>
          <w:color w:val="000000"/>
          <w:lang w:val="en-US"/>
        </w:rPr>
      </w:pPr>
      <w:r>
        <w:rPr>
          <w:rFonts w:ascii="Arial" w:hAnsi="Arial" w:cs="Arial"/>
          <w:iCs/>
          <w:color w:val="000000"/>
          <w:lang w:val="en-US"/>
        </w:rPr>
        <w:t>P</w:t>
      </w:r>
      <w:r w:rsidR="008B4D3E" w:rsidRPr="004E39A3">
        <w:rPr>
          <w:rFonts w:ascii="Arial" w:hAnsi="Arial" w:cs="Arial"/>
          <w:iCs/>
          <w:color w:val="000000"/>
          <w:lang w:val="en-US"/>
        </w:rPr>
        <w:t>hase 3</w:t>
      </w:r>
      <w:r w:rsidR="007655D7">
        <w:rPr>
          <w:rFonts w:ascii="Arial" w:hAnsi="Arial" w:cs="Arial"/>
          <w:iCs/>
          <w:color w:val="000000"/>
          <w:lang w:val="en-US"/>
        </w:rPr>
        <w:t>:</w:t>
      </w:r>
    </w:p>
    <w:p w14:paraId="319BD133" w14:textId="528EB84B" w:rsidR="008B4D3E" w:rsidRPr="004E39A3" w:rsidRDefault="00B21D54" w:rsidP="00B21D54">
      <w:pPr>
        <w:pStyle w:val="NormalWeb"/>
        <w:spacing w:after="0" w:line="480" w:lineRule="auto"/>
        <w:ind w:left="709" w:hanging="425"/>
        <w:jc w:val="both"/>
        <w:rPr>
          <w:rFonts w:ascii="Arial" w:hAnsi="Arial" w:cs="Arial"/>
          <w:iCs/>
          <w:color w:val="000000"/>
          <w:vertAlign w:val="superscript"/>
          <w:lang w:val="en-US"/>
        </w:rPr>
      </w:pPr>
      <w:r>
        <w:rPr>
          <w:rFonts w:ascii="Arial" w:hAnsi="Arial" w:cs="Arial"/>
          <w:iCs/>
          <w:color w:val="000000"/>
          <w:lang w:val="en-US"/>
        </w:rPr>
        <w:t>-</w:t>
      </w:r>
      <w:r>
        <w:rPr>
          <w:rFonts w:ascii="Arial" w:hAnsi="Arial" w:cs="Arial"/>
          <w:iCs/>
          <w:color w:val="000000"/>
          <w:lang w:val="en-US"/>
        </w:rPr>
        <w:tab/>
        <w:t>A</w:t>
      </w:r>
      <w:r w:rsidR="008B4D3E" w:rsidRPr="004E39A3">
        <w:rPr>
          <w:rFonts w:ascii="Arial" w:hAnsi="Arial" w:cs="Arial"/>
          <w:iCs/>
          <w:color w:val="000000"/>
          <w:lang w:val="en-US"/>
        </w:rPr>
        <w:t xml:space="preserve">ll participants were invited to provide blood samples for laboratory tests, encompassing blood count, creatinine, lipid profile, thyroid function, liver and canalicular enzymes, albumin, VDRL, erythrocyte sedimentation rate, cortisol and vitamin B12 measurement). These exams were conducted in 358 participants. </w:t>
      </w:r>
      <w:r w:rsidR="008B4D3E" w:rsidRPr="00B21D54">
        <w:rPr>
          <w:rFonts w:ascii="Arial" w:hAnsi="Arial" w:cs="Arial"/>
          <w:i/>
          <w:color w:val="000000"/>
          <w:lang w:val="en-US"/>
        </w:rPr>
        <w:t>APOE</w:t>
      </w:r>
      <w:r w:rsidR="008B4D3E" w:rsidRPr="004E39A3">
        <w:rPr>
          <w:rFonts w:ascii="Arial" w:hAnsi="Arial" w:cs="Arial"/>
          <w:iCs/>
          <w:color w:val="000000"/>
          <w:lang w:val="en-US"/>
        </w:rPr>
        <w:t xml:space="preserve"> genotyping was carried out in 295 individuals. (Lara et al., 2016)</w:t>
      </w:r>
      <w:r w:rsidR="007655D7">
        <w:rPr>
          <w:rFonts w:ascii="Arial" w:hAnsi="Arial" w:cs="Arial"/>
          <w:iCs/>
          <w:color w:val="000000"/>
          <w:lang w:val="en-US"/>
        </w:rPr>
        <w:t>.</w:t>
      </w:r>
    </w:p>
    <w:sectPr w:rsidR="008B4D3E" w:rsidRPr="004E39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3D02"/>
    <w:multiLevelType w:val="hybridMultilevel"/>
    <w:tmpl w:val="AD84288E"/>
    <w:lvl w:ilvl="0" w:tplc="E18EB15C">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DE73F9D"/>
    <w:multiLevelType w:val="hybridMultilevel"/>
    <w:tmpl w:val="F670DD14"/>
    <w:lvl w:ilvl="0" w:tplc="CA3AC01E">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3E"/>
    <w:rsid w:val="003C57E9"/>
    <w:rsid w:val="003F0A06"/>
    <w:rsid w:val="004E39A3"/>
    <w:rsid w:val="0050674C"/>
    <w:rsid w:val="007655D7"/>
    <w:rsid w:val="007C7DDC"/>
    <w:rsid w:val="008B4D3E"/>
    <w:rsid w:val="008F5476"/>
    <w:rsid w:val="00A45837"/>
    <w:rsid w:val="00AC43A7"/>
    <w:rsid w:val="00B21D54"/>
    <w:rsid w:val="00D2363E"/>
    <w:rsid w:val="00DC086C"/>
    <w:rsid w:val="00F07407"/>
    <w:rsid w:val="00FE07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E6C7"/>
  <w15:chartTrackingRefBased/>
  <w15:docId w15:val="{4ADF7C5F-8932-445A-909D-5FE65166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B4D3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655D7"/>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7655D7"/>
    <w:rPr>
      <w:rFonts w:ascii="Times New Roman" w:hAnsi="Times New Roman" w:cs="Times New Roman"/>
      <w:sz w:val="18"/>
      <w:szCs w:val="18"/>
    </w:rPr>
  </w:style>
  <w:style w:type="character" w:styleId="Refdecomentrio">
    <w:name w:val="annotation reference"/>
    <w:basedOn w:val="Fontepargpadro"/>
    <w:uiPriority w:val="99"/>
    <w:semiHidden/>
    <w:unhideWhenUsed/>
    <w:rsid w:val="00AC43A7"/>
    <w:rPr>
      <w:sz w:val="16"/>
      <w:szCs w:val="16"/>
    </w:rPr>
  </w:style>
  <w:style w:type="paragraph" w:styleId="Textodecomentrio">
    <w:name w:val="annotation text"/>
    <w:basedOn w:val="Normal"/>
    <w:link w:val="TextodecomentrioChar"/>
    <w:uiPriority w:val="99"/>
    <w:semiHidden/>
    <w:unhideWhenUsed/>
    <w:rsid w:val="00AC43A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C43A7"/>
    <w:rPr>
      <w:sz w:val="20"/>
      <w:szCs w:val="20"/>
    </w:rPr>
  </w:style>
  <w:style w:type="paragraph" w:styleId="Assuntodocomentrio">
    <w:name w:val="annotation subject"/>
    <w:basedOn w:val="Textodecomentrio"/>
    <w:next w:val="Textodecomentrio"/>
    <w:link w:val="AssuntodocomentrioChar"/>
    <w:uiPriority w:val="99"/>
    <w:semiHidden/>
    <w:unhideWhenUsed/>
    <w:rsid w:val="00AC43A7"/>
    <w:rPr>
      <w:b/>
      <w:bCs/>
    </w:rPr>
  </w:style>
  <w:style w:type="character" w:customStyle="1" w:styleId="AssuntodocomentrioChar">
    <w:name w:val="Assunto do comentário Char"/>
    <w:basedOn w:val="TextodecomentrioChar"/>
    <w:link w:val="Assuntodocomentrio"/>
    <w:uiPriority w:val="99"/>
    <w:semiHidden/>
    <w:rsid w:val="00AC43A7"/>
    <w:rPr>
      <w:b/>
      <w:bCs/>
      <w:sz w:val="20"/>
      <w:szCs w:val="20"/>
    </w:rPr>
  </w:style>
  <w:style w:type="paragraph" w:styleId="Reviso">
    <w:name w:val="Revision"/>
    <w:hidden/>
    <w:uiPriority w:val="99"/>
    <w:semiHidden/>
    <w:rsid w:val="008F54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3024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Caramelli</dc:creator>
  <cp:keywords/>
  <dc:description/>
  <cp:lastModifiedBy>Microsoft Office User</cp:lastModifiedBy>
  <cp:revision>2</cp:revision>
  <dcterms:created xsi:type="dcterms:W3CDTF">2024-01-15T19:39:00Z</dcterms:created>
  <dcterms:modified xsi:type="dcterms:W3CDTF">2024-01-15T19:39:00Z</dcterms:modified>
</cp:coreProperties>
</file>