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267C0" w14:textId="5A4E7590" w:rsidR="006C7C42" w:rsidRPr="00E90F4C" w:rsidRDefault="009E75C4" w:rsidP="00E90F4C">
      <w:pPr>
        <w:spacing w:after="0" w:line="360" w:lineRule="auto"/>
        <w:rPr>
          <w:rFonts w:cs="Times New Roman"/>
          <w:sz w:val="44"/>
          <w:szCs w:val="44"/>
        </w:rPr>
      </w:pPr>
      <w:r>
        <w:rPr>
          <w:rFonts w:cs="Times New Roman"/>
          <w:sz w:val="44"/>
          <w:szCs w:val="44"/>
        </w:rPr>
        <w:t xml:space="preserve">Appendix </w:t>
      </w:r>
      <w:r w:rsidR="003F3A71">
        <w:rPr>
          <w:rFonts w:cs="Times New Roman"/>
          <w:sz w:val="44"/>
          <w:szCs w:val="44"/>
        </w:rPr>
        <w:t>S</w:t>
      </w:r>
      <w:r>
        <w:rPr>
          <w:rFonts w:cs="Times New Roman"/>
          <w:sz w:val="44"/>
          <w:szCs w:val="44"/>
        </w:rPr>
        <w:t>1</w:t>
      </w:r>
      <w:r w:rsidR="00435BAB">
        <w:rPr>
          <w:rFonts w:cs="Times New Roman"/>
          <w:sz w:val="44"/>
          <w:szCs w:val="44"/>
        </w:rPr>
        <w:t>.</w:t>
      </w:r>
    </w:p>
    <w:p w14:paraId="05DC62E1" w14:textId="6B157ECD" w:rsidR="009E75C4" w:rsidRDefault="00435BAB" w:rsidP="004359ED">
      <w:pPr>
        <w:spacing w:line="360" w:lineRule="auto"/>
      </w:pPr>
      <w:r w:rsidRPr="00FA73D1">
        <w:rPr>
          <w:i/>
          <w:iCs/>
        </w:rPr>
        <w:t>This supplement accompanies</w:t>
      </w:r>
      <w:r w:rsidR="009E75C4">
        <w:rPr>
          <w:i/>
          <w:iCs/>
        </w:rPr>
        <w:t xml:space="preserve"> </w:t>
      </w:r>
      <w:r w:rsidR="00152DFD" w:rsidRPr="00152DFD">
        <w:rPr>
          <w:lang w:val="en-GB"/>
        </w:rPr>
        <w:t xml:space="preserve">Multi-species approaches are necessary to optimise conservation: Integrating a genetic algorithm </w:t>
      </w:r>
      <w:r w:rsidR="0079695A">
        <w:rPr>
          <w:lang w:val="en-GB"/>
        </w:rPr>
        <w:t>with</w:t>
      </w:r>
      <w:r w:rsidR="00152DFD" w:rsidRPr="00152DFD">
        <w:rPr>
          <w:lang w:val="en-GB"/>
        </w:rPr>
        <w:t xml:space="preserve"> stochastic models in the Murray-Darling Basin (Australia).</w:t>
      </w:r>
    </w:p>
    <w:p w14:paraId="4AA31716" w14:textId="704C8F1A" w:rsidR="00E90F4C" w:rsidRPr="00F55E93" w:rsidRDefault="009E75C4" w:rsidP="004359ED">
      <w:pPr>
        <w:spacing w:line="360" w:lineRule="auto"/>
        <w:rPr>
          <w:rFonts w:cs="Times New Roman"/>
        </w:rPr>
      </w:pPr>
      <w:r w:rsidRPr="00FA73D1">
        <w:t>Rup</w:t>
      </w:r>
      <w:r w:rsidRPr="00FA73D1">
        <w:rPr>
          <w:lang w:eastAsia="en-AU"/>
        </w:rPr>
        <w:t xml:space="preserve">ert Mathwin, Aaron Zecchin, </w:t>
      </w:r>
      <w:r w:rsidRPr="00B47D6C">
        <w:t xml:space="preserve">Skye Wassens, </w:t>
      </w:r>
      <w:r w:rsidRPr="00FA73D1">
        <w:t>Matthew S. Gibbs</w:t>
      </w:r>
      <w:r w:rsidRPr="00B47D6C">
        <w:t>,</w:t>
      </w:r>
      <w:r w:rsidRPr="00FA73D1">
        <w:t xml:space="preserve"> Kate Mason</w:t>
      </w:r>
      <w:r w:rsidRPr="00B47D6C">
        <w:t xml:space="preserve"> and </w:t>
      </w:r>
      <w:r w:rsidRPr="00FA73D1">
        <w:rPr>
          <w:lang w:eastAsia="en-AU"/>
        </w:rPr>
        <w:t>Corey J. A. Bradshaw</w:t>
      </w:r>
      <w:r w:rsidR="00435BAB">
        <w:rPr>
          <w:rFonts w:cs="Times New Roman"/>
          <w:szCs w:val="24"/>
        </w:rPr>
        <w:t>.</w:t>
      </w:r>
    </w:p>
    <w:p w14:paraId="25EA51CD" w14:textId="18F684B6" w:rsidR="00A2610B" w:rsidRDefault="00CD5A69" w:rsidP="00A2610B">
      <w:pPr>
        <w:keepNext/>
      </w:pPr>
      <w:r>
        <w:rPr>
          <w:noProof/>
          <w:lang w:val="en-GB"/>
        </w:rPr>
        <w:drawing>
          <wp:inline distT="0" distB="0" distL="0" distR="0" wp14:anchorId="444DFE14" wp14:editId="5EDDED66">
            <wp:extent cx="6503212" cy="7176133"/>
            <wp:effectExtent l="0" t="0" r="0" b="6350"/>
            <wp:docPr id="844835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019069" name="Picture 1411019069"/>
                    <pic:cNvPicPr/>
                  </pic:nvPicPr>
                  <pic:blipFill rotWithShape="1">
                    <a:blip r:embed="rId4" cstate="print">
                      <a:extLst>
                        <a:ext uri="{28A0092B-C50C-407E-A947-70E740481C1C}">
                          <a14:useLocalDpi xmlns:a14="http://schemas.microsoft.com/office/drawing/2010/main" val="0"/>
                        </a:ext>
                      </a:extLst>
                    </a:blip>
                    <a:srcRect t="20881" b="17051"/>
                    <a:stretch>
                      <a:fillRect/>
                    </a:stretch>
                  </pic:blipFill>
                  <pic:spPr bwMode="auto">
                    <a:xfrm>
                      <a:off x="0" y="0"/>
                      <a:ext cx="6519884" cy="7194530"/>
                    </a:xfrm>
                    <a:prstGeom prst="rect">
                      <a:avLst/>
                    </a:prstGeom>
                    <a:ln>
                      <a:noFill/>
                    </a:ln>
                    <a:extLst>
                      <a:ext uri="{53640926-AAD7-44D8-BBD7-CCE9431645EC}">
                        <a14:shadowObscured xmlns:a14="http://schemas.microsoft.com/office/drawing/2010/main"/>
                      </a:ext>
                    </a:extLst>
                  </pic:spPr>
                </pic:pic>
              </a:graphicData>
            </a:graphic>
          </wp:inline>
        </w:drawing>
      </w:r>
    </w:p>
    <w:p w14:paraId="39283F04" w14:textId="41F8804C" w:rsidR="00A2610B" w:rsidRPr="00F451D7" w:rsidRDefault="0099297C" w:rsidP="00A2610B">
      <w:pPr>
        <w:pStyle w:val="Caption"/>
        <w:rPr>
          <w:i w:val="0"/>
          <w:iCs w:val="0"/>
          <w:lang w:val="en-GB"/>
        </w:rPr>
      </w:pPr>
      <w:r>
        <w:rPr>
          <w:i w:val="0"/>
          <w:iCs w:val="0"/>
        </w:rPr>
        <w:t>Appendix S1</w:t>
      </w:r>
      <w:r w:rsidR="00A2610B" w:rsidRPr="00F451D7">
        <w:rPr>
          <w:i w:val="0"/>
          <w:iCs w:val="0"/>
        </w:rPr>
        <w:t xml:space="preserve"> Figure </w:t>
      </w:r>
      <w:r w:rsidR="0001408F">
        <w:rPr>
          <w:i w:val="0"/>
          <w:iCs w:val="0"/>
        </w:rPr>
        <w:t>S</w:t>
      </w:r>
      <w:r w:rsidR="00A2610B" w:rsidRPr="00F451D7">
        <w:rPr>
          <w:i w:val="0"/>
          <w:iCs w:val="0"/>
        </w:rPr>
        <w:fldChar w:fldCharType="begin"/>
      </w:r>
      <w:r w:rsidR="00A2610B" w:rsidRPr="00F451D7">
        <w:rPr>
          <w:i w:val="0"/>
          <w:iCs w:val="0"/>
        </w:rPr>
        <w:instrText xml:space="preserve"> SEQ Figure \* ARABIC </w:instrText>
      </w:r>
      <w:r w:rsidR="00A2610B" w:rsidRPr="00F451D7">
        <w:rPr>
          <w:i w:val="0"/>
          <w:iCs w:val="0"/>
        </w:rPr>
        <w:fldChar w:fldCharType="separate"/>
      </w:r>
      <w:r w:rsidR="00775A50" w:rsidRPr="00F451D7">
        <w:rPr>
          <w:i w:val="0"/>
          <w:iCs w:val="0"/>
          <w:noProof/>
        </w:rPr>
        <w:t>1</w:t>
      </w:r>
      <w:r w:rsidR="00A2610B" w:rsidRPr="00F451D7">
        <w:rPr>
          <w:i w:val="0"/>
          <w:iCs w:val="0"/>
          <w:noProof/>
        </w:rPr>
        <w:fldChar w:fldCharType="end"/>
      </w:r>
      <w:r w:rsidR="00A2610B" w:rsidRPr="00F451D7">
        <w:rPr>
          <w:i w:val="0"/>
          <w:iCs w:val="0"/>
        </w:rPr>
        <w:t xml:space="preserve">  A conceptual diagram of the integrated systems model which paired a stochastic hydroecological metapopulation model within a genetic algorithm. </w:t>
      </w:r>
    </w:p>
    <w:p w14:paraId="558CB856" w14:textId="77777777" w:rsidR="00566CAE" w:rsidRDefault="00566CAE" w:rsidP="006C7C42">
      <w:pPr>
        <w:rPr>
          <w:lang w:val="en-GB"/>
        </w:rPr>
        <w:sectPr w:rsidR="00566CAE" w:rsidSect="00A568AB">
          <w:pgSz w:w="11906" w:h="16838"/>
          <w:pgMar w:top="720" w:right="720" w:bottom="720" w:left="720" w:header="708" w:footer="708" w:gutter="0"/>
          <w:cols w:space="708"/>
          <w:docGrid w:linePitch="360"/>
        </w:sectPr>
      </w:pPr>
    </w:p>
    <w:p w14:paraId="394123A7" w14:textId="2F8BB888" w:rsidR="00F451D7" w:rsidRPr="00566CAE" w:rsidRDefault="00F451D7" w:rsidP="006C7C42">
      <w:pPr>
        <w:rPr>
          <w:b/>
          <w:bCs/>
          <w:lang w:val="en-GB"/>
        </w:rPr>
      </w:pPr>
      <w:r w:rsidRPr="00566CAE">
        <w:rPr>
          <w:b/>
          <w:bCs/>
          <w:lang w:val="en-GB"/>
        </w:rPr>
        <w:lastRenderedPageBreak/>
        <w:t>Hydrological time series</w:t>
      </w:r>
    </w:p>
    <w:p w14:paraId="27AE9400" w14:textId="7151FF38" w:rsidR="00F451D7" w:rsidRDefault="00F451D7" w:rsidP="006C7C42">
      <w:pPr>
        <w:rPr>
          <w:lang w:val="en-GB"/>
        </w:rPr>
      </w:pPr>
      <w:r>
        <w:rPr>
          <w:lang w:val="en-GB"/>
        </w:rPr>
        <w:t xml:space="preserve">We modelled the hydrological time-series using the approach outlined in </w:t>
      </w:r>
      <w:r w:rsidRPr="00D018C2">
        <w:t>Mathwin et al. 2024</w:t>
      </w:r>
      <w:r>
        <w:t xml:space="preserve"> </w:t>
      </w:r>
      <w:r w:rsidR="00566CAE" w:rsidRPr="00D018C2">
        <w:t>Appendix</w:t>
      </w:r>
      <w:r w:rsidR="00566CAE">
        <w:t xml:space="preserve"> </w:t>
      </w:r>
      <w:r w:rsidR="00566CAE" w:rsidRPr="00D018C2">
        <w:t xml:space="preserve">S2 </w:t>
      </w:r>
      <w:r>
        <w:t xml:space="preserve">with one modification. </w:t>
      </w:r>
      <w:r w:rsidR="008561E8">
        <w:t xml:space="preserve">Our previous approach modelled river height at the upstream end of the reach (Lock 3). For this model iteration we used river height relationships along the reach that were generated using the MIKE FLOW model </w:t>
      </w:r>
      <w:r w:rsidR="008561E8" w:rsidRPr="008561E8">
        <w:t>(McCullough et al. 2017</w:t>
      </w:r>
      <w:r w:rsidR="008561E8">
        <w:t xml:space="preserve">, </w:t>
      </w:r>
      <w:r w:rsidR="008561E8" w:rsidRPr="008561E8">
        <w:t>Montazeri and Gibbs 2018)</w:t>
      </w:r>
      <w:r w:rsidR="008561E8">
        <w:t xml:space="preserve"> to model the change in river height along the reach at 14 flow bands from 2.5-100 GL/d (</w:t>
      </w:r>
      <w:r w:rsidR="008E683A">
        <w:t>Appendix S1</w:t>
      </w:r>
      <w:r w:rsidR="008561E8" w:rsidRPr="008561E8">
        <w:t xml:space="preserve"> Figure </w:t>
      </w:r>
      <w:r w:rsidR="004D4F0D">
        <w:t>S</w:t>
      </w:r>
      <w:r w:rsidR="008561E8" w:rsidRPr="008561E8">
        <w:t>2</w:t>
      </w:r>
      <w:r w:rsidR="008561E8">
        <w:t xml:space="preserve">). </w:t>
      </w:r>
      <w:r w:rsidR="00566CAE">
        <w:t>We used</w:t>
      </w:r>
      <w:r w:rsidR="008561E8">
        <w:t xml:space="preserve"> a fourth order polynomial </w:t>
      </w:r>
      <w:r w:rsidR="00566CAE">
        <w:t xml:space="preserve">to </w:t>
      </w:r>
      <w:r w:rsidR="00435BAB">
        <w:t>model</w:t>
      </w:r>
      <w:r w:rsidR="00566CAE">
        <w:t xml:space="preserve"> this relationship </w:t>
      </w:r>
      <w:r w:rsidR="00435BAB">
        <w:t>and applied it the inlet of each wetland to calculate river height at the inlet</w:t>
      </w:r>
      <w:r w:rsidR="00566CAE">
        <w:t xml:space="preserve">.  </w:t>
      </w:r>
    </w:p>
    <w:p w14:paraId="7E89E0A0" w14:textId="77777777" w:rsidR="00F451D7" w:rsidRDefault="00F451D7" w:rsidP="00F451D7">
      <w:pPr>
        <w:keepNext/>
      </w:pPr>
      <w:r w:rsidRPr="00D018C2">
        <w:rPr>
          <w:noProof/>
        </w:rPr>
        <w:drawing>
          <wp:inline distT="0" distB="0" distL="0" distR="0" wp14:anchorId="6A0A4B45" wp14:editId="3D8955B1">
            <wp:extent cx="5406887" cy="4328026"/>
            <wp:effectExtent l="0" t="0" r="3810" b="0"/>
            <wp:docPr id="650502911" name="Picture 1" descr="A graph of different types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502911" name="Picture 1" descr="A graph of different types of data&#10;&#10;Description automatically generated with medium confidence"/>
                    <pic:cNvPicPr/>
                  </pic:nvPicPr>
                  <pic:blipFill>
                    <a:blip r:embed="rId5"/>
                    <a:stretch>
                      <a:fillRect/>
                    </a:stretch>
                  </pic:blipFill>
                  <pic:spPr>
                    <a:xfrm>
                      <a:off x="0" y="0"/>
                      <a:ext cx="5410237" cy="4330707"/>
                    </a:xfrm>
                    <a:prstGeom prst="rect">
                      <a:avLst/>
                    </a:prstGeom>
                  </pic:spPr>
                </pic:pic>
              </a:graphicData>
            </a:graphic>
          </wp:inline>
        </w:drawing>
      </w:r>
    </w:p>
    <w:p w14:paraId="1F174516" w14:textId="71B8F2CA" w:rsidR="00F451D7" w:rsidRPr="00F451D7" w:rsidRDefault="008E683A" w:rsidP="00F451D7">
      <w:pPr>
        <w:keepNext/>
        <w:spacing w:line="240" w:lineRule="auto"/>
        <w:rPr>
          <w:color w:val="44546A" w:themeColor="text2"/>
          <w:sz w:val="18"/>
          <w:szCs w:val="18"/>
        </w:rPr>
      </w:pPr>
      <w:r>
        <w:rPr>
          <w:color w:val="44546A" w:themeColor="text2"/>
          <w:sz w:val="18"/>
          <w:szCs w:val="18"/>
        </w:rPr>
        <w:t>Appendix S1</w:t>
      </w:r>
      <w:r w:rsidR="00F451D7" w:rsidRPr="00F451D7">
        <w:rPr>
          <w:color w:val="44546A" w:themeColor="text2"/>
          <w:sz w:val="18"/>
          <w:szCs w:val="18"/>
        </w:rPr>
        <w:t xml:space="preserve"> Figure </w:t>
      </w:r>
      <w:r w:rsidR="004D4F0D">
        <w:rPr>
          <w:color w:val="44546A" w:themeColor="text2"/>
          <w:sz w:val="18"/>
          <w:szCs w:val="18"/>
        </w:rPr>
        <w:t>S</w:t>
      </w:r>
      <w:r w:rsidR="00F451D7">
        <w:rPr>
          <w:color w:val="44546A" w:themeColor="text2"/>
          <w:sz w:val="18"/>
          <w:szCs w:val="18"/>
        </w:rPr>
        <w:t>2  To estimate the river height for each wetland along the 70 km river reach we used comparative height benchmarks that were generated by MIKE FLOOD</w:t>
      </w:r>
      <w:r w:rsidR="00566CAE">
        <w:rPr>
          <w:color w:val="44546A" w:themeColor="text2"/>
          <w:sz w:val="18"/>
          <w:szCs w:val="18"/>
        </w:rPr>
        <w:t xml:space="preserve"> (plotted points)</w:t>
      </w:r>
      <w:r w:rsidR="00F451D7">
        <w:rPr>
          <w:color w:val="44546A" w:themeColor="text2"/>
          <w:sz w:val="18"/>
          <w:szCs w:val="18"/>
        </w:rPr>
        <w:t xml:space="preserve"> (</w:t>
      </w:r>
      <w:r w:rsidR="00566CAE" w:rsidRPr="00566CAE">
        <w:rPr>
          <w:color w:val="44546A" w:themeColor="text2"/>
          <w:sz w:val="18"/>
          <w:szCs w:val="18"/>
        </w:rPr>
        <w:t>McCullough et al. 2017</w:t>
      </w:r>
      <w:r w:rsidR="00566CAE">
        <w:rPr>
          <w:color w:val="44546A" w:themeColor="text2"/>
          <w:sz w:val="18"/>
          <w:szCs w:val="18"/>
        </w:rPr>
        <w:t xml:space="preserve">, </w:t>
      </w:r>
      <w:r w:rsidR="00F451D7" w:rsidRPr="00F451D7">
        <w:rPr>
          <w:color w:val="44546A" w:themeColor="text2"/>
          <w:sz w:val="18"/>
          <w:szCs w:val="18"/>
        </w:rPr>
        <w:t>Montazeri and Gibbs 2018)</w:t>
      </w:r>
      <w:r w:rsidR="00F451D7">
        <w:rPr>
          <w:color w:val="44546A" w:themeColor="text2"/>
          <w:sz w:val="18"/>
          <w:szCs w:val="18"/>
        </w:rPr>
        <w:t xml:space="preserve"> and used a fourth order polynomial equation to model these relationships</w:t>
      </w:r>
      <w:r w:rsidR="00566CAE">
        <w:rPr>
          <w:color w:val="44546A" w:themeColor="text2"/>
          <w:sz w:val="18"/>
          <w:szCs w:val="18"/>
        </w:rPr>
        <w:t xml:space="preserve"> (plotted lines)</w:t>
      </w:r>
      <w:r w:rsidR="00F451D7">
        <w:rPr>
          <w:color w:val="44546A" w:themeColor="text2"/>
          <w:sz w:val="18"/>
          <w:szCs w:val="18"/>
        </w:rPr>
        <w:t xml:space="preserve">. The modelled river height at the upstream end of the reach was modified for each wetland using this relationship. </w:t>
      </w:r>
    </w:p>
    <w:p w14:paraId="496A4610" w14:textId="77777777" w:rsidR="00F451D7" w:rsidRDefault="00F451D7" w:rsidP="006C7C42">
      <w:pPr>
        <w:rPr>
          <w:lang w:val="en-GB"/>
        </w:rPr>
      </w:pPr>
    </w:p>
    <w:p w14:paraId="14E2EBAC" w14:textId="134BFFD6" w:rsidR="00F451D7" w:rsidRPr="00566CAE" w:rsidRDefault="00F451D7" w:rsidP="006C7C42">
      <w:pPr>
        <w:rPr>
          <w:b/>
          <w:bCs/>
          <w:lang w:val="en-GB"/>
        </w:rPr>
      </w:pPr>
      <w:r w:rsidRPr="00566CAE">
        <w:rPr>
          <w:b/>
          <w:bCs/>
          <w:lang w:val="en-GB"/>
        </w:rPr>
        <w:lastRenderedPageBreak/>
        <w:t>Genetic algorithm</w:t>
      </w:r>
    </w:p>
    <w:p w14:paraId="026818C1" w14:textId="31E6E8CE" w:rsidR="007C6D81" w:rsidRDefault="00CC7828" w:rsidP="007C6D81">
      <w:pPr>
        <w:keepNext/>
      </w:pPr>
      <w:r>
        <w:rPr>
          <w:noProof/>
        </w:rPr>
        <w:drawing>
          <wp:inline distT="0" distB="0" distL="0" distR="0" wp14:anchorId="027E0506" wp14:editId="7381342A">
            <wp:extent cx="6194066" cy="3662501"/>
            <wp:effectExtent l="0" t="0" r="0" b="0"/>
            <wp:docPr id="201281523" name="Picture 1" descr="A graph of a graph of a graph of a graph of a graph of a graph of a graph of a graph of a graph of a graph of a graph of a graph of a graph o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81523" name="Picture 1" descr="A graph of a graph of a graph of a graph of a graph of a graph of a graph of a graph of a graph of a graph of a graph of a graph of a graph of&#10;&#10;Description automatically generated"/>
                    <pic:cNvPicPr/>
                  </pic:nvPicPr>
                  <pic:blipFill>
                    <a:blip r:embed="rId6"/>
                    <a:stretch>
                      <a:fillRect/>
                    </a:stretch>
                  </pic:blipFill>
                  <pic:spPr>
                    <a:xfrm>
                      <a:off x="0" y="0"/>
                      <a:ext cx="6208423" cy="3670990"/>
                    </a:xfrm>
                    <a:prstGeom prst="rect">
                      <a:avLst/>
                    </a:prstGeom>
                  </pic:spPr>
                </pic:pic>
              </a:graphicData>
            </a:graphic>
          </wp:inline>
        </w:drawing>
      </w:r>
    </w:p>
    <w:p w14:paraId="5E89E071" w14:textId="5F471B81" w:rsidR="00E90F4C" w:rsidRPr="00566CAE" w:rsidRDefault="00982D50" w:rsidP="007C6D81">
      <w:pPr>
        <w:pStyle w:val="Caption"/>
        <w:rPr>
          <w:i w:val="0"/>
          <w:iCs w:val="0"/>
          <w:lang w:val="en-GB"/>
        </w:rPr>
      </w:pPr>
      <w:r>
        <w:rPr>
          <w:i w:val="0"/>
          <w:iCs w:val="0"/>
        </w:rPr>
        <w:t>Appendix S1</w:t>
      </w:r>
      <w:r w:rsidR="00566CAE" w:rsidRPr="00566CAE">
        <w:rPr>
          <w:i w:val="0"/>
          <w:iCs w:val="0"/>
        </w:rPr>
        <w:t xml:space="preserve"> Figure </w:t>
      </w:r>
      <w:r w:rsidR="004D4F0D">
        <w:rPr>
          <w:i w:val="0"/>
          <w:iCs w:val="0"/>
        </w:rPr>
        <w:t>S</w:t>
      </w:r>
      <w:r w:rsidR="00566CAE">
        <w:rPr>
          <w:i w:val="0"/>
          <w:iCs w:val="0"/>
        </w:rPr>
        <w:t>3</w:t>
      </w:r>
      <w:r w:rsidR="00566CAE" w:rsidRPr="00566CAE">
        <w:rPr>
          <w:i w:val="0"/>
          <w:iCs w:val="0"/>
        </w:rPr>
        <w:t xml:space="preserve">  </w:t>
      </w:r>
      <w:r w:rsidR="007C6D81" w:rsidRPr="00566CAE">
        <w:rPr>
          <w:i w:val="0"/>
          <w:iCs w:val="0"/>
        </w:rPr>
        <w:t xml:space="preserve">The </w:t>
      </w:r>
      <w:r w:rsidR="00CC7828" w:rsidRPr="00566CAE">
        <w:rPr>
          <w:i w:val="0"/>
          <w:iCs w:val="0"/>
        </w:rPr>
        <w:t>objective function</w:t>
      </w:r>
      <w:r w:rsidR="007C6D81" w:rsidRPr="00566CAE">
        <w:rPr>
          <w:i w:val="0"/>
          <w:iCs w:val="0"/>
        </w:rPr>
        <w:t xml:space="preserve"> (sum of surviving </w:t>
      </w:r>
      <w:r w:rsidR="00101029">
        <w:t>Ranoidea</w:t>
      </w:r>
      <w:r w:rsidR="00541544" w:rsidRPr="009E184B">
        <w:t> </w:t>
      </w:r>
      <w:r w:rsidR="007C6D81" w:rsidRPr="009E184B">
        <w:t>raniformis</w:t>
      </w:r>
      <w:r w:rsidR="007C6D81" w:rsidRPr="00566CAE">
        <w:rPr>
          <w:i w:val="0"/>
          <w:iCs w:val="0"/>
        </w:rPr>
        <w:t xml:space="preserve"> subpopulations) of the fittest 100 solutions </w:t>
      </w:r>
      <w:r w:rsidR="00CC7828" w:rsidRPr="00566CAE">
        <w:rPr>
          <w:i w:val="0"/>
          <w:iCs w:val="0"/>
        </w:rPr>
        <w:t xml:space="preserve">from each generation </w:t>
      </w:r>
      <w:r w:rsidR="007C6D81" w:rsidRPr="00566CAE">
        <w:rPr>
          <w:i w:val="0"/>
          <w:iCs w:val="0"/>
        </w:rPr>
        <w:t xml:space="preserve">showed that all four islands reached convergence or near convergence within their respective </w:t>
      </w:r>
      <w:r w:rsidR="00CC7828" w:rsidRPr="00566CAE">
        <w:rPr>
          <w:i w:val="0"/>
          <w:iCs w:val="0"/>
        </w:rPr>
        <w:t>runtimes</w:t>
      </w:r>
      <w:r w:rsidR="007C6D81" w:rsidRPr="00566CAE">
        <w:rPr>
          <w:i w:val="0"/>
          <w:iCs w:val="0"/>
        </w:rPr>
        <w:t xml:space="preserve">. The red lines are one standard deviation from the mean. </w:t>
      </w:r>
      <w:r w:rsidR="00CC7828" w:rsidRPr="00566CAE">
        <w:rPr>
          <w:i w:val="0"/>
          <w:iCs w:val="0"/>
        </w:rPr>
        <w:t xml:space="preserve">Plot A was completed on a </w:t>
      </w:r>
      <w:r w:rsidR="00A2610B" w:rsidRPr="00566CAE">
        <w:rPr>
          <w:i w:val="0"/>
          <w:iCs w:val="0"/>
        </w:rPr>
        <w:t>high-performance</w:t>
      </w:r>
      <w:r w:rsidR="00CC7828" w:rsidRPr="00566CAE">
        <w:rPr>
          <w:i w:val="0"/>
          <w:iCs w:val="0"/>
        </w:rPr>
        <w:t xml:space="preserve"> computer, and the remaining islands were seeded at various timesteps using the fittest available solutions (from all island</w:t>
      </w:r>
      <w:r w:rsidR="00A2610B" w:rsidRPr="00566CAE">
        <w:rPr>
          <w:i w:val="0"/>
          <w:iCs w:val="0"/>
        </w:rPr>
        <w:t>s)</w:t>
      </w:r>
      <w:r w:rsidR="00CC7828" w:rsidRPr="00566CAE">
        <w:rPr>
          <w:i w:val="0"/>
          <w:iCs w:val="0"/>
        </w:rPr>
        <w:t xml:space="preserve">. Plot B was initially seeded </w:t>
      </w:r>
      <w:r w:rsidR="00A2610B" w:rsidRPr="00566CAE">
        <w:rPr>
          <w:i w:val="0"/>
          <w:iCs w:val="0"/>
        </w:rPr>
        <w:t>with</w:t>
      </w:r>
      <w:r w:rsidR="00CC7828" w:rsidRPr="00566CAE">
        <w:rPr>
          <w:i w:val="0"/>
          <w:iCs w:val="0"/>
        </w:rPr>
        <w:t xml:space="preserve"> the 100 least fit </w:t>
      </w:r>
      <w:r w:rsidR="00A2610B" w:rsidRPr="00566CAE">
        <w:rPr>
          <w:i w:val="0"/>
          <w:iCs w:val="0"/>
        </w:rPr>
        <w:t>solutions,</w:t>
      </w:r>
      <w:r w:rsidR="00CC7828" w:rsidRPr="00566CAE">
        <w:rPr>
          <w:i w:val="0"/>
          <w:iCs w:val="0"/>
        </w:rPr>
        <w:t xml:space="preserve"> and we immigrated the fittest 50 solutions after the initial convergence </w:t>
      </w:r>
      <w:r w:rsidR="00A2610B" w:rsidRPr="00566CAE">
        <w:rPr>
          <w:i w:val="0"/>
          <w:iCs w:val="0"/>
        </w:rPr>
        <w:t>(</w:t>
      </w:r>
      <w:r w:rsidR="00CC7828" w:rsidRPr="00566CAE">
        <w:rPr>
          <w:i w:val="0"/>
          <w:iCs w:val="0"/>
        </w:rPr>
        <w:t>generation 58</w:t>
      </w:r>
      <w:r w:rsidR="00A2610B" w:rsidRPr="00566CAE">
        <w:rPr>
          <w:i w:val="0"/>
          <w:iCs w:val="0"/>
        </w:rPr>
        <w:t>)</w:t>
      </w:r>
      <w:r w:rsidR="00CC7828" w:rsidRPr="00566CAE">
        <w:rPr>
          <w:i w:val="0"/>
          <w:iCs w:val="0"/>
        </w:rPr>
        <w:t xml:space="preserve">. </w:t>
      </w:r>
      <w:r w:rsidR="007C6D81" w:rsidRPr="00566CAE">
        <w:rPr>
          <w:i w:val="0"/>
          <w:iCs w:val="0"/>
        </w:rPr>
        <w:t xml:space="preserve"> </w:t>
      </w:r>
    </w:p>
    <w:p w14:paraId="152D253C" w14:textId="77777777" w:rsidR="007C6D81" w:rsidRDefault="007C6D81" w:rsidP="006C7C42">
      <w:pPr>
        <w:rPr>
          <w:lang w:val="en-GB"/>
        </w:rPr>
      </w:pPr>
    </w:p>
    <w:p w14:paraId="3C744CE9" w14:textId="77777777" w:rsidR="007C6D81" w:rsidRDefault="007C6D81" w:rsidP="006C7C42">
      <w:pPr>
        <w:rPr>
          <w:lang w:val="en-GB"/>
        </w:rPr>
      </w:pPr>
    </w:p>
    <w:p w14:paraId="113782BA" w14:textId="77777777" w:rsidR="00775A50" w:rsidRDefault="00775A50" w:rsidP="00775A50">
      <w:pPr>
        <w:keepNext/>
      </w:pPr>
      <w:r>
        <w:rPr>
          <w:noProof/>
        </w:rPr>
        <w:lastRenderedPageBreak/>
        <w:drawing>
          <wp:inline distT="0" distB="0" distL="0" distR="0" wp14:anchorId="5F752A06" wp14:editId="4E009B2C">
            <wp:extent cx="5171952" cy="3257549"/>
            <wp:effectExtent l="0" t="0" r="0" b="635"/>
            <wp:docPr id="1803763853" name="Picture 1" descr="A graph of a solution ran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763853" name="Picture 1" descr="A graph of a solution rank&#10;&#10;Description automatically generated"/>
                    <pic:cNvPicPr/>
                  </pic:nvPicPr>
                  <pic:blipFill>
                    <a:blip r:embed="rId7"/>
                    <a:stretch>
                      <a:fillRect/>
                    </a:stretch>
                  </pic:blipFill>
                  <pic:spPr>
                    <a:xfrm>
                      <a:off x="0" y="0"/>
                      <a:ext cx="5194986" cy="3272057"/>
                    </a:xfrm>
                    <a:prstGeom prst="rect">
                      <a:avLst/>
                    </a:prstGeom>
                  </pic:spPr>
                </pic:pic>
              </a:graphicData>
            </a:graphic>
          </wp:inline>
        </w:drawing>
      </w:r>
    </w:p>
    <w:p w14:paraId="1784E32C" w14:textId="45F701E6" w:rsidR="007C6D81" w:rsidRPr="00435BAB" w:rsidRDefault="00982D50" w:rsidP="00775A50">
      <w:pPr>
        <w:pStyle w:val="Caption"/>
        <w:rPr>
          <w:i w:val="0"/>
          <w:iCs w:val="0"/>
        </w:rPr>
      </w:pPr>
      <w:r>
        <w:rPr>
          <w:i w:val="0"/>
          <w:iCs w:val="0"/>
        </w:rPr>
        <w:t>Appendix S1</w:t>
      </w:r>
      <w:r w:rsidR="00775A50" w:rsidRPr="00435BAB">
        <w:rPr>
          <w:i w:val="0"/>
          <w:iCs w:val="0"/>
        </w:rPr>
        <w:t xml:space="preserve"> Figure </w:t>
      </w:r>
      <w:r w:rsidR="004D4F0D">
        <w:rPr>
          <w:i w:val="0"/>
          <w:iCs w:val="0"/>
        </w:rPr>
        <w:t>S</w:t>
      </w:r>
      <w:r>
        <w:rPr>
          <w:i w:val="0"/>
          <w:iCs w:val="0"/>
        </w:rPr>
        <w:t>4</w:t>
      </w:r>
      <w:r w:rsidR="00775A50" w:rsidRPr="00435BAB">
        <w:rPr>
          <w:i w:val="0"/>
          <w:iCs w:val="0"/>
        </w:rPr>
        <w:t xml:space="preserve">  </w:t>
      </w:r>
      <w:r w:rsidR="00435BAB">
        <w:rPr>
          <w:i w:val="0"/>
          <w:iCs w:val="0"/>
        </w:rPr>
        <w:t>T</w:t>
      </w:r>
      <w:r w:rsidR="00775A50" w:rsidRPr="00435BAB">
        <w:rPr>
          <w:i w:val="0"/>
          <w:iCs w:val="0"/>
        </w:rPr>
        <w:t xml:space="preserve">he two </w:t>
      </w:r>
      <w:r w:rsidR="00435BAB" w:rsidRPr="00435BAB">
        <w:rPr>
          <w:i w:val="0"/>
          <w:iCs w:val="0"/>
        </w:rPr>
        <w:t>attribute weights</w:t>
      </w:r>
      <w:r w:rsidR="00435BAB">
        <w:rPr>
          <w:i w:val="0"/>
          <w:iCs w:val="0"/>
        </w:rPr>
        <w:t xml:space="preserve"> with the highest relative influence</w:t>
      </w:r>
      <w:r w:rsidR="00775A50" w:rsidRPr="00435BAB">
        <w:rPr>
          <w:i w:val="0"/>
          <w:iCs w:val="0"/>
        </w:rPr>
        <w:t xml:space="preserve"> </w:t>
      </w:r>
      <w:r w:rsidR="00435BAB">
        <w:rPr>
          <w:i w:val="0"/>
          <w:iCs w:val="0"/>
        </w:rPr>
        <w:t xml:space="preserve">(51.09% and 21.66%) performed poorly in isolation. We trialled a range of attribute weight combinations to further explore these effects. The number of attribute weights (labelled above as policies) always represented the most influential subset. </w:t>
      </w:r>
    </w:p>
    <w:p w14:paraId="3D7CB66A" w14:textId="77777777" w:rsidR="00435BAB" w:rsidRDefault="00435BAB" w:rsidP="00435BAB"/>
    <w:p w14:paraId="55EF4EC1" w14:textId="3010ACD2" w:rsidR="00775A50" w:rsidRDefault="00435BAB" w:rsidP="00435BAB">
      <w:r>
        <w:t xml:space="preserve">To explore the co-dependency of the attribute weights we reran every hundredth solution in models that were modified to consider only a subset of the 16 weights (labelled in </w:t>
      </w:r>
      <w:r w:rsidR="00982D50">
        <w:t>Appendix S1</w:t>
      </w:r>
      <w:r w:rsidR="00101029">
        <w:t xml:space="preserve"> </w:t>
      </w:r>
      <w:r>
        <w:t xml:space="preserve">Figure </w:t>
      </w:r>
      <w:r w:rsidR="004D4F0D">
        <w:t>S</w:t>
      </w:r>
      <w:r w:rsidR="00101029">
        <w:t>4</w:t>
      </w:r>
      <w:r>
        <w:t xml:space="preserve"> as ‘policys’). All combinations of fewer than 16 attribute weights performed worse that the combined solutions regardless of the relative influence that was exerted by the excluded weights.  </w:t>
      </w:r>
    </w:p>
    <w:p w14:paraId="1A95F16A" w14:textId="77777777" w:rsidR="00951A63" w:rsidRDefault="00951A63" w:rsidP="00775A50"/>
    <w:p w14:paraId="081B4304" w14:textId="5990E062" w:rsidR="00775A50" w:rsidRPr="00435BAB" w:rsidRDefault="00F451D7" w:rsidP="00775A50">
      <w:pPr>
        <w:rPr>
          <w:b/>
          <w:bCs/>
        </w:rPr>
      </w:pPr>
      <w:r w:rsidRPr="00435BAB">
        <w:rPr>
          <w:b/>
          <w:bCs/>
        </w:rPr>
        <w:t>References</w:t>
      </w:r>
    </w:p>
    <w:p w14:paraId="770CE1AD" w14:textId="2EB875E2" w:rsidR="00A95ACD" w:rsidRDefault="00A95ACD" w:rsidP="00A95ACD">
      <w:pPr>
        <w:spacing w:line="240" w:lineRule="auto"/>
      </w:pPr>
      <w:r>
        <w:t>McCullough DP, Montazeri M</w:t>
      </w:r>
      <w:r w:rsidR="00A04167">
        <w:t>,</w:t>
      </w:r>
      <w:r>
        <w:t xml:space="preserve"> Esprey L</w:t>
      </w:r>
      <w:r w:rsidR="00A04167">
        <w:t>.</w:t>
      </w:r>
      <w:r>
        <w:t xml:space="preserve"> 2017</w:t>
      </w:r>
      <w:r w:rsidR="00A04167">
        <w:t>.</w:t>
      </w:r>
      <w:r>
        <w:t xml:space="preserve"> Update and calibration of Pike and Katarapko floodplain flexible mesh models. DEWNR Technical note 2017/11, Government of South Australia, Department of Environment, Water and Natural Resources, Adelaide.</w:t>
      </w:r>
    </w:p>
    <w:p w14:paraId="66398FF4" w14:textId="2325C7A5" w:rsidR="00775A50" w:rsidRDefault="00F451D7" w:rsidP="00F451D7">
      <w:pPr>
        <w:spacing w:line="240" w:lineRule="auto"/>
      </w:pPr>
      <w:r>
        <w:t>Montazeri M, Gibbs M</w:t>
      </w:r>
      <w:r w:rsidR="00CA255C">
        <w:t>.</w:t>
      </w:r>
      <w:r>
        <w:t xml:space="preserve"> 2020. Production of 80,000 ML/day flood inundation map for the South Australian section of River Murray. DEW Technical Note 2020/01, Government of South Australia, Department for Environment and Water, Adelaide.</w:t>
      </w:r>
    </w:p>
    <w:p w14:paraId="3F66027F" w14:textId="27AC5692" w:rsidR="00732B99" w:rsidRPr="00435BAB" w:rsidRDefault="00732B99" w:rsidP="00435BAB">
      <w:pPr>
        <w:spacing w:line="259" w:lineRule="auto"/>
        <w:rPr>
          <w:lang w:val="en-GB"/>
        </w:rPr>
      </w:pPr>
    </w:p>
    <w:sectPr w:rsidR="00732B99" w:rsidRPr="00435BAB" w:rsidSect="00566C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158"/>
    <w:rsid w:val="0001408F"/>
    <w:rsid w:val="000253D6"/>
    <w:rsid w:val="00101029"/>
    <w:rsid w:val="0013208F"/>
    <w:rsid w:val="00152DFD"/>
    <w:rsid w:val="001629B8"/>
    <w:rsid w:val="002A40D1"/>
    <w:rsid w:val="002D161B"/>
    <w:rsid w:val="003219D8"/>
    <w:rsid w:val="00361820"/>
    <w:rsid w:val="0038025F"/>
    <w:rsid w:val="003F3A71"/>
    <w:rsid w:val="00435340"/>
    <w:rsid w:val="004359ED"/>
    <w:rsid w:val="00435BAB"/>
    <w:rsid w:val="00437F45"/>
    <w:rsid w:val="00465420"/>
    <w:rsid w:val="004D4F0D"/>
    <w:rsid w:val="00541544"/>
    <w:rsid w:val="00566CAE"/>
    <w:rsid w:val="00674669"/>
    <w:rsid w:val="006C7C42"/>
    <w:rsid w:val="006F73CB"/>
    <w:rsid w:val="00732B99"/>
    <w:rsid w:val="00775A50"/>
    <w:rsid w:val="0079695A"/>
    <w:rsid w:val="007C6D81"/>
    <w:rsid w:val="008561E8"/>
    <w:rsid w:val="008A27F1"/>
    <w:rsid w:val="008E683A"/>
    <w:rsid w:val="00914F1E"/>
    <w:rsid w:val="00951A63"/>
    <w:rsid w:val="00982D50"/>
    <w:rsid w:val="0099297C"/>
    <w:rsid w:val="009D5617"/>
    <w:rsid w:val="009E184B"/>
    <w:rsid w:val="009E75C4"/>
    <w:rsid w:val="009F2BAC"/>
    <w:rsid w:val="009F3C27"/>
    <w:rsid w:val="009F5437"/>
    <w:rsid w:val="00A04167"/>
    <w:rsid w:val="00A2610B"/>
    <w:rsid w:val="00A568AB"/>
    <w:rsid w:val="00A95ACD"/>
    <w:rsid w:val="00AC1BA8"/>
    <w:rsid w:val="00B256A4"/>
    <w:rsid w:val="00BE0988"/>
    <w:rsid w:val="00C35F83"/>
    <w:rsid w:val="00C36158"/>
    <w:rsid w:val="00CA255C"/>
    <w:rsid w:val="00CC7828"/>
    <w:rsid w:val="00CD5A69"/>
    <w:rsid w:val="00D17C8A"/>
    <w:rsid w:val="00D6093B"/>
    <w:rsid w:val="00D87035"/>
    <w:rsid w:val="00E04D17"/>
    <w:rsid w:val="00E84545"/>
    <w:rsid w:val="00E90F4C"/>
    <w:rsid w:val="00EA3212"/>
    <w:rsid w:val="00F23A57"/>
    <w:rsid w:val="00F316A6"/>
    <w:rsid w:val="00F4444E"/>
    <w:rsid w:val="00F451D7"/>
    <w:rsid w:val="00F93138"/>
    <w:rsid w:val="00FC5251"/>
    <w:rsid w:val="00FD6B8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B5489"/>
  <w15:chartTrackingRefBased/>
  <w15:docId w15:val="{2D3DF4CB-143F-48CB-8E4A-7B736B848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7C42"/>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E90F4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0F4C"/>
    <w:rPr>
      <w:rFonts w:asciiTheme="majorHAnsi" w:eastAsiaTheme="majorEastAsia" w:hAnsiTheme="majorHAnsi" w:cstheme="majorBidi"/>
      <w:color w:val="2F5496" w:themeColor="accent1" w:themeShade="BF"/>
      <w:sz w:val="32"/>
      <w:szCs w:val="32"/>
    </w:rPr>
  </w:style>
  <w:style w:type="paragraph" w:styleId="Caption">
    <w:name w:val="caption"/>
    <w:basedOn w:val="Normal"/>
    <w:next w:val="Normal"/>
    <w:uiPriority w:val="35"/>
    <w:unhideWhenUsed/>
    <w:qFormat/>
    <w:rsid w:val="007C6D81"/>
    <w:pPr>
      <w:spacing w:after="200" w:line="240" w:lineRule="auto"/>
    </w:pPr>
    <w:rPr>
      <w:i/>
      <w:iCs/>
      <w:color w:val="44546A" w:themeColor="text2"/>
      <w:sz w:val="18"/>
      <w:szCs w:val="18"/>
    </w:rPr>
  </w:style>
  <w:style w:type="character" w:styleId="CommentReference">
    <w:name w:val="annotation reference"/>
    <w:basedOn w:val="DefaultParagraphFont"/>
    <w:uiPriority w:val="99"/>
    <w:semiHidden/>
    <w:unhideWhenUsed/>
    <w:rsid w:val="001629B8"/>
    <w:rPr>
      <w:sz w:val="16"/>
      <w:szCs w:val="16"/>
    </w:rPr>
  </w:style>
  <w:style w:type="paragraph" w:styleId="CommentText">
    <w:name w:val="annotation text"/>
    <w:basedOn w:val="Normal"/>
    <w:link w:val="CommentTextChar"/>
    <w:uiPriority w:val="99"/>
    <w:unhideWhenUsed/>
    <w:rsid w:val="001629B8"/>
    <w:pPr>
      <w:spacing w:line="240" w:lineRule="auto"/>
    </w:pPr>
    <w:rPr>
      <w:sz w:val="20"/>
      <w:szCs w:val="20"/>
    </w:rPr>
  </w:style>
  <w:style w:type="character" w:customStyle="1" w:styleId="CommentTextChar">
    <w:name w:val="Comment Text Char"/>
    <w:basedOn w:val="DefaultParagraphFont"/>
    <w:link w:val="CommentText"/>
    <w:uiPriority w:val="99"/>
    <w:rsid w:val="001629B8"/>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1629B8"/>
    <w:rPr>
      <w:b/>
      <w:bCs/>
    </w:rPr>
  </w:style>
  <w:style w:type="character" w:customStyle="1" w:styleId="CommentSubjectChar">
    <w:name w:val="Comment Subject Char"/>
    <w:basedOn w:val="CommentTextChar"/>
    <w:link w:val="CommentSubject"/>
    <w:uiPriority w:val="99"/>
    <w:semiHidden/>
    <w:rsid w:val="001629B8"/>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4</Pages>
  <Words>528</Words>
  <Characters>2958</Characters>
  <Application>Microsoft Office Word</Application>
  <DocSecurity>0</DocSecurity>
  <Lines>51</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Rupert Mathwin</dc:creator>
  <cp:keywords/>
  <dc:description/>
  <cp:lastModifiedBy>Mathwin, Rupert</cp:lastModifiedBy>
  <cp:revision>20</cp:revision>
  <dcterms:created xsi:type="dcterms:W3CDTF">2026-06-02T05:19:00Z</dcterms:created>
  <dcterms:modified xsi:type="dcterms:W3CDTF">2026-06-05T04:01:00Z</dcterms:modified>
</cp:coreProperties>
</file>