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D435" w14:textId="77777777" w:rsidR="00EF1F20" w:rsidRPr="007F79C7" w:rsidRDefault="00EF1F20" w:rsidP="00EF1F20">
      <w:pPr>
        <w:rPr>
          <w:lang w:val="en-US"/>
        </w:rPr>
      </w:pPr>
      <w:r w:rsidRPr="007F79C7">
        <w:rPr>
          <w:rFonts w:ascii="Times New Roman" w:eastAsia="Times New Roman" w:hAnsi="Times New Roman" w:cs="Times New Roman"/>
          <w:b/>
          <w:lang w:val="en-US"/>
        </w:rPr>
        <w:t>Supplementary material</w:t>
      </w:r>
    </w:p>
    <w:p w14:paraId="0883ACEE" w14:textId="77777777" w:rsidR="00EF1F20" w:rsidRDefault="00EF1F20" w:rsidP="00EF1F20">
      <w:pPr>
        <w:rPr>
          <w:rFonts w:ascii="Times New Roman" w:hAnsi="Times New Roman" w:cs="Times New Roman"/>
          <w:color w:val="000000"/>
          <w:lang w:val="en-US"/>
        </w:rPr>
      </w:pPr>
    </w:p>
    <w:p w14:paraId="3E8DD85D" w14:textId="77777777" w:rsidR="00EF1F20" w:rsidRDefault="00EF1F20" w:rsidP="00EF1F20">
      <w:pPr>
        <w:rPr>
          <w:rFonts w:ascii="Times New Roman" w:eastAsia="Times New Roman" w:hAnsi="Times New Roman" w:cs="Times New Roman"/>
          <w:b/>
          <w:lang w:val="en-US"/>
        </w:rPr>
      </w:pPr>
      <w:r w:rsidRPr="00AF34C4">
        <w:rPr>
          <w:rFonts w:ascii="Times New Roman" w:hAnsi="Times New Roman" w:cs="Times New Roman"/>
          <w:color w:val="000000"/>
          <w:lang w:val="en-US"/>
        </w:rPr>
        <w:t xml:space="preserve">Title: </w:t>
      </w:r>
      <w:r w:rsidRPr="00AF34C4">
        <w:rPr>
          <w:rFonts w:ascii="Times New Roman" w:hAnsi="Times New Roman" w:cs="Times New Roman"/>
          <w:b/>
          <w:bCs/>
          <w:color w:val="000000"/>
          <w:lang w:val="en-US"/>
        </w:rPr>
        <w:t>Brazil's Iguaçu National Park: Economic risks of proposed road construction and downgrading</w:t>
      </w:r>
      <w:r w:rsidRPr="00AF34C4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3847B081" w14:textId="77777777" w:rsidR="00EF1F20" w:rsidRDefault="00EF1F20" w:rsidP="00665178">
      <w:pPr>
        <w:rPr>
          <w:rFonts w:ascii="Times New Roman" w:eastAsia="Times New Roman" w:hAnsi="Times New Roman" w:cs="Times New Roman"/>
          <w:b/>
          <w:lang w:val="en-US"/>
        </w:rPr>
      </w:pPr>
    </w:p>
    <w:p w14:paraId="41B1EADE" w14:textId="7B990452" w:rsidR="00864144" w:rsidRPr="007F79C7" w:rsidRDefault="007F79C7" w:rsidP="00665178">
      <w:pPr>
        <w:rPr>
          <w:rFonts w:ascii="Times New Roman" w:eastAsia="Times New Roman" w:hAnsi="Times New Roman" w:cs="Times New Roman"/>
          <w:b/>
          <w:lang w:val="en-US"/>
        </w:rPr>
      </w:pPr>
      <w:r w:rsidRPr="007F79C7">
        <w:rPr>
          <w:rFonts w:ascii="Times New Roman" w:eastAsia="Times New Roman" w:hAnsi="Times New Roman" w:cs="Times New Roman"/>
          <w:b/>
          <w:lang w:val="en-US"/>
        </w:rPr>
        <w:t>ICMS-e transfer calculations, as established in IAP Ordinance 263/98 and other standards.</w:t>
      </w:r>
    </w:p>
    <w:p w14:paraId="618C1B9E" w14:textId="77777777" w:rsidR="00864144" w:rsidRPr="007F79C7" w:rsidRDefault="00864144" w:rsidP="00665178">
      <w:pPr>
        <w:rPr>
          <w:rFonts w:ascii="Times New Roman" w:eastAsia="Times New Roman" w:hAnsi="Times New Roman" w:cs="Times New Roman"/>
          <w:lang w:val="en-US"/>
        </w:rPr>
      </w:pPr>
    </w:p>
    <w:p w14:paraId="570C557D" w14:textId="156807B4" w:rsidR="00864144" w:rsidRPr="007F79C7" w:rsidRDefault="007F79C7" w:rsidP="00665178">
      <w:pPr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lang w:val="en-US"/>
        </w:rPr>
      </w:pPr>
      <w:r w:rsidRPr="007F79C7">
        <w:rPr>
          <w:rFonts w:ascii="Times New Roman" w:eastAsia="Times New Roman" w:hAnsi="Times New Roman" w:cs="Times New Roman"/>
          <w:i/>
          <w:color w:val="000000"/>
          <w:lang w:val="en-US"/>
        </w:rPr>
        <w:t>Basic Biodiversity Conservation Coefficient (CCB)</w:t>
      </w:r>
    </w:p>
    <w:p w14:paraId="0F387521" w14:textId="77777777" w:rsidR="00864144" w:rsidRPr="007F79C7" w:rsidRDefault="00864144" w:rsidP="00665178">
      <w:pPr>
        <w:ind w:left="72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C1670C3" w14:textId="3C191426" w:rsidR="00864144" w:rsidRPr="007F79C7" w:rsidRDefault="00D16717" w:rsidP="00665178">
      <w:pPr>
        <w:ind w:left="72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This</w:t>
      </w:r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 xml:space="preserve"> is the ratio between the surface of the </w:t>
      </w:r>
      <w:r w:rsidRPr="007F79C7">
        <w:rPr>
          <w:rFonts w:ascii="Times New Roman" w:eastAsia="Times New Roman" w:hAnsi="Times New Roman" w:cs="Times New Roman"/>
          <w:color w:val="000000"/>
          <w:lang w:val="en-US"/>
        </w:rPr>
        <w:t xml:space="preserve">conservation unit </w:t>
      </w:r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>contained within the territory of a given municipality (</w:t>
      </w:r>
      <w:proofErr w:type="spellStart"/>
      <w:r w:rsidR="007F79C7" w:rsidRPr="007F79C7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Auc</w:t>
      </w:r>
      <w:proofErr w:type="spellEnd"/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>), by the total surface of the respective municipality (Am), maintaining a unit of measurement, corrected by a Conservation Factor (</w:t>
      </w:r>
      <w:r w:rsidR="007F79C7" w:rsidRPr="007F79C7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Fc</w:t>
      </w:r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 xml:space="preserve"> - Annex III of IAP Ordinance 263/98), defined according to the Management Category.</w:t>
      </w:r>
    </w:p>
    <w:p w14:paraId="03F0D7D0" w14:textId="77777777" w:rsidR="00864144" w:rsidRDefault="00000000" w:rsidP="00665178">
      <w:pPr>
        <w:rPr>
          <w:rFonts w:ascii="Cambria Math" w:eastAsia="Cambria Math" w:hAnsi="Cambria Math" w:cs="Cambria Math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CCB=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Auc</m:t>
              </m:r>
            </m:num>
            <m:den>
              <m:r>
                <w:rPr>
                  <w:rFonts w:ascii="Cambria Math" w:hAnsi="Cambria Math"/>
                </w:rPr>
                <m:t>Am</m:t>
              </m:r>
            </m:den>
          </m:f>
          <m:r>
            <w:rPr>
              <w:rFonts w:ascii="Cambria Math" w:hAnsi="Cambria Math"/>
            </w:rPr>
            <m:t>∙Fc</m:t>
          </m:r>
        </m:oMath>
      </m:oMathPara>
    </w:p>
    <w:p w14:paraId="4993FA7D" w14:textId="77777777" w:rsidR="00864144" w:rsidRDefault="00864144" w:rsidP="00665178">
      <w:pPr>
        <w:ind w:left="720"/>
        <w:rPr>
          <w:rFonts w:ascii="Times New Roman" w:eastAsia="Times New Roman" w:hAnsi="Times New Roman" w:cs="Times New Roman"/>
          <w:color w:val="000000"/>
        </w:rPr>
      </w:pPr>
    </w:p>
    <w:p w14:paraId="4CFD6287" w14:textId="2F5D4D2B" w:rsidR="00864144" w:rsidRPr="007F79C7" w:rsidRDefault="007F79C7" w:rsidP="00665178">
      <w:pPr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lang w:val="en-US"/>
        </w:rPr>
      </w:pPr>
      <w:r w:rsidRPr="007F79C7">
        <w:rPr>
          <w:rFonts w:ascii="Times New Roman" w:eastAsia="Times New Roman" w:hAnsi="Times New Roman" w:cs="Times New Roman"/>
          <w:i/>
          <w:color w:val="000000"/>
          <w:lang w:val="en-US"/>
        </w:rPr>
        <w:t>Biodiversity Conservation Coefficient by Interface (CCBI)</w:t>
      </w:r>
    </w:p>
    <w:p w14:paraId="2FB9BC12" w14:textId="77777777" w:rsidR="00864144" w:rsidRPr="007F79C7" w:rsidRDefault="00864144" w:rsidP="00665178">
      <w:pPr>
        <w:ind w:left="72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19C28314" w14:textId="027C55EC" w:rsidR="00864144" w:rsidRPr="007F79C7" w:rsidRDefault="00D16717" w:rsidP="00665178">
      <w:pPr>
        <w:ind w:left="72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This </w:t>
      </w:r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 xml:space="preserve">is the weighting of the CCB that is subject to change depending on the quality level of the </w:t>
      </w:r>
      <w:r w:rsidRPr="007F79C7">
        <w:rPr>
          <w:rFonts w:ascii="Times New Roman" w:eastAsia="Times New Roman" w:hAnsi="Times New Roman" w:cs="Times New Roman"/>
          <w:color w:val="000000"/>
          <w:lang w:val="en-US"/>
        </w:rPr>
        <w:t xml:space="preserve">conservation unit </w:t>
      </w:r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 xml:space="preserve">(or part) incident on the municipal territory, determined by the variation in </w:t>
      </w:r>
      <w:r w:rsidRPr="007F79C7">
        <w:rPr>
          <w:rFonts w:ascii="Times New Roman" w:eastAsia="Times New Roman" w:hAnsi="Times New Roman" w:cs="Times New Roman"/>
          <w:color w:val="000000"/>
          <w:lang w:val="en-US"/>
        </w:rPr>
        <w:t xml:space="preserve">conservation </w:t>
      </w:r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>quality scores based on the annual application of an evaluation table o (</w:t>
      </w:r>
      <w:r w:rsidR="007F79C7" w:rsidRPr="007F79C7">
        <w:rPr>
          <w:rFonts w:ascii="Times New Roman" w:eastAsia="Times New Roman" w:hAnsi="Times New Roman" w:cs="Times New Roman"/>
          <w:i/>
          <w:iCs/>
          <w:color w:val="000000"/>
        </w:rPr>
        <w:t>Δ</w:t>
      </w:r>
      <w:r w:rsidR="007F79C7" w:rsidRPr="007F79C7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Qua</w:t>
      </w:r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 xml:space="preserve">) and weighted by a weight (P) equivalent to the </w:t>
      </w:r>
      <w:r w:rsidR="00DB688E">
        <w:rPr>
          <w:rFonts w:ascii="Times New Roman" w:eastAsia="Times New Roman" w:hAnsi="Times New Roman" w:cs="Times New Roman"/>
          <w:color w:val="000000"/>
          <w:lang w:val="en-US"/>
        </w:rPr>
        <w:t xml:space="preserve">conservation unit’s </w:t>
      </w:r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>management hierarchy (municipal, state and federal) (parameters defined in Annex III of</w:t>
      </w:r>
      <w:r w:rsidR="00DB688E" w:rsidRPr="00DB688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DB688E" w:rsidRPr="007F79C7">
        <w:rPr>
          <w:rFonts w:ascii="Times New Roman" w:eastAsia="Times New Roman" w:hAnsi="Times New Roman" w:cs="Times New Roman"/>
          <w:color w:val="000000"/>
          <w:lang w:val="en-US"/>
        </w:rPr>
        <w:t>IAP</w:t>
      </w:r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 xml:space="preserve"> Ordinance 126/96 ).</w:t>
      </w:r>
    </w:p>
    <w:p w14:paraId="2613199A" w14:textId="77777777" w:rsidR="007F79C7" w:rsidRPr="007F79C7" w:rsidRDefault="007F79C7">
      <w:pPr>
        <w:ind w:left="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62B59B3" w14:textId="77777777" w:rsidR="00864144" w:rsidRDefault="00000000">
      <w:pPr>
        <w:jc w:val="center"/>
        <w:rPr>
          <w:rFonts w:ascii="Cambria Math" w:eastAsia="Cambria Math" w:hAnsi="Cambria Math" w:cs="Cambria Math"/>
          <w:color w:val="000000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CCBI=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CCB+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CCB∙∆Qua</m:t>
                  </m:r>
                </m:e>
              </m:d>
            </m:e>
          </m:d>
          <m:r>
            <w:rPr>
              <w:rFonts w:ascii="Cambria Math" w:hAnsi="Cambria Math"/>
            </w:rPr>
            <m:t>∙P</m:t>
          </m:r>
        </m:oMath>
      </m:oMathPara>
    </w:p>
    <w:p w14:paraId="581D1426" w14:textId="77777777" w:rsidR="00864144" w:rsidRDefault="00864144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6E9AD3C3" w14:textId="6F502955" w:rsidR="00864144" w:rsidRPr="007F79C7" w:rsidRDefault="007F79C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color w:val="000000"/>
          <w:lang w:val="en-US"/>
        </w:rPr>
      </w:pPr>
      <w:r w:rsidRPr="007F79C7">
        <w:rPr>
          <w:rFonts w:ascii="Times New Roman" w:eastAsia="Times New Roman" w:hAnsi="Times New Roman" w:cs="Times New Roman"/>
          <w:i/>
          <w:color w:val="000000"/>
          <w:lang w:val="en-US"/>
        </w:rPr>
        <w:t>Environmental Index by Biodiversity (AI)</w:t>
      </w:r>
    </w:p>
    <w:p w14:paraId="44BAD780" w14:textId="77777777" w:rsidR="00864144" w:rsidRPr="007F79C7" w:rsidRDefault="00864144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14:paraId="07D34CD9" w14:textId="38C30160" w:rsidR="00864144" w:rsidRDefault="00D16717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This </w:t>
      </w:r>
      <w:r w:rsidR="007F79C7" w:rsidRPr="007F79C7">
        <w:rPr>
          <w:rFonts w:ascii="Times New Roman" w:eastAsia="Times New Roman" w:hAnsi="Times New Roman" w:cs="Times New Roman"/>
          <w:lang w:val="en-US"/>
        </w:rPr>
        <w:t xml:space="preserve">is the ratio between the sum of the CCBI of all </w:t>
      </w:r>
      <w:r w:rsidRPr="007F79C7">
        <w:rPr>
          <w:rFonts w:ascii="Times New Roman" w:eastAsia="Times New Roman" w:hAnsi="Times New Roman" w:cs="Times New Roman"/>
          <w:color w:val="000000"/>
          <w:lang w:val="en-US"/>
        </w:rPr>
        <w:t>conservation uni</w:t>
      </w:r>
      <w:r>
        <w:rPr>
          <w:rFonts w:ascii="Times New Roman" w:eastAsia="Times New Roman" w:hAnsi="Times New Roman" w:cs="Times New Roman"/>
          <w:color w:val="000000"/>
          <w:lang w:val="en-US"/>
        </w:rPr>
        <w:t>ts</w:t>
      </w:r>
      <w:r w:rsidR="007F79C7" w:rsidRPr="007F79C7">
        <w:rPr>
          <w:rFonts w:ascii="Times New Roman" w:eastAsia="Times New Roman" w:hAnsi="Times New Roman" w:cs="Times New Roman"/>
          <w:lang w:val="en-US"/>
        </w:rPr>
        <w:t xml:space="preserve"> in the municipality (CCBM), by the sum of the CCBI calculated for all municipalities in the State (CCBE), </w:t>
      </w:r>
      <w:r>
        <w:rPr>
          <w:rFonts w:ascii="Times New Roman" w:eastAsia="Times New Roman" w:hAnsi="Times New Roman" w:cs="Times New Roman"/>
          <w:lang w:val="en-US"/>
        </w:rPr>
        <w:t xml:space="preserve">converted to </w:t>
      </w:r>
      <w:r w:rsidR="007F79C7" w:rsidRPr="007F79C7">
        <w:rPr>
          <w:rFonts w:ascii="Times New Roman" w:eastAsia="Times New Roman" w:hAnsi="Times New Roman" w:cs="Times New Roman"/>
          <w:lang w:val="en-US"/>
        </w:rPr>
        <w:t>percentage</w:t>
      </w:r>
      <w:r>
        <w:rPr>
          <w:rFonts w:ascii="Times New Roman" w:eastAsia="Times New Roman" w:hAnsi="Times New Roman" w:cs="Times New Roman"/>
          <w:lang w:val="en-US"/>
        </w:rPr>
        <w:t>s</w:t>
      </w:r>
      <w:r w:rsidR="007F79C7" w:rsidRPr="007F79C7">
        <w:rPr>
          <w:rFonts w:ascii="Times New Roman" w:eastAsia="Times New Roman" w:hAnsi="Times New Roman" w:cs="Times New Roman"/>
          <w:lang w:val="en-US"/>
        </w:rPr>
        <w:t xml:space="preserve"> and corrected by 1/2, to correspond to fifty percent of the total resources to be passed on to the municipalities.</w:t>
      </w:r>
    </w:p>
    <w:p w14:paraId="4655AE56" w14:textId="77777777" w:rsidR="007F79C7" w:rsidRPr="007F79C7" w:rsidRDefault="007F79C7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14:paraId="5037E697" w14:textId="77777777" w:rsidR="00864144" w:rsidRDefault="00000000">
      <w:pPr>
        <w:jc w:val="center"/>
        <w:rPr>
          <w:rFonts w:ascii="Cambria Math" w:eastAsia="Cambria Math" w:hAnsi="Cambria Math" w:cs="Cambria Math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IA=0.5∙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CCBM</m:t>
              </m:r>
            </m:num>
            <m:den>
              <m:r>
                <w:rPr>
                  <w:rFonts w:ascii="Cambria Math" w:hAnsi="Cambria Math"/>
                </w:rPr>
                <m:t>CCBE</m:t>
              </m:r>
            </m:den>
          </m:f>
          <m:r>
            <w:rPr>
              <w:rFonts w:ascii="Cambria Math" w:hAnsi="Cambria Math"/>
            </w:rPr>
            <m:t>∙100</m:t>
          </m:r>
          <m:r>
            <m:rPr>
              <m:lit/>
              <m:nor/>
            </m:rPr>
            <w:rPr>
              <w:rFonts w:ascii="Cambria Math" w:hAnsi="Cambria Math"/>
            </w:rPr>
            <m:t>%</m:t>
          </m:r>
        </m:oMath>
      </m:oMathPara>
    </w:p>
    <w:p w14:paraId="0B960CD2" w14:textId="77777777" w:rsidR="00864144" w:rsidRDefault="00864144">
      <w:pPr>
        <w:jc w:val="both"/>
        <w:rPr>
          <w:rFonts w:ascii="Times New Roman" w:eastAsia="Times New Roman" w:hAnsi="Times New Roman" w:cs="Times New Roman"/>
        </w:rPr>
      </w:pPr>
    </w:p>
    <w:p w14:paraId="16767F3A" w14:textId="66161663" w:rsidR="00864144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ICMS-e</w:t>
      </w:r>
      <w:proofErr w:type="spellEnd"/>
      <w:r w:rsidR="007F79C7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="007F79C7">
        <w:rPr>
          <w:rFonts w:ascii="Times New Roman" w:eastAsia="Times New Roman" w:hAnsi="Times New Roman" w:cs="Times New Roman"/>
          <w:i/>
          <w:color w:val="000000"/>
        </w:rPr>
        <w:t>transfer</w:t>
      </w:r>
      <w:proofErr w:type="spellEnd"/>
    </w:p>
    <w:p w14:paraId="5AFB8A9E" w14:textId="77777777" w:rsidR="00864144" w:rsidRDefault="00864144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F1F4B4F" w14:textId="4D4BA42C" w:rsidR="00864144" w:rsidRDefault="00D16717" w:rsidP="00DB688E">
      <w:pPr>
        <w:ind w:left="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This </w:t>
      </w:r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 xml:space="preserve">is the IA multiplied by the value of </w:t>
      </w:r>
      <w:r w:rsidR="00DB688E">
        <w:rPr>
          <w:rFonts w:ascii="Times New Roman" w:eastAsia="Times New Roman" w:hAnsi="Times New Roman" w:cs="Times New Roman"/>
          <w:color w:val="000000"/>
          <w:lang w:val="en-US"/>
        </w:rPr>
        <w:t xml:space="preserve">the </w:t>
      </w:r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 xml:space="preserve">ICMS-e in reais (R$) </w:t>
      </w:r>
      <w:proofErr w:type="gramStart"/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>in a given year</w:t>
      </w:r>
      <w:proofErr w:type="gramEnd"/>
      <w:r w:rsidR="007F79C7" w:rsidRPr="007F79C7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09138D0C" w14:textId="77777777" w:rsidR="007F79C7" w:rsidRPr="007F79C7" w:rsidRDefault="007F79C7">
      <w:pPr>
        <w:ind w:left="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E9919A5" w14:textId="77777777" w:rsidR="00864144" w:rsidRPr="00D25EDD" w:rsidRDefault="00000000">
      <w:pPr>
        <w:jc w:val="center"/>
        <w:rPr>
          <w:rFonts w:ascii="Cambria Math" w:eastAsia="Cambria Math" w:hAnsi="Cambria Math" w:cs="Cambria Math"/>
          <w:color w:val="000000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ICMSe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IA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%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repasse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  <m:r>
                    <w:rPr>
                      <w:rFonts w:ascii="Cambria Math" w:hAnsi="Cambria Math"/>
                      <w:lang w:val="en-US"/>
                    </w:rPr>
                    <m:t>$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100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%</m:t>
              </m:r>
            </m:den>
          </m:f>
        </m:oMath>
      </m:oMathPara>
    </w:p>
    <w:p w14:paraId="0279CA34" w14:textId="77777777" w:rsidR="00864144" w:rsidRPr="00D25EDD" w:rsidRDefault="00000000">
      <w:pPr>
        <w:jc w:val="both"/>
        <w:rPr>
          <w:rFonts w:ascii="Times New Roman" w:eastAsia="Times New Roman" w:hAnsi="Times New Roman" w:cs="Times New Roman"/>
          <w:lang w:val="en-US"/>
        </w:rPr>
      </w:pPr>
      <w:r w:rsidRPr="00D25EDD">
        <w:rPr>
          <w:rFonts w:ascii="Times New Roman" w:eastAsia="Times New Roman" w:hAnsi="Times New Roman" w:cs="Times New Roman"/>
          <w:lang w:val="en-US"/>
        </w:rPr>
        <w:tab/>
      </w:r>
    </w:p>
    <w:p w14:paraId="0CDD1504" w14:textId="10597B8A" w:rsidR="00864144" w:rsidRPr="007F79C7" w:rsidRDefault="00000000" w:rsidP="00665178">
      <w:pPr>
        <w:rPr>
          <w:rFonts w:ascii="Times New Roman" w:eastAsia="Times New Roman" w:hAnsi="Times New Roman" w:cs="Times New Roman"/>
          <w:iCs/>
          <w:lang w:val="en-US"/>
        </w:rPr>
      </w:pPr>
      <w:r w:rsidRPr="00D25EDD">
        <w:rPr>
          <w:rFonts w:ascii="Times New Roman" w:eastAsia="Times New Roman" w:hAnsi="Times New Roman" w:cs="Times New Roman"/>
          <w:lang w:val="en-US"/>
        </w:rPr>
        <w:tab/>
      </w:r>
      <w:r w:rsidR="007F79C7" w:rsidRPr="007F79C7">
        <w:rPr>
          <w:rFonts w:ascii="Times New Roman" w:eastAsia="Times New Roman" w:hAnsi="Times New Roman" w:cs="Times New Roman"/>
          <w:i/>
          <w:lang w:val="en-US"/>
        </w:rPr>
        <w:t xml:space="preserve">Note: </w:t>
      </w:r>
      <w:r w:rsidR="007F79C7" w:rsidRPr="007F79C7">
        <w:rPr>
          <w:rFonts w:ascii="Times New Roman" w:eastAsia="Times New Roman" w:hAnsi="Times New Roman" w:cs="Times New Roman"/>
          <w:iCs/>
          <w:lang w:val="en-US"/>
        </w:rPr>
        <w:t>to obtain the transfer of ICMS-e providing only one</w:t>
      </w:r>
      <w:r w:rsidR="00D16717">
        <w:rPr>
          <w:rFonts w:ascii="Times New Roman" w:eastAsia="Times New Roman" w:hAnsi="Times New Roman" w:cs="Times New Roman"/>
          <w:iCs/>
          <w:lang w:val="en-US"/>
        </w:rPr>
        <w:t xml:space="preserve"> </w:t>
      </w:r>
      <w:r w:rsidR="00D16717" w:rsidRPr="007F79C7">
        <w:rPr>
          <w:rFonts w:ascii="Times New Roman" w:eastAsia="Times New Roman" w:hAnsi="Times New Roman" w:cs="Times New Roman"/>
          <w:color w:val="000000"/>
          <w:lang w:val="en-US"/>
        </w:rPr>
        <w:t>conservation uni</w:t>
      </w:r>
      <w:r w:rsidR="00D16717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="007F79C7" w:rsidRPr="007F79C7">
        <w:rPr>
          <w:rFonts w:ascii="Times New Roman" w:eastAsia="Times New Roman" w:hAnsi="Times New Roman" w:cs="Times New Roman"/>
          <w:iCs/>
          <w:lang w:val="en-US"/>
        </w:rPr>
        <w:t xml:space="preserve">, it is enough to consider only the </w:t>
      </w:r>
      <w:r w:rsidR="00D16717" w:rsidRPr="007F79C7">
        <w:rPr>
          <w:rFonts w:ascii="Times New Roman" w:eastAsia="Times New Roman" w:hAnsi="Times New Roman" w:cs="Times New Roman"/>
          <w:color w:val="000000"/>
          <w:lang w:val="en-US"/>
        </w:rPr>
        <w:t>conservation uni</w:t>
      </w:r>
      <w:r w:rsidR="00D16717">
        <w:rPr>
          <w:rFonts w:ascii="Times New Roman" w:eastAsia="Times New Roman" w:hAnsi="Times New Roman" w:cs="Times New Roman"/>
          <w:color w:val="000000"/>
          <w:lang w:val="en-US"/>
        </w:rPr>
        <w:t xml:space="preserve">t </w:t>
      </w:r>
      <w:r w:rsidR="007F79C7" w:rsidRPr="007F79C7">
        <w:rPr>
          <w:rFonts w:ascii="Times New Roman" w:eastAsia="Times New Roman" w:hAnsi="Times New Roman" w:cs="Times New Roman"/>
          <w:iCs/>
          <w:lang w:val="en-US"/>
        </w:rPr>
        <w:t>interest in the municipality in the calculation of the IA instead of the sum of all</w:t>
      </w:r>
      <w:r w:rsidR="00DB688E">
        <w:rPr>
          <w:rFonts w:ascii="Times New Roman" w:eastAsia="Times New Roman" w:hAnsi="Times New Roman" w:cs="Times New Roman"/>
          <w:iCs/>
          <w:lang w:val="en-US"/>
        </w:rPr>
        <w:t xml:space="preserve"> </w:t>
      </w:r>
      <w:r w:rsidR="00DB688E" w:rsidRPr="007F79C7">
        <w:rPr>
          <w:rFonts w:ascii="Times New Roman" w:eastAsia="Times New Roman" w:hAnsi="Times New Roman" w:cs="Times New Roman"/>
          <w:color w:val="000000"/>
          <w:lang w:val="en-US"/>
        </w:rPr>
        <w:t>conservation uni</w:t>
      </w:r>
      <w:r w:rsidR="00DB688E">
        <w:rPr>
          <w:rFonts w:ascii="Times New Roman" w:eastAsia="Times New Roman" w:hAnsi="Times New Roman" w:cs="Times New Roman"/>
          <w:color w:val="000000"/>
          <w:lang w:val="en-US"/>
        </w:rPr>
        <w:t>ts</w:t>
      </w:r>
      <w:r w:rsidR="007F79C7" w:rsidRPr="007F79C7">
        <w:rPr>
          <w:rFonts w:ascii="Times New Roman" w:eastAsia="Times New Roman" w:hAnsi="Times New Roman" w:cs="Times New Roman"/>
          <w:iCs/>
          <w:lang w:val="en-US"/>
        </w:rPr>
        <w:t>.</w:t>
      </w:r>
    </w:p>
    <w:p w14:paraId="083F73E7" w14:textId="77777777" w:rsidR="00F66601" w:rsidRDefault="00F66601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br w:type="page"/>
      </w:r>
    </w:p>
    <w:p w14:paraId="1808ED3E" w14:textId="627EF404" w:rsidR="00864144" w:rsidRPr="007F79C7" w:rsidRDefault="007F79C7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7F79C7">
        <w:rPr>
          <w:rFonts w:ascii="Times New Roman" w:eastAsia="Times New Roman" w:hAnsi="Times New Roman" w:cs="Times New Roman"/>
          <w:b/>
          <w:lang w:val="en-US"/>
        </w:rPr>
        <w:lastRenderedPageBreak/>
        <w:t>Example of ICMS-e calculation.</w:t>
      </w:r>
    </w:p>
    <w:p w14:paraId="29820F95" w14:textId="77777777" w:rsidR="00864144" w:rsidRPr="007F79C7" w:rsidRDefault="00000000">
      <w:pPr>
        <w:jc w:val="both"/>
        <w:rPr>
          <w:rFonts w:ascii="Times New Roman" w:eastAsia="Times New Roman" w:hAnsi="Times New Roman" w:cs="Times New Roman"/>
          <w:lang w:val="en-US"/>
        </w:rPr>
      </w:pPr>
      <w:r w:rsidRPr="007F79C7">
        <w:rPr>
          <w:rFonts w:ascii="Times New Roman" w:eastAsia="Times New Roman" w:hAnsi="Times New Roman" w:cs="Times New Roman"/>
          <w:lang w:val="en-US"/>
        </w:rPr>
        <w:tab/>
      </w:r>
    </w:p>
    <w:p w14:paraId="7D9C9979" w14:textId="2F281859" w:rsidR="00864144" w:rsidRPr="007F79C7" w:rsidRDefault="00000000">
      <w:pPr>
        <w:jc w:val="both"/>
        <w:rPr>
          <w:rFonts w:ascii="Times New Roman" w:eastAsia="Times New Roman" w:hAnsi="Times New Roman" w:cs="Times New Roman"/>
          <w:lang w:val="en-US"/>
        </w:rPr>
      </w:pPr>
      <w:r w:rsidRPr="007F79C7">
        <w:rPr>
          <w:rFonts w:ascii="Times New Roman" w:eastAsia="Times New Roman" w:hAnsi="Times New Roman" w:cs="Times New Roman"/>
          <w:lang w:val="en-US"/>
        </w:rPr>
        <w:tab/>
      </w:r>
      <w:r w:rsidR="007F79C7" w:rsidRPr="007F79C7">
        <w:rPr>
          <w:rFonts w:ascii="Times New Roman" w:eastAsia="Times New Roman" w:hAnsi="Times New Roman" w:cs="Times New Roman"/>
          <w:lang w:val="en-US"/>
        </w:rPr>
        <w:t xml:space="preserve">Considering, as an example, the Iguaçu National Park in the municipality of </w:t>
      </w:r>
      <w:proofErr w:type="spellStart"/>
      <w:r w:rsidR="007F79C7" w:rsidRPr="007F79C7">
        <w:rPr>
          <w:rFonts w:ascii="Times New Roman" w:eastAsia="Times New Roman" w:hAnsi="Times New Roman" w:cs="Times New Roman"/>
          <w:lang w:val="en-US"/>
        </w:rPr>
        <w:t>Céu</w:t>
      </w:r>
      <w:proofErr w:type="spellEnd"/>
      <w:r w:rsidR="007F79C7" w:rsidRPr="007F79C7">
        <w:rPr>
          <w:rFonts w:ascii="Times New Roman" w:eastAsia="Times New Roman" w:hAnsi="Times New Roman" w:cs="Times New Roman"/>
          <w:lang w:val="en-US"/>
        </w:rPr>
        <w:t xml:space="preserve"> Azul in the year 2021, we have the following parameters:</w:t>
      </w:r>
    </w:p>
    <w:p w14:paraId="7BB8A8B2" w14:textId="77777777" w:rsidR="00864144" w:rsidRPr="007F79C7" w:rsidRDefault="00864144">
      <w:pPr>
        <w:ind w:firstLine="708"/>
        <w:jc w:val="both"/>
        <w:rPr>
          <w:rFonts w:ascii="Times New Roman" w:eastAsia="Times New Roman" w:hAnsi="Times New Roman" w:cs="Times New Roman"/>
          <w:lang w:val="en-US"/>
        </w:rPr>
      </w:pPr>
    </w:p>
    <w:p w14:paraId="762CAA86" w14:textId="53E509CA" w:rsidR="00864144" w:rsidRPr="007F79C7" w:rsidRDefault="0000000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r w:rsidR="007F79C7"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Area of Iguaçu National Park within the municipality of </w:t>
      </w:r>
      <w:proofErr w:type="spellStart"/>
      <w:r w:rsidR="007F79C7"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Céu</w:t>
      </w:r>
      <w:proofErr w:type="spellEnd"/>
      <w:r w:rsidR="007F79C7"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Azul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7F79C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Auc</w:t>
      </w:r>
      <w:proofErr w:type="spellEnd"/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) = 85,366.03</w:t>
      </w:r>
    </w:p>
    <w:p w14:paraId="2A96CC3E" w14:textId="01FE841D" w:rsidR="00864144" w:rsidRPr="007F79C7" w:rsidRDefault="0000000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ii) </w:t>
      </w:r>
      <w:r w:rsidR="007F79C7"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Municipality area 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Pr="007F79C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Am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) = 117,659.78</w:t>
      </w:r>
    </w:p>
    <w:p w14:paraId="76264036" w14:textId="0F4E1F50" w:rsidR="00864144" w:rsidRPr="007F79C7" w:rsidRDefault="0000000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iii) </w:t>
      </w:r>
      <w:r w:rsidR="007F79C7"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Conservation factor (Fc) = 0.35 (reference values for National Parks created before the emancipation of the municipality – according to Annex III of </w:t>
      </w:r>
      <w:r w:rsidR="00DB688E"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IAP </w:t>
      </w:r>
      <w:r w:rsidR="007F79C7"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Ordinance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263/98)</w:t>
      </w:r>
    </w:p>
    <w:p w14:paraId="347A41B7" w14:textId="4313EC32" w:rsidR="00864144" w:rsidRPr="007F79C7" w:rsidRDefault="0000000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iv) </w:t>
      </w:r>
      <w:r w:rsidR="007F79C7"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Variation in the conservation quality of the </w:t>
      </w:r>
      <w:r w:rsidR="00DB688E" w:rsidRPr="0066517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conservation unit</w:t>
      </w:r>
      <w:r w:rsidR="007F79C7"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Pr="007F79C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Qua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) = 0.31</w:t>
      </w:r>
    </w:p>
    <w:p w14:paraId="5137EB1C" w14:textId="6A4D1CF0" w:rsidR="00864144" w:rsidRPr="00DB688E" w:rsidRDefault="0000000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v) </w:t>
      </w:r>
      <w:r w:rsidR="007F79C7"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Weight equivalent to the </w:t>
      </w:r>
      <w:r w:rsidR="00DB688E" w:rsidRPr="0066517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conservation unit</w:t>
      </w:r>
      <w:r w:rsidR="00DB688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’s</w:t>
      </w:r>
      <w:r w:rsidR="007F79C7"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management hierarchy 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Pr="007F79C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= 1 </w:t>
      </w:r>
      <w:r w:rsidRPr="00DB688E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="00DB688E" w:rsidRPr="00DB688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for federal </w:t>
      </w:r>
      <w:r w:rsidR="00DB688E" w:rsidRPr="0066517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conservation units</w:t>
      </w:r>
      <w:r w:rsidRPr="00DB688E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</w:p>
    <w:p w14:paraId="69438502" w14:textId="2F25D3DA" w:rsidR="00864144" w:rsidRPr="007F79C7" w:rsidRDefault="00000000">
      <w:pPr>
        <w:ind w:left="709" w:hanging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vi) </w:t>
      </w:r>
      <w:r w:rsidR="007F79C7"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Sum of the Conservation Coefficient per Interphase for the entire state 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Pr="007F79C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CCBE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) = 9.430</w:t>
      </w:r>
    </w:p>
    <w:p w14:paraId="5E5296E2" w14:textId="0321C7DA" w:rsidR="00864144" w:rsidRDefault="00000000">
      <w:pPr>
        <w:ind w:left="709" w:hanging="709"/>
        <w:rPr>
          <w:rFonts w:ascii="Times New Roman" w:eastAsia="Times New Roman" w:hAnsi="Times New Roman" w:cs="Times New Roman"/>
          <w:sz w:val="20"/>
          <w:szCs w:val="20"/>
        </w:rPr>
      </w:pP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ICMS-e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F79C7">
        <w:rPr>
          <w:rFonts w:ascii="Times New Roman" w:eastAsia="Times New Roman" w:hAnsi="Times New Roman" w:cs="Times New Roman"/>
          <w:sz w:val="20"/>
          <w:szCs w:val="20"/>
        </w:rPr>
        <w:t>transfer</w:t>
      </w:r>
      <w:proofErr w:type="spellEnd"/>
      <w:r w:rsidR="007F79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 R$ 477,985,067.96</w:t>
      </w:r>
    </w:p>
    <w:p w14:paraId="2173514B" w14:textId="77777777" w:rsidR="00864144" w:rsidRDefault="00864144">
      <w:pPr>
        <w:ind w:left="709" w:hanging="709"/>
        <w:rPr>
          <w:rFonts w:ascii="Times New Roman" w:eastAsia="Times New Roman" w:hAnsi="Times New Roman" w:cs="Times New Roman"/>
        </w:rPr>
      </w:pPr>
    </w:p>
    <w:p w14:paraId="60026104" w14:textId="77777777" w:rsidR="00864144" w:rsidRDefault="00000000">
      <w:pPr>
        <w:ind w:left="709" w:hanging="709"/>
        <w:rPr>
          <w:rFonts w:ascii="Cambria Math" w:eastAsia="Cambria Math" w:hAnsi="Cambria Math" w:cs="Cambria Math"/>
        </w:rPr>
      </w:pPr>
      <w:r>
        <w:rPr>
          <w:rFonts w:ascii="Times New Roman" w:eastAsia="Times New Roman" w:hAnsi="Times New Roman" w:cs="Times New Roman"/>
        </w:rPr>
        <w:tab/>
      </w:r>
      <m:oMath>
        <m:r>
          <w:rPr>
            <w:rFonts w:ascii="Cambria Math" w:hAnsi="Cambria Math"/>
          </w:rPr>
          <m:t>CCB=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85366,03</m:t>
            </m:r>
          </m:num>
          <m:den>
            <m:r>
              <w:rPr>
                <w:rFonts w:ascii="Cambria Math" w:hAnsi="Cambria Math"/>
              </w:rPr>
              <m:t>117659.78</m:t>
            </m:r>
          </m:den>
        </m:f>
        <m:r>
          <w:rPr>
            <w:rFonts w:ascii="Cambria Math" w:hAnsi="Cambria Math"/>
          </w:rPr>
          <m:t>∙0.35</m:t>
        </m:r>
      </m:oMath>
      <w:r>
        <w:rPr>
          <w:rFonts w:ascii="Cambria Math" w:eastAsia="Cambria Math" w:hAnsi="Cambria Math" w:cs="Cambria Math"/>
        </w:rPr>
        <w:t xml:space="preserve"> = 0.254</w:t>
      </w:r>
      <w:r>
        <w:rPr>
          <w:rFonts w:ascii="Cambria Math" w:eastAsia="Cambria Math" w:hAnsi="Cambria Math" w:cs="Cambria Math"/>
        </w:rPr>
        <w:tab/>
      </w:r>
    </w:p>
    <w:p w14:paraId="5650CE30" w14:textId="77777777" w:rsidR="00864144" w:rsidRDefault="00864144">
      <w:pPr>
        <w:ind w:left="1429" w:hanging="709"/>
        <w:rPr>
          <w:rFonts w:ascii="Times New Roman" w:eastAsia="Times New Roman" w:hAnsi="Times New Roman" w:cs="Times New Roman"/>
        </w:rPr>
      </w:pPr>
    </w:p>
    <w:p w14:paraId="7502EB50" w14:textId="77777777" w:rsidR="00864144" w:rsidRDefault="00000000">
      <w:pPr>
        <w:ind w:left="1429" w:hanging="709"/>
        <w:rPr>
          <w:rFonts w:ascii="Cambria Math" w:eastAsia="Cambria Math" w:hAnsi="Cambria Math" w:cs="Cambria Math"/>
        </w:rPr>
      </w:pPr>
      <m:oMath>
        <m:r>
          <w:rPr>
            <w:rFonts w:ascii="Cambria Math" w:hAnsi="Cambria Math"/>
          </w:rPr>
          <m:t>CCBI=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0.254+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0.254∙0.31</m:t>
                </m:r>
              </m:e>
            </m:d>
          </m:e>
        </m:d>
        <m:r>
          <w:rPr>
            <w:rFonts w:ascii="Cambria Math" w:hAnsi="Cambria Math"/>
          </w:rPr>
          <m:t>∙1=0.333</m:t>
        </m:r>
      </m:oMath>
      <w:r>
        <w:rPr>
          <w:rFonts w:ascii="Cambria Math" w:eastAsia="Cambria Math" w:hAnsi="Cambria Math" w:cs="Cambria Math"/>
        </w:rPr>
        <w:tab/>
      </w:r>
    </w:p>
    <w:p w14:paraId="0C0A6123" w14:textId="77777777" w:rsidR="00864144" w:rsidRDefault="00864144">
      <w:pPr>
        <w:ind w:left="1429" w:hanging="709"/>
        <w:rPr>
          <w:rFonts w:ascii="Times New Roman" w:eastAsia="Times New Roman" w:hAnsi="Times New Roman" w:cs="Times New Roman"/>
        </w:rPr>
      </w:pPr>
    </w:p>
    <w:p w14:paraId="053D45F9" w14:textId="77777777" w:rsidR="00864144" w:rsidRPr="00D25EDD" w:rsidRDefault="00000000">
      <w:pPr>
        <w:ind w:left="1429" w:hanging="709"/>
        <w:rPr>
          <w:rFonts w:ascii="Cambria Math" w:eastAsia="Cambria Math" w:hAnsi="Cambria Math" w:cs="Cambria Math"/>
          <w:lang w:val="en-US"/>
        </w:rPr>
      </w:pPr>
      <m:oMath>
        <m:r>
          <w:rPr>
            <w:rFonts w:ascii="Cambria Math" w:hAnsi="Cambria Math"/>
          </w:rPr>
          <m:t>IA</m:t>
        </m:r>
        <m:r>
          <w:rPr>
            <w:rFonts w:ascii="Cambria Math" w:hAnsi="Cambria Math"/>
            <w:lang w:val="en-US"/>
          </w:rPr>
          <m:t>=0.5∙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0.333</m:t>
            </m:r>
          </m:num>
          <m:den>
            <m:r>
              <w:rPr>
                <w:rFonts w:ascii="Cambria Math" w:hAnsi="Cambria Math"/>
                <w:lang w:val="en-US"/>
              </w:rPr>
              <m:t>9.430406559</m:t>
            </m:r>
          </m:den>
        </m:f>
        <m:r>
          <w:rPr>
            <w:rFonts w:ascii="Cambria Math" w:hAnsi="Cambria Math"/>
            <w:lang w:val="en-US"/>
          </w:rPr>
          <m:t>∙100</m:t>
        </m:r>
        <m:r>
          <m:rPr>
            <m:lit/>
            <m:nor/>
          </m:rPr>
          <w:rPr>
            <w:rFonts w:ascii="Cambria Math" w:hAnsi="Cambria Math"/>
            <w:lang w:val="en-US"/>
          </w:rPr>
          <m:t>%</m:t>
        </m:r>
      </m:oMath>
      <w:r w:rsidRPr="00D25EDD">
        <w:rPr>
          <w:rFonts w:ascii="Cambria Math" w:eastAsia="Cambria Math" w:hAnsi="Cambria Math" w:cs="Cambria Math"/>
          <w:lang w:val="en-US"/>
        </w:rPr>
        <w:t xml:space="preserve"> = 0.176980704</w:t>
      </w:r>
    </w:p>
    <w:p w14:paraId="1AB21529" w14:textId="77777777" w:rsidR="00864144" w:rsidRPr="00D25EDD" w:rsidRDefault="00864144">
      <w:pPr>
        <w:ind w:left="1429" w:hanging="709"/>
        <w:rPr>
          <w:rFonts w:ascii="Cambria Math" w:eastAsia="Cambria Math" w:hAnsi="Cambria Math" w:cs="Cambria Math"/>
          <w:lang w:val="en-US"/>
        </w:rPr>
      </w:pPr>
    </w:p>
    <w:p w14:paraId="3CE2861C" w14:textId="77777777" w:rsidR="00864144" w:rsidRPr="00D25EDD" w:rsidRDefault="00000000">
      <w:pPr>
        <w:ind w:left="709" w:hanging="709"/>
        <w:rPr>
          <w:rFonts w:ascii="Cambria Math" w:eastAsia="Cambria Math" w:hAnsi="Cambria Math" w:cs="Cambria Math"/>
          <w:lang w:val="en-US"/>
        </w:rPr>
      </w:pPr>
      <w:r w:rsidRPr="00D25EDD">
        <w:rPr>
          <w:rFonts w:ascii="Cambria Math" w:eastAsia="Cambria Math" w:hAnsi="Cambria Math" w:cs="Cambria Math"/>
          <w:lang w:val="en-US"/>
        </w:rPr>
        <w:tab/>
      </w:r>
      <m:oMath>
        <m:r>
          <w:rPr>
            <w:rFonts w:ascii="Cambria Math" w:hAnsi="Cambria Math"/>
          </w:rPr>
          <m:t>ICMSe</m:t>
        </m:r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1.763746∙</m:t>
            </m:r>
            <m:r>
              <w:rPr>
                <w:rFonts w:ascii="Cambria Math" w:hAnsi="Cambria Math"/>
              </w:rPr>
              <m:t>R</m:t>
            </m:r>
            <m:r>
              <w:rPr>
                <w:rFonts w:ascii="Cambria Math" w:hAnsi="Cambria Math"/>
                <w:lang w:val="en-US"/>
              </w:rPr>
              <m:t>$477,985,067.96</m:t>
            </m:r>
          </m:num>
          <m:den>
            <m:r>
              <w:rPr>
                <w:rFonts w:ascii="Cambria Math" w:hAnsi="Cambria Math"/>
                <w:lang w:val="en-US"/>
              </w:rPr>
              <m:t>100</m:t>
            </m:r>
            <m:r>
              <m:rPr>
                <m:lit/>
                <m:nor/>
              </m:rPr>
              <w:rPr>
                <w:rFonts w:ascii="Cambria Math" w:hAnsi="Cambria Math"/>
                <w:lang w:val="en-US"/>
              </w:rPr>
              <m:t>%</m:t>
            </m:r>
          </m:den>
        </m:f>
      </m:oMath>
      <w:r w:rsidRPr="00D25EDD">
        <w:rPr>
          <w:rFonts w:ascii="Cambria Math" w:eastAsia="Cambria Math" w:hAnsi="Cambria Math" w:cs="Cambria Math"/>
          <w:lang w:val="en-US"/>
        </w:rPr>
        <w:t xml:space="preserve"> = R$ 8,439,139.00</w:t>
      </w:r>
    </w:p>
    <w:p w14:paraId="593FAD32" w14:textId="77777777" w:rsidR="00864144" w:rsidRPr="00D25EDD" w:rsidRDefault="00864144">
      <w:pPr>
        <w:ind w:left="709" w:hanging="709"/>
        <w:rPr>
          <w:rFonts w:ascii="Cambria Math" w:eastAsia="Cambria Math" w:hAnsi="Cambria Math" w:cs="Cambria Math"/>
          <w:lang w:val="en-US"/>
        </w:rPr>
      </w:pPr>
    </w:p>
    <w:p w14:paraId="6A5002E7" w14:textId="2F5B2E18" w:rsidR="00F66601" w:rsidRPr="00EF1F20" w:rsidRDefault="007F79C7" w:rsidP="00EF1F20">
      <w:pPr>
        <w:ind w:firstLine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Thus, the value transferred from ICMS-e referring to the </w:t>
      </w:r>
      <w:proofErr w:type="spellStart"/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ParN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guaçu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to the municipality of </w:t>
      </w:r>
      <w:proofErr w:type="spellStart"/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Céu</w:t>
      </w:r>
      <w:proofErr w:type="spellEnd"/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Azul in the year 2022 was R$ 8,439,139.00.</w:t>
      </w:r>
    </w:p>
    <w:sectPr w:rsidR="00F66601" w:rsidRPr="00EF1F20" w:rsidSect="00D25EDD">
      <w:headerReference w:type="default" r:id="rId9"/>
      <w:pgSz w:w="11906" w:h="16838"/>
      <w:pgMar w:top="1701" w:right="1134" w:bottom="1134" w:left="1701" w:header="709" w:footer="0" w:gutter="0"/>
      <w:lnNumType w:countBy="1" w:restart="continuous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6A3DA" w14:textId="77777777" w:rsidR="00D43B86" w:rsidRDefault="00D43B86">
      <w:r>
        <w:separator/>
      </w:r>
    </w:p>
  </w:endnote>
  <w:endnote w:type="continuationSeparator" w:id="0">
    <w:p w14:paraId="3E1A59DC" w14:textId="77777777" w:rsidR="00D43B86" w:rsidRDefault="00D4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D967C" w14:textId="77777777" w:rsidR="00D43B86" w:rsidRDefault="00D43B86">
      <w:r>
        <w:separator/>
      </w:r>
    </w:p>
  </w:footnote>
  <w:footnote w:type="continuationSeparator" w:id="0">
    <w:p w14:paraId="5DC6C80C" w14:textId="77777777" w:rsidR="00D43B86" w:rsidRDefault="00D4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6866" w14:textId="77777777" w:rsidR="00864144" w:rsidRDefault="00000000">
    <w:pP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045201C0" w14:textId="77777777" w:rsidR="00864144" w:rsidRDefault="00864144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D215F"/>
    <w:multiLevelType w:val="multilevel"/>
    <w:tmpl w:val="FFD2ACAE"/>
    <w:lvl w:ilvl="0">
      <w:start w:val="5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81F06"/>
    <w:multiLevelType w:val="multilevel"/>
    <w:tmpl w:val="ACFE1C7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82E6231"/>
    <w:multiLevelType w:val="multilevel"/>
    <w:tmpl w:val="7220A9EC"/>
    <w:lvl w:ilvl="0">
      <w:start w:val="5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C631AA"/>
    <w:multiLevelType w:val="multilevel"/>
    <w:tmpl w:val="24C02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9065732">
    <w:abstractNumId w:val="1"/>
  </w:num>
  <w:num w:numId="2" w16cid:durableId="371272167">
    <w:abstractNumId w:val="3"/>
  </w:num>
  <w:num w:numId="3" w16cid:durableId="679157611">
    <w:abstractNumId w:val="2"/>
  </w:num>
  <w:num w:numId="4" w16cid:durableId="51427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44"/>
    <w:rsid w:val="000457E3"/>
    <w:rsid w:val="00062E56"/>
    <w:rsid w:val="000768B8"/>
    <w:rsid w:val="00091CA3"/>
    <w:rsid w:val="00137067"/>
    <w:rsid w:val="001C4AA0"/>
    <w:rsid w:val="001D5284"/>
    <w:rsid w:val="00202978"/>
    <w:rsid w:val="002171CE"/>
    <w:rsid w:val="00253367"/>
    <w:rsid w:val="00293708"/>
    <w:rsid w:val="002B4DC1"/>
    <w:rsid w:val="002C02AD"/>
    <w:rsid w:val="002C090E"/>
    <w:rsid w:val="002C74B4"/>
    <w:rsid w:val="002D5F62"/>
    <w:rsid w:val="0031137F"/>
    <w:rsid w:val="00316C5B"/>
    <w:rsid w:val="003359E1"/>
    <w:rsid w:val="003636A1"/>
    <w:rsid w:val="003957F0"/>
    <w:rsid w:val="003C4A0F"/>
    <w:rsid w:val="003D54E6"/>
    <w:rsid w:val="00430A7F"/>
    <w:rsid w:val="004807B4"/>
    <w:rsid w:val="004D6890"/>
    <w:rsid w:val="004E3144"/>
    <w:rsid w:val="005A4F7B"/>
    <w:rsid w:val="005D06CD"/>
    <w:rsid w:val="00620ACE"/>
    <w:rsid w:val="006440D7"/>
    <w:rsid w:val="006540DF"/>
    <w:rsid w:val="00665178"/>
    <w:rsid w:val="006D0C36"/>
    <w:rsid w:val="006F1F0B"/>
    <w:rsid w:val="006F496D"/>
    <w:rsid w:val="00737873"/>
    <w:rsid w:val="00741BE4"/>
    <w:rsid w:val="00765929"/>
    <w:rsid w:val="007C27A8"/>
    <w:rsid w:val="007F79C7"/>
    <w:rsid w:val="008036C7"/>
    <w:rsid w:val="00864144"/>
    <w:rsid w:val="00877DD3"/>
    <w:rsid w:val="00883909"/>
    <w:rsid w:val="008A0294"/>
    <w:rsid w:val="008B0EF7"/>
    <w:rsid w:val="008F29C2"/>
    <w:rsid w:val="00900675"/>
    <w:rsid w:val="00934180"/>
    <w:rsid w:val="00942CD8"/>
    <w:rsid w:val="00951849"/>
    <w:rsid w:val="009651C3"/>
    <w:rsid w:val="0097286A"/>
    <w:rsid w:val="0099437A"/>
    <w:rsid w:val="009B2631"/>
    <w:rsid w:val="009D3112"/>
    <w:rsid w:val="009E0501"/>
    <w:rsid w:val="00A42DA1"/>
    <w:rsid w:val="00A52133"/>
    <w:rsid w:val="00A62BA1"/>
    <w:rsid w:val="00A63F35"/>
    <w:rsid w:val="00A84850"/>
    <w:rsid w:val="00A90B71"/>
    <w:rsid w:val="00AA56B5"/>
    <w:rsid w:val="00AE7E56"/>
    <w:rsid w:val="00AF34C4"/>
    <w:rsid w:val="00AF4DD1"/>
    <w:rsid w:val="00B271F7"/>
    <w:rsid w:val="00B30D6C"/>
    <w:rsid w:val="00B42EFD"/>
    <w:rsid w:val="00B4428A"/>
    <w:rsid w:val="00B57BC8"/>
    <w:rsid w:val="00BE64E7"/>
    <w:rsid w:val="00BE6868"/>
    <w:rsid w:val="00C50578"/>
    <w:rsid w:val="00C76237"/>
    <w:rsid w:val="00C9123C"/>
    <w:rsid w:val="00CA2FA0"/>
    <w:rsid w:val="00CF4C6F"/>
    <w:rsid w:val="00CF74C3"/>
    <w:rsid w:val="00D16717"/>
    <w:rsid w:val="00D20ABB"/>
    <w:rsid w:val="00D25EDD"/>
    <w:rsid w:val="00D357FC"/>
    <w:rsid w:val="00D40992"/>
    <w:rsid w:val="00D43B86"/>
    <w:rsid w:val="00DB688E"/>
    <w:rsid w:val="00DD4276"/>
    <w:rsid w:val="00DF2BF7"/>
    <w:rsid w:val="00E06AA4"/>
    <w:rsid w:val="00E329D1"/>
    <w:rsid w:val="00E33D3B"/>
    <w:rsid w:val="00E87B00"/>
    <w:rsid w:val="00E92BBA"/>
    <w:rsid w:val="00EB30E3"/>
    <w:rsid w:val="00EF1F20"/>
    <w:rsid w:val="00F12C91"/>
    <w:rsid w:val="00F15CA6"/>
    <w:rsid w:val="00F21240"/>
    <w:rsid w:val="00F32AAE"/>
    <w:rsid w:val="00F66601"/>
    <w:rsid w:val="00F87415"/>
    <w:rsid w:val="00FC24D5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7CE33"/>
  <w15:docId w15:val="{994DC166-E176-654B-AFAC-5D74093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E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B9F"/>
  </w:style>
  <w:style w:type="character" w:customStyle="1" w:styleId="RodapChar">
    <w:name w:val="Rodapé Char"/>
    <w:basedOn w:val="Fontepargpadro"/>
    <w:link w:val="Rodap"/>
    <w:uiPriority w:val="99"/>
    <w:qFormat/>
    <w:rsid w:val="009D6B9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D6B9F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9D6B9F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D6B9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D6B9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qFormat/>
    <w:rsid w:val="00AF3155"/>
  </w:style>
  <w:style w:type="character" w:styleId="Refdecomentrio">
    <w:name w:val="annotation reference"/>
    <w:basedOn w:val="Fontepargpadro"/>
    <w:uiPriority w:val="99"/>
    <w:semiHidden/>
    <w:unhideWhenUsed/>
    <w:qFormat/>
    <w:rsid w:val="0025037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5037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5037C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5A3789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3FA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A26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D6B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D6B9F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6B9F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55DF6"/>
    <w:pPr>
      <w:ind w:left="720"/>
      <w:contextualSpacing/>
    </w:pPr>
  </w:style>
  <w:style w:type="paragraph" w:styleId="Reviso">
    <w:name w:val="Revision"/>
    <w:uiPriority w:val="99"/>
    <w:semiHidden/>
    <w:qFormat/>
    <w:rsid w:val="00064ACB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503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5037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3FA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55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21">
    <w:name w:val="Simples Tabela 21"/>
    <w:basedOn w:val="Tabelanormal"/>
    <w:uiPriority w:val="42"/>
    <w:rsid w:val="00EF41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FC24D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78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2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7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9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buidvTHZLYUtQMp/tdLM88WLsEw==">AMUW2mVOvHJXTShu+HheSRnx4AC6oQYT1Dls5eC9APehLhw1jKfYlPllOEFqevkLLBa/D2XeYdq5NGxUYIM50M8WtWyu72/z0NFzAxMKWuekBRY4kt72DmYxoMIh3Zuz0XBQPvrljHrUHLgWB+OfXWBmZs2U3GXN7YkiRdLEx/t01+qqyg4KtTSCIQsuOxuwqzu20yCLV9GpugqhmrQXMcMqOS8V25KWGGecNN+8u/jKgSCqYRuFCLRGhv1C4foMKSqPoeoeKUsafbsUFAgnbM5ksKJNnUE51Y64dtrw+cR6vKgyjFq529VcfJvTRKlho6aMajDGXWNUCTH8UKLpkbudLOYKvi8HrgJGNQRPzR6Z6RLGHwfY8/6GfVBk4BMJ4ehrrR/N2ip6YmQ/s53PsV9UPgfc9yeXDSRHQPfUlaiCn+XbCYJjJfFVsLBF88q46sL6IfvcRDd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4280B-E5C9-49F7-B679-57C95FA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Neucir Szinwelski</dc:creator>
  <dc:description/>
  <cp:lastModifiedBy>Neucir Szinwelski</cp:lastModifiedBy>
  <cp:revision>2</cp:revision>
  <cp:lastPrinted>2023-05-16T19:03:00Z</cp:lastPrinted>
  <dcterms:created xsi:type="dcterms:W3CDTF">2024-07-12T12:42:00Z</dcterms:created>
  <dcterms:modified xsi:type="dcterms:W3CDTF">2024-07-12T12:42:00Z</dcterms:modified>
  <dc:language>pt-BR</dc:language>
</cp:coreProperties>
</file>