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9E" w:rsidRPr="007435D2" w:rsidRDefault="00C0179E" w:rsidP="00C0179E">
      <w:pPr>
        <w:pStyle w:val="Legenda"/>
        <w:keepNext/>
        <w:rPr>
          <w:rFonts w:ascii="Arial" w:hAnsi="Arial" w:cs="Arial"/>
          <w:color w:val="0070C0"/>
          <w:sz w:val="24"/>
          <w:szCs w:val="24"/>
        </w:rPr>
      </w:pPr>
      <w:r w:rsidRPr="007435D2">
        <w:rPr>
          <w:rFonts w:ascii="Arial" w:hAnsi="Arial" w:cs="Arial"/>
          <w:b/>
          <w:color w:val="0070C0"/>
          <w:sz w:val="24"/>
          <w:szCs w:val="24"/>
        </w:rPr>
        <w:t>Table S</w:t>
      </w:r>
      <w:r w:rsidRPr="007435D2">
        <w:rPr>
          <w:rFonts w:ascii="Arial" w:hAnsi="Arial" w:cs="Arial"/>
          <w:b/>
          <w:i/>
          <w:color w:val="0070C0"/>
          <w:sz w:val="24"/>
          <w:szCs w:val="24"/>
        </w:rPr>
        <w:fldChar w:fldCharType="begin"/>
      </w:r>
      <w:r w:rsidRPr="007435D2">
        <w:rPr>
          <w:rFonts w:ascii="Arial" w:hAnsi="Arial" w:cs="Arial"/>
          <w:b/>
          <w:color w:val="0070C0"/>
          <w:sz w:val="24"/>
          <w:szCs w:val="24"/>
        </w:rPr>
        <w:instrText xml:space="preserve"> SEQ Table \* ARABIC </w:instrText>
      </w:r>
      <w:r w:rsidRPr="007435D2">
        <w:rPr>
          <w:rFonts w:ascii="Arial" w:hAnsi="Arial" w:cs="Arial"/>
          <w:b/>
          <w:i/>
          <w:color w:val="0070C0"/>
          <w:sz w:val="24"/>
          <w:szCs w:val="24"/>
        </w:rPr>
        <w:fldChar w:fldCharType="separate"/>
      </w:r>
      <w:r w:rsidRPr="007435D2">
        <w:rPr>
          <w:rFonts w:ascii="Arial" w:hAnsi="Arial" w:cs="Arial"/>
          <w:b/>
          <w:noProof/>
          <w:color w:val="0070C0"/>
          <w:sz w:val="24"/>
          <w:szCs w:val="24"/>
        </w:rPr>
        <w:t>1</w:t>
      </w:r>
      <w:r w:rsidRPr="007435D2">
        <w:rPr>
          <w:rFonts w:ascii="Arial" w:hAnsi="Arial" w:cs="Arial"/>
          <w:b/>
          <w:i/>
          <w:color w:val="0070C0"/>
          <w:sz w:val="24"/>
          <w:szCs w:val="24"/>
        </w:rPr>
        <w:fldChar w:fldCharType="end"/>
      </w:r>
      <w:r w:rsidRPr="007435D2">
        <w:rPr>
          <w:rFonts w:ascii="Arial" w:hAnsi="Arial" w:cs="Arial"/>
          <w:color w:val="0070C0"/>
          <w:sz w:val="24"/>
          <w:szCs w:val="24"/>
        </w:rPr>
        <w:t xml:space="preserve">. </w:t>
      </w:r>
      <w:r w:rsidR="00E925D1" w:rsidRPr="007435D2">
        <w:rPr>
          <w:rFonts w:ascii="Arial" w:hAnsi="Arial" w:cs="Arial"/>
          <w:color w:val="0070C0"/>
          <w:sz w:val="24"/>
          <w:szCs w:val="24"/>
        </w:rPr>
        <w:t xml:space="preserve">Taxa and species targeted for hunting in the </w:t>
      </w:r>
      <w:proofErr w:type="spellStart"/>
      <w:r w:rsidR="00E925D1" w:rsidRPr="007435D2">
        <w:rPr>
          <w:rFonts w:ascii="Arial" w:hAnsi="Arial" w:cs="Arial"/>
          <w:color w:val="0070C0"/>
          <w:sz w:val="24"/>
          <w:szCs w:val="24"/>
        </w:rPr>
        <w:t>Tapajós-Arapiuns</w:t>
      </w:r>
      <w:proofErr w:type="spellEnd"/>
      <w:r w:rsidR="00E925D1" w:rsidRPr="007435D2">
        <w:rPr>
          <w:rFonts w:ascii="Arial" w:hAnsi="Arial" w:cs="Arial"/>
          <w:color w:val="0070C0"/>
          <w:sz w:val="24"/>
          <w:szCs w:val="24"/>
        </w:rPr>
        <w:t xml:space="preserve"> Extractive Reserve, corresponding to the focal species of the </w:t>
      </w:r>
      <w:proofErr w:type="spellStart"/>
      <w:r w:rsidR="00E925D1" w:rsidRPr="007435D2">
        <w:rPr>
          <w:rFonts w:ascii="Arial" w:hAnsi="Arial" w:cs="Arial"/>
          <w:color w:val="0070C0"/>
          <w:sz w:val="24"/>
          <w:szCs w:val="24"/>
        </w:rPr>
        <w:t>Monitora</w:t>
      </w:r>
      <w:proofErr w:type="spellEnd"/>
      <w:r w:rsidR="00E925D1" w:rsidRPr="007435D2">
        <w:rPr>
          <w:rFonts w:ascii="Arial" w:hAnsi="Arial" w:cs="Arial"/>
          <w:color w:val="0070C0"/>
          <w:sz w:val="24"/>
          <w:szCs w:val="24"/>
        </w:rPr>
        <w:t xml:space="preserve"> program and recorded in hunting events. This information includes the common name of each species, their average weight, the order of consumption preference among local residents (unpublished data from the hunting activity census, carried out in 2019), the number of sightings per year and in total, as well as the number of transects in which they were recorded between 2015 and 2020.</w:t>
      </w:r>
    </w:p>
    <w:p w:rsidR="00C0179E" w:rsidRPr="007435D2" w:rsidRDefault="00C0179E" w:rsidP="00C0179E">
      <w:pPr>
        <w:rPr>
          <w:sz w:val="24"/>
          <w:szCs w:val="24"/>
        </w:rPr>
      </w:pPr>
    </w:p>
    <w:p w:rsidR="00C0179E" w:rsidRPr="007435D2" w:rsidRDefault="00C0179E" w:rsidP="00C0179E">
      <w:pPr>
        <w:jc w:val="both"/>
        <w:rPr>
          <w:rFonts w:ascii="Arial" w:hAnsi="Arial" w:cs="Arial"/>
          <w:color w:val="0070C0"/>
          <w:sz w:val="24"/>
          <w:szCs w:val="24"/>
        </w:rPr>
      </w:pPr>
      <w:r w:rsidRPr="007435D2">
        <w:rPr>
          <w:rFonts w:ascii="Arial" w:hAnsi="Arial" w:cs="Arial"/>
          <w:color w:val="0070C0"/>
          <w:sz w:val="24"/>
          <w:szCs w:val="24"/>
        </w:rPr>
        <w:t xml:space="preserve">The table includes the taxa and species targeted for hunting in the </w:t>
      </w:r>
      <w:proofErr w:type="spellStart"/>
      <w:r w:rsidRPr="007435D2">
        <w:rPr>
          <w:rFonts w:ascii="Arial" w:hAnsi="Arial" w:cs="Arial"/>
          <w:color w:val="0070C0"/>
          <w:sz w:val="24"/>
          <w:szCs w:val="24"/>
        </w:rPr>
        <w:t>Tapajós-Arapiuns</w:t>
      </w:r>
      <w:proofErr w:type="spellEnd"/>
      <w:r w:rsidRPr="007435D2">
        <w:rPr>
          <w:rFonts w:ascii="Arial" w:hAnsi="Arial" w:cs="Arial"/>
          <w:color w:val="0070C0"/>
          <w:sz w:val="24"/>
          <w:szCs w:val="24"/>
        </w:rPr>
        <w:t xml:space="preserve"> Extractive Reserve, corresponding to the focal species of the </w:t>
      </w:r>
      <w:proofErr w:type="spellStart"/>
      <w:r w:rsidR="00E925D1" w:rsidRPr="007435D2">
        <w:rPr>
          <w:rFonts w:ascii="Arial" w:hAnsi="Arial" w:cs="Arial"/>
          <w:color w:val="0070C0"/>
          <w:sz w:val="24"/>
          <w:szCs w:val="24"/>
        </w:rPr>
        <w:t>Monitora</w:t>
      </w:r>
      <w:proofErr w:type="spellEnd"/>
      <w:r w:rsidR="00E925D1" w:rsidRPr="007435D2">
        <w:rPr>
          <w:rFonts w:ascii="Arial" w:hAnsi="Arial" w:cs="Arial"/>
          <w:color w:val="0070C0"/>
          <w:sz w:val="24"/>
          <w:szCs w:val="24"/>
        </w:rPr>
        <w:t xml:space="preserve"> program and recorded in hunting events. This information includes the common name of each species, their average weight, the order of consumption preference among local residents (unpublished data from the hunting activity census, carried out in 2019), the number of sightings per year and in total, as well as the number of transects in which they were recorded between 2015 and 2020.</w:t>
      </w:r>
    </w:p>
    <w:p w:rsidR="00C0179E" w:rsidRPr="007435D2" w:rsidRDefault="00C0179E" w:rsidP="008E3DEE">
      <w:pPr>
        <w:pStyle w:val="Legenda"/>
        <w:keepNext/>
        <w:rPr>
          <w:rFonts w:ascii="Arial" w:hAnsi="Arial" w:cs="Arial"/>
          <w:b/>
          <w:bCs/>
          <w:sz w:val="24"/>
          <w:szCs w:val="24"/>
        </w:rPr>
      </w:pPr>
    </w:p>
    <w:p w:rsidR="0061335D" w:rsidRPr="007435D2" w:rsidRDefault="0061335D" w:rsidP="008E3DEE">
      <w:pPr>
        <w:pStyle w:val="Legenda"/>
        <w:keepNext/>
        <w:rPr>
          <w:rFonts w:ascii="Arial" w:hAnsi="Arial" w:cs="Arial"/>
          <w:sz w:val="24"/>
          <w:szCs w:val="24"/>
        </w:rPr>
      </w:pPr>
      <w:r w:rsidRPr="007435D2">
        <w:rPr>
          <w:rFonts w:ascii="Arial" w:hAnsi="Arial" w:cs="Arial"/>
          <w:b/>
          <w:bCs/>
          <w:sz w:val="24"/>
          <w:szCs w:val="24"/>
        </w:rPr>
        <w:t>Table S</w:t>
      </w:r>
      <w:r w:rsidR="00C0179E" w:rsidRPr="007435D2">
        <w:rPr>
          <w:rFonts w:ascii="Arial" w:hAnsi="Arial" w:cs="Arial"/>
          <w:b/>
          <w:bCs/>
          <w:color w:val="0070C0"/>
          <w:sz w:val="24"/>
          <w:szCs w:val="24"/>
        </w:rPr>
        <w:t>2</w:t>
      </w:r>
      <w:r w:rsidRPr="007435D2">
        <w:rPr>
          <w:rFonts w:ascii="Arial" w:hAnsi="Arial" w:cs="Arial"/>
          <w:sz w:val="24"/>
          <w:szCs w:val="24"/>
        </w:rPr>
        <w:t xml:space="preserve">. Annual effort (in km) per linear-transect performed by the </w:t>
      </w:r>
      <w:proofErr w:type="spellStart"/>
      <w:r w:rsidRPr="007435D2">
        <w:rPr>
          <w:rFonts w:ascii="Arial" w:hAnsi="Arial" w:cs="Arial"/>
          <w:sz w:val="24"/>
          <w:szCs w:val="24"/>
        </w:rPr>
        <w:t>Monitora</w:t>
      </w:r>
      <w:proofErr w:type="spellEnd"/>
      <w:r w:rsidRPr="007435D2">
        <w:rPr>
          <w:rFonts w:ascii="Arial" w:hAnsi="Arial" w:cs="Arial"/>
          <w:sz w:val="24"/>
          <w:szCs w:val="24"/>
        </w:rPr>
        <w:t xml:space="preserve"> Program in the </w:t>
      </w:r>
      <w:proofErr w:type="spellStart"/>
      <w:r w:rsidRPr="007435D2">
        <w:rPr>
          <w:rFonts w:ascii="Arial" w:hAnsi="Arial" w:cs="Arial"/>
          <w:sz w:val="24"/>
          <w:szCs w:val="24"/>
        </w:rPr>
        <w:t>Tapajós-Arapiuns</w:t>
      </w:r>
      <w:proofErr w:type="spellEnd"/>
      <w:r w:rsidRPr="007435D2">
        <w:rPr>
          <w:rFonts w:ascii="Arial" w:hAnsi="Arial" w:cs="Arial"/>
          <w:sz w:val="24"/>
          <w:szCs w:val="24"/>
        </w:rPr>
        <w:t xml:space="preserve"> Extractive Reserve, between 2015 and 2020.</w:t>
      </w:r>
    </w:p>
    <w:p w:rsidR="00C602AD" w:rsidRPr="007435D2" w:rsidRDefault="00C602AD" w:rsidP="008E3DEE">
      <w:pPr>
        <w:jc w:val="both"/>
        <w:rPr>
          <w:rFonts w:ascii="Arial" w:hAnsi="Arial" w:cs="Arial"/>
          <w:sz w:val="24"/>
          <w:szCs w:val="24"/>
        </w:rPr>
      </w:pPr>
    </w:p>
    <w:p w:rsidR="0061335D" w:rsidRPr="007435D2" w:rsidRDefault="001904D5" w:rsidP="008E3DEE">
      <w:pPr>
        <w:jc w:val="both"/>
        <w:rPr>
          <w:rFonts w:ascii="Arial" w:hAnsi="Arial" w:cs="Arial"/>
          <w:sz w:val="24"/>
          <w:szCs w:val="24"/>
        </w:rPr>
      </w:pPr>
      <w:r w:rsidRPr="007435D2">
        <w:rPr>
          <w:rFonts w:ascii="Arial" w:hAnsi="Arial" w:cs="Arial"/>
          <w:sz w:val="24"/>
          <w:szCs w:val="24"/>
        </w:rPr>
        <w:t>The table includes the average and total annual effort values (in km) of line-transect surveys, for sampling of medium-sized and large-sized game forest species, performed by trained local monitors of the biodiversity monitoring program (</w:t>
      </w:r>
      <w:proofErr w:type="spellStart"/>
      <w:r w:rsidRPr="007435D2">
        <w:rPr>
          <w:rFonts w:ascii="Arial" w:hAnsi="Arial" w:cs="Arial"/>
          <w:sz w:val="24"/>
          <w:szCs w:val="24"/>
        </w:rPr>
        <w:t>Monitora</w:t>
      </w:r>
      <w:proofErr w:type="spellEnd"/>
      <w:r w:rsidRPr="007435D2">
        <w:rPr>
          <w:rFonts w:ascii="Arial" w:hAnsi="Arial" w:cs="Arial"/>
          <w:sz w:val="24"/>
          <w:szCs w:val="24"/>
        </w:rPr>
        <w:t xml:space="preserve">) in eight transects within the </w:t>
      </w:r>
      <w:proofErr w:type="spellStart"/>
      <w:r w:rsidRPr="007435D2">
        <w:rPr>
          <w:rFonts w:ascii="Arial" w:hAnsi="Arial" w:cs="Arial"/>
          <w:sz w:val="24"/>
          <w:szCs w:val="24"/>
        </w:rPr>
        <w:t>Tapajós-Arapiuns</w:t>
      </w:r>
      <w:proofErr w:type="spellEnd"/>
      <w:r w:rsidRPr="007435D2">
        <w:rPr>
          <w:rFonts w:ascii="Arial" w:hAnsi="Arial" w:cs="Arial"/>
          <w:sz w:val="24"/>
          <w:szCs w:val="24"/>
        </w:rPr>
        <w:t xml:space="preserve"> Extractive Reserve between 2015 and 2020.</w:t>
      </w:r>
    </w:p>
    <w:p w:rsidR="001904D5" w:rsidRPr="007435D2" w:rsidRDefault="001904D5" w:rsidP="008E3DEE">
      <w:pPr>
        <w:jc w:val="both"/>
        <w:rPr>
          <w:rFonts w:ascii="Arial" w:hAnsi="Arial" w:cs="Arial"/>
          <w:sz w:val="24"/>
          <w:szCs w:val="24"/>
        </w:rPr>
      </w:pPr>
    </w:p>
    <w:p w:rsidR="0061335D" w:rsidRPr="007435D2" w:rsidRDefault="00C0179E" w:rsidP="00E925D1">
      <w:pPr>
        <w:pStyle w:val="Legenda"/>
        <w:keepNext/>
        <w:rPr>
          <w:rFonts w:ascii="Arial" w:hAnsi="Arial" w:cs="Arial"/>
          <w:color w:val="0070C0"/>
          <w:sz w:val="24"/>
          <w:szCs w:val="24"/>
        </w:rPr>
      </w:pPr>
      <w:r w:rsidRPr="007435D2">
        <w:rPr>
          <w:rFonts w:ascii="Arial" w:hAnsi="Arial" w:cs="Arial"/>
          <w:b/>
          <w:bCs/>
          <w:sz w:val="24"/>
          <w:szCs w:val="24"/>
        </w:rPr>
        <w:t>Table S</w:t>
      </w:r>
      <w:r w:rsidRPr="007435D2">
        <w:rPr>
          <w:rFonts w:ascii="Arial" w:hAnsi="Arial" w:cs="Arial"/>
          <w:b/>
          <w:bCs/>
          <w:color w:val="0070C0"/>
          <w:sz w:val="24"/>
          <w:szCs w:val="24"/>
        </w:rPr>
        <w:t>3</w:t>
      </w:r>
      <w:r w:rsidR="0061335D" w:rsidRPr="007435D2">
        <w:rPr>
          <w:rFonts w:ascii="Arial" w:hAnsi="Arial" w:cs="Arial"/>
          <w:sz w:val="24"/>
          <w:szCs w:val="24"/>
        </w:rPr>
        <w:t xml:space="preserve">. </w:t>
      </w:r>
      <w:r w:rsidR="00E925D1" w:rsidRPr="007435D2">
        <w:rPr>
          <w:rFonts w:ascii="Arial" w:hAnsi="Arial" w:cs="Arial"/>
          <w:color w:val="0070C0"/>
          <w:sz w:val="24"/>
          <w:szCs w:val="24"/>
        </w:rPr>
        <w:t xml:space="preserve">Best models for effective width (EW), based on values of the </w:t>
      </w:r>
      <w:proofErr w:type="spellStart"/>
      <w:r w:rsidR="00E925D1" w:rsidRPr="007435D2">
        <w:rPr>
          <w:rFonts w:ascii="Arial" w:hAnsi="Arial" w:cs="Arial"/>
          <w:color w:val="0070C0"/>
          <w:sz w:val="24"/>
          <w:szCs w:val="24"/>
        </w:rPr>
        <w:t>Akaike</w:t>
      </w:r>
      <w:proofErr w:type="spellEnd"/>
      <w:r w:rsidR="00E925D1" w:rsidRPr="007435D2">
        <w:rPr>
          <w:rFonts w:ascii="Arial" w:hAnsi="Arial" w:cs="Arial"/>
          <w:color w:val="0070C0"/>
          <w:sz w:val="24"/>
          <w:szCs w:val="24"/>
        </w:rPr>
        <w:t xml:space="preserve"> information criterion (AIC), Density of </w:t>
      </w:r>
      <w:proofErr w:type="gramStart"/>
      <w:r w:rsidR="00E925D1" w:rsidRPr="007435D2">
        <w:rPr>
          <w:rFonts w:ascii="Arial" w:hAnsi="Arial" w:cs="Arial"/>
          <w:color w:val="0070C0"/>
          <w:sz w:val="24"/>
          <w:szCs w:val="24"/>
        </w:rPr>
        <w:t>individuals</w:t>
      </w:r>
      <w:proofErr w:type="gramEnd"/>
      <w:r w:rsidR="00E925D1" w:rsidRPr="007435D2">
        <w:rPr>
          <w:rFonts w:ascii="Arial" w:hAnsi="Arial" w:cs="Arial"/>
          <w:color w:val="0070C0"/>
          <w:sz w:val="24"/>
          <w:szCs w:val="24"/>
        </w:rPr>
        <w:t xml:space="preserve"> analytic coefficient of variation (DCV), Encounter rate Coefficient of variation (</w:t>
      </w:r>
      <w:proofErr w:type="spellStart"/>
      <w:r w:rsidR="00E925D1" w:rsidRPr="007435D2">
        <w:rPr>
          <w:rFonts w:ascii="Arial" w:hAnsi="Arial" w:cs="Arial"/>
          <w:color w:val="0070C0"/>
          <w:sz w:val="24"/>
          <w:szCs w:val="24"/>
        </w:rPr>
        <w:t>Er</w:t>
      </w:r>
      <w:proofErr w:type="spellEnd"/>
      <w:r w:rsidR="00E925D1" w:rsidRPr="007435D2">
        <w:rPr>
          <w:rFonts w:ascii="Arial" w:hAnsi="Arial" w:cs="Arial"/>
          <w:color w:val="0070C0"/>
          <w:sz w:val="24"/>
          <w:szCs w:val="24"/>
        </w:rPr>
        <w:t xml:space="preserve"> CV) and the value of the GOF Chi-p.</w:t>
      </w:r>
    </w:p>
    <w:p w:rsidR="00E925D1" w:rsidRPr="007435D2" w:rsidRDefault="00E925D1" w:rsidP="00E925D1">
      <w:pPr>
        <w:rPr>
          <w:sz w:val="24"/>
          <w:szCs w:val="24"/>
        </w:rPr>
      </w:pPr>
    </w:p>
    <w:p w:rsidR="00E925D1" w:rsidRPr="007435D2" w:rsidRDefault="00E925D1" w:rsidP="00E925D1">
      <w:pPr>
        <w:pStyle w:val="Legenda"/>
        <w:keepNext/>
        <w:rPr>
          <w:rFonts w:ascii="Arial" w:hAnsi="Arial" w:cs="Arial"/>
          <w:color w:val="0070C0"/>
          <w:sz w:val="24"/>
          <w:szCs w:val="24"/>
        </w:rPr>
      </w:pPr>
      <w:r w:rsidRPr="007435D2">
        <w:rPr>
          <w:rFonts w:ascii="Arial" w:hAnsi="Arial" w:cs="Arial"/>
          <w:sz w:val="24"/>
          <w:szCs w:val="24"/>
        </w:rPr>
        <w:t xml:space="preserve">The table includes the best fit models for effective width (EW) of the transect for nine analyzed taxa, selected with base on the lowest values of the </w:t>
      </w:r>
      <w:proofErr w:type="spellStart"/>
      <w:r w:rsidRPr="007435D2">
        <w:rPr>
          <w:rFonts w:ascii="Arial" w:hAnsi="Arial" w:cs="Arial"/>
          <w:sz w:val="24"/>
          <w:szCs w:val="24"/>
        </w:rPr>
        <w:t>Akaike</w:t>
      </w:r>
      <w:proofErr w:type="spellEnd"/>
      <w:r w:rsidRPr="007435D2">
        <w:rPr>
          <w:rFonts w:ascii="Arial" w:hAnsi="Arial" w:cs="Arial"/>
          <w:sz w:val="24"/>
          <w:szCs w:val="24"/>
        </w:rPr>
        <w:t xml:space="preserve"> information criterion (AIC), </w:t>
      </w:r>
      <w:r w:rsidRPr="007435D2">
        <w:rPr>
          <w:rFonts w:ascii="Arial" w:hAnsi="Arial" w:cs="Arial"/>
          <w:color w:val="0070C0"/>
          <w:sz w:val="24"/>
          <w:szCs w:val="24"/>
        </w:rPr>
        <w:t xml:space="preserve">Density of </w:t>
      </w:r>
      <w:proofErr w:type="gramStart"/>
      <w:r w:rsidRPr="007435D2">
        <w:rPr>
          <w:rFonts w:ascii="Arial" w:hAnsi="Arial" w:cs="Arial"/>
          <w:color w:val="0070C0"/>
          <w:sz w:val="24"/>
          <w:szCs w:val="24"/>
        </w:rPr>
        <w:t>individuals</w:t>
      </w:r>
      <w:proofErr w:type="gramEnd"/>
      <w:r w:rsidRPr="007435D2">
        <w:rPr>
          <w:rFonts w:ascii="Arial" w:hAnsi="Arial" w:cs="Arial"/>
          <w:color w:val="0070C0"/>
          <w:sz w:val="24"/>
          <w:szCs w:val="24"/>
        </w:rPr>
        <w:t xml:space="preserve"> analytic coefficient of variation (DCV), Encounter rate Coefficient of variation (</w:t>
      </w:r>
      <w:proofErr w:type="spellStart"/>
      <w:r w:rsidRPr="007435D2">
        <w:rPr>
          <w:rFonts w:ascii="Arial" w:hAnsi="Arial" w:cs="Arial"/>
          <w:color w:val="0070C0"/>
          <w:sz w:val="24"/>
          <w:szCs w:val="24"/>
        </w:rPr>
        <w:t>Er</w:t>
      </w:r>
      <w:proofErr w:type="spellEnd"/>
      <w:r w:rsidRPr="007435D2">
        <w:rPr>
          <w:rFonts w:ascii="Arial" w:hAnsi="Arial" w:cs="Arial"/>
          <w:color w:val="0070C0"/>
          <w:sz w:val="24"/>
          <w:szCs w:val="24"/>
        </w:rPr>
        <w:t xml:space="preserve"> CV) and the value of the GOF Chi-p.</w:t>
      </w:r>
      <w:r w:rsidRPr="007435D2">
        <w:rPr>
          <w:rFonts w:ascii="Arial" w:hAnsi="Arial" w:cs="Arial"/>
          <w:sz w:val="24"/>
          <w:szCs w:val="24"/>
        </w:rPr>
        <w:t xml:space="preserve">, using the </w:t>
      </w:r>
      <w:r w:rsidRPr="007435D2">
        <w:rPr>
          <w:rFonts w:ascii="Arial" w:hAnsi="Arial" w:cs="Arial"/>
          <w:i/>
          <w:sz w:val="24"/>
          <w:szCs w:val="24"/>
        </w:rPr>
        <w:t xml:space="preserve">Distance </w:t>
      </w:r>
      <w:r w:rsidRPr="007435D2">
        <w:rPr>
          <w:rFonts w:ascii="Arial" w:hAnsi="Arial" w:cs="Arial"/>
          <w:sz w:val="24"/>
          <w:szCs w:val="24"/>
        </w:rPr>
        <w:t>4.1 software.</w:t>
      </w:r>
    </w:p>
    <w:p w:rsidR="001C6C4F" w:rsidRPr="002F318D" w:rsidRDefault="001C6C4F" w:rsidP="008E3DEE">
      <w:pPr>
        <w:jc w:val="both"/>
        <w:rPr>
          <w:rFonts w:ascii="Arial" w:hAnsi="Arial" w:cs="Arial"/>
          <w:sz w:val="24"/>
          <w:szCs w:val="24"/>
        </w:rPr>
      </w:pPr>
    </w:p>
    <w:p w:rsidR="007435D2" w:rsidRPr="002F318D" w:rsidRDefault="007435D2" w:rsidP="007435D2">
      <w:pPr>
        <w:jc w:val="both"/>
        <w:rPr>
          <w:rFonts w:ascii="Arial" w:hAnsi="Arial" w:cs="Arial"/>
          <w:color w:val="0070C0"/>
          <w:sz w:val="24"/>
          <w:szCs w:val="24"/>
        </w:rPr>
      </w:pPr>
      <w:r w:rsidRPr="002F318D">
        <w:rPr>
          <w:rFonts w:ascii="Arial" w:hAnsi="Arial" w:cs="Arial"/>
          <w:b/>
          <w:bCs/>
          <w:sz w:val="24"/>
          <w:szCs w:val="24"/>
        </w:rPr>
        <w:t>Table S</w:t>
      </w:r>
      <w:r w:rsidRPr="002F318D">
        <w:rPr>
          <w:rFonts w:ascii="Arial" w:hAnsi="Arial" w:cs="Arial"/>
          <w:b/>
          <w:bCs/>
          <w:color w:val="0070C0"/>
          <w:sz w:val="24"/>
          <w:szCs w:val="24"/>
        </w:rPr>
        <w:t>4</w:t>
      </w:r>
      <w:r w:rsidRPr="002F318D">
        <w:rPr>
          <w:rFonts w:ascii="Arial" w:hAnsi="Arial" w:cs="Arial"/>
          <w:b/>
          <w:bCs/>
          <w:sz w:val="24"/>
          <w:szCs w:val="24"/>
        </w:rPr>
        <w:t xml:space="preserve">. </w:t>
      </w:r>
      <w:r w:rsidR="002F318D" w:rsidRPr="002F318D">
        <w:rPr>
          <w:rFonts w:ascii="Arial" w:hAnsi="Arial" w:cs="Arial"/>
          <w:color w:val="0070C0"/>
          <w:sz w:val="24"/>
          <w:szCs w:val="24"/>
        </w:rPr>
        <w:t xml:space="preserve">Nearby communities within a distance of up to 10 km from the center of the surveyed transect, indicating the human population size of each community; the Euclidean distance from the center of each transect to the center of the respective nearby community; </w:t>
      </w:r>
      <w:r w:rsidR="002F318D" w:rsidRPr="002F318D">
        <w:rPr>
          <w:rFonts w:ascii="Arial" w:eastAsia="Arial" w:hAnsi="Arial" w:cs="Arial"/>
          <w:color w:val="0070C0"/>
          <w:sz w:val="24"/>
          <w:szCs w:val="24"/>
        </w:rPr>
        <w:t>proxy of human intensity (</w:t>
      </w:r>
      <w:r w:rsidR="002F318D" w:rsidRPr="002F318D">
        <w:rPr>
          <w:rFonts w:ascii="Arial" w:eastAsia="Arial" w:hAnsi="Arial" w:cs="Arial"/>
          <w:i/>
          <w:color w:val="0070C0"/>
          <w:sz w:val="24"/>
          <w:szCs w:val="24"/>
        </w:rPr>
        <w:t>HI</w:t>
      </w:r>
      <w:r w:rsidR="002F318D" w:rsidRPr="002F318D">
        <w:rPr>
          <w:rFonts w:ascii="Arial" w:eastAsia="Arial" w:hAnsi="Arial" w:cs="Arial"/>
          <w:color w:val="0070C0"/>
          <w:sz w:val="24"/>
          <w:szCs w:val="24"/>
        </w:rPr>
        <w:t>) (based on the distance to nearest community and human population size of its community)</w:t>
      </w:r>
      <w:r w:rsidR="002F318D" w:rsidRPr="002F318D">
        <w:rPr>
          <w:rFonts w:ascii="Arial" w:hAnsi="Arial" w:cs="Arial"/>
          <w:color w:val="0070C0"/>
          <w:sz w:val="24"/>
          <w:szCs w:val="24"/>
        </w:rPr>
        <w:t xml:space="preserve">; and distance from the </w:t>
      </w:r>
      <w:r w:rsidR="002F318D" w:rsidRPr="002F318D">
        <w:rPr>
          <w:rFonts w:ascii="Arial" w:hAnsi="Arial" w:cs="Arial"/>
          <w:color w:val="0070C0"/>
          <w:sz w:val="24"/>
          <w:szCs w:val="24"/>
        </w:rPr>
        <w:lastRenderedPageBreak/>
        <w:t xml:space="preserve">center of each transect to the nearest road in the </w:t>
      </w:r>
      <w:proofErr w:type="spellStart"/>
      <w:r w:rsidR="002F318D" w:rsidRPr="002F318D">
        <w:rPr>
          <w:rFonts w:ascii="Arial" w:hAnsi="Arial" w:cs="Arial"/>
          <w:color w:val="0070C0"/>
          <w:sz w:val="24"/>
          <w:szCs w:val="24"/>
        </w:rPr>
        <w:t>Tapajós-Arapiuns</w:t>
      </w:r>
      <w:proofErr w:type="spellEnd"/>
      <w:r w:rsidR="002F318D" w:rsidRPr="002F318D">
        <w:rPr>
          <w:rFonts w:ascii="Arial" w:hAnsi="Arial" w:cs="Arial"/>
          <w:color w:val="0070C0"/>
          <w:sz w:val="24"/>
          <w:szCs w:val="24"/>
        </w:rPr>
        <w:t xml:space="preserve"> Extractive Reserve between 2015 and 2020.</w:t>
      </w:r>
    </w:p>
    <w:p w:rsidR="007435D2" w:rsidRPr="002F318D" w:rsidRDefault="002F318D" w:rsidP="007435D2">
      <w:pPr>
        <w:jc w:val="both"/>
        <w:rPr>
          <w:rFonts w:ascii="Arial" w:hAnsi="Arial" w:cs="Arial"/>
          <w:color w:val="0070C0"/>
          <w:sz w:val="24"/>
          <w:szCs w:val="24"/>
        </w:rPr>
      </w:pPr>
      <w:r w:rsidRPr="002F318D">
        <w:rPr>
          <w:rFonts w:ascii="Arial" w:hAnsi="Arial" w:cs="Arial"/>
          <w:color w:val="0070C0"/>
          <w:sz w:val="24"/>
          <w:szCs w:val="24"/>
        </w:rPr>
        <w:t xml:space="preserve">The table includes the nearby communities within a distance of up to 10 km from the center of the surveyed transect, indicating the human population size of each community; the Euclidean distance from the center of each transect to the center of the respective nearby community; </w:t>
      </w:r>
      <w:r w:rsidRPr="002F318D">
        <w:rPr>
          <w:rFonts w:ascii="Arial" w:eastAsia="Arial" w:hAnsi="Arial" w:cs="Arial"/>
          <w:color w:val="0070C0"/>
          <w:sz w:val="24"/>
          <w:szCs w:val="24"/>
        </w:rPr>
        <w:t>proxy of human intensity (</w:t>
      </w:r>
      <w:r w:rsidRPr="002F318D">
        <w:rPr>
          <w:rFonts w:ascii="Arial" w:eastAsia="Arial" w:hAnsi="Arial" w:cs="Arial"/>
          <w:i/>
          <w:color w:val="0070C0"/>
          <w:sz w:val="24"/>
          <w:szCs w:val="24"/>
        </w:rPr>
        <w:t>HI</w:t>
      </w:r>
      <w:r w:rsidRPr="002F318D">
        <w:rPr>
          <w:rFonts w:ascii="Arial" w:eastAsia="Arial" w:hAnsi="Arial" w:cs="Arial"/>
          <w:color w:val="0070C0"/>
          <w:sz w:val="24"/>
          <w:szCs w:val="24"/>
        </w:rPr>
        <w:t>) (based on the distance to nearest community and human population size of its community)</w:t>
      </w:r>
      <w:r w:rsidRPr="002F318D">
        <w:rPr>
          <w:rFonts w:ascii="Arial" w:hAnsi="Arial" w:cs="Arial"/>
          <w:color w:val="0070C0"/>
          <w:sz w:val="24"/>
          <w:szCs w:val="24"/>
        </w:rPr>
        <w:t xml:space="preserve">; and distance from the center of each transect to the nearest road in the </w:t>
      </w:r>
      <w:proofErr w:type="spellStart"/>
      <w:r w:rsidRPr="002F318D">
        <w:rPr>
          <w:rFonts w:ascii="Arial" w:hAnsi="Arial" w:cs="Arial"/>
          <w:color w:val="0070C0"/>
          <w:sz w:val="24"/>
          <w:szCs w:val="24"/>
        </w:rPr>
        <w:t>Tapajós-Arapiuns</w:t>
      </w:r>
      <w:proofErr w:type="spellEnd"/>
      <w:r w:rsidRPr="002F318D">
        <w:rPr>
          <w:rFonts w:ascii="Arial" w:hAnsi="Arial" w:cs="Arial"/>
          <w:color w:val="0070C0"/>
          <w:sz w:val="24"/>
          <w:szCs w:val="24"/>
        </w:rPr>
        <w:t xml:space="preserve"> Extractive Reserve between 2015 and 2020</w:t>
      </w:r>
      <w:r w:rsidR="007435D2" w:rsidRPr="002F318D">
        <w:rPr>
          <w:rFonts w:ascii="Arial" w:hAnsi="Arial" w:cs="Arial"/>
          <w:color w:val="0070C0"/>
          <w:sz w:val="24"/>
          <w:szCs w:val="24"/>
        </w:rPr>
        <w:t>.</w:t>
      </w:r>
    </w:p>
    <w:p w:rsidR="007435D2" w:rsidRPr="002F318D" w:rsidRDefault="007435D2" w:rsidP="007435D2">
      <w:pPr>
        <w:jc w:val="both"/>
        <w:rPr>
          <w:rFonts w:ascii="Arial" w:hAnsi="Arial" w:cs="Arial"/>
          <w:sz w:val="24"/>
          <w:szCs w:val="24"/>
        </w:rPr>
      </w:pPr>
    </w:p>
    <w:p w:rsidR="0061335D" w:rsidRPr="002F318D" w:rsidRDefault="0061335D" w:rsidP="008E3DEE">
      <w:pPr>
        <w:pStyle w:val="Legenda"/>
        <w:keepNext/>
        <w:rPr>
          <w:rFonts w:ascii="Arial" w:hAnsi="Arial" w:cs="Arial"/>
          <w:sz w:val="24"/>
          <w:szCs w:val="24"/>
        </w:rPr>
      </w:pPr>
      <w:r w:rsidRPr="002F318D">
        <w:rPr>
          <w:rFonts w:ascii="Arial" w:hAnsi="Arial" w:cs="Arial"/>
          <w:b/>
          <w:bCs/>
          <w:sz w:val="24"/>
          <w:szCs w:val="24"/>
        </w:rPr>
        <w:t>Table S</w:t>
      </w:r>
      <w:r w:rsidR="007435D2" w:rsidRPr="002F318D">
        <w:rPr>
          <w:rFonts w:ascii="Arial" w:hAnsi="Arial" w:cs="Arial"/>
          <w:b/>
          <w:bCs/>
          <w:color w:val="0070C0"/>
          <w:sz w:val="24"/>
          <w:szCs w:val="24"/>
        </w:rPr>
        <w:t>5</w:t>
      </w:r>
      <w:r w:rsidRPr="002F318D">
        <w:rPr>
          <w:rFonts w:ascii="Arial" w:hAnsi="Arial" w:cs="Arial"/>
          <w:b/>
          <w:bCs/>
          <w:sz w:val="24"/>
          <w:szCs w:val="24"/>
        </w:rPr>
        <w:t>.</w:t>
      </w:r>
      <w:r w:rsidRPr="002F318D">
        <w:rPr>
          <w:rFonts w:ascii="Arial" w:hAnsi="Arial" w:cs="Arial"/>
          <w:sz w:val="24"/>
          <w:szCs w:val="24"/>
        </w:rPr>
        <w:t xml:space="preserve"> Mean, standard deviation, minimum and maximum values of the proxy of human intensity and distance to nearest road</w:t>
      </w:r>
      <w:r w:rsidRPr="002F318D">
        <w:rPr>
          <w:rFonts w:ascii="Arial" w:eastAsia="Times New Roman" w:hAnsi="Arial" w:cs="Arial"/>
          <w:color w:val="000000"/>
          <w:sz w:val="24"/>
          <w:szCs w:val="24"/>
        </w:rPr>
        <w:t xml:space="preserve"> </w:t>
      </w:r>
      <w:r w:rsidRPr="002F318D">
        <w:rPr>
          <w:rFonts w:ascii="Arial" w:hAnsi="Arial" w:cs="Arial"/>
          <w:sz w:val="24"/>
          <w:szCs w:val="24"/>
        </w:rPr>
        <w:t>(anthropogenic</w:t>
      </w:r>
      <w:r w:rsidR="00431258" w:rsidRPr="002F318D">
        <w:rPr>
          <w:rFonts w:ascii="Arial" w:hAnsi="Arial" w:cs="Arial"/>
          <w:sz w:val="24"/>
          <w:szCs w:val="24"/>
        </w:rPr>
        <w:t xml:space="preserve"> variables).</w:t>
      </w:r>
    </w:p>
    <w:p w:rsidR="00990970" w:rsidRPr="002F318D" w:rsidRDefault="00990970" w:rsidP="008E3DEE">
      <w:pPr>
        <w:jc w:val="both"/>
        <w:rPr>
          <w:rFonts w:ascii="Arial" w:hAnsi="Arial" w:cs="Arial"/>
          <w:sz w:val="24"/>
          <w:szCs w:val="24"/>
        </w:rPr>
      </w:pPr>
      <w:bookmarkStart w:id="0" w:name="_GoBack"/>
      <w:bookmarkEnd w:id="0"/>
    </w:p>
    <w:p w:rsidR="00990970" w:rsidRPr="007435D2" w:rsidRDefault="00990970" w:rsidP="008E3DEE">
      <w:pPr>
        <w:jc w:val="both"/>
        <w:rPr>
          <w:rFonts w:ascii="Arial" w:hAnsi="Arial" w:cs="Arial"/>
          <w:sz w:val="24"/>
          <w:szCs w:val="24"/>
        </w:rPr>
      </w:pPr>
      <w:r w:rsidRPr="002F318D">
        <w:rPr>
          <w:rFonts w:ascii="Arial" w:hAnsi="Arial" w:cs="Arial"/>
          <w:sz w:val="24"/>
          <w:szCs w:val="24"/>
        </w:rPr>
        <w:t>The table includes</w:t>
      </w:r>
      <w:r w:rsidRPr="007435D2">
        <w:rPr>
          <w:rFonts w:ascii="Arial" w:hAnsi="Arial" w:cs="Arial"/>
          <w:sz w:val="24"/>
          <w:szCs w:val="24"/>
        </w:rPr>
        <w:t xml:space="preserve"> the mean, standard deviation, minimum and maximum values of the proxy of human intensity and distance to nearest road, anthropogenic variables used to assess their influence on overall and individual patterns of mammal and bird forest game species in eight transects within the </w:t>
      </w:r>
      <w:proofErr w:type="spellStart"/>
      <w:r w:rsidRPr="007435D2">
        <w:rPr>
          <w:rFonts w:ascii="Arial" w:hAnsi="Arial" w:cs="Arial"/>
          <w:sz w:val="24"/>
          <w:szCs w:val="24"/>
        </w:rPr>
        <w:t>Tapajós-Arapiuns</w:t>
      </w:r>
      <w:proofErr w:type="spellEnd"/>
      <w:r w:rsidRPr="007435D2">
        <w:rPr>
          <w:rFonts w:ascii="Arial" w:hAnsi="Arial" w:cs="Arial"/>
          <w:sz w:val="24"/>
          <w:szCs w:val="24"/>
        </w:rPr>
        <w:t xml:space="preserve"> Extractive Reserve.</w:t>
      </w:r>
    </w:p>
    <w:p w:rsidR="0061335D" w:rsidRPr="007435D2" w:rsidRDefault="0061335D" w:rsidP="008E3DEE">
      <w:pPr>
        <w:jc w:val="both"/>
        <w:rPr>
          <w:rFonts w:ascii="Arial" w:hAnsi="Arial" w:cs="Arial"/>
          <w:sz w:val="24"/>
          <w:szCs w:val="24"/>
        </w:rPr>
      </w:pPr>
    </w:p>
    <w:p w:rsidR="0061335D" w:rsidRPr="007435D2" w:rsidRDefault="0061335D" w:rsidP="008E3DEE">
      <w:pPr>
        <w:pStyle w:val="Legenda"/>
        <w:keepNext/>
        <w:rPr>
          <w:rFonts w:ascii="Arial" w:hAnsi="Arial" w:cs="Arial"/>
          <w:sz w:val="24"/>
          <w:szCs w:val="24"/>
        </w:rPr>
      </w:pPr>
      <w:r w:rsidRPr="007435D2">
        <w:rPr>
          <w:rFonts w:ascii="Arial" w:hAnsi="Arial" w:cs="Arial"/>
          <w:b/>
          <w:bCs/>
          <w:sz w:val="24"/>
          <w:szCs w:val="24"/>
        </w:rPr>
        <w:t>Table S</w:t>
      </w:r>
      <w:r w:rsidR="007435D2" w:rsidRPr="007435D2">
        <w:rPr>
          <w:rFonts w:ascii="Arial" w:hAnsi="Arial" w:cs="Arial"/>
          <w:b/>
          <w:bCs/>
          <w:color w:val="0070C0"/>
          <w:sz w:val="24"/>
          <w:szCs w:val="24"/>
        </w:rPr>
        <w:t>6</w:t>
      </w:r>
      <w:r w:rsidRPr="007435D2">
        <w:rPr>
          <w:rFonts w:ascii="Arial" w:hAnsi="Arial" w:cs="Arial"/>
          <w:sz w:val="24"/>
          <w:szCs w:val="24"/>
        </w:rPr>
        <w:t xml:space="preserve">. Average density and biomass of nine game taxa or group (medium-sized and large-sized game species) in eight linear-transects in the </w:t>
      </w:r>
      <w:bookmarkStart w:id="1" w:name="_Hlk135036527"/>
      <w:proofErr w:type="spellStart"/>
      <w:r w:rsidRPr="007435D2">
        <w:rPr>
          <w:rFonts w:ascii="Arial" w:hAnsi="Arial" w:cs="Arial"/>
          <w:sz w:val="24"/>
          <w:szCs w:val="24"/>
        </w:rPr>
        <w:t>Tapajós-Arapiuns</w:t>
      </w:r>
      <w:proofErr w:type="spellEnd"/>
      <w:r w:rsidRPr="007435D2">
        <w:rPr>
          <w:rFonts w:ascii="Arial" w:hAnsi="Arial" w:cs="Arial"/>
          <w:sz w:val="24"/>
          <w:szCs w:val="24"/>
        </w:rPr>
        <w:t xml:space="preserve"> Extractive Reserve</w:t>
      </w:r>
      <w:bookmarkEnd w:id="1"/>
      <w:r w:rsidRPr="007435D2">
        <w:rPr>
          <w:rFonts w:ascii="Arial" w:hAnsi="Arial" w:cs="Arial"/>
          <w:sz w:val="24"/>
          <w:szCs w:val="24"/>
        </w:rPr>
        <w:t>.</w:t>
      </w:r>
    </w:p>
    <w:p w:rsidR="00EB608B" w:rsidRPr="007435D2" w:rsidRDefault="00EB608B" w:rsidP="008E3DEE">
      <w:pPr>
        <w:jc w:val="both"/>
        <w:rPr>
          <w:rFonts w:ascii="Arial" w:hAnsi="Arial" w:cs="Arial"/>
          <w:sz w:val="24"/>
          <w:szCs w:val="24"/>
        </w:rPr>
      </w:pPr>
    </w:p>
    <w:p w:rsidR="00EB608B" w:rsidRPr="007435D2" w:rsidRDefault="00431258" w:rsidP="008E3DEE">
      <w:pPr>
        <w:jc w:val="both"/>
        <w:rPr>
          <w:rFonts w:ascii="Arial" w:hAnsi="Arial" w:cs="Arial"/>
          <w:sz w:val="24"/>
          <w:szCs w:val="24"/>
        </w:rPr>
      </w:pPr>
      <w:r w:rsidRPr="007435D2">
        <w:rPr>
          <w:rFonts w:ascii="Arial" w:hAnsi="Arial" w:cs="Arial"/>
          <w:sz w:val="24"/>
          <w:szCs w:val="24"/>
        </w:rPr>
        <w:t>The table includes the average density (</w:t>
      </w:r>
      <w:proofErr w:type="spellStart"/>
      <w:r w:rsidRPr="007435D2">
        <w:rPr>
          <w:rFonts w:ascii="Arial" w:hAnsi="Arial" w:cs="Arial"/>
          <w:sz w:val="24"/>
          <w:szCs w:val="24"/>
        </w:rPr>
        <w:t>ind.</w:t>
      </w:r>
      <w:proofErr w:type="spellEnd"/>
      <w:r w:rsidRPr="007435D2">
        <w:rPr>
          <w:rFonts w:ascii="Arial" w:hAnsi="Arial" w:cs="Arial"/>
          <w:sz w:val="24"/>
          <w:szCs w:val="24"/>
        </w:rPr>
        <w:t>/km²) and biomass (kg/km²) estimates of nine game taxa (</w:t>
      </w:r>
      <w:proofErr w:type="spellStart"/>
      <w:r w:rsidRPr="007435D2">
        <w:rPr>
          <w:rFonts w:ascii="Arial" w:hAnsi="Arial" w:cs="Arial"/>
          <w:sz w:val="24"/>
          <w:szCs w:val="24"/>
        </w:rPr>
        <w:t>Cracidae</w:t>
      </w:r>
      <w:proofErr w:type="spellEnd"/>
      <w:r w:rsidRPr="007435D2">
        <w:rPr>
          <w:rFonts w:ascii="Arial" w:hAnsi="Arial" w:cs="Arial"/>
          <w:sz w:val="24"/>
          <w:szCs w:val="24"/>
        </w:rPr>
        <w:t xml:space="preserve">, </w:t>
      </w:r>
      <w:proofErr w:type="spellStart"/>
      <w:r w:rsidRPr="007435D2">
        <w:rPr>
          <w:rFonts w:ascii="Arial" w:hAnsi="Arial" w:cs="Arial"/>
          <w:sz w:val="24"/>
          <w:szCs w:val="24"/>
        </w:rPr>
        <w:t>Dasyproctidae</w:t>
      </w:r>
      <w:proofErr w:type="spellEnd"/>
      <w:r w:rsidRPr="007435D2">
        <w:rPr>
          <w:rFonts w:ascii="Arial" w:hAnsi="Arial" w:cs="Arial"/>
          <w:sz w:val="24"/>
          <w:szCs w:val="24"/>
        </w:rPr>
        <w:t xml:space="preserve">, </w:t>
      </w:r>
      <w:proofErr w:type="spellStart"/>
      <w:r w:rsidRPr="007435D2">
        <w:rPr>
          <w:rFonts w:ascii="Arial" w:hAnsi="Arial" w:cs="Arial"/>
          <w:sz w:val="24"/>
          <w:szCs w:val="24"/>
        </w:rPr>
        <w:t>Procyonidae</w:t>
      </w:r>
      <w:proofErr w:type="spellEnd"/>
      <w:r w:rsidRPr="007435D2">
        <w:rPr>
          <w:rFonts w:ascii="Arial" w:hAnsi="Arial" w:cs="Arial"/>
          <w:sz w:val="24"/>
          <w:szCs w:val="24"/>
        </w:rPr>
        <w:t xml:space="preserve">, Primates, </w:t>
      </w:r>
      <w:proofErr w:type="spellStart"/>
      <w:r w:rsidRPr="007435D2">
        <w:rPr>
          <w:rFonts w:ascii="Arial" w:hAnsi="Arial" w:cs="Arial"/>
          <w:sz w:val="24"/>
          <w:szCs w:val="24"/>
        </w:rPr>
        <w:t>Psophidae</w:t>
      </w:r>
      <w:proofErr w:type="spellEnd"/>
      <w:r w:rsidRPr="007435D2">
        <w:rPr>
          <w:rFonts w:ascii="Arial" w:hAnsi="Arial" w:cs="Arial"/>
          <w:sz w:val="24"/>
          <w:szCs w:val="24"/>
        </w:rPr>
        <w:t xml:space="preserve">, </w:t>
      </w:r>
      <w:proofErr w:type="spellStart"/>
      <w:r w:rsidRPr="007435D2">
        <w:rPr>
          <w:rFonts w:ascii="Arial" w:hAnsi="Arial" w:cs="Arial"/>
          <w:sz w:val="24"/>
          <w:szCs w:val="24"/>
        </w:rPr>
        <w:t>Tinamidae</w:t>
      </w:r>
      <w:proofErr w:type="spellEnd"/>
      <w:r w:rsidRPr="007435D2">
        <w:rPr>
          <w:rFonts w:ascii="Arial" w:hAnsi="Arial" w:cs="Arial"/>
          <w:sz w:val="24"/>
          <w:szCs w:val="24"/>
        </w:rPr>
        <w:t xml:space="preserve">, </w:t>
      </w:r>
      <w:proofErr w:type="spellStart"/>
      <w:r w:rsidRPr="007435D2">
        <w:rPr>
          <w:rFonts w:ascii="Arial" w:hAnsi="Arial" w:cs="Arial"/>
          <w:sz w:val="24"/>
          <w:szCs w:val="24"/>
        </w:rPr>
        <w:t>Atelidae</w:t>
      </w:r>
      <w:proofErr w:type="spellEnd"/>
      <w:r w:rsidRPr="007435D2">
        <w:rPr>
          <w:rFonts w:ascii="Arial" w:hAnsi="Arial" w:cs="Arial"/>
          <w:sz w:val="24"/>
          <w:szCs w:val="24"/>
        </w:rPr>
        <w:t xml:space="preserve">, </w:t>
      </w:r>
      <w:proofErr w:type="spellStart"/>
      <w:r w:rsidRPr="007435D2">
        <w:rPr>
          <w:rFonts w:ascii="Arial" w:hAnsi="Arial" w:cs="Arial"/>
          <w:sz w:val="24"/>
          <w:szCs w:val="24"/>
        </w:rPr>
        <w:t>Cervidae</w:t>
      </w:r>
      <w:proofErr w:type="spellEnd"/>
      <w:r w:rsidRPr="007435D2">
        <w:rPr>
          <w:rFonts w:ascii="Arial" w:hAnsi="Arial" w:cs="Arial"/>
          <w:sz w:val="24"/>
          <w:szCs w:val="24"/>
        </w:rPr>
        <w:t xml:space="preserve"> and </w:t>
      </w:r>
      <w:proofErr w:type="spellStart"/>
      <w:r w:rsidRPr="007435D2">
        <w:rPr>
          <w:rFonts w:ascii="Arial" w:hAnsi="Arial" w:cs="Arial"/>
          <w:sz w:val="24"/>
          <w:szCs w:val="24"/>
        </w:rPr>
        <w:t>Tayassuidae</w:t>
      </w:r>
      <w:proofErr w:type="spellEnd"/>
      <w:r w:rsidRPr="007435D2">
        <w:rPr>
          <w:rFonts w:ascii="Arial" w:hAnsi="Arial" w:cs="Arial"/>
          <w:sz w:val="24"/>
          <w:szCs w:val="24"/>
        </w:rPr>
        <w:t xml:space="preserve">) or group (medium-sized and large-sized game species) in eight linear-transects within </w:t>
      </w:r>
      <w:proofErr w:type="spellStart"/>
      <w:r w:rsidRPr="007435D2">
        <w:rPr>
          <w:rFonts w:ascii="Arial" w:hAnsi="Arial" w:cs="Arial"/>
          <w:sz w:val="24"/>
          <w:szCs w:val="24"/>
        </w:rPr>
        <w:t>Tapajós-Arapiuns</w:t>
      </w:r>
      <w:proofErr w:type="spellEnd"/>
      <w:r w:rsidRPr="007435D2">
        <w:rPr>
          <w:rFonts w:ascii="Arial" w:hAnsi="Arial" w:cs="Arial"/>
          <w:sz w:val="24"/>
          <w:szCs w:val="24"/>
        </w:rPr>
        <w:t xml:space="preserve"> Extractive Reserve. Additionally, it provides the total density and biomass estimates per transect.</w:t>
      </w:r>
    </w:p>
    <w:p w:rsidR="0061335D" w:rsidRPr="007435D2" w:rsidRDefault="0061335D" w:rsidP="008E3DEE">
      <w:pPr>
        <w:jc w:val="both"/>
        <w:rPr>
          <w:rFonts w:ascii="Arial" w:hAnsi="Arial" w:cs="Arial"/>
          <w:sz w:val="24"/>
          <w:szCs w:val="24"/>
        </w:rPr>
      </w:pPr>
    </w:p>
    <w:p w:rsidR="0061335D" w:rsidRPr="007435D2" w:rsidRDefault="0061335D" w:rsidP="008E3DEE">
      <w:pPr>
        <w:pStyle w:val="Legenda"/>
        <w:keepNext/>
        <w:rPr>
          <w:rFonts w:ascii="Arial" w:hAnsi="Arial" w:cs="Arial"/>
          <w:sz w:val="24"/>
          <w:szCs w:val="24"/>
        </w:rPr>
      </w:pPr>
      <w:r w:rsidRPr="007435D2">
        <w:rPr>
          <w:rFonts w:ascii="Arial" w:hAnsi="Arial" w:cs="Arial"/>
          <w:b/>
          <w:bCs/>
          <w:sz w:val="24"/>
          <w:szCs w:val="24"/>
        </w:rPr>
        <w:t>Table S</w:t>
      </w:r>
      <w:r w:rsidR="007435D2" w:rsidRPr="007435D2">
        <w:rPr>
          <w:rFonts w:ascii="Arial" w:hAnsi="Arial" w:cs="Arial"/>
          <w:b/>
          <w:bCs/>
          <w:color w:val="0070C0"/>
          <w:sz w:val="24"/>
          <w:szCs w:val="24"/>
        </w:rPr>
        <w:t>7</w:t>
      </w:r>
      <w:r w:rsidRPr="007435D2">
        <w:rPr>
          <w:rFonts w:ascii="Arial" w:hAnsi="Arial" w:cs="Arial"/>
          <w:sz w:val="24"/>
          <w:szCs w:val="24"/>
        </w:rPr>
        <w:t>. Coefficients (</w:t>
      </w:r>
      <w:proofErr w:type="spellStart"/>
      <w:r w:rsidRPr="007435D2">
        <w:rPr>
          <w:rFonts w:ascii="Arial" w:hAnsi="Arial" w:cs="Arial"/>
          <w:sz w:val="24"/>
          <w:szCs w:val="24"/>
        </w:rPr>
        <w:t>Coef</w:t>
      </w:r>
      <w:proofErr w:type="spellEnd"/>
      <w:r w:rsidRPr="007435D2">
        <w:rPr>
          <w:rFonts w:ascii="Arial" w:hAnsi="Arial" w:cs="Arial"/>
          <w:sz w:val="24"/>
          <w:szCs w:val="24"/>
        </w:rPr>
        <w:t>), standard error (SE), z-value and correspondent significance [</w:t>
      </w:r>
      <w:proofErr w:type="spellStart"/>
      <w:r w:rsidRPr="007435D2">
        <w:rPr>
          <w:rFonts w:ascii="Arial" w:hAnsi="Arial" w:cs="Arial"/>
          <w:sz w:val="24"/>
          <w:szCs w:val="24"/>
        </w:rPr>
        <w:t>Pr</w:t>
      </w:r>
      <w:proofErr w:type="spellEnd"/>
      <w:r w:rsidRPr="007435D2">
        <w:rPr>
          <w:rFonts w:ascii="Arial" w:hAnsi="Arial" w:cs="Arial"/>
          <w:sz w:val="24"/>
          <w:szCs w:val="24"/>
        </w:rPr>
        <w:t xml:space="preserve"> (&gt;|z|)] and 95% confidence intervals (CI 95%) of the variables included in the best models explaining the variability in density of </w:t>
      </w:r>
      <w:proofErr w:type="spellStart"/>
      <w:r w:rsidRPr="007435D2">
        <w:rPr>
          <w:rFonts w:ascii="Arial" w:hAnsi="Arial" w:cs="Arial"/>
          <w:sz w:val="24"/>
          <w:szCs w:val="24"/>
        </w:rPr>
        <w:t>Dasyproctidae</w:t>
      </w:r>
      <w:proofErr w:type="spellEnd"/>
      <w:r w:rsidRPr="007435D2">
        <w:rPr>
          <w:rFonts w:ascii="Arial" w:hAnsi="Arial" w:cs="Arial"/>
          <w:sz w:val="24"/>
          <w:szCs w:val="24"/>
        </w:rPr>
        <w:t xml:space="preserve">, </w:t>
      </w:r>
      <w:proofErr w:type="spellStart"/>
      <w:r w:rsidRPr="007435D2">
        <w:rPr>
          <w:rFonts w:ascii="Arial" w:hAnsi="Arial" w:cs="Arial"/>
          <w:sz w:val="24"/>
          <w:szCs w:val="24"/>
        </w:rPr>
        <w:t>Tinamidae</w:t>
      </w:r>
      <w:proofErr w:type="spellEnd"/>
      <w:r w:rsidRPr="007435D2">
        <w:rPr>
          <w:rFonts w:ascii="Arial" w:hAnsi="Arial" w:cs="Arial"/>
          <w:sz w:val="24"/>
          <w:szCs w:val="24"/>
        </w:rPr>
        <w:t xml:space="preserve"> and Primates. The variable in bold has CI 95% that do not cross 0.</w:t>
      </w:r>
    </w:p>
    <w:p w:rsidR="0061335D" w:rsidRPr="007435D2" w:rsidRDefault="0061335D" w:rsidP="008E3DEE">
      <w:pPr>
        <w:jc w:val="both"/>
        <w:rPr>
          <w:rFonts w:ascii="Arial" w:hAnsi="Arial" w:cs="Arial"/>
          <w:sz w:val="24"/>
          <w:szCs w:val="24"/>
        </w:rPr>
      </w:pPr>
    </w:p>
    <w:p w:rsidR="00735CF3" w:rsidRPr="007435D2" w:rsidRDefault="00735CF3" w:rsidP="008E3DEE">
      <w:pPr>
        <w:jc w:val="both"/>
        <w:rPr>
          <w:rFonts w:ascii="Arial" w:hAnsi="Arial" w:cs="Arial"/>
          <w:sz w:val="24"/>
          <w:szCs w:val="24"/>
        </w:rPr>
      </w:pPr>
      <w:r w:rsidRPr="007435D2">
        <w:rPr>
          <w:rFonts w:ascii="Arial" w:hAnsi="Arial" w:cs="Arial"/>
          <w:sz w:val="24"/>
          <w:szCs w:val="24"/>
        </w:rPr>
        <w:t>The table includes coefficients (</w:t>
      </w:r>
      <w:proofErr w:type="spellStart"/>
      <w:r w:rsidRPr="007435D2">
        <w:rPr>
          <w:rFonts w:ascii="Arial" w:hAnsi="Arial" w:cs="Arial"/>
          <w:sz w:val="24"/>
          <w:szCs w:val="24"/>
        </w:rPr>
        <w:t>Coef</w:t>
      </w:r>
      <w:proofErr w:type="spellEnd"/>
      <w:r w:rsidRPr="007435D2">
        <w:rPr>
          <w:rFonts w:ascii="Arial" w:hAnsi="Arial" w:cs="Arial"/>
          <w:sz w:val="24"/>
          <w:szCs w:val="24"/>
        </w:rPr>
        <w:t>), standard error (SE), z-value and correspondent significance [</w:t>
      </w:r>
      <w:proofErr w:type="spellStart"/>
      <w:r w:rsidRPr="007435D2">
        <w:rPr>
          <w:rFonts w:ascii="Arial" w:hAnsi="Arial" w:cs="Arial"/>
          <w:sz w:val="24"/>
          <w:szCs w:val="24"/>
        </w:rPr>
        <w:t>Pr</w:t>
      </w:r>
      <w:proofErr w:type="spellEnd"/>
      <w:r w:rsidRPr="007435D2">
        <w:rPr>
          <w:rFonts w:ascii="Arial" w:hAnsi="Arial" w:cs="Arial"/>
          <w:sz w:val="24"/>
          <w:szCs w:val="24"/>
        </w:rPr>
        <w:t xml:space="preserve"> (&gt;|z|)] and 95% confidence intervals (CI 95%) of the variables included in the best models explaining the variability in density of </w:t>
      </w:r>
      <w:proofErr w:type="spellStart"/>
      <w:r w:rsidRPr="007435D2">
        <w:rPr>
          <w:rFonts w:ascii="Arial" w:hAnsi="Arial" w:cs="Arial"/>
          <w:sz w:val="24"/>
          <w:szCs w:val="24"/>
        </w:rPr>
        <w:lastRenderedPageBreak/>
        <w:t>Dasyproctidae</w:t>
      </w:r>
      <w:proofErr w:type="spellEnd"/>
      <w:r w:rsidRPr="007435D2">
        <w:rPr>
          <w:rFonts w:ascii="Arial" w:hAnsi="Arial" w:cs="Arial"/>
          <w:sz w:val="24"/>
          <w:szCs w:val="24"/>
        </w:rPr>
        <w:t xml:space="preserve">, </w:t>
      </w:r>
      <w:proofErr w:type="spellStart"/>
      <w:r w:rsidRPr="007435D2">
        <w:rPr>
          <w:rFonts w:ascii="Arial" w:hAnsi="Arial" w:cs="Arial"/>
          <w:sz w:val="24"/>
          <w:szCs w:val="24"/>
        </w:rPr>
        <w:t>Tinamidae</w:t>
      </w:r>
      <w:proofErr w:type="spellEnd"/>
      <w:r w:rsidRPr="007435D2">
        <w:rPr>
          <w:rFonts w:ascii="Arial" w:hAnsi="Arial" w:cs="Arial"/>
          <w:sz w:val="24"/>
          <w:szCs w:val="24"/>
        </w:rPr>
        <w:t xml:space="preserve"> and Primates. The variable in bold has CI 95% that do not cross 0.</w:t>
      </w:r>
    </w:p>
    <w:p w:rsidR="00B75756" w:rsidRPr="007435D2" w:rsidRDefault="00B75756" w:rsidP="008E3DEE">
      <w:pPr>
        <w:jc w:val="both"/>
        <w:rPr>
          <w:rFonts w:ascii="Arial" w:hAnsi="Arial" w:cs="Arial"/>
          <w:sz w:val="24"/>
          <w:szCs w:val="24"/>
        </w:rPr>
      </w:pPr>
    </w:p>
    <w:p w:rsidR="0061335D" w:rsidRPr="007435D2" w:rsidRDefault="0061335D" w:rsidP="007435D2">
      <w:pPr>
        <w:pStyle w:val="Legenda"/>
        <w:keepNext/>
        <w:rPr>
          <w:rFonts w:ascii="Arial" w:hAnsi="Arial" w:cs="Arial"/>
          <w:sz w:val="24"/>
          <w:szCs w:val="24"/>
        </w:rPr>
      </w:pPr>
      <w:r w:rsidRPr="007435D2">
        <w:rPr>
          <w:rFonts w:ascii="Arial" w:hAnsi="Arial" w:cs="Arial"/>
          <w:b/>
          <w:bCs/>
          <w:sz w:val="24"/>
          <w:szCs w:val="24"/>
        </w:rPr>
        <w:t>Table S</w:t>
      </w:r>
      <w:r w:rsidR="007435D2" w:rsidRPr="007435D2">
        <w:rPr>
          <w:rFonts w:ascii="Arial" w:hAnsi="Arial" w:cs="Arial"/>
          <w:b/>
          <w:bCs/>
          <w:color w:val="0070C0"/>
          <w:sz w:val="24"/>
          <w:szCs w:val="24"/>
        </w:rPr>
        <w:t>8</w:t>
      </w:r>
      <w:r w:rsidRPr="007435D2">
        <w:rPr>
          <w:rFonts w:ascii="Arial" w:hAnsi="Arial" w:cs="Arial"/>
          <w:sz w:val="24"/>
          <w:szCs w:val="24"/>
        </w:rPr>
        <w:t xml:space="preserve">. </w:t>
      </w:r>
      <w:r w:rsidR="007435D2" w:rsidRPr="007435D2">
        <w:rPr>
          <w:rFonts w:ascii="Arial" w:hAnsi="Arial" w:cs="Arial"/>
          <w:sz w:val="24"/>
          <w:szCs w:val="24"/>
        </w:rPr>
        <w:t>State-space models examining temporal trends in terms of densities (</w:t>
      </w:r>
      <w:proofErr w:type="spellStart"/>
      <w:r w:rsidR="007435D2" w:rsidRPr="007435D2">
        <w:rPr>
          <w:rFonts w:ascii="Arial" w:hAnsi="Arial" w:cs="Arial"/>
          <w:sz w:val="24"/>
          <w:szCs w:val="24"/>
        </w:rPr>
        <w:t>ind.</w:t>
      </w:r>
      <w:proofErr w:type="spellEnd"/>
      <w:r w:rsidR="007435D2" w:rsidRPr="007435D2">
        <w:rPr>
          <w:rFonts w:ascii="Arial" w:hAnsi="Arial" w:cs="Arial"/>
          <w:sz w:val="24"/>
          <w:szCs w:val="24"/>
        </w:rPr>
        <w:t xml:space="preserve">/km²) of the medium-sized and large-sized game groups and </w:t>
      </w:r>
      <w:r w:rsidR="007435D2" w:rsidRPr="007435D2">
        <w:rPr>
          <w:rFonts w:ascii="Arial" w:hAnsi="Arial" w:cs="Arial"/>
          <w:color w:val="2F5496" w:themeColor="accent5" w:themeShade="BF"/>
          <w:sz w:val="24"/>
          <w:szCs w:val="24"/>
        </w:rPr>
        <w:t>nine</w:t>
      </w:r>
      <w:r w:rsidR="007435D2" w:rsidRPr="007435D2">
        <w:rPr>
          <w:rFonts w:ascii="Arial" w:hAnsi="Arial" w:cs="Arial"/>
          <w:sz w:val="24"/>
          <w:szCs w:val="24"/>
        </w:rPr>
        <w:t xml:space="preserve"> individual taxa (</w:t>
      </w:r>
      <w:proofErr w:type="spellStart"/>
      <w:r w:rsidR="007435D2" w:rsidRPr="006F34FA">
        <w:rPr>
          <w:rFonts w:ascii="Arial" w:hAnsi="Arial" w:cs="Arial"/>
          <w:color w:val="0070C0"/>
          <w:sz w:val="24"/>
          <w:szCs w:val="24"/>
        </w:rPr>
        <w:t>Tinamidae</w:t>
      </w:r>
      <w:proofErr w:type="spellEnd"/>
      <w:r w:rsidR="007435D2" w:rsidRPr="006F34FA">
        <w:rPr>
          <w:rFonts w:ascii="Arial" w:hAnsi="Arial" w:cs="Arial"/>
          <w:color w:val="0070C0"/>
          <w:sz w:val="24"/>
          <w:szCs w:val="24"/>
        </w:rPr>
        <w:t xml:space="preserve">, </w:t>
      </w:r>
      <w:proofErr w:type="spellStart"/>
      <w:r w:rsidR="007435D2" w:rsidRPr="006F34FA">
        <w:rPr>
          <w:rFonts w:ascii="Arial" w:hAnsi="Arial" w:cs="Arial"/>
          <w:color w:val="0070C0"/>
          <w:sz w:val="24"/>
          <w:szCs w:val="24"/>
        </w:rPr>
        <w:t>Psophiidae</w:t>
      </w:r>
      <w:proofErr w:type="spellEnd"/>
      <w:r w:rsidR="007435D2" w:rsidRPr="006F34FA">
        <w:rPr>
          <w:rFonts w:ascii="Arial" w:hAnsi="Arial" w:cs="Arial"/>
          <w:color w:val="0070C0"/>
          <w:sz w:val="24"/>
          <w:szCs w:val="24"/>
        </w:rPr>
        <w:t xml:space="preserve">, </w:t>
      </w:r>
      <w:proofErr w:type="spellStart"/>
      <w:r w:rsidR="007435D2" w:rsidRPr="006F34FA">
        <w:rPr>
          <w:rFonts w:ascii="Arial" w:hAnsi="Arial" w:cs="Arial"/>
          <w:color w:val="0070C0"/>
          <w:sz w:val="24"/>
          <w:szCs w:val="24"/>
        </w:rPr>
        <w:t>Cracidae</w:t>
      </w:r>
      <w:proofErr w:type="spellEnd"/>
      <w:r w:rsidR="007435D2" w:rsidRPr="006F34FA">
        <w:rPr>
          <w:rFonts w:ascii="Arial" w:hAnsi="Arial" w:cs="Arial"/>
          <w:color w:val="0070C0"/>
          <w:sz w:val="24"/>
          <w:szCs w:val="24"/>
        </w:rPr>
        <w:t xml:space="preserve">, </w:t>
      </w:r>
      <w:proofErr w:type="spellStart"/>
      <w:r w:rsidR="007435D2" w:rsidRPr="006F34FA">
        <w:rPr>
          <w:rFonts w:ascii="Arial" w:hAnsi="Arial" w:cs="Arial"/>
          <w:color w:val="0070C0"/>
          <w:sz w:val="24"/>
          <w:szCs w:val="24"/>
        </w:rPr>
        <w:t>Dasyproctidae</w:t>
      </w:r>
      <w:proofErr w:type="spellEnd"/>
      <w:r w:rsidR="007435D2" w:rsidRPr="006F34FA">
        <w:rPr>
          <w:rFonts w:ascii="Arial" w:hAnsi="Arial" w:cs="Arial"/>
          <w:color w:val="0070C0"/>
          <w:sz w:val="24"/>
          <w:szCs w:val="24"/>
        </w:rPr>
        <w:t xml:space="preserve">, Primates, </w:t>
      </w:r>
      <w:proofErr w:type="spellStart"/>
      <w:r w:rsidR="007435D2" w:rsidRPr="006F34FA">
        <w:rPr>
          <w:rFonts w:ascii="Arial" w:hAnsi="Arial" w:cs="Arial"/>
          <w:color w:val="0070C0"/>
          <w:sz w:val="24"/>
          <w:szCs w:val="24"/>
        </w:rPr>
        <w:t>Procyonidae</w:t>
      </w:r>
      <w:proofErr w:type="spellEnd"/>
      <w:r w:rsidR="007435D2" w:rsidRPr="006F34FA">
        <w:rPr>
          <w:rFonts w:ascii="Arial" w:hAnsi="Arial" w:cs="Arial"/>
          <w:color w:val="0070C0"/>
          <w:sz w:val="24"/>
          <w:szCs w:val="24"/>
        </w:rPr>
        <w:t xml:space="preserve">, </w:t>
      </w:r>
      <w:proofErr w:type="spellStart"/>
      <w:r w:rsidR="007435D2" w:rsidRPr="006F34FA">
        <w:rPr>
          <w:rFonts w:ascii="Arial" w:hAnsi="Arial" w:cs="Arial"/>
          <w:color w:val="0070C0"/>
          <w:sz w:val="24"/>
          <w:szCs w:val="24"/>
        </w:rPr>
        <w:t>Atelidae</w:t>
      </w:r>
      <w:proofErr w:type="spellEnd"/>
      <w:r w:rsidR="007435D2" w:rsidRPr="006F34FA">
        <w:rPr>
          <w:rFonts w:ascii="Arial" w:hAnsi="Arial" w:cs="Arial"/>
          <w:color w:val="0070C0"/>
          <w:sz w:val="24"/>
          <w:szCs w:val="24"/>
        </w:rPr>
        <w:t xml:space="preserve">, </w:t>
      </w:r>
      <w:proofErr w:type="spellStart"/>
      <w:r w:rsidR="007435D2" w:rsidRPr="006F34FA">
        <w:rPr>
          <w:rFonts w:ascii="Arial" w:hAnsi="Arial" w:cs="Arial"/>
          <w:color w:val="0070C0"/>
          <w:sz w:val="24"/>
          <w:szCs w:val="24"/>
        </w:rPr>
        <w:t>Cervidae</w:t>
      </w:r>
      <w:proofErr w:type="spellEnd"/>
      <w:r w:rsidR="007435D2" w:rsidRPr="006F34FA">
        <w:rPr>
          <w:rFonts w:ascii="Arial" w:hAnsi="Arial" w:cs="Arial"/>
          <w:color w:val="0070C0"/>
          <w:sz w:val="24"/>
          <w:szCs w:val="24"/>
        </w:rPr>
        <w:t xml:space="preserve"> and </w:t>
      </w:r>
      <w:proofErr w:type="spellStart"/>
      <w:r w:rsidR="007435D2" w:rsidRPr="006F34FA">
        <w:rPr>
          <w:rFonts w:ascii="Arial" w:hAnsi="Arial" w:cs="Arial"/>
          <w:color w:val="0070C0"/>
          <w:sz w:val="24"/>
          <w:szCs w:val="24"/>
        </w:rPr>
        <w:t>Tayassuidae</w:t>
      </w:r>
      <w:proofErr w:type="spellEnd"/>
      <w:r w:rsidR="007435D2" w:rsidRPr="007435D2">
        <w:rPr>
          <w:rFonts w:ascii="Arial" w:hAnsi="Arial" w:cs="Arial"/>
          <w:sz w:val="24"/>
          <w:szCs w:val="24"/>
        </w:rPr>
        <w:t xml:space="preserve">) in eight transects surveyed across the </w:t>
      </w:r>
      <w:proofErr w:type="spellStart"/>
      <w:r w:rsidR="007435D2" w:rsidRPr="007435D2">
        <w:rPr>
          <w:rFonts w:ascii="Arial" w:hAnsi="Arial" w:cs="Arial"/>
          <w:sz w:val="24"/>
          <w:szCs w:val="24"/>
        </w:rPr>
        <w:t>Tapajós-Arapiuns</w:t>
      </w:r>
      <w:proofErr w:type="spellEnd"/>
      <w:r w:rsidR="007435D2" w:rsidRPr="007435D2">
        <w:rPr>
          <w:rFonts w:ascii="Arial" w:hAnsi="Arial" w:cs="Arial"/>
          <w:sz w:val="24"/>
          <w:szCs w:val="24"/>
        </w:rPr>
        <w:t xml:space="preserve"> Extractive Reserve</w:t>
      </w:r>
      <w:r w:rsidR="007435D2" w:rsidRPr="007435D2" w:rsidDel="0098436C">
        <w:rPr>
          <w:rFonts w:ascii="Arial" w:hAnsi="Arial" w:cs="Arial"/>
          <w:sz w:val="24"/>
          <w:szCs w:val="24"/>
        </w:rPr>
        <w:t xml:space="preserve"> </w:t>
      </w:r>
      <w:r w:rsidR="007435D2" w:rsidRPr="007435D2">
        <w:rPr>
          <w:rFonts w:ascii="Arial" w:hAnsi="Arial" w:cs="Arial"/>
          <w:sz w:val="24"/>
          <w:szCs w:val="24"/>
        </w:rPr>
        <w:t>from 2015 to 2020.</w:t>
      </w:r>
    </w:p>
    <w:p w:rsidR="007435D2" w:rsidRPr="007435D2" w:rsidRDefault="007435D2" w:rsidP="007435D2">
      <w:pPr>
        <w:rPr>
          <w:sz w:val="24"/>
          <w:szCs w:val="24"/>
        </w:rPr>
      </w:pPr>
    </w:p>
    <w:p w:rsidR="007435D2" w:rsidRPr="007435D2" w:rsidRDefault="007435D2" w:rsidP="007435D2">
      <w:pPr>
        <w:jc w:val="both"/>
        <w:rPr>
          <w:rFonts w:ascii="Arial" w:hAnsi="Arial" w:cs="Arial"/>
          <w:sz w:val="24"/>
          <w:szCs w:val="24"/>
        </w:rPr>
      </w:pPr>
      <w:r w:rsidRPr="007435D2">
        <w:rPr>
          <w:rFonts w:ascii="Arial" w:hAnsi="Arial" w:cs="Arial"/>
          <w:sz w:val="24"/>
          <w:szCs w:val="24"/>
        </w:rPr>
        <w:t>The table includes the state-space models examining temporal trends in terms of densities (</w:t>
      </w:r>
      <w:proofErr w:type="spellStart"/>
      <w:r w:rsidRPr="007435D2">
        <w:rPr>
          <w:rFonts w:ascii="Arial" w:hAnsi="Arial" w:cs="Arial"/>
          <w:sz w:val="24"/>
          <w:szCs w:val="24"/>
        </w:rPr>
        <w:t>ind.</w:t>
      </w:r>
      <w:proofErr w:type="spellEnd"/>
      <w:r w:rsidRPr="007435D2">
        <w:rPr>
          <w:rFonts w:ascii="Arial" w:hAnsi="Arial" w:cs="Arial"/>
          <w:sz w:val="24"/>
          <w:szCs w:val="24"/>
        </w:rPr>
        <w:t>/km²) of the medium-sized and large-sized game groups and nine individual taxa (</w:t>
      </w:r>
      <w:proofErr w:type="spellStart"/>
      <w:r w:rsidRPr="006F34FA">
        <w:rPr>
          <w:rFonts w:ascii="Arial" w:hAnsi="Arial" w:cs="Arial"/>
          <w:color w:val="0070C0"/>
          <w:sz w:val="24"/>
          <w:szCs w:val="24"/>
        </w:rPr>
        <w:t>Tinamidae</w:t>
      </w:r>
      <w:proofErr w:type="spellEnd"/>
      <w:r w:rsidRPr="006F34FA">
        <w:rPr>
          <w:rFonts w:ascii="Arial" w:hAnsi="Arial" w:cs="Arial"/>
          <w:color w:val="0070C0"/>
          <w:sz w:val="24"/>
          <w:szCs w:val="24"/>
        </w:rPr>
        <w:t xml:space="preserve">, </w:t>
      </w:r>
      <w:proofErr w:type="spellStart"/>
      <w:r w:rsidRPr="006F34FA">
        <w:rPr>
          <w:rFonts w:ascii="Arial" w:hAnsi="Arial" w:cs="Arial"/>
          <w:color w:val="0070C0"/>
          <w:sz w:val="24"/>
          <w:szCs w:val="24"/>
        </w:rPr>
        <w:t>Psophiidae</w:t>
      </w:r>
      <w:proofErr w:type="spellEnd"/>
      <w:r w:rsidRPr="006F34FA">
        <w:rPr>
          <w:rFonts w:ascii="Arial" w:hAnsi="Arial" w:cs="Arial"/>
          <w:color w:val="0070C0"/>
          <w:sz w:val="24"/>
          <w:szCs w:val="24"/>
        </w:rPr>
        <w:t xml:space="preserve">, </w:t>
      </w:r>
      <w:proofErr w:type="spellStart"/>
      <w:r w:rsidRPr="006F34FA">
        <w:rPr>
          <w:rFonts w:ascii="Arial" w:hAnsi="Arial" w:cs="Arial"/>
          <w:color w:val="0070C0"/>
          <w:sz w:val="24"/>
          <w:szCs w:val="24"/>
        </w:rPr>
        <w:t>Cracidae</w:t>
      </w:r>
      <w:proofErr w:type="spellEnd"/>
      <w:r w:rsidRPr="006F34FA">
        <w:rPr>
          <w:rFonts w:ascii="Arial" w:hAnsi="Arial" w:cs="Arial"/>
          <w:color w:val="0070C0"/>
          <w:sz w:val="24"/>
          <w:szCs w:val="24"/>
        </w:rPr>
        <w:t xml:space="preserve">, </w:t>
      </w:r>
      <w:proofErr w:type="spellStart"/>
      <w:r w:rsidRPr="006F34FA">
        <w:rPr>
          <w:rFonts w:ascii="Arial" w:hAnsi="Arial" w:cs="Arial"/>
          <w:color w:val="0070C0"/>
          <w:sz w:val="24"/>
          <w:szCs w:val="24"/>
        </w:rPr>
        <w:t>Dasyproctidae</w:t>
      </w:r>
      <w:proofErr w:type="spellEnd"/>
      <w:r w:rsidRPr="006F34FA">
        <w:rPr>
          <w:rFonts w:ascii="Arial" w:hAnsi="Arial" w:cs="Arial"/>
          <w:color w:val="0070C0"/>
          <w:sz w:val="24"/>
          <w:szCs w:val="24"/>
        </w:rPr>
        <w:t xml:space="preserve">, Primates, </w:t>
      </w:r>
      <w:proofErr w:type="spellStart"/>
      <w:r w:rsidRPr="006F34FA">
        <w:rPr>
          <w:rFonts w:ascii="Arial" w:hAnsi="Arial" w:cs="Arial"/>
          <w:color w:val="0070C0"/>
          <w:sz w:val="24"/>
          <w:szCs w:val="24"/>
        </w:rPr>
        <w:t>Procyonidae</w:t>
      </w:r>
      <w:proofErr w:type="spellEnd"/>
      <w:r w:rsidRPr="006F34FA">
        <w:rPr>
          <w:rFonts w:ascii="Arial" w:hAnsi="Arial" w:cs="Arial"/>
          <w:color w:val="0070C0"/>
          <w:sz w:val="24"/>
          <w:szCs w:val="24"/>
        </w:rPr>
        <w:t xml:space="preserve">, </w:t>
      </w:r>
      <w:proofErr w:type="spellStart"/>
      <w:r w:rsidRPr="006F34FA">
        <w:rPr>
          <w:rFonts w:ascii="Arial" w:hAnsi="Arial" w:cs="Arial"/>
          <w:color w:val="0070C0"/>
          <w:sz w:val="24"/>
          <w:szCs w:val="24"/>
        </w:rPr>
        <w:t>Atelidae</w:t>
      </w:r>
      <w:proofErr w:type="spellEnd"/>
      <w:r w:rsidRPr="006F34FA">
        <w:rPr>
          <w:rFonts w:ascii="Arial" w:hAnsi="Arial" w:cs="Arial"/>
          <w:color w:val="0070C0"/>
          <w:sz w:val="24"/>
          <w:szCs w:val="24"/>
        </w:rPr>
        <w:t xml:space="preserve">, </w:t>
      </w:r>
      <w:proofErr w:type="spellStart"/>
      <w:r w:rsidRPr="006F34FA">
        <w:rPr>
          <w:rFonts w:ascii="Arial" w:hAnsi="Arial" w:cs="Arial"/>
          <w:color w:val="0070C0"/>
          <w:sz w:val="24"/>
          <w:szCs w:val="24"/>
        </w:rPr>
        <w:t>Cervidae</w:t>
      </w:r>
      <w:proofErr w:type="spellEnd"/>
      <w:r w:rsidRPr="006F34FA">
        <w:rPr>
          <w:rFonts w:ascii="Arial" w:hAnsi="Arial" w:cs="Arial"/>
          <w:color w:val="0070C0"/>
          <w:sz w:val="24"/>
          <w:szCs w:val="24"/>
        </w:rPr>
        <w:t xml:space="preserve"> and </w:t>
      </w:r>
      <w:proofErr w:type="spellStart"/>
      <w:r w:rsidRPr="006F34FA">
        <w:rPr>
          <w:rFonts w:ascii="Arial" w:hAnsi="Arial" w:cs="Arial"/>
          <w:color w:val="0070C0"/>
          <w:sz w:val="24"/>
          <w:szCs w:val="24"/>
        </w:rPr>
        <w:t>Tayassuidae</w:t>
      </w:r>
      <w:proofErr w:type="spellEnd"/>
      <w:r w:rsidRPr="007435D2">
        <w:rPr>
          <w:rFonts w:ascii="Arial" w:hAnsi="Arial" w:cs="Arial"/>
          <w:sz w:val="24"/>
          <w:szCs w:val="24"/>
        </w:rPr>
        <w:t xml:space="preserve">) in eight transects surveyed across the </w:t>
      </w:r>
      <w:proofErr w:type="spellStart"/>
      <w:r w:rsidRPr="007435D2">
        <w:rPr>
          <w:rFonts w:ascii="Arial" w:hAnsi="Arial" w:cs="Arial"/>
          <w:sz w:val="24"/>
          <w:szCs w:val="24"/>
        </w:rPr>
        <w:t>Tapajós-Arapiuns</w:t>
      </w:r>
      <w:proofErr w:type="spellEnd"/>
      <w:r w:rsidRPr="007435D2">
        <w:rPr>
          <w:rFonts w:ascii="Arial" w:hAnsi="Arial" w:cs="Arial"/>
          <w:sz w:val="24"/>
          <w:szCs w:val="24"/>
        </w:rPr>
        <w:t xml:space="preserve"> Extractive Reserve from 2015 to 2020.</w:t>
      </w:r>
    </w:p>
    <w:p w:rsidR="003F506D" w:rsidRPr="00094E01" w:rsidRDefault="002F318D" w:rsidP="007435D2">
      <w:pPr>
        <w:jc w:val="both"/>
        <w:rPr>
          <w:rFonts w:ascii="Arial" w:hAnsi="Arial" w:cs="Arial"/>
          <w:sz w:val="24"/>
          <w:szCs w:val="24"/>
        </w:rPr>
      </w:pPr>
    </w:p>
    <w:sectPr w:rsidR="003F506D" w:rsidRPr="00094E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5D"/>
    <w:rsid w:val="000655D0"/>
    <w:rsid w:val="00094E01"/>
    <w:rsid w:val="001904D5"/>
    <w:rsid w:val="001C6C4F"/>
    <w:rsid w:val="002F318D"/>
    <w:rsid w:val="00431258"/>
    <w:rsid w:val="0061335D"/>
    <w:rsid w:val="00623AC3"/>
    <w:rsid w:val="006F34FA"/>
    <w:rsid w:val="00735CF3"/>
    <w:rsid w:val="007435D2"/>
    <w:rsid w:val="008E3DEE"/>
    <w:rsid w:val="00990970"/>
    <w:rsid w:val="00B75756"/>
    <w:rsid w:val="00C0179E"/>
    <w:rsid w:val="00C602AD"/>
    <w:rsid w:val="00D30B98"/>
    <w:rsid w:val="00DA1980"/>
    <w:rsid w:val="00DF343C"/>
    <w:rsid w:val="00E520D4"/>
    <w:rsid w:val="00E925D1"/>
    <w:rsid w:val="00EB608B"/>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3C47"/>
  <w15:chartTrackingRefBased/>
  <w15:docId w15:val="{7555A6F6-AFD9-41CF-93B2-40394C04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61335D"/>
    <w:pPr>
      <w:spacing w:after="0" w:line="240" w:lineRule="auto"/>
      <w:jc w:val="both"/>
    </w:pPr>
    <w:rPr>
      <w:rFonts w:ascii="Times New Roman" w:hAnsi="Times New Roman"/>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854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2023-05-18T22:54:00Z</dcterms:created>
  <dcterms:modified xsi:type="dcterms:W3CDTF">2023-12-28T14:38:00Z</dcterms:modified>
</cp:coreProperties>
</file>