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DE47" w14:textId="77777777" w:rsidR="0044425A" w:rsidRDefault="0044425A" w:rsidP="0044425A">
      <w:pPr>
        <w:rPr>
          <w:rFonts w:ascii="Times New Roman" w:hAnsi="Times New Roman" w:cs="Times New Roman"/>
          <w:b/>
          <w:bCs/>
        </w:rPr>
      </w:pPr>
    </w:p>
    <w:p w14:paraId="5645DAD9" w14:textId="77777777" w:rsidR="0044425A" w:rsidRDefault="0044425A" w:rsidP="0044425A">
      <w:pPr>
        <w:rPr>
          <w:rFonts w:ascii="Times New Roman" w:hAnsi="Times New Roman" w:cs="Times New Roman"/>
          <w:b/>
          <w:bCs/>
        </w:rPr>
      </w:pPr>
    </w:p>
    <w:p w14:paraId="2B3A89D7" w14:textId="77777777" w:rsidR="0044425A" w:rsidRDefault="0044425A" w:rsidP="0044425A">
      <w:pPr>
        <w:rPr>
          <w:rFonts w:ascii="Times New Roman" w:hAnsi="Times New Roman" w:cs="Times New Roman"/>
          <w:b/>
          <w:bCs/>
        </w:rPr>
      </w:pPr>
    </w:p>
    <w:p w14:paraId="292E2A1E" w14:textId="77777777" w:rsidR="0044425A" w:rsidRPr="005B2155" w:rsidRDefault="005B2155" w:rsidP="0044425A">
      <w:pPr>
        <w:rPr>
          <w:rFonts w:ascii="Times New Roman" w:hAnsi="Times New Roman" w:cs="Times New Roman"/>
        </w:rPr>
      </w:pPr>
      <w:r w:rsidRPr="005B2155">
        <w:rPr>
          <w:rFonts w:ascii="Times New Roman" w:hAnsi="Times New Roman" w:cs="Times New Roman"/>
        </w:rPr>
        <w:t>Supplemental Material for:</w:t>
      </w:r>
    </w:p>
    <w:p w14:paraId="43AD377F" w14:textId="77777777" w:rsidR="005B2155" w:rsidRDefault="005B2155" w:rsidP="0044425A">
      <w:pPr>
        <w:rPr>
          <w:rFonts w:ascii="Times New Roman" w:hAnsi="Times New Roman" w:cs="Times New Roman"/>
          <w:b/>
          <w:bCs/>
        </w:rPr>
      </w:pPr>
    </w:p>
    <w:p w14:paraId="3E88F756" w14:textId="77777777" w:rsidR="005B2155" w:rsidRDefault="005B2155" w:rsidP="0044425A">
      <w:pPr>
        <w:rPr>
          <w:rFonts w:ascii="Times New Roman" w:hAnsi="Times New Roman" w:cs="Times New Roman"/>
          <w:b/>
          <w:bCs/>
        </w:rPr>
      </w:pPr>
    </w:p>
    <w:p w14:paraId="538F98C8" w14:textId="77777777" w:rsidR="005B2155" w:rsidRDefault="005B2155" w:rsidP="0044425A">
      <w:pPr>
        <w:rPr>
          <w:rFonts w:ascii="Times New Roman" w:hAnsi="Times New Roman" w:cs="Times New Roman"/>
          <w:b/>
          <w:bCs/>
        </w:rPr>
      </w:pPr>
      <w:r w:rsidRPr="00EF0CDD">
        <w:rPr>
          <w:rFonts w:ascii="Times New Roman" w:hAnsi="Times New Roman" w:cs="Times New Roman"/>
          <w:b/>
          <w:bCs/>
        </w:rPr>
        <w:t xml:space="preserve">Current Practices of Cardiac Monitoring and Early Rhythm-Control Therapy for </w:t>
      </w:r>
      <w:r>
        <w:rPr>
          <w:rFonts w:ascii="Times New Roman" w:hAnsi="Times New Roman" w:cs="Times New Roman"/>
          <w:b/>
          <w:bCs/>
        </w:rPr>
        <w:t xml:space="preserve">Atrial Fibrillation and </w:t>
      </w:r>
      <w:r w:rsidRPr="00EF0CDD">
        <w:rPr>
          <w:rFonts w:ascii="Times New Roman" w:hAnsi="Times New Roman" w:cs="Times New Roman"/>
          <w:b/>
          <w:bCs/>
        </w:rPr>
        <w:t>Stroke Prevention</w:t>
      </w:r>
    </w:p>
    <w:p w14:paraId="5E967BDD" w14:textId="77777777" w:rsidR="005B2155" w:rsidRDefault="005B2155" w:rsidP="0044425A">
      <w:pPr>
        <w:rPr>
          <w:rFonts w:ascii="Times New Roman" w:hAnsi="Times New Roman" w:cs="Times New Roman"/>
          <w:b/>
          <w:bCs/>
        </w:rPr>
      </w:pPr>
    </w:p>
    <w:p w14:paraId="72280A29" w14:textId="77777777" w:rsidR="005B2155" w:rsidRDefault="005B2155" w:rsidP="0044425A">
      <w:pPr>
        <w:rPr>
          <w:rFonts w:ascii="Times New Roman" w:hAnsi="Times New Roman" w:cs="Times New Roman"/>
          <w:b/>
          <w:bCs/>
        </w:rPr>
      </w:pPr>
    </w:p>
    <w:p w14:paraId="558AD0AD" w14:textId="77777777" w:rsidR="005B2155" w:rsidRDefault="005B2155" w:rsidP="0044425A">
      <w:pPr>
        <w:rPr>
          <w:rFonts w:ascii="Times New Roman" w:hAnsi="Times New Roman" w:cs="Times New Roman"/>
        </w:rPr>
      </w:pPr>
      <w:r w:rsidRPr="005B2155">
        <w:rPr>
          <w:rFonts w:ascii="Times New Roman" w:hAnsi="Times New Roman" w:cs="Times New Roman"/>
        </w:rPr>
        <w:t>Yogendrakumar et al.</w:t>
      </w:r>
    </w:p>
    <w:p w14:paraId="137B5E15" w14:textId="77777777" w:rsidR="005B2155" w:rsidRDefault="005B2155" w:rsidP="0044425A">
      <w:pPr>
        <w:rPr>
          <w:rFonts w:ascii="Times New Roman" w:hAnsi="Times New Roman" w:cs="Times New Roman"/>
        </w:rPr>
      </w:pPr>
    </w:p>
    <w:p w14:paraId="4B686AB2" w14:textId="674E4134" w:rsidR="005B2155" w:rsidRPr="00745410" w:rsidRDefault="00C96018" w:rsidP="00745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45410">
        <w:rPr>
          <w:rFonts w:ascii="Times New Roman" w:hAnsi="Times New Roman" w:cs="Times New Roman"/>
        </w:rPr>
        <w:t>Supplemental Methods</w:t>
      </w:r>
    </w:p>
    <w:p w14:paraId="6F54D92A" w14:textId="41AD373A" w:rsidR="005B2155" w:rsidRPr="00745410" w:rsidRDefault="005B2155" w:rsidP="00745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  <w:sectPr w:rsidR="005B2155" w:rsidRPr="00745410" w:rsidSect="0044425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745410">
        <w:rPr>
          <w:rFonts w:ascii="Times New Roman" w:hAnsi="Times New Roman" w:cs="Times New Roman"/>
        </w:rPr>
        <w:t>Table 1 -  Full List of Survey Questions and Respondent Answers</w:t>
      </w:r>
    </w:p>
    <w:p w14:paraId="207E11BB" w14:textId="77777777" w:rsidR="00745410" w:rsidRDefault="007454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Supplemental Methods:</w:t>
      </w:r>
    </w:p>
    <w:p w14:paraId="506A1C85" w14:textId="77777777" w:rsidR="00FF62AA" w:rsidRDefault="00FF62AA">
      <w:pPr>
        <w:rPr>
          <w:rFonts w:ascii="Times New Roman" w:hAnsi="Times New Roman" w:cs="Times New Roman"/>
          <w:b/>
          <w:bCs/>
        </w:rPr>
      </w:pPr>
    </w:p>
    <w:p w14:paraId="11D4F56F" w14:textId="4E806F4C" w:rsidR="00FF62AA" w:rsidRDefault="00FF62AA" w:rsidP="00FF62AA">
      <w:pPr>
        <w:spacing w:line="48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D613E4">
        <w:rPr>
          <w:rFonts w:ascii="Times New Roman" w:hAnsi="Times New Roman" w:cs="Times New Roman"/>
          <w:color w:val="000000" w:themeColor="text1"/>
        </w:rPr>
        <w:t xml:space="preserve">Potential participants </w:t>
      </w:r>
      <w:r>
        <w:rPr>
          <w:rFonts w:ascii="Times New Roman" w:hAnsi="Times New Roman" w:cs="Times New Roman"/>
          <w:color w:val="000000" w:themeColor="text1"/>
        </w:rPr>
        <w:t>were</w:t>
      </w:r>
      <w:r w:rsidRPr="00D613E4">
        <w:rPr>
          <w:rFonts w:ascii="Times New Roman" w:hAnsi="Times New Roman" w:cs="Times New Roman"/>
          <w:color w:val="000000" w:themeColor="text1"/>
        </w:rPr>
        <w:t xml:space="preserve"> approached by email through the Canadian Stroke Consortium (CSC) and World Stroke Organization (WSO) using the email address</w:t>
      </w:r>
      <w:r>
        <w:rPr>
          <w:rFonts w:ascii="Times New Roman" w:hAnsi="Times New Roman" w:cs="Times New Roman"/>
          <w:color w:val="000000" w:themeColor="text1"/>
        </w:rPr>
        <w:t>es</w:t>
      </w:r>
      <w:r w:rsidRPr="00D613E4">
        <w:rPr>
          <w:rFonts w:ascii="Times New Roman" w:hAnsi="Times New Roman" w:cs="Times New Roman"/>
          <w:color w:val="000000" w:themeColor="text1"/>
        </w:rPr>
        <w:t xml:space="preserve"> registered with these organizations.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613E4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Canadian Stroke Consortium</w:t>
      </w:r>
      <w:r w:rsidRPr="00D613E4">
        <w:rPr>
          <w:rFonts w:ascii="Times New Roman" w:hAnsi="Times New Roman" w:cs="Times New Roman"/>
          <w:color w:val="000000" w:themeColor="text1"/>
        </w:rPr>
        <w:t xml:space="preserve"> is the national professional association for physicians interested in stroke</w:t>
      </w:r>
      <w:r>
        <w:rPr>
          <w:rFonts w:ascii="Times New Roman" w:hAnsi="Times New Roman" w:cs="Times New Roman"/>
          <w:color w:val="000000" w:themeColor="text1"/>
        </w:rPr>
        <w:t>,</w:t>
      </w:r>
      <w:r w:rsidRPr="00D613E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with </w:t>
      </w:r>
      <w:r w:rsidRPr="00D613E4">
        <w:rPr>
          <w:rFonts w:ascii="Times New Roman" w:hAnsi="Times New Roman" w:cs="Times New Roman"/>
          <w:color w:val="000000" w:themeColor="text1"/>
        </w:rPr>
        <w:t xml:space="preserve">over 120 professional association members that are stroke-focused physicians (primarily neurologists) and over 600 associate members (other physicians, nurses, allied health professionals, trainees, and clinical research coordinators). The </w:t>
      </w:r>
      <w:r>
        <w:rPr>
          <w:rFonts w:ascii="Times New Roman" w:hAnsi="Times New Roman" w:cs="Times New Roman"/>
          <w:color w:val="000000" w:themeColor="text1"/>
        </w:rPr>
        <w:t>World Stroke Organization</w:t>
      </w:r>
      <w:r w:rsidRPr="00D613E4">
        <w:rPr>
          <w:rFonts w:ascii="Times New Roman" w:hAnsi="Times New Roman" w:cs="Times New Roman"/>
          <w:color w:val="000000" w:themeColor="text1"/>
        </w:rPr>
        <w:t xml:space="preserve"> is the only global body focused on stroke and represents over 55,000 stroke specialists in clinical, research, and community settings.</w:t>
      </w:r>
      <w:r>
        <w:rPr>
          <w:rFonts w:ascii="Times New Roman" w:hAnsi="Times New Roman" w:cs="Times New Roman"/>
          <w:color w:val="000000" w:themeColor="text1"/>
        </w:rPr>
        <w:t xml:space="preserve"> The survey was extended to not only stroke physicians but all specialities that managed stroke patients (e.g. cardiologists, internal medicine physicians). Participation in the survey was voluntary and contained</w:t>
      </w:r>
      <w:r w:rsidRPr="00087785">
        <w:rPr>
          <w:rFonts w:ascii="Times New Roman" w:hAnsi="Times New Roman" w:cs="Times New Roman"/>
          <w:color w:val="000000" w:themeColor="text1"/>
        </w:rPr>
        <w:t xml:space="preserve"> an integrated e-consent</w:t>
      </w:r>
      <w:r>
        <w:rPr>
          <w:rFonts w:ascii="Times New Roman" w:hAnsi="Times New Roman" w:cs="Times New Roman"/>
          <w:color w:val="000000" w:themeColor="text1"/>
        </w:rPr>
        <w:t>. N</w:t>
      </w:r>
      <w:r w:rsidRPr="00087785">
        <w:rPr>
          <w:rFonts w:ascii="Times New Roman" w:hAnsi="Times New Roman" w:cs="Times New Roman"/>
          <w:color w:val="000000" w:themeColor="text1"/>
        </w:rPr>
        <w:t xml:space="preserve">o questions </w:t>
      </w:r>
      <w:r>
        <w:rPr>
          <w:rFonts w:ascii="Times New Roman" w:hAnsi="Times New Roman" w:cs="Times New Roman"/>
          <w:color w:val="000000" w:themeColor="text1"/>
        </w:rPr>
        <w:t>were</w:t>
      </w:r>
      <w:r w:rsidRPr="00087785">
        <w:rPr>
          <w:rFonts w:ascii="Times New Roman" w:hAnsi="Times New Roman" w:cs="Times New Roman"/>
          <w:color w:val="000000" w:themeColor="text1"/>
        </w:rPr>
        <w:t xml:space="preserve"> shown until the physician agree</w:t>
      </w:r>
      <w:r>
        <w:rPr>
          <w:rFonts w:ascii="Times New Roman" w:hAnsi="Times New Roman" w:cs="Times New Roman"/>
          <w:color w:val="000000" w:themeColor="text1"/>
        </w:rPr>
        <w:t>d</w:t>
      </w:r>
      <w:r w:rsidRPr="00087785">
        <w:rPr>
          <w:rFonts w:ascii="Times New Roman" w:hAnsi="Times New Roman" w:cs="Times New Roman"/>
          <w:color w:val="000000" w:themeColor="text1"/>
        </w:rPr>
        <w:t xml:space="preserve"> to participate. </w:t>
      </w:r>
      <w:r>
        <w:rPr>
          <w:rFonts w:ascii="Times New Roman" w:hAnsi="Times New Roman" w:cs="Times New Roman"/>
          <w:color w:val="000000" w:themeColor="text1"/>
        </w:rPr>
        <w:t>We also used the social media professional accounts of some of the co-authors to promote the survey.</w:t>
      </w:r>
      <w:r w:rsidR="007F787A">
        <w:rPr>
          <w:rFonts w:ascii="Times New Roman" w:hAnsi="Times New Roman" w:cs="Times New Roman"/>
          <w:color w:val="000000" w:themeColor="text1"/>
        </w:rPr>
        <w:t xml:space="preserve"> </w:t>
      </w:r>
      <w:r w:rsidR="007F787A">
        <w:rPr>
          <w:rFonts w:ascii="Times New Roman" w:hAnsi="Times New Roman" w:cs="Times New Roman"/>
          <w:color w:val="000000" w:themeColor="text1"/>
        </w:rPr>
        <w:t>Data were analyzed and interpreted using descriptive statistics.</w:t>
      </w:r>
      <w:r w:rsidR="00C7016E">
        <w:rPr>
          <w:rFonts w:ascii="Times New Roman" w:hAnsi="Times New Roman" w:cs="Times New Roman"/>
          <w:color w:val="000000" w:themeColor="text1"/>
        </w:rPr>
        <w:t xml:space="preserve"> </w:t>
      </w:r>
      <w:r w:rsidR="00C7016E">
        <w:rPr>
          <w:rFonts w:ascii="Times New Roman" w:hAnsi="Times New Roman" w:cs="Times New Roman"/>
          <w:color w:val="000000" w:themeColor="text1"/>
        </w:rPr>
        <w:t>Data was managed using REDCAP.</w:t>
      </w:r>
      <w:r w:rsidR="005000CB">
        <w:rPr>
          <w:rFonts w:ascii="Times New Roman" w:hAnsi="Times New Roman" w:cs="Times New Roman"/>
          <w:color w:val="000000" w:themeColor="text1"/>
        </w:rPr>
        <w:t xml:space="preserve"> </w:t>
      </w:r>
      <w:r w:rsidR="005000CB">
        <w:rPr>
          <w:rFonts w:ascii="Times New Roman" w:hAnsi="Times New Roman" w:cs="Times New Roman"/>
          <w:color w:val="000000" w:themeColor="text1"/>
        </w:rPr>
        <w:t>The survey opened on March 27, 2023 and closed on June 23, 2023.</w:t>
      </w:r>
    </w:p>
    <w:p w14:paraId="41507D62" w14:textId="68639C25" w:rsidR="00745410" w:rsidRDefault="007454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691FB8A" w14:textId="23F9CD94" w:rsidR="0044425A" w:rsidRPr="00E951F8" w:rsidRDefault="0044425A" w:rsidP="00444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1: Survey Questions and Respondent Answers. </w:t>
      </w:r>
      <w:r>
        <w:rPr>
          <w:rFonts w:ascii="Times New Roman" w:hAnsi="Times New Roman" w:cs="Times New Roman"/>
        </w:rPr>
        <w:t>Respondents’ answers are in red. Rounding may not equal to 100% due to rounding.</w:t>
      </w:r>
    </w:p>
    <w:p w14:paraId="296BA298" w14:textId="77777777" w:rsidR="0044425A" w:rsidRDefault="0044425A" w:rsidP="0044425A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6066"/>
        <w:gridCol w:w="2865"/>
      </w:tblGrid>
      <w:tr w:rsidR="0044425A" w14:paraId="709E0A9D" w14:textId="77777777" w:rsidTr="00FE3726">
        <w:tc>
          <w:tcPr>
            <w:tcW w:w="421" w:type="dxa"/>
          </w:tcPr>
          <w:p w14:paraId="2149634F" w14:textId="77777777" w:rsidR="0044425A" w:rsidRDefault="0044425A" w:rsidP="00FE37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</w:tcPr>
          <w:p w14:paraId="1773891F" w14:textId="77777777" w:rsidR="0044425A" w:rsidRDefault="0044425A" w:rsidP="00FE37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3599" w:type="dxa"/>
          </w:tcPr>
          <w:p w14:paraId="46601F50" w14:textId="77777777" w:rsidR="0044425A" w:rsidRDefault="0044425A" w:rsidP="00FE37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Answer</w:t>
            </w:r>
          </w:p>
        </w:tc>
      </w:tr>
      <w:tr w:rsidR="0044425A" w14:paraId="1E4DD5F5" w14:textId="77777777" w:rsidTr="00FE3726">
        <w:tc>
          <w:tcPr>
            <w:tcW w:w="421" w:type="dxa"/>
            <w:vAlign w:val="center"/>
          </w:tcPr>
          <w:p w14:paraId="7A0A1EF8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vAlign w:val="center"/>
          </w:tcPr>
          <w:p w14:paraId="71530C8C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What is your age?</w:t>
            </w:r>
          </w:p>
        </w:tc>
        <w:tc>
          <w:tcPr>
            <w:tcW w:w="3599" w:type="dxa"/>
            <w:vAlign w:val="center"/>
          </w:tcPr>
          <w:p w14:paraId="1A154BD3" w14:textId="253D1982" w:rsidR="0044425A" w:rsidRPr="0038248D" w:rsidRDefault="0044425A" w:rsidP="0044425A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Under 21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03235A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1/240,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&lt;1%)</w:t>
            </w:r>
          </w:p>
          <w:p w14:paraId="3E0AA5F5" w14:textId="4A962F2C" w:rsidR="0044425A" w:rsidRPr="0038248D" w:rsidRDefault="0044425A" w:rsidP="0044425A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21-30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03235A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9/240,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4%)</w:t>
            </w:r>
          </w:p>
          <w:p w14:paraId="398D8CB5" w14:textId="50596BCE" w:rsidR="0044425A" w:rsidRPr="0038248D" w:rsidRDefault="0044425A" w:rsidP="0044425A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31-40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153276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90/240,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37%)</w:t>
            </w:r>
          </w:p>
          <w:p w14:paraId="065BDA64" w14:textId="4DDBC5E8" w:rsidR="0044425A" w:rsidRPr="0038248D" w:rsidRDefault="0044425A" w:rsidP="0044425A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41-50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153276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73/240,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30%)</w:t>
            </w:r>
          </w:p>
          <w:p w14:paraId="0CD5F19E" w14:textId="589AD418" w:rsidR="0044425A" w:rsidRPr="0038248D" w:rsidRDefault="0044425A" w:rsidP="0044425A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51-60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153276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48/240,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20%)</w:t>
            </w:r>
          </w:p>
          <w:p w14:paraId="06A2F239" w14:textId="0E24D29C" w:rsidR="0044425A" w:rsidRPr="0038248D" w:rsidRDefault="0044425A" w:rsidP="0044425A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61-70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153276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13/240,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5%)</w:t>
            </w:r>
          </w:p>
          <w:p w14:paraId="3433348C" w14:textId="1DBFC02A" w:rsidR="0044425A" w:rsidRPr="0038248D" w:rsidRDefault="0044425A" w:rsidP="0044425A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&gt;70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153276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6/240,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3%)</w:t>
            </w:r>
          </w:p>
          <w:p w14:paraId="2B73AF69" w14:textId="77777777" w:rsidR="0044425A" w:rsidRDefault="0044425A" w:rsidP="00FE3726">
            <w:pPr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D0CBD" w14:textId="7FBD90A0" w:rsidR="0044425A" w:rsidRDefault="0044425A" w:rsidP="00FE3726">
            <w:pPr>
              <w:ind w:left="35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Missing </w:t>
            </w:r>
            <w:r w:rsidRPr="008369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0323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n=1</w:t>
            </w:r>
            <w:r w:rsidR="007C07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8369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&lt;1%)</w:t>
            </w:r>
          </w:p>
          <w:p w14:paraId="457E6DF9" w14:textId="77777777" w:rsidR="0044425A" w:rsidRPr="0083694E" w:rsidRDefault="0044425A" w:rsidP="00FE3726">
            <w:pPr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1F23AD50" w14:textId="77777777" w:rsidTr="00FE3726">
        <w:tc>
          <w:tcPr>
            <w:tcW w:w="421" w:type="dxa"/>
            <w:vAlign w:val="center"/>
          </w:tcPr>
          <w:p w14:paraId="2B15CC15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0" w:type="dxa"/>
            <w:vAlign w:val="center"/>
          </w:tcPr>
          <w:p w14:paraId="7E42FE51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What is your sex?</w:t>
            </w:r>
          </w:p>
        </w:tc>
        <w:tc>
          <w:tcPr>
            <w:tcW w:w="3599" w:type="dxa"/>
          </w:tcPr>
          <w:p w14:paraId="6B236E92" w14:textId="488CCECA" w:rsidR="0044425A" w:rsidRPr="0038248D" w:rsidRDefault="0044425A" w:rsidP="0044425A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Female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F802DC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81/239,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34%)</w:t>
            </w:r>
          </w:p>
          <w:p w14:paraId="4955CEB3" w14:textId="721F4B5C" w:rsidR="0044425A" w:rsidRPr="0038248D" w:rsidRDefault="0044425A" w:rsidP="0044425A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Male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F802DC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155/239,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64%)</w:t>
            </w:r>
          </w:p>
          <w:p w14:paraId="7BE78603" w14:textId="0F24AF72" w:rsidR="0044425A" w:rsidRPr="0038248D" w:rsidRDefault="0044425A" w:rsidP="0044425A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Prefer not to say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F802DC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3/239,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1%)</w:t>
            </w:r>
          </w:p>
          <w:p w14:paraId="7C0D0AE3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79297" w14:textId="54C879F2" w:rsidR="0044425A" w:rsidRDefault="0044425A" w:rsidP="00FE37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Missing </w:t>
            </w:r>
            <w:r w:rsidRPr="00836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E2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n=2, </w:t>
            </w:r>
            <w:r w:rsidRPr="00836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&lt;1%)</w:t>
            </w:r>
          </w:p>
          <w:p w14:paraId="6F6F6286" w14:textId="77777777" w:rsidR="0044425A" w:rsidRPr="0083694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2954FE8F" w14:textId="77777777" w:rsidTr="00FE3726">
        <w:tc>
          <w:tcPr>
            <w:tcW w:w="421" w:type="dxa"/>
            <w:vAlign w:val="center"/>
          </w:tcPr>
          <w:p w14:paraId="36BC887D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0" w:type="dxa"/>
            <w:vAlign w:val="center"/>
          </w:tcPr>
          <w:p w14:paraId="79CD069D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What is your specialty?</w:t>
            </w:r>
          </w:p>
        </w:tc>
        <w:tc>
          <w:tcPr>
            <w:tcW w:w="3599" w:type="dxa"/>
          </w:tcPr>
          <w:p w14:paraId="4983A1C1" w14:textId="3BB722E4" w:rsidR="0044425A" w:rsidRPr="0038248D" w:rsidRDefault="0044425A" w:rsidP="0044425A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Neurology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F802DC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  <w:r w:rsidR="005F63C4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/238,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83%)</w:t>
            </w:r>
          </w:p>
          <w:p w14:paraId="59E15888" w14:textId="10599DD1" w:rsidR="0044425A" w:rsidRPr="0038248D" w:rsidRDefault="0044425A" w:rsidP="0044425A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Cardiology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F63C4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12/238,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5%)</w:t>
            </w:r>
          </w:p>
          <w:p w14:paraId="350E3711" w14:textId="61458EDD" w:rsidR="0044425A" w:rsidRPr="0038248D" w:rsidRDefault="0044425A" w:rsidP="0044425A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Medicine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F63C4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38248D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5F63C4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238,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5%)</w:t>
            </w:r>
          </w:p>
          <w:p w14:paraId="7D6362F6" w14:textId="6D7D9EC5" w:rsidR="0044425A" w:rsidRPr="0038248D" w:rsidRDefault="0044425A" w:rsidP="0044425A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Other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F63C4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38248D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5F63C4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238</w:t>
            </w:r>
            <w:r w:rsidR="0038248D"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3824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5%)</w:t>
            </w:r>
          </w:p>
          <w:p w14:paraId="68D864C3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E6E2C" w14:textId="356BB772" w:rsidR="0044425A" w:rsidRDefault="0044425A" w:rsidP="00FE37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Missing </w:t>
            </w:r>
            <w:r w:rsidRPr="00836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80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n=3, </w:t>
            </w:r>
            <w:r w:rsidRPr="00836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1%)</w:t>
            </w:r>
          </w:p>
          <w:p w14:paraId="68F565F3" w14:textId="77777777" w:rsidR="0044425A" w:rsidRPr="008C7885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3C3D1CEA" w14:textId="77777777" w:rsidTr="00FE3726">
        <w:tc>
          <w:tcPr>
            <w:tcW w:w="421" w:type="dxa"/>
            <w:vAlign w:val="center"/>
          </w:tcPr>
          <w:p w14:paraId="3CB68147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vAlign w:val="center"/>
          </w:tcPr>
          <w:p w14:paraId="408A45A7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What is your current position?</w:t>
            </w:r>
          </w:p>
        </w:tc>
        <w:tc>
          <w:tcPr>
            <w:tcW w:w="3599" w:type="dxa"/>
          </w:tcPr>
          <w:p w14:paraId="139EEEBD" w14:textId="2C35C613" w:rsidR="0044425A" w:rsidRPr="00530041" w:rsidRDefault="0044425A" w:rsidP="0044425A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00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Resident </w:t>
            </w:r>
            <w:r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30041"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16/238, </w:t>
            </w:r>
            <w:r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7%)</w:t>
            </w:r>
          </w:p>
          <w:p w14:paraId="53397EAF" w14:textId="08B48E94" w:rsidR="0044425A" w:rsidRPr="00530041" w:rsidRDefault="0044425A" w:rsidP="0044425A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00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Fellow </w:t>
            </w:r>
            <w:r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30041"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18/238, </w:t>
            </w:r>
            <w:r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8%)</w:t>
            </w:r>
          </w:p>
          <w:p w14:paraId="5FBDD7FD" w14:textId="2BFD10A0" w:rsidR="0044425A" w:rsidRPr="00530041" w:rsidRDefault="0044425A" w:rsidP="0044425A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00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Faculty </w:t>
            </w:r>
            <w:r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30041"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156/238, </w:t>
            </w:r>
            <w:r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65%)</w:t>
            </w:r>
          </w:p>
          <w:p w14:paraId="1113EBA4" w14:textId="2FA55B22" w:rsidR="0044425A" w:rsidRPr="00530041" w:rsidRDefault="0044425A" w:rsidP="0044425A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00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Practice </w:t>
            </w:r>
            <w:r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30041"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48/238, </w:t>
            </w:r>
            <w:r w:rsidRPr="005300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20%)</w:t>
            </w:r>
          </w:p>
          <w:p w14:paraId="4443A72E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156D1" w14:textId="6E7E99EB" w:rsidR="0044425A" w:rsidRDefault="0044425A" w:rsidP="00FE37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Missing </w:t>
            </w:r>
            <w:r w:rsidRPr="00836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C3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n=3, </w:t>
            </w:r>
            <w:r w:rsidRPr="00836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1%)</w:t>
            </w:r>
          </w:p>
          <w:p w14:paraId="011C783B" w14:textId="77777777" w:rsidR="0044425A" w:rsidRPr="008C7885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32AB4DFB" w14:textId="77777777" w:rsidTr="00FE3726">
        <w:tc>
          <w:tcPr>
            <w:tcW w:w="421" w:type="dxa"/>
            <w:vAlign w:val="center"/>
          </w:tcPr>
          <w:p w14:paraId="0F8B20AB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0" w:type="dxa"/>
            <w:vAlign w:val="center"/>
          </w:tcPr>
          <w:p w14:paraId="6770EF06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How many years of practice do you have? (Including residency, fellowship, and as an attending)</w:t>
            </w:r>
          </w:p>
        </w:tc>
        <w:tc>
          <w:tcPr>
            <w:tcW w:w="3599" w:type="dxa"/>
          </w:tcPr>
          <w:p w14:paraId="728EAE24" w14:textId="1315E0A5" w:rsidR="0044425A" w:rsidRPr="00622710" w:rsidRDefault="0044425A" w:rsidP="0044425A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27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&lt;5 years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B04BB"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19/240,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8%)</w:t>
            </w:r>
          </w:p>
          <w:p w14:paraId="66BB89AC" w14:textId="571DB378" w:rsidR="0044425A" w:rsidRPr="00622710" w:rsidRDefault="0044425A" w:rsidP="0044425A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27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5-9 years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B04BB"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47/240,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20%)</w:t>
            </w:r>
          </w:p>
          <w:p w14:paraId="439D6938" w14:textId="5AB3BC1E" w:rsidR="0044425A" w:rsidRPr="00622710" w:rsidRDefault="0044425A" w:rsidP="0044425A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27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10-14 years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B04BB"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47/240,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20%)</w:t>
            </w:r>
          </w:p>
          <w:p w14:paraId="08DA6C1A" w14:textId="06ED80D7" w:rsidR="0044425A" w:rsidRPr="00622710" w:rsidRDefault="0044425A" w:rsidP="0044425A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27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15-19 years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B04BB"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39/240,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16%)</w:t>
            </w:r>
          </w:p>
          <w:p w14:paraId="3E71E45B" w14:textId="315B8379" w:rsidR="0044425A" w:rsidRPr="00622710" w:rsidRDefault="0044425A" w:rsidP="0044425A">
            <w:pPr>
              <w:pStyle w:val="ListParagraph"/>
              <w:numPr>
                <w:ilvl w:val="0"/>
                <w:numId w:val="5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27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&gt;20 years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22710"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88/240,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37%)</w:t>
            </w:r>
            <w:r w:rsidRPr="006227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325258C4" w14:textId="192685BB" w:rsidR="0044425A" w:rsidRPr="00622710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27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B04BB"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n=1, </w:t>
            </w:r>
            <w:r w:rsidRPr="006227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&lt;1%)</w:t>
            </w:r>
          </w:p>
          <w:p w14:paraId="1C242BA6" w14:textId="77777777" w:rsidR="0044425A" w:rsidRPr="0053656B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0021F5D9" w14:textId="77777777" w:rsidTr="00FE3726">
        <w:tc>
          <w:tcPr>
            <w:tcW w:w="421" w:type="dxa"/>
            <w:vAlign w:val="center"/>
          </w:tcPr>
          <w:p w14:paraId="70DB6561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0" w:type="dxa"/>
            <w:vAlign w:val="center"/>
          </w:tcPr>
          <w:p w14:paraId="2BCD3A38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F331B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What is your current city of residence?</w:t>
            </w:r>
          </w:p>
          <w:p w14:paraId="42989EED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7415B732" w14:textId="77777777" w:rsidR="0044425A" w:rsidRPr="00BD75BE" w:rsidRDefault="0044425A" w:rsidP="00FE3726">
            <w:pPr>
              <w:ind w:left="318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Text</w:t>
            </w:r>
          </w:p>
        </w:tc>
      </w:tr>
      <w:tr w:rsidR="0044425A" w14:paraId="2003A219" w14:textId="77777777" w:rsidTr="00FE3726">
        <w:tc>
          <w:tcPr>
            <w:tcW w:w="421" w:type="dxa"/>
            <w:vAlign w:val="center"/>
          </w:tcPr>
          <w:p w14:paraId="31E142E6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0" w:type="dxa"/>
            <w:vAlign w:val="center"/>
          </w:tcPr>
          <w:p w14:paraId="29D04CD2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DF4B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What is your current country of residence?</w:t>
            </w:r>
          </w:p>
          <w:p w14:paraId="5CC61344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5DDFB6F" w14:textId="77777777" w:rsidR="0044425A" w:rsidRPr="00BD75BE" w:rsidRDefault="0044425A" w:rsidP="00FE3726">
            <w:pPr>
              <w:ind w:left="318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Text</w:t>
            </w:r>
          </w:p>
        </w:tc>
      </w:tr>
      <w:tr w:rsidR="0044425A" w14:paraId="07919516" w14:textId="77777777" w:rsidTr="00FE3726">
        <w:tc>
          <w:tcPr>
            <w:tcW w:w="421" w:type="dxa"/>
            <w:vAlign w:val="center"/>
          </w:tcPr>
          <w:p w14:paraId="466E6B94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0" w:type="dxa"/>
            <w:vAlign w:val="center"/>
          </w:tcPr>
          <w:p w14:paraId="1521E615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Which of the following options best represents your main practice setting?</w:t>
            </w:r>
          </w:p>
        </w:tc>
        <w:tc>
          <w:tcPr>
            <w:tcW w:w="3599" w:type="dxa"/>
          </w:tcPr>
          <w:p w14:paraId="50847AE3" w14:textId="7A2C8728" w:rsidR="0044425A" w:rsidRPr="00D7719F" w:rsidRDefault="0044425A" w:rsidP="0044425A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Academic hospital, public sector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6393B"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158/238,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66%)</w:t>
            </w:r>
          </w:p>
          <w:p w14:paraId="056B2658" w14:textId="310915D4" w:rsidR="0044425A" w:rsidRPr="00D7719F" w:rsidRDefault="0044425A" w:rsidP="0044425A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Academic hospital, private sector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6393B"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39/238,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16%)</w:t>
            </w:r>
          </w:p>
          <w:p w14:paraId="7AAAA334" w14:textId="43582FFB" w:rsidR="0044425A" w:rsidRPr="00D7719F" w:rsidRDefault="0044425A" w:rsidP="0044425A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Non-academic hospital, public sector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6393B"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28/238,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12%)</w:t>
            </w:r>
          </w:p>
          <w:p w14:paraId="7F440CA7" w14:textId="04AEBDAF" w:rsidR="0044425A" w:rsidRPr="00D7719F" w:rsidRDefault="0044425A" w:rsidP="0044425A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7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Non-academic hospital, private sector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6393B"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13/238,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5%)</w:t>
            </w:r>
          </w:p>
          <w:p w14:paraId="70A67227" w14:textId="77777777" w:rsidR="0044425A" w:rsidRPr="00D7719F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763C60" w14:textId="138FD937" w:rsidR="0044425A" w:rsidRPr="00D7719F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77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22710"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n=3, </w:t>
            </w:r>
            <w:r w:rsidRPr="00D771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1%)</w:t>
            </w:r>
          </w:p>
          <w:p w14:paraId="1EF7129B" w14:textId="77777777" w:rsidR="0044425A" w:rsidRPr="00364DE8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1F5CACDD" w14:textId="77777777" w:rsidTr="00FE3726">
        <w:tc>
          <w:tcPr>
            <w:tcW w:w="421" w:type="dxa"/>
            <w:vAlign w:val="center"/>
          </w:tcPr>
          <w:p w14:paraId="7711191F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930" w:type="dxa"/>
            <w:vAlign w:val="center"/>
          </w:tcPr>
          <w:p w14:paraId="65FDB9F0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Have you ever enrolled patients in a clinical trial?</w:t>
            </w:r>
          </w:p>
        </w:tc>
        <w:tc>
          <w:tcPr>
            <w:tcW w:w="3599" w:type="dxa"/>
            <w:vAlign w:val="center"/>
          </w:tcPr>
          <w:p w14:paraId="51D319CF" w14:textId="3A1D1E09" w:rsidR="0044425A" w:rsidRPr="00C80E19" w:rsidRDefault="0044425A" w:rsidP="0044425A">
            <w:pPr>
              <w:pStyle w:val="ListParagraph"/>
              <w:numPr>
                <w:ilvl w:val="0"/>
                <w:numId w:val="7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0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Yes </w:t>
            </w:r>
            <w:r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F3490"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207/237, </w:t>
            </w:r>
            <w:r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86%)</w:t>
            </w:r>
          </w:p>
          <w:p w14:paraId="2A91EA13" w14:textId="4C98646D" w:rsidR="0044425A" w:rsidRPr="00C80E19" w:rsidRDefault="0044425A" w:rsidP="0044425A">
            <w:pPr>
              <w:pStyle w:val="ListParagraph"/>
              <w:numPr>
                <w:ilvl w:val="0"/>
                <w:numId w:val="7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0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 </w:t>
            </w:r>
            <w:r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F3490"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30/237, </w:t>
            </w:r>
            <w:r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12%)</w:t>
            </w:r>
          </w:p>
          <w:p w14:paraId="3ACDA681" w14:textId="77777777" w:rsidR="0044425A" w:rsidRPr="00C80E19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98744" w14:textId="77F2398F" w:rsidR="0044425A" w:rsidRPr="00C80E19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0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F3490"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n=4, </w:t>
            </w:r>
            <w:r w:rsidRPr="00C80E1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2%)</w:t>
            </w:r>
          </w:p>
          <w:p w14:paraId="174724D5" w14:textId="77777777" w:rsidR="0044425A" w:rsidRPr="002E6E27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5C46B618" w14:textId="77777777" w:rsidTr="00FE3726">
        <w:tc>
          <w:tcPr>
            <w:tcW w:w="421" w:type="dxa"/>
            <w:vAlign w:val="center"/>
          </w:tcPr>
          <w:p w14:paraId="41605794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0" w:type="dxa"/>
            <w:vAlign w:val="center"/>
          </w:tcPr>
          <w:p w14:paraId="280C9292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What is the most common standard of care strategy in current clinical routine in your region of practice for cardiac monitoring to identify atrial fibrillation in all stroke/TIA patients?</w:t>
            </w:r>
          </w:p>
        </w:tc>
        <w:tc>
          <w:tcPr>
            <w:tcW w:w="3599" w:type="dxa"/>
          </w:tcPr>
          <w:p w14:paraId="055FC1A9" w14:textId="6AD3B2FA" w:rsidR="0044425A" w:rsidRPr="00CF00CC" w:rsidRDefault="0044425A" w:rsidP="0044425A">
            <w:pPr>
              <w:pStyle w:val="ListParagraph"/>
              <w:numPr>
                <w:ilvl w:val="0"/>
                <w:numId w:val="8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hours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083F5A"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108/240,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45%)</w:t>
            </w:r>
          </w:p>
          <w:p w14:paraId="459522F9" w14:textId="1576A6FA" w:rsidR="0044425A" w:rsidRPr="00CF00CC" w:rsidRDefault="0044425A" w:rsidP="0044425A">
            <w:pPr>
              <w:pStyle w:val="ListParagraph"/>
              <w:numPr>
                <w:ilvl w:val="0"/>
                <w:numId w:val="8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48 hours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80486"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93/240,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39%)</w:t>
            </w:r>
          </w:p>
          <w:p w14:paraId="056B753D" w14:textId="2E46CDCB" w:rsidR="0044425A" w:rsidRPr="00CF00CC" w:rsidRDefault="0044425A" w:rsidP="0044425A">
            <w:pPr>
              <w:pStyle w:val="ListParagraph"/>
              <w:numPr>
                <w:ilvl w:val="0"/>
                <w:numId w:val="8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days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80486"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11/240,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5%)</w:t>
            </w:r>
          </w:p>
          <w:p w14:paraId="067D6348" w14:textId="416C1485" w:rsidR="0044425A" w:rsidRPr="00CF00CC" w:rsidRDefault="0044425A" w:rsidP="0044425A">
            <w:pPr>
              <w:pStyle w:val="ListParagraph"/>
              <w:numPr>
                <w:ilvl w:val="0"/>
                <w:numId w:val="8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 days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80486"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11/240,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5%)</w:t>
            </w:r>
          </w:p>
          <w:p w14:paraId="13566487" w14:textId="2113E19D" w:rsidR="0044425A" w:rsidRPr="00CF00CC" w:rsidRDefault="0044425A" w:rsidP="0044425A">
            <w:pPr>
              <w:pStyle w:val="ListParagraph"/>
              <w:numPr>
                <w:ilvl w:val="0"/>
                <w:numId w:val="8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 days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80486"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15/240,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6%)</w:t>
            </w:r>
          </w:p>
          <w:p w14:paraId="745B3853" w14:textId="7D5C621B" w:rsidR="0044425A" w:rsidRPr="00CF00CC" w:rsidRDefault="0044425A" w:rsidP="0044425A">
            <w:pPr>
              <w:pStyle w:val="ListParagraph"/>
              <w:numPr>
                <w:ilvl w:val="0"/>
                <w:numId w:val="8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2-3 years (implantable loop recorder, </w:t>
            </w:r>
            <w:r w:rsidR="00CF00CC"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2/240,</w:t>
            </w:r>
            <w:r w:rsidR="00CF00CC"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</w:t>
            </w:r>
            <w:r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A8CCB93" w14:textId="77777777" w:rsidR="0044425A" w:rsidRPr="00CF00CC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6AB72C" w14:textId="190E7436" w:rsidR="0044425A" w:rsidRPr="00CF00CC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F0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083F5A"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n=1, </w:t>
            </w:r>
            <w:r w:rsidRPr="00CF00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&lt;1%)</w:t>
            </w:r>
          </w:p>
          <w:p w14:paraId="3701D49F" w14:textId="77777777" w:rsidR="0044425A" w:rsidRPr="00B46B37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50B68337" w14:textId="77777777" w:rsidTr="00FE3726">
        <w:tc>
          <w:tcPr>
            <w:tcW w:w="421" w:type="dxa"/>
            <w:vAlign w:val="center"/>
          </w:tcPr>
          <w:p w14:paraId="1FC4AADC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0" w:type="dxa"/>
            <w:vAlign w:val="center"/>
          </w:tcPr>
          <w:p w14:paraId="56DB823A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What is the most common standard of care strategy in current clinical routine in your region of practice for cardiac monitoring to identify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 in cryptogenic or ESUS patients?</w:t>
            </w:r>
          </w:p>
        </w:tc>
        <w:tc>
          <w:tcPr>
            <w:tcW w:w="3599" w:type="dxa"/>
          </w:tcPr>
          <w:p w14:paraId="3E1FCFC6" w14:textId="4B8AE386" w:rsidR="0044425A" w:rsidRPr="00C76ED4" w:rsidRDefault="0044425A" w:rsidP="0044425A">
            <w:pPr>
              <w:pStyle w:val="ListParagraph"/>
              <w:numPr>
                <w:ilvl w:val="0"/>
                <w:numId w:val="9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48 hours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8A4F2E"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101/239,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42%)</w:t>
            </w:r>
          </w:p>
          <w:p w14:paraId="6572BD90" w14:textId="68502EAD" w:rsidR="0044425A" w:rsidRPr="00C76ED4" w:rsidRDefault="0044425A" w:rsidP="0044425A">
            <w:pPr>
              <w:pStyle w:val="ListParagraph"/>
              <w:numPr>
                <w:ilvl w:val="0"/>
                <w:numId w:val="9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days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F3DF5"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52/239,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22%)</w:t>
            </w:r>
          </w:p>
          <w:p w14:paraId="7DDF26F5" w14:textId="5F3E4914" w:rsidR="0044425A" w:rsidRPr="00C76ED4" w:rsidRDefault="0044425A" w:rsidP="0044425A">
            <w:pPr>
              <w:pStyle w:val="ListParagraph"/>
              <w:numPr>
                <w:ilvl w:val="0"/>
                <w:numId w:val="9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 days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F3DF5"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32/239,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13%)</w:t>
            </w:r>
          </w:p>
          <w:p w14:paraId="74E6898D" w14:textId="44CE8201" w:rsidR="0044425A" w:rsidRPr="00C76ED4" w:rsidRDefault="0044425A" w:rsidP="0044425A">
            <w:pPr>
              <w:pStyle w:val="ListParagraph"/>
              <w:numPr>
                <w:ilvl w:val="0"/>
                <w:numId w:val="9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 days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F3DF5"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23/239,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10%)</w:t>
            </w:r>
          </w:p>
          <w:p w14:paraId="4B37CC80" w14:textId="5C9E5368" w:rsidR="0044425A" w:rsidRPr="00C76ED4" w:rsidRDefault="0044425A" w:rsidP="0044425A">
            <w:pPr>
              <w:pStyle w:val="ListParagraph"/>
              <w:numPr>
                <w:ilvl w:val="0"/>
                <w:numId w:val="9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2-3 years (implantable loop recorder, </w:t>
            </w:r>
            <w:r w:rsidR="007F3DF5"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31/239</w:t>
            </w:r>
            <w:r w:rsidR="007F3DF5" w:rsidRPr="00C7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13%</w:t>
            </w:r>
            <w:r w:rsidRPr="00C7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6AD2218" w14:textId="77777777" w:rsidR="0044425A" w:rsidRPr="00C76ED4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01B329" w14:textId="4AE8E3F4" w:rsidR="0044425A" w:rsidRPr="00C76ED4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76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8A4F2E"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n=2, </w:t>
            </w:r>
            <w:r w:rsidRPr="00C76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&lt;1%)</w:t>
            </w:r>
          </w:p>
          <w:p w14:paraId="7B42E776" w14:textId="77777777" w:rsidR="0044425A" w:rsidRPr="00F166FF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3E22169B" w14:textId="77777777" w:rsidTr="00FE3726">
        <w:tc>
          <w:tcPr>
            <w:tcW w:w="421" w:type="dxa"/>
            <w:vAlign w:val="center"/>
          </w:tcPr>
          <w:p w14:paraId="04D4BDA9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0" w:type="dxa"/>
            <w:vAlign w:val="center"/>
          </w:tcPr>
          <w:p w14:paraId="707CA65A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6C01B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The following is the latest evidence on cardiac monitoring post-stroke and AF burden-related stroke risk:</w:t>
            </w:r>
          </w:p>
          <w:p w14:paraId="1304BDED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6F927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A. The efficacy of PCM for reducing stroke recurrence or vascular events after stroke is suggested but has not been proven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(Tsivgoulis et al. Neurology 2022;e1942 and Sposato et al. 2022 Mar;53:e94). </w:t>
            </w:r>
          </w:p>
          <w:p w14:paraId="18C10EA8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B. A large majority of risk of future stroke is explained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atrial fibrillation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 duration ≥24h (Van Helder et al. Eur Heart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J. 2017;38:1339-1344 and Healey N Engl J Med.2012;366:120-129). </w:t>
            </w:r>
          </w:p>
          <w:p w14:paraId="415C136E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C. It is unknown whether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 lasting &lt; 24h bears a significant risk of stroke. </w:t>
            </w:r>
          </w:p>
          <w:p w14:paraId="046238FC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D. Current evidence does not necessarily support a practice of broad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anticoagulation when long-term monitoring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shows proven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 xml:space="preserve"> only of short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duration.</w:t>
            </w:r>
          </w:p>
          <w:p w14:paraId="4730BCBD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58A68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Based on the data provided above,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you think there is equipoise for a clinical trial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focused on (a) finding the most efficient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5BE">
              <w:rPr>
                <w:rFonts w:ascii="Times New Roman" w:hAnsi="Times New Roman" w:cs="Times New Roman"/>
                <w:sz w:val="20"/>
                <w:szCs w:val="20"/>
              </w:rPr>
              <w:t>duration of cardiac monitoring post-stroke and(b) identifying the lowest burden of newly-diagnosed AF post-stroke associated with increased risk of a second stroke?</w:t>
            </w:r>
          </w:p>
          <w:p w14:paraId="3C5B9943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B75FB" w14:textId="77777777" w:rsidR="00994E6F" w:rsidRDefault="00994E6F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3853F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04EB7691" w14:textId="6334D912" w:rsidR="0044425A" w:rsidRPr="002C7661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6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Yes </w:t>
            </w:r>
            <w:r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3A44D5"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223/</w:t>
            </w:r>
            <w:r w:rsidR="002C7661"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238, </w:t>
            </w:r>
            <w:r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93%)</w:t>
            </w:r>
          </w:p>
          <w:p w14:paraId="58304063" w14:textId="01EE07CA" w:rsidR="0044425A" w:rsidRPr="002C7661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6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 </w:t>
            </w:r>
            <w:r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2C7661"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15/238, </w:t>
            </w:r>
            <w:r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6%)</w:t>
            </w:r>
          </w:p>
          <w:p w14:paraId="4E22FA25" w14:textId="77777777" w:rsidR="0044425A" w:rsidRPr="002C7661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E331AA" w14:textId="51745FBF" w:rsidR="0044425A" w:rsidRPr="002C7661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76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80E19"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n=3, </w:t>
            </w:r>
            <w:r w:rsidRPr="002C76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1%)</w:t>
            </w:r>
          </w:p>
          <w:p w14:paraId="5CF50087" w14:textId="77777777" w:rsidR="0044425A" w:rsidRPr="00ED07C7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14033BFC" w14:textId="77777777" w:rsidTr="00FE3726">
        <w:tc>
          <w:tcPr>
            <w:tcW w:w="421" w:type="dxa"/>
            <w:vAlign w:val="center"/>
          </w:tcPr>
          <w:p w14:paraId="3CCA10CD" w14:textId="77777777" w:rsidR="0044425A" w:rsidRPr="00466402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0" w:type="dxa"/>
            <w:vAlign w:val="center"/>
          </w:tcPr>
          <w:p w14:paraId="2EF34FCE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968AD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We are planning a clinical trial using standard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care monitoring + implantable loop recorders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(ILRs) for all patients with ischemic stroke. 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patients will have access to the results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standard of care monitoring. In one of 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 xml:space="preserve">study arms, all ILR-detected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 xml:space="preserve"> paroxysms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lasting &gt;6 minutes will be informed to treating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physicians. In the other arm, we will only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 xml:space="preserve">disclose ILR-detected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 xml:space="preserve"> paroxysms lasting&gt;24 hours, but physicians will still have access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to the results of standard of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monitoring.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Would you invite your ischemic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>stroke patients to participate in this study?</w:t>
            </w:r>
          </w:p>
          <w:p w14:paraId="6641A2B1" w14:textId="77777777" w:rsidR="0044425A" w:rsidRPr="00BD75BE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7F0B4513" w14:textId="64A7F1C6" w:rsidR="0044425A" w:rsidRPr="00B50D1E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Yes </w:t>
            </w:r>
            <w:r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A7228"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185/241, </w:t>
            </w:r>
            <w:r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77%)</w:t>
            </w:r>
          </w:p>
          <w:p w14:paraId="6E65F5DE" w14:textId="7720D13E" w:rsidR="0044425A" w:rsidRPr="00B50D1E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Yes, but only selected patients </w:t>
            </w:r>
            <w:r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50D1E"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39/241, </w:t>
            </w:r>
            <w:r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16%)</w:t>
            </w:r>
          </w:p>
          <w:p w14:paraId="58962B2D" w14:textId="74322D33" w:rsidR="0044425A" w:rsidRPr="00CC7E2F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0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 </w:t>
            </w:r>
            <w:r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50D1E"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17/241, </w:t>
            </w:r>
            <w:r w:rsidRPr="00B50D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7%)</w:t>
            </w:r>
          </w:p>
        </w:tc>
      </w:tr>
      <w:tr w:rsidR="0044425A" w14:paraId="6E1A75D1" w14:textId="77777777" w:rsidTr="00FE3726">
        <w:trPr>
          <w:trHeight w:val="826"/>
        </w:trPr>
        <w:tc>
          <w:tcPr>
            <w:tcW w:w="421" w:type="dxa"/>
            <w:vAlign w:val="center"/>
          </w:tcPr>
          <w:p w14:paraId="5B20F5D5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0" w:type="dxa"/>
            <w:vAlign w:val="center"/>
          </w:tcPr>
          <w:p w14:paraId="1A83CA91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EDC84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382">
              <w:rPr>
                <w:rFonts w:ascii="Times New Roman" w:hAnsi="Times New Roman" w:cs="Times New Roman"/>
                <w:sz w:val="20"/>
                <w:szCs w:val="20"/>
              </w:rPr>
              <w:t>If you selected "Yes, but only selected patients”, please explain which patients you would 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382">
              <w:rPr>
                <w:rFonts w:ascii="Times New Roman" w:hAnsi="Times New Roman" w:cs="Times New Roman"/>
                <w:sz w:val="20"/>
                <w:szCs w:val="20"/>
              </w:rPr>
              <w:t>open to including.</w:t>
            </w:r>
          </w:p>
          <w:p w14:paraId="685E8480" w14:textId="77777777" w:rsidR="0044425A" w:rsidRPr="00466402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643A68D1" w14:textId="77777777" w:rsidR="0044425A" w:rsidRDefault="00003E8C" w:rsidP="00FE3726">
            <w:pPr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Summarized answers included:</w:t>
            </w:r>
          </w:p>
          <w:p w14:paraId="723E2C3C" w14:textId="77777777" w:rsidR="00003E8C" w:rsidRDefault="00003E8C" w:rsidP="00FE3726">
            <w:pPr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28636" w14:textId="58594305" w:rsidR="00003E8C" w:rsidRDefault="008B0005" w:rsidP="00003E8C">
            <w:pPr>
              <w:pStyle w:val="ListParagraph"/>
              <w:numPr>
                <w:ilvl w:val="0"/>
                <w:numId w:val="12"/>
              </w:numPr>
              <w:ind w:left="350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Cryptogenic stroke</w:t>
            </w:r>
            <w:r w:rsidR="000E32A6">
              <w:rPr>
                <w:rFonts w:ascii="Times New Roman" w:hAnsi="Times New Roman" w:cs="Times New Roman"/>
                <w:sz w:val="20"/>
                <w:szCs w:val="20"/>
              </w:rPr>
              <w:t xml:space="preserve"> or ESUS</w:t>
            </w:r>
            <w:r w:rsidR="005E2673">
              <w:rPr>
                <w:rFonts w:ascii="Times New Roman" w:hAnsi="Times New Roman" w:cs="Times New Roman"/>
                <w:sz w:val="20"/>
                <w:szCs w:val="20"/>
              </w:rPr>
              <w:t xml:space="preserve"> population</w:t>
            </w:r>
            <w:r w:rsidR="000E32A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5DF3FBDA" w14:textId="16C4EBA3" w:rsidR="00003E8C" w:rsidRDefault="006353FB" w:rsidP="00003E8C">
            <w:pPr>
              <w:pStyle w:val="ListParagraph"/>
              <w:numPr>
                <w:ilvl w:val="0"/>
                <w:numId w:val="12"/>
              </w:numPr>
              <w:ind w:left="350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Patients with high risk of having atrial fibrillation</w:t>
            </w:r>
            <w:r w:rsidR="00003E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DEA05D" w14:textId="4291788B" w:rsidR="00003E8C" w:rsidRDefault="000E32A6" w:rsidP="00003E8C">
            <w:pPr>
              <w:pStyle w:val="ListParagraph"/>
              <w:numPr>
                <w:ilvl w:val="0"/>
                <w:numId w:val="12"/>
              </w:numPr>
              <w:ind w:left="350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Younger patients</w:t>
            </w:r>
          </w:p>
          <w:p w14:paraId="0D0E0675" w14:textId="7AC1B52A" w:rsidR="00003E8C" w:rsidRPr="00003E8C" w:rsidRDefault="00003E8C" w:rsidP="000E32A6">
            <w:pPr>
              <w:pStyle w:val="ListParagraph"/>
              <w:ind w:left="3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15303ED4" w14:textId="77777777" w:rsidTr="00FE3726">
        <w:tc>
          <w:tcPr>
            <w:tcW w:w="421" w:type="dxa"/>
            <w:vAlign w:val="center"/>
          </w:tcPr>
          <w:p w14:paraId="0826BF6D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30" w:type="dxa"/>
            <w:vAlign w:val="center"/>
          </w:tcPr>
          <w:p w14:paraId="518A6CAC" w14:textId="77777777" w:rsidR="0044425A" w:rsidRPr="00466402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Short clinical case. Your patient had an ischemic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stroke. An implantable loop recorder shows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atrial fibrillation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 xml:space="preserve">. Among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durations listed below,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 xml:space="preserve">which is the HIGHEST total duration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466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paroxysms that you would feel comfortable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with NOT being notified about in the context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a clinical trial. All patients would still receive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standard of care monitoring as per the treating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physicians in parallel to the implantable loop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recorder, so no patient would be left without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FA5">
              <w:rPr>
                <w:rFonts w:ascii="Times New Roman" w:hAnsi="Times New Roman" w:cs="Times New Roman"/>
                <w:sz w:val="20"/>
                <w:szCs w:val="20"/>
              </w:rPr>
              <w:t>monitoring.</w:t>
            </w:r>
          </w:p>
        </w:tc>
        <w:tc>
          <w:tcPr>
            <w:tcW w:w="3599" w:type="dxa"/>
          </w:tcPr>
          <w:p w14:paraId="4677E58A" w14:textId="58597228" w:rsidR="0044425A" w:rsidRPr="008045FB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 seconds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47762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79/341,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33%)</w:t>
            </w:r>
          </w:p>
          <w:p w14:paraId="00ADBDEC" w14:textId="098D2ACA" w:rsidR="0044425A" w:rsidRPr="008045FB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minutes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47762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44/241,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18%)</w:t>
            </w:r>
          </w:p>
          <w:p w14:paraId="245BB198" w14:textId="125D7082" w:rsidR="0044425A" w:rsidRPr="008045FB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minutes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D5207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48/241,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20%)</w:t>
            </w:r>
          </w:p>
          <w:p w14:paraId="6CB8EA29" w14:textId="1C7AB31A" w:rsidR="0044425A" w:rsidRPr="008045FB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hours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D5207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24/241,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10%)</w:t>
            </w:r>
          </w:p>
          <w:p w14:paraId="0CFC195A" w14:textId="2A53C3F8" w:rsidR="0044425A" w:rsidRPr="008045FB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None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47762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39/241,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16%)</w:t>
            </w:r>
          </w:p>
          <w:p w14:paraId="3E654386" w14:textId="0C71E5FD" w:rsidR="0044425A" w:rsidRPr="008045FB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Other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D5207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7/241,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3%)</w:t>
            </w:r>
          </w:p>
          <w:p w14:paraId="4DDC3D80" w14:textId="77777777" w:rsidR="0044425A" w:rsidRDefault="0044425A" w:rsidP="00FE3726">
            <w:pPr>
              <w:pStyle w:val="ListParagraph"/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1290639C" w14:textId="77777777" w:rsidTr="00FE3726">
        <w:tc>
          <w:tcPr>
            <w:tcW w:w="421" w:type="dxa"/>
            <w:vAlign w:val="center"/>
          </w:tcPr>
          <w:p w14:paraId="76E710FF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30" w:type="dxa"/>
            <w:vAlign w:val="center"/>
          </w:tcPr>
          <w:p w14:paraId="1983F981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>Short clinical case. You are seeing a male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>patient who had a recent embolic ischemic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>stroke, with a CHA2-DS2-VASc score of 4. 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 xml:space="preserve">was diagnosed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 xml:space="preserve"> three months before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>the stroke but was not anticoagulated when 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>had the stroke. During the first in-hospital days,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 xml:space="preserve">he is still on rapid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>, with a ventricular rate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EE8">
              <w:rPr>
                <w:rFonts w:ascii="Times New Roman" w:hAnsi="Times New Roman" w:cs="Times New Roman"/>
                <w:sz w:val="20"/>
                <w:szCs w:val="20"/>
              </w:rPr>
              <w:t>of 120 beats/min.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Would you consider the following treatment options [Yes/No]:</w:t>
            </w:r>
          </w:p>
          <w:p w14:paraId="77078EDF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0E603" w14:textId="77777777" w:rsidR="0044425A" w:rsidRDefault="0044425A" w:rsidP="004442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control and anticoagulation</w:t>
            </w:r>
          </w:p>
          <w:p w14:paraId="5584FB99" w14:textId="77777777" w:rsidR="0044425A" w:rsidRDefault="0044425A" w:rsidP="004442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Rhythm control and anticoagulation</w:t>
            </w:r>
          </w:p>
          <w:p w14:paraId="69B4F5D2" w14:textId="77777777" w:rsidR="0044425A" w:rsidRDefault="0044425A" w:rsidP="004442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Anticoagulation and enrollment into a RCT</w:t>
            </w:r>
          </w:p>
          <w:p w14:paraId="5E475FF0" w14:textId="77777777" w:rsidR="0044425A" w:rsidRDefault="0044425A" w:rsidP="004442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Anticoagulation, rhythm, and rate control</w:t>
            </w:r>
          </w:p>
          <w:p w14:paraId="7338748B" w14:textId="77777777" w:rsidR="0044425A" w:rsidRDefault="0044425A" w:rsidP="004442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Anticoagulation</w:t>
            </w:r>
            <w:r w:rsidRPr="00AB1C23">
              <w:rPr>
                <w:rFonts w:ascii="Times New Roman" w:hAnsi="Times New Roman" w:cs="Times New Roman"/>
                <w:sz w:val="20"/>
                <w:szCs w:val="20"/>
              </w:rPr>
              <w:t xml:space="preserve"> alone</w:t>
            </w:r>
          </w:p>
          <w:p w14:paraId="57DBEA16" w14:textId="77777777" w:rsidR="0044425A" w:rsidRPr="00AB1C23" w:rsidRDefault="0044425A" w:rsidP="00FE372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2AB035EB" w14:textId="49310BE5" w:rsidR="0044425A" w:rsidRPr="00544EF3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Rate control and anticoagulation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4B7016"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155/241,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64%)</w:t>
            </w:r>
          </w:p>
          <w:p w14:paraId="45114FBD" w14:textId="7F917A6B" w:rsidR="0044425A" w:rsidRPr="00544EF3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Rhythm control and anticoagulation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4B7016"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62/241,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26%)</w:t>
            </w:r>
          </w:p>
          <w:p w14:paraId="442CD78F" w14:textId="4A869A9D" w:rsidR="0044425A" w:rsidRPr="00544EF3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Anticoagulation and enrollment into a RCT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4B7016"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127/241,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53%)</w:t>
            </w:r>
          </w:p>
          <w:p w14:paraId="075650E2" w14:textId="521E7243" w:rsidR="0044425A" w:rsidRPr="00544EF3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Anticoagulation, rhythm, and rate control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4B7016"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E5FB5"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4B7016"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/241,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11%)</w:t>
            </w:r>
          </w:p>
          <w:p w14:paraId="7D6B5A07" w14:textId="77777777" w:rsidR="0044425A" w:rsidRPr="000E32A6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4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Anticoagulation alone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E5FB5"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23/241, 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E5FB5"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544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%)</w:t>
            </w:r>
          </w:p>
          <w:p w14:paraId="1569AFF7" w14:textId="084801F3" w:rsidR="000E32A6" w:rsidRPr="00976748" w:rsidRDefault="000E32A6" w:rsidP="000E32A6">
            <w:pPr>
              <w:pStyle w:val="ListParagraph"/>
              <w:ind w:left="3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421DDF1C" w14:textId="77777777" w:rsidTr="00FE3726">
        <w:tc>
          <w:tcPr>
            <w:tcW w:w="421" w:type="dxa"/>
            <w:vAlign w:val="center"/>
          </w:tcPr>
          <w:p w14:paraId="484A1916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30" w:type="dxa"/>
            <w:vAlign w:val="center"/>
          </w:tcPr>
          <w:p w14:paraId="5DB12A6C" w14:textId="77777777" w:rsidR="0044425A" w:rsidRPr="00466402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3A">
              <w:rPr>
                <w:rFonts w:ascii="Times New Roman" w:hAnsi="Times New Roman" w:cs="Times New Roman"/>
                <w:sz w:val="20"/>
                <w:szCs w:val="20"/>
              </w:rPr>
              <w:t>Have you heard or read the results of the EAST-AFNET 4 trial?</w:t>
            </w:r>
          </w:p>
        </w:tc>
        <w:tc>
          <w:tcPr>
            <w:tcW w:w="3599" w:type="dxa"/>
          </w:tcPr>
          <w:p w14:paraId="70B54B5F" w14:textId="4BBF5CA0" w:rsidR="0044425A" w:rsidRPr="008045FB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Yes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8045FB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118/238,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49%)</w:t>
            </w:r>
          </w:p>
          <w:p w14:paraId="7619690E" w14:textId="5CEBD420" w:rsidR="0044425A" w:rsidRPr="008045FB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8045FB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120/238,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50%)</w:t>
            </w:r>
          </w:p>
          <w:p w14:paraId="47E02D5B" w14:textId="77777777" w:rsidR="0044425A" w:rsidRPr="008045FB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38CBDB" w14:textId="1F6BA1D7" w:rsidR="0044425A" w:rsidRPr="008045FB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4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8045FB"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n=3, </w:t>
            </w:r>
            <w:r w:rsidRPr="008045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1%)</w:t>
            </w:r>
          </w:p>
          <w:p w14:paraId="63F17B8E" w14:textId="77777777" w:rsidR="0044425A" w:rsidRPr="00715AB5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76BD63BF" w14:textId="77777777" w:rsidTr="00FE3726">
        <w:tc>
          <w:tcPr>
            <w:tcW w:w="421" w:type="dxa"/>
            <w:vAlign w:val="center"/>
          </w:tcPr>
          <w:p w14:paraId="0F051DED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30" w:type="dxa"/>
            <w:vAlign w:val="center"/>
          </w:tcPr>
          <w:p w14:paraId="5259BE06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BDD78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The EAST-AFNET 4 trial (Kirchoff et al. N Engl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Med 2020;383:1305-1316) was a large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randomized controlled trial comparing rhythm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control vs. routine care (rate control) after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 xml:space="preserve">recent diagnosis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; both groups were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anticoagulated as indicated. Most patients were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treated medically, and a smaller minority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 xml:space="preserve">underwent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atrial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fibrillation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 xml:space="preserve"> ablation. Among 2,789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patients, rhythm control was superior on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composite outcome of cardiovascular or stroke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death, hospitalization for worsening heart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failure, or acute coronary syndrome (HR 0.79,96%CI 0.66-0.94). There was a one-third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reduction in recurrent stroke: HR 0.65 (95%CI0.44 to 0.97) over and above anticoagulation.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However, the EAST-AFNET 4 trial did 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primarily involve stroke patients.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Do you think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there is equipoise for a similar clinical trial only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1F">
              <w:rPr>
                <w:rFonts w:ascii="Times New Roman" w:hAnsi="Times New Roman" w:cs="Times New Roman"/>
                <w:sz w:val="20"/>
                <w:szCs w:val="20"/>
              </w:rPr>
              <w:t>focused on ischemic stroke patients?</w:t>
            </w:r>
          </w:p>
          <w:p w14:paraId="28CC3703" w14:textId="77777777" w:rsidR="0044425A" w:rsidRPr="0015143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D672F94" w14:textId="3C866A79" w:rsidR="0044425A" w:rsidRPr="00B31E30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E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Yes </w:t>
            </w:r>
            <w:r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31E30"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209/240, </w:t>
            </w:r>
            <w:r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87%)</w:t>
            </w:r>
          </w:p>
          <w:p w14:paraId="3A99112A" w14:textId="0CC5498D" w:rsidR="0044425A" w:rsidRPr="00B31E30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E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 </w:t>
            </w:r>
            <w:r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B31E30"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31/240, </w:t>
            </w:r>
            <w:r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13%)</w:t>
            </w:r>
          </w:p>
          <w:p w14:paraId="1D344E47" w14:textId="77777777" w:rsidR="0044425A" w:rsidRPr="00B31E30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ABC159" w14:textId="054ABC38" w:rsidR="0044425A" w:rsidRPr="00B31E30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1E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2396E"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n=1, </w:t>
            </w:r>
            <w:r w:rsidRPr="00B31E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&lt;1%)</w:t>
            </w:r>
          </w:p>
          <w:p w14:paraId="2A255F15" w14:textId="77777777" w:rsidR="0044425A" w:rsidRPr="00856DD8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6A392989" w14:textId="77777777" w:rsidTr="00FE3726">
        <w:tc>
          <w:tcPr>
            <w:tcW w:w="421" w:type="dxa"/>
            <w:vAlign w:val="center"/>
          </w:tcPr>
          <w:p w14:paraId="5AA87C4A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0" w:type="dxa"/>
            <w:vAlign w:val="center"/>
          </w:tcPr>
          <w:p w14:paraId="0CB4FDED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E14D0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3AC">
              <w:rPr>
                <w:rFonts w:ascii="Times New Roman" w:hAnsi="Times New Roman" w:cs="Times New Roman"/>
                <w:sz w:val="20"/>
                <w:szCs w:val="20"/>
              </w:rPr>
              <w:t xml:space="preserve">Would you randomize stroke patients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8E43AC">
              <w:rPr>
                <w:rFonts w:ascii="Times New Roman" w:hAnsi="Times New Roman" w:cs="Times New Roman"/>
                <w:sz w:val="20"/>
                <w:szCs w:val="20"/>
              </w:rPr>
              <w:t xml:space="preserve"> to rhythm control strategies post-stroke, over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3AC">
              <w:rPr>
                <w:rFonts w:ascii="Times New Roman" w:hAnsi="Times New Roman" w:cs="Times New Roman"/>
                <w:sz w:val="20"/>
                <w:szCs w:val="20"/>
              </w:rPr>
              <w:t>and above routine anticoagulation - e.g. into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3AC">
              <w:rPr>
                <w:rFonts w:ascii="Times New Roman" w:hAnsi="Times New Roman" w:cs="Times New Roman"/>
                <w:sz w:val="20"/>
                <w:szCs w:val="20"/>
              </w:rPr>
              <w:t>the EAST-Stroke trial?</w:t>
            </w:r>
          </w:p>
          <w:p w14:paraId="7DF12D60" w14:textId="77777777" w:rsidR="0044425A" w:rsidRPr="0015143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14:paraId="2866B676" w14:textId="66C2AC7C" w:rsidR="0044425A" w:rsidRPr="00526C9C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Yes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26C9C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202/238,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84%)</w:t>
            </w:r>
          </w:p>
          <w:p w14:paraId="077286A4" w14:textId="326D08E2" w:rsidR="0044425A" w:rsidRPr="00526C9C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26C9C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36/238,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15%)</w:t>
            </w:r>
          </w:p>
          <w:p w14:paraId="4FA3F6C7" w14:textId="77777777" w:rsidR="0044425A" w:rsidRPr="00526C9C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3F08C8" w14:textId="1D022A02" w:rsidR="0044425A" w:rsidRPr="00526C9C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26C9C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n=3,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1%)</w:t>
            </w:r>
          </w:p>
          <w:p w14:paraId="6D40CE59" w14:textId="77777777" w:rsidR="0044425A" w:rsidRPr="00A10C75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235BF162" w14:textId="77777777" w:rsidTr="00FE3726">
        <w:tc>
          <w:tcPr>
            <w:tcW w:w="421" w:type="dxa"/>
            <w:vAlign w:val="center"/>
          </w:tcPr>
          <w:p w14:paraId="2DFB5AB1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0" w:type="dxa"/>
            <w:vAlign w:val="center"/>
          </w:tcPr>
          <w:p w14:paraId="1ED2FDB0" w14:textId="77777777" w:rsidR="0044425A" w:rsidRPr="0015143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9F">
              <w:rPr>
                <w:rFonts w:ascii="Times New Roman" w:hAnsi="Times New Roman" w:cs="Times New Roman"/>
                <w:sz w:val="20"/>
                <w:szCs w:val="20"/>
              </w:rPr>
              <w:t xml:space="preserve">Up to 30% of incident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7A5D9F">
              <w:rPr>
                <w:rFonts w:ascii="Times New Roman" w:hAnsi="Times New Roman" w:cs="Times New Roman"/>
                <w:sz w:val="20"/>
                <w:szCs w:val="20"/>
              </w:rPr>
              <w:t xml:space="preserve"> is first identified 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9F">
              <w:rPr>
                <w:rFonts w:ascii="Times New Roman" w:hAnsi="Times New Roman" w:cs="Times New Roman"/>
                <w:sz w:val="20"/>
                <w:szCs w:val="20"/>
              </w:rPr>
              <w:t>the time of ischemic stroke. What proportion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9F">
              <w:rPr>
                <w:rFonts w:ascii="Times New Roman" w:hAnsi="Times New Roman" w:cs="Times New Roman"/>
                <w:sz w:val="20"/>
                <w:szCs w:val="20"/>
              </w:rPr>
              <w:t xml:space="preserve">all ischemic stroke patients have new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7A5D9F">
              <w:rPr>
                <w:rFonts w:ascii="Times New Roman" w:hAnsi="Times New Roman" w:cs="Times New Roman"/>
                <w:sz w:val="20"/>
                <w:szCs w:val="20"/>
              </w:rPr>
              <w:t xml:space="preserve"> identified on your stroke unit?</w:t>
            </w:r>
          </w:p>
        </w:tc>
        <w:tc>
          <w:tcPr>
            <w:tcW w:w="3599" w:type="dxa"/>
          </w:tcPr>
          <w:p w14:paraId="1F5B040F" w14:textId="59A3DE29" w:rsidR="0044425A" w:rsidRPr="00526C9C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&lt;11%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E13FF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44/238,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18%)</w:t>
            </w:r>
          </w:p>
          <w:p w14:paraId="01B772FE" w14:textId="6BA44FFE" w:rsidR="0044425A" w:rsidRPr="00526C9C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11-20%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E13FF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135/238,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56%)</w:t>
            </w:r>
          </w:p>
          <w:p w14:paraId="75C32EF2" w14:textId="4E5D7433" w:rsidR="0044425A" w:rsidRPr="00526C9C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21-30%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F63D1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40/238,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17%)</w:t>
            </w:r>
          </w:p>
          <w:p w14:paraId="5BECEE5B" w14:textId="510D1C06" w:rsidR="0044425A" w:rsidRPr="00526C9C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31-40%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F63D1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17/238,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7%)</w:t>
            </w:r>
          </w:p>
          <w:p w14:paraId="2B80EDCE" w14:textId="6CED34CC" w:rsidR="0044425A" w:rsidRPr="00526C9C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&gt;40%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F63D1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2/238,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&lt;1%)</w:t>
            </w:r>
          </w:p>
          <w:p w14:paraId="0C2FBC06" w14:textId="77777777" w:rsidR="0044425A" w:rsidRPr="00526C9C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4CF0E6" w14:textId="17B60812" w:rsidR="0044425A" w:rsidRPr="00526C9C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6C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7F63D1"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n=3, </w:t>
            </w:r>
            <w:r w:rsidRPr="00526C9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1%)</w:t>
            </w:r>
          </w:p>
          <w:p w14:paraId="08C25C4F" w14:textId="77777777" w:rsidR="0044425A" w:rsidRPr="00B86679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25A" w14:paraId="006EDF94" w14:textId="77777777" w:rsidTr="00FE3726">
        <w:tc>
          <w:tcPr>
            <w:tcW w:w="421" w:type="dxa"/>
            <w:vAlign w:val="center"/>
          </w:tcPr>
          <w:p w14:paraId="1947F64D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30" w:type="dxa"/>
            <w:vAlign w:val="center"/>
          </w:tcPr>
          <w:p w14:paraId="78C09633" w14:textId="77777777" w:rsidR="0044425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F2581" w14:textId="77777777" w:rsidR="0044425A" w:rsidRPr="0015143A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4E">
              <w:rPr>
                <w:rFonts w:ascii="Times New Roman" w:hAnsi="Times New Roman" w:cs="Times New Roman"/>
                <w:sz w:val="20"/>
                <w:szCs w:val="20"/>
              </w:rPr>
              <w:t xml:space="preserve">Can you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estimate</w:t>
            </w:r>
            <w:r w:rsidRPr="006E614E">
              <w:rPr>
                <w:rFonts w:ascii="Times New Roman" w:hAnsi="Times New Roman" w:cs="Times New Roman"/>
                <w:sz w:val="20"/>
                <w:szCs w:val="20"/>
              </w:rPr>
              <w:t xml:space="preserve"> how many stroke patients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14E">
              <w:rPr>
                <w:rFonts w:ascii="Times New Roman" w:hAnsi="Times New Roman" w:cs="Times New Roman"/>
                <w:sz w:val="20"/>
                <w:szCs w:val="20"/>
              </w:rPr>
              <w:t xml:space="preserve">with known and newly diagnosed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atrial fibrillation</w:t>
            </w:r>
            <w:r w:rsidRPr="006E614E">
              <w:rPr>
                <w:rFonts w:ascii="Times New Roman" w:hAnsi="Times New Roman" w:cs="Times New Roman"/>
                <w:sz w:val="20"/>
                <w:szCs w:val="20"/>
              </w:rPr>
              <w:t xml:space="preserve"> require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14E">
              <w:rPr>
                <w:rFonts w:ascii="Times New Roman" w:hAnsi="Times New Roman" w:cs="Times New Roman"/>
                <w:sz w:val="20"/>
                <w:szCs w:val="20"/>
              </w:rPr>
              <w:t>rhythm control treatment (e.g. amiodarone,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14E">
              <w:rPr>
                <w:rFonts w:ascii="Times New Roman" w:hAnsi="Times New Roman" w:cs="Times New Roman"/>
                <w:sz w:val="20"/>
                <w:szCs w:val="20"/>
              </w:rPr>
              <w:t>flecainide, ablation)?</w:t>
            </w:r>
          </w:p>
        </w:tc>
        <w:tc>
          <w:tcPr>
            <w:tcW w:w="3599" w:type="dxa"/>
          </w:tcPr>
          <w:p w14:paraId="6A5E8CD1" w14:textId="5EC090B4" w:rsidR="0044425A" w:rsidRPr="006E13FF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3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&lt;11%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F2563C"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112/240,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47%)</w:t>
            </w:r>
          </w:p>
          <w:p w14:paraId="484D2EA7" w14:textId="2A544A7A" w:rsidR="0044425A" w:rsidRPr="006E13FF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3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11-20%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000BA"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45/240,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19%)</w:t>
            </w:r>
          </w:p>
          <w:p w14:paraId="540398C1" w14:textId="3F97C6B7" w:rsidR="0044425A" w:rsidRPr="006E13FF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3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21-30%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000BA"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47/240,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20%)</w:t>
            </w:r>
          </w:p>
          <w:p w14:paraId="29080705" w14:textId="7B84730D" w:rsidR="0044425A" w:rsidRPr="006E13FF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3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31-40%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000BA"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16/240,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7%)</w:t>
            </w:r>
          </w:p>
          <w:p w14:paraId="34021BAA" w14:textId="47726597" w:rsidR="0044425A" w:rsidRPr="006E13FF" w:rsidRDefault="0044425A" w:rsidP="0044425A">
            <w:pPr>
              <w:pStyle w:val="ListParagraph"/>
              <w:numPr>
                <w:ilvl w:val="0"/>
                <w:numId w:val="10"/>
              </w:numPr>
              <w:ind w:left="339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3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&gt;40%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000BA"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20/240,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8%)</w:t>
            </w:r>
          </w:p>
          <w:p w14:paraId="4FEC2239" w14:textId="77777777" w:rsidR="0044425A" w:rsidRPr="006E13FF" w:rsidRDefault="0044425A" w:rsidP="00FE3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E9B9E7" w14:textId="0C96B570" w:rsidR="0044425A" w:rsidRPr="006E13FF" w:rsidRDefault="0044425A" w:rsidP="00FE37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13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Missing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6000BA"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n=1, </w:t>
            </w:r>
            <w:r w:rsidRPr="006E13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&lt;1%)</w:t>
            </w:r>
          </w:p>
          <w:p w14:paraId="118D9A8D" w14:textId="77777777" w:rsidR="0044425A" w:rsidRPr="003801C7" w:rsidRDefault="0044425A" w:rsidP="00FE3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19921" w14:textId="77777777" w:rsidR="000D5010" w:rsidRDefault="000D5010"/>
    <w:sectPr w:rsidR="000D5010" w:rsidSect="00444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868A" w14:textId="77777777" w:rsidR="000339E4" w:rsidRDefault="000339E4" w:rsidP="0044425A">
      <w:r>
        <w:separator/>
      </w:r>
    </w:p>
  </w:endnote>
  <w:endnote w:type="continuationSeparator" w:id="0">
    <w:p w14:paraId="41537EF3" w14:textId="77777777" w:rsidR="000339E4" w:rsidRDefault="000339E4" w:rsidP="0044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D067" w14:textId="77777777" w:rsidR="000339E4" w:rsidRDefault="000339E4" w:rsidP="0044425A">
      <w:r>
        <w:separator/>
      </w:r>
    </w:p>
  </w:footnote>
  <w:footnote w:type="continuationSeparator" w:id="0">
    <w:p w14:paraId="3AFD0A05" w14:textId="77777777" w:rsidR="000339E4" w:rsidRDefault="000339E4" w:rsidP="0044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3FE"/>
    <w:multiLevelType w:val="hybridMultilevel"/>
    <w:tmpl w:val="9AF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5052"/>
    <w:multiLevelType w:val="hybridMultilevel"/>
    <w:tmpl w:val="3960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70CC"/>
    <w:multiLevelType w:val="hybridMultilevel"/>
    <w:tmpl w:val="417E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9B4"/>
    <w:multiLevelType w:val="hybridMultilevel"/>
    <w:tmpl w:val="0A4A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1D4A"/>
    <w:multiLevelType w:val="hybridMultilevel"/>
    <w:tmpl w:val="B906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71193"/>
    <w:multiLevelType w:val="hybridMultilevel"/>
    <w:tmpl w:val="DD4C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653EC"/>
    <w:multiLevelType w:val="hybridMultilevel"/>
    <w:tmpl w:val="83BC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C2123"/>
    <w:multiLevelType w:val="hybridMultilevel"/>
    <w:tmpl w:val="FE26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68E2"/>
    <w:multiLevelType w:val="hybridMultilevel"/>
    <w:tmpl w:val="EE1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710F4"/>
    <w:multiLevelType w:val="hybridMultilevel"/>
    <w:tmpl w:val="2FC60EE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77B95962"/>
    <w:multiLevelType w:val="hybridMultilevel"/>
    <w:tmpl w:val="9EB4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03FA4"/>
    <w:multiLevelType w:val="hybridMultilevel"/>
    <w:tmpl w:val="350E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4211">
    <w:abstractNumId w:val="8"/>
  </w:num>
  <w:num w:numId="2" w16cid:durableId="558322559">
    <w:abstractNumId w:val="0"/>
  </w:num>
  <w:num w:numId="3" w16cid:durableId="1244216732">
    <w:abstractNumId w:val="4"/>
  </w:num>
  <w:num w:numId="4" w16cid:durableId="173154280">
    <w:abstractNumId w:val="3"/>
  </w:num>
  <w:num w:numId="5" w16cid:durableId="1052509155">
    <w:abstractNumId w:val="6"/>
  </w:num>
  <w:num w:numId="6" w16cid:durableId="2023433085">
    <w:abstractNumId w:val="2"/>
  </w:num>
  <w:num w:numId="7" w16cid:durableId="180508373">
    <w:abstractNumId w:val="1"/>
  </w:num>
  <w:num w:numId="8" w16cid:durableId="128324903">
    <w:abstractNumId w:val="5"/>
  </w:num>
  <w:num w:numId="9" w16cid:durableId="1759324358">
    <w:abstractNumId w:val="7"/>
  </w:num>
  <w:num w:numId="10" w16cid:durableId="498617652">
    <w:abstractNumId w:val="11"/>
  </w:num>
  <w:num w:numId="11" w16cid:durableId="246623010">
    <w:abstractNumId w:val="10"/>
  </w:num>
  <w:num w:numId="12" w16cid:durableId="276450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5A"/>
    <w:rsid w:val="00003E8C"/>
    <w:rsid w:val="0003235A"/>
    <w:rsid w:val="000339E4"/>
    <w:rsid w:val="00083F5A"/>
    <w:rsid w:val="000D5010"/>
    <w:rsid w:val="000E32A6"/>
    <w:rsid w:val="00153276"/>
    <w:rsid w:val="00220E3E"/>
    <w:rsid w:val="0025132F"/>
    <w:rsid w:val="002C3FAA"/>
    <w:rsid w:val="002C7661"/>
    <w:rsid w:val="0038248D"/>
    <w:rsid w:val="003A44D5"/>
    <w:rsid w:val="0044425A"/>
    <w:rsid w:val="00487BC1"/>
    <w:rsid w:val="004B7016"/>
    <w:rsid w:val="005000CB"/>
    <w:rsid w:val="00526C9C"/>
    <w:rsid w:val="00530041"/>
    <w:rsid w:val="00544EF3"/>
    <w:rsid w:val="005B2155"/>
    <w:rsid w:val="005D07AD"/>
    <w:rsid w:val="005E2673"/>
    <w:rsid w:val="005E5FB5"/>
    <w:rsid w:val="005F63C4"/>
    <w:rsid w:val="006000BA"/>
    <w:rsid w:val="00622710"/>
    <w:rsid w:val="006353FB"/>
    <w:rsid w:val="006E13FF"/>
    <w:rsid w:val="006F3490"/>
    <w:rsid w:val="00745410"/>
    <w:rsid w:val="00781986"/>
    <w:rsid w:val="007C0796"/>
    <w:rsid w:val="007F3DF5"/>
    <w:rsid w:val="007F63D1"/>
    <w:rsid w:val="007F787A"/>
    <w:rsid w:val="008045FB"/>
    <w:rsid w:val="008A4F2E"/>
    <w:rsid w:val="008B0005"/>
    <w:rsid w:val="008E4D2C"/>
    <w:rsid w:val="00900F21"/>
    <w:rsid w:val="00923DD3"/>
    <w:rsid w:val="0096393B"/>
    <w:rsid w:val="00994E6F"/>
    <w:rsid w:val="009E28C9"/>
    <w:rsid w:val="009F0AF3"/>
    <w:rsid w:val="00A2396E"/>
    <w:rsid w:val="00B31E30"/>
    <w:rsid w:val="00B47762"/>
    <w:rsid w:val="00B50D1E"/>
    <w:rsid w:val="00BD5207"/>
    <w:rsid w:val="00C7016E"/>
    <w:rsid w:val="00C76ED4"/>
    <w:rsid w:val="00C80E19"/>
    <w:rsid w:val="00C96018"/>
    <w:rsid w:val="00CA7228"/>
    <w:rsid w:val="00CB04BB"/>
    <w:rsid w:val="00CF00CC"/>
    <w:rsid w:val="00D110B9"/>
    <w:rsid w:val="00D7719F"/>
    <w:rsid w:val="00D80486"/>
    <w:rsid w:val="00F2563C"/>
    <w:rsid w:val="00F802DC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A7B6C"/>
  <w15:chartTrackingRefBased/>
  <w15:docId w15:val="{0B941D0A-AE6A-DA46-98CC-56508A72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A"/>
  </w:style>
  <w:style w:type="paragraph" w:styleId="Heading1">
    <w:name w:val="heading 1"/>
    <w:basedOn w:val="Normal"/>
    <w:next w:val="Normal"/>
    <w:link w:val="Heading1Char"/>
    <w:uiPriority w:val="9"/>
    <w:qFormat/>
    <w:rsid w:val="0044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2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2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2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2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2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2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25A"/>
  </w:style>
  <w:style w:type="paragraph" w:styleId="Footer">
    <w:name w:val="footer"/>
    <w:basedOn w:val="Normal"/>
    <w:link w:val="FooterChar"/>
    <w:uiPriority w:val="99"/>
    <w:unhideWhenUsed/>
    <w:rsid w:val="0044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F5A841-1EDD-FF40-8694-400B0F39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Vignan Yogendrakumar</dc:creator>
  <cp:keywords/>
  <dc:description/>
  <cp:lastModifiedBy>Vignan Yogendrakumar</cp:lastModifiedBy>
  <cp:revision>54</cp:revision>
  <dcterms:created xsi:type="dcterms:W3CDTF">2024-10-20T22:34:00Z</dcterms:created>
  <dcterms:modified xsi:type="dcterms:W3CDTF">2025-01-08T01:53:00Z</dcterms:modified>
</cp:coreProperties>
</file>