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1C2" w14:textId="3D7334DC" w:rsidR="00A16432" w:rsidRPr="00406FB7" w:rsidRDefault="00A16432" w:rsidP="00A16432">
      <w:pPr>
        <w:pStyle w:val="NormalWeb"/>
        <w:spacing w:before="0" w:beforeAutospacing="0" w:after="160" w:afterAutospacing="0"/>
        <w:rPr>
          <w:rFonts w:asciiTheme="majorBidi" w:hAnsiTheme="majorBidi" w:cstheme="majorBidi"/>
          <w:sz w:val="22"/>
          <w:szCs w:val="22"/>
          <w:u w:val="single"/>
        </w:rPr>
      </w:pP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shd w:val="clear" w:color="auto" w:fill="FFFFFF"/>
        </w:rPr>
        <w:t>Supplemental Material</w:t>
      </w:r>
      <w:r w:rsidR="003C0B48" w:rsidRPr="00406FB7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shd w:val="clear" w:color="auto" w:fill="FFFFFF"/>
        </w:rPr>
        <w:t>/</w:t>
      </w:r>
      <w:r w:rsidR="003C0B48" w:rsidRPr="00406FB7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shd w:val="clear" w:color="auto" w:fill="FFFFFF"/>
        </w:rPr>
        <w:t>Appendix</w:t>
      </w:r>
    </w:p>
    <w:p w14:paraId="49DD8C35" w14:textId="23E327B4" w:rsidR="00A16432" w:rsidRPr="00406FB7" w:rsidRDefault="00A16432" w:rsidP="00577574">
      <w:pPr>
        <w:rPr>
          <w:rFonts w:asciiTheme="majorBidi" w:hAnsiTheme="majorBidi" w:cstheme="majorBidi"/>
          <w:color w:val="000000"/>
          <w:sz w:val="22"/>
          <w:szCs w:val="22"/>
        </w:rPr>
      </w:pP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 xml:space="preserve">Figure S1. Full Win Ratio analysis with prioritized endpoints (mortality &gt; </w:t>
      </w:r>
      <w:r w:rsidR="00577574"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intensive care unit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 xml:space="preserve"> &gt; intubation &gt; termination of </w:t>
      </w:r>
      <w:r w:rsidR="00577574" w:rsidRPr="00406FB7">
        <w:rPr>
          <w:rFonts w:asciiTheme="majorBidi" w:hAnsiTheme="majorBidi" w:cstheme="majorBidi"/>
          <w:b/>
          <w:bCs/>
          <w:color w:val="000000"/>
          <w:sz w:val="22"/>
          <w:szCs w:val="22"/>
        </w:rPr>
        <w:t>benzodiazepine-refractory status epilepticus)</w:t>
      </w:r>
    </w:p>
    <w:p w14:paraId="5358B7F3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Overall Analysis (No Stratification)</w:t>
      </w:r>
    </w:p>
    <w:p w14:paraId="0D95D84C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Total: 44 patients received a weight-based dose, and 62 patients received a fixed dose.</w:t>
      </w:r>
    </w:p>
    <w:p w14:paraId="4897881E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Matched pairs: 44 (no stratification for risk factors).</w:t>
      </w:r>
    </w:p>
    <w:p w14:paraId="784DBCB0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Outcome: 25 wins, 10 ties, 9 losses.</w:t>
      </w:r>
    </w:p>
    <w:p w14:paraId="594CAB50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Result: Win ratio =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 xml:space="preserve"> 2.78</w:t>
      </w: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(95% CI: 2.70–2.86), showing significant statistical evidence.</w:t>
      </w:r>
    </w:p>
    <w:p w14:paraId="6D55142C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Stratification by Age (&lt;65 vs. ≥65)</w:t>
      </w:r>
    </w:p>
    <w:p w14:paraId="73F3BC57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Patient breakdown:</w:t>
      </w:r>
    </w:p>
    <w:p w14:paraId="688D4612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&lt;65 years: 21 weight-based, 35 fixed-dose.</w:t>
      </w:r>
    </w:p>
    <w:p w14:paraId="0EC6131C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≥65 years: 23 weight-based, 27 fixed-dose.</w:t>
      </w:r>
    </w:p>
    <w:p w14:paraId="5FD7C23B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 w:firstLine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Matched pairs: 23 pairs (≥65 years), 21 pairs (&lt;65 years).</w:t>
      </w:r>
    </w:p>
    <w:p w14:paraId="73433FF3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Outcome: 21 wins, 12 ties, 11 losses.</w:t>
      </w:r>
    </w:p>
    <w:p w14:paraId="75F94A68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144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Result: Win ratio = 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1.91</w:t>
      </w: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(95% CI: 1.85–1.97).</w:t>
      </w:r>
    </w:p>
    <w:p w14:paraId="77A85EA8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Stratification by Seizure History (Yes vs. No)</w:t>
      </w:r>
    </w:p>
    <w:p w14:paraId="11443C02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720" w:firstLine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Patient breakdown:</w:t>
      </w:r>
    </w:p>
    <w:p w14:paraId="01BEDEA4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History of seizures: 12 weight-based, 26 fixed-dose.</w:t>
      </w:r>
    </w:p>
    <w:p w14:paraId="126FD8C0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No history of seizures: 32 weight-based, 36 fixed-dose.</w:t>
      </w:r>
    </w:p>
    <w:p w14:paraId="67DB06CE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2160" w:firstLine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Matched pairs: 12 pairs (with history), 32 pairs (without history).</w:t>
      </w:r>
    </w:p>
    <w:p w14:paraId="58A10180" w14:textId="77777777" w:rsidR="00A16432" w:rsidRPr="00406FB7" w:rsidRDefault="00A16432" w:rsidP="00A16432">
      <w:pPr>
        <w:pStyle w:val="NormalWeb"/>
        <w:spacing w:before="240" w:beforeAutospacing="0" w:after="240" w:afterAutospacing="0"/>
        <w:ind w:left="720" w:firstLine="720"/>
        <w:rPr>
          <w:rFonts w:asciiTheme="majorBidi" w:hAnsiTheme="majorBidi" w:cstheme="majorBidi"/>
          <w:sz w:val="22"/>
          <w:szCs w:val="22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Outcome: 23 wins, 9 ties, 12 losses.</w:t>
      </w:r>
    </w:p>
    <w:p w14:paraId="33C35E39" w14:textId="70C56D6C" w:rsidR="00A16432" w:rsidRDefault="00A16432" w:rsidP="00A16432">
      <w:pPr>
        <w:pStyle w:val="NormalWeb"/>
        <w:spacing w:before="0" w:beforeAutospacing="0" w:after="160" w:afterAutospacing="0"/>
        <w:ind w:left="720" w:firstLine="72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Result: Win ratio = </w:t>
      </w:r>
      <w:r w:rsidRPr="00406FB7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  <w:t>1.92</w:t>
      </w:r>
      <w:r w:rsidRPr="00406FB7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(95% CI: 1.86–1.97).</w:t>
      </w:r>
    </w:p>
    <w:p w14:paraId="39E6C215" w14:textId="77777777" w:rsidR="00A441FF" w:rsidRDefault="00A441FF" w:rsidP="00A441FF">
      <w:pPr>
        <w:pStyle w:val="NormalWeb"/>
        <w:spacing w:before="0" w:beforeAutospacing="0" w:after="16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</w:p>
    <w:p w14:paraId="55E983E0" w14:textId="77777777" w:rsidR="00DA4E46" w:rsidRPr="00DE3A3A" w:rsidRDefault="00DA4E46" w:rsidP="00A16432">
      <w:pPr>
        <w:pStyle w:val="NormalWeb"/>
        <w:spacing w:before="0" w:beforeAutospacing="0" w:after="160" w:afterAutospacing="0"/>
        <w:ind w:left="720" w:firstLine="720"/>
        <w:rPr>
          <w:rFonts w:asciiTheme="majorBidi" w:hAnsiTheme="majorBidi" w:cstheme="majorBidi"/>
          <w:sz w:val="22"/>
          <w:szCs w:val="22"/>
        </w:rPr>
      </w:pPr>
    </w:p>
    <w:p w14:paraId="60813059" w14:textId="77777777" w:rsidR="008867A1" w:rsidRPr="00A16432" w:rsidRDefault="008867A1">
      <w:pPr>
        <w:rPr>
          <w:lang w:val="en-CA"/>
        </w:rPr>
      </w:pPr>
    </w:p>
    <w:sectPr w:rsidR="008867A1" w:rsidRPr="00A16432" w:rsidSect="00A164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2"/>
    <w:rsid w:val="000475A7"/>
    <w:rsid w:val="003C0B48"/>
    <w:rsid w:val="00406FB7"/>
    <w:rsid w:val="005567D7"/>
    <w:rsid w:val="00577574"/>
    <w:rsid w:val="00651248"/>
    <w:rsid w:val="008867A1"/>
    <w:rsid w:val="008A5398"/>
    <w:rsid w:val="009E372E"/>
    <w:rsid w:val="00A16432"/>
    <w:rsid w:val="00A441FF"/>
    <w:rsid w:val="00C15473"/>
    <w:rsid w:val="00D0771B"/>
    <w:rsid w:val="00D82B1F"/>
    <w:rsid w:val="00DA4E46"/>
    <w:rsid w:val="00EC528A"/>
    <w:rsid w:val="00F161E8"/>
    <w:rsid w:val="00F45169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4F797"/>
  <w14:defaultImageDpi w14:val="32767"/>
  <w15:chartTrackingRefBased/>
  <w15:docId w15:val="{A1B372D4-21FB-EC46-9506-6A634288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4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4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164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16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Nasma Torfah</dc:creator>
  <cp:keywords/>
  <dc:description/>
  <cp:lastModifiedBy>Nasma Torfah</cp:lastModifiedBy>
  <cp:revision>6</cp:revision>
  <dcterms:created xsi:type="dcterms:W3CDTF">2025-01-16T03:41:00Z</dcterms:created>
  <dcterms:modified xsi:type="dcterms:W3CDTF">2025-03-19T05:20:00Z</dcterms:modified>
</cp:coreProperties>
</file>