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76929C" w14:textId="35A42506" w:rsidR="006163E6" w:rsidRDefault="006163E6" w:rsidP="006163E6">
      <w:pPr>
        <w:spacing w:line="480" w:lineRule="auto"/>
        <w:rPr>
          <w:color w:val="000000" w:themeColor="text1"/>
        </w:rPr>
      </w:pPr>
      <w:r w:rsidRPr="003166F2">
        <w:rPr>
          <w:noProof/>
          <w:color w:val="000000" w:themeColor="text1"/>
          <w:lang w:val="en-CA" w:eastAsia="en-CA"/>
        </w:rPr>
        <w:drawing>
          <wp:inline distT="0" distB="0" distL="0" distR="0" wp14:anchorId="58DFEB9E" wp14:editId="237F90F8">
            <wp:extent cx="5943600" cy="4181475"/>
            <wp:effectExtent l="0" t="0" r="0" b="0"/>
            <wp:docPr id="1167589158" name="Picture 1" descr="A flowchart of dat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589158" name="Picture 1" descr="A flowchart of data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8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163E6">
        <w:rPr>
          <w:b/>
          <w:bCs/>
          <w:color w:val="000000" w:themeColor="text1"/>
        </w:rPr>
        <w:t xml:space="preserve"> </w:t>
      </w:r>
      <w:r>
        <w:rPr>
          <w:b/>
          <w:bCs/>
          <w:color w:val="000000" w:themeColor="text1"/>
        </w:rPr>
        <w:t xml:space="preserve">Supplemental </w:t>
      </w:r>
      <w:r w:rsidRPr="006506CD">
        <w:rPr>
          <w:b/>
          <w:bCs/>
          <w:color w:val="000000" w:themeColor="text1"/>
        </w:rPr>
        <w:t xml:space="preserve">Figure </w:t>
      </w:r>
      <w:r>
        <w:rPr>
          <w:b/>
          <w:bCs/>
          <w:color w:val="000000" w:themeColor="text1"/>
        </w:rPr>
        <w:t>1</w:t>
      </w:r>
      <w:r>
        <w:rPr>
          <w:color w:val="000000" w:themeColor="text1"/>
        </w:rPr>
        <w:t xml:space="preserve"> - </w:t>
      </w:r>
      <w:r w:rsidRPr="00454216">
        <w:rPr>
          <w:color w:val="000000" w:themeColor="text1"/>
        </w:rPr>
        <w:t>Flowchart depicting the exclusion criteria applied to the initial dataset of 68,516 patients, resulting in a final dataset of 57,687</w:t>
      </w:r>
    </w:p>
    <w:p w14:paraId="4FC000B1" w14:textId="77777777" w:rsidR="008211B4" w:rsidRDefault="008211B4" w:rsidP="006163E6">
      <w:pPr>
        <w:spacing w:line="480" w:lineRule="auto"/>
        <w:rPr>
          <w:color w:val="000000" w:themeColor="text1"/>
        </w:rPr>
      </w:pPr>
    </w:p>
    <w:p w14:paraId="061D2DBF" w14:textId="1735390C" w:rsidR="008211B4" w:rsidRDefault="008211B4" w:rsidP="006163E6">
      <w:pPr>
        <w:spacing w:line="480" w:lineRule="auto"/>
        <w:rPr>
          <w:color w:val="000000" w:themeColor="text1"/>
        </w:rPr>
      </w:pPr>
    </w:p>
    <w:p w14:paraId="6FDA43BE" w14:textId="1D9027D3" w:rsidR="00DB1384" w:rsidRDefault="008211B4">
      <w:pPr>
        <w:rPr>
          <w:color w:val="000000" w:themeColor="text1"/>
        </w:rPr>
      </w:pPr>
      <w:r>
        <w:rPr>
          <w:color w:val="000000" w:themeColor="text1"/>
        </w:rPr>
        <w:br w:type="page"/>
      </w:r>
    </w:p>
    <w:p w14:paraId="0C679986" w14:textId="77777777" w:rsidR="00DB1384" w:rsidRDefault="00DB1384">
      <w:pPr>
        <w:rPr>
          <w:color w:val="000000" w:themeColor="text1"/>
        </w:rPr>
      </w:pPr>
    </w:p>
    <w:p w14:paraId="360E4126" w14:textId="77777777" w:rsidR="00DB1384" w:rsidRDefault="00DB1384">
      <w:pPr>
        <w:rPr>
          <w:color w:val="000000" w:themeColor="text1"/>
        </w:rPr>
      </w:pPr>
      <w:r w:rsidRPr="00DB1384">
        <w:rPr>
          <w:noProof/>
          <w:color w:val="000000" w:themeColor="text1"/>
        </w:rPr>
        <w:drawing>
          <wp:inline distT="0" distB="0" distL="0" distR="0" wp14:anchorId="2672A3CB" wp14:editId="17026536">
            <wp:extent cx="5943600" cy="3224530"/>
            <wp:effectExtent l="0" t="0" r="0" b="1270"/>
            <wp:docPr id="16915678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1567816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2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BD9319" w14:textId="77777777" w:rsidR="00DB1384" w:rsidRDefault="00DB1384">
      <w:pPr>
        <w:rPr>
          <w:color w:val="000000" w:themeColor="text1"/>
        </w:rPr>
      </w:pPr>
    </w:p>
    <w:p w14:paraId="6AF01A22" w14:textId="77777777" w:rsidR="005A5F23" w:rsidRDefault="00DB1384">
      <w:pPr>
        <w:rPr>
          <w:color w:val="000000" w:themeColor="text1"/>
        </w:rPr>
      </w:pPr>
      <w:r w:rsidRPr="00DB1384">
        <w:rPr>
          <w:color w:val="000000" w:themeColor="text1"/>
        </w:rPr>
        <w:t xml:space="preserve"> </w:t>
      </w:r>
      <w:r>
        <w:rPr>
          <w:b/>
          <w:bCs/>
          <w:color w:val="000000" w:themeColor="text1"/>
        </w:rPr>
        <w:t xml:space="preserve">Supplemental </w:t>
      </w:r>
      <w:r w:rsidRPr="006506CD">
        <w:rPr>
          <w:b/>
          <w:bCs/>
          <w:color w:val="000000" w:themeColor="text1"/>
        </w:rPr>
        <w:t xml:space="preserve">Figure </w:t>
      </w:r>
      <w:r>
        <w:rPr>
          <w:b/>
          <w:bCs/>
          <w:color w:val="000000" w:themeColor="text1"/>
        </w:rPr>
        <w:t>2</w:t>
      </w:r>
      <w:r>
        <w:rPr>
          <w:color w:val="000000" w:themeColor="text1"/>
        </w:rPr>
        <w:t xml:space="preserve"> - </w:t>
      </w:r>
      <w:r w:rsidRPr="00DB1384">
        <w:rPr>
          <w:color w:val="000000" w:themeColor="text1"/>
        </w:rPr>
        <w:t>Distribution of driving time from patients' residences to the nearest Comprehensive Stroke Center (CSC).</w:t>
      </w:r>
    </w:p>
    <w:p w14:paraId="3D439AA1" w14:textId="77777777" w:rsidR="005A5F23" w:rsidRDefault="005A5F23">
      <w:pPr>
        <w:rPr>
          <w:color w:val="000000" w:themeColor="text1"/>
        </w:rPr>
      </w:pPr>
    </w:p>
    <w:p w14:paraId="5E5E7931" w14:textId="77777777" w:rsidR="005A5F23" w:rsidRDefault="005A5F23">
      <w:pPr>
        <w:rPr>
          <w:color w:val="000000" w:themeColor="text1"/>
        </w:rPr>
      </w:pPr>
      <w:r>
        <w:rPr>
          <w:color w:val="000000" w:themeColor="text1"/>
        </w:rPr>
        <w:br w:type="page"/>
      </w:r>
    </w:p>
    <w:p w14:paraId="25112098" w14:textId="77777777" w:rsidR="005A5F23" w:rsidRDefault="005A5F23">
      <w:pPr>
        <w:rPr>
          <w:color w:val="000000" w:themeColor="text1"/>
        </w:rPr>
      </w:pPr>
      <w:r w:rsidRPr="005A5F23">
        <w:rPr>
          <w:color w:val="000000" w:themeColor="text1"/>
        </w:rPr>
        <w:lastRenderedPageBreak/>
        <w:drawing>
          <wp:inline distT="0" distB="0" distL="0" distR="0" wp14:anchorId="7D063775" wp14:editId="6120BB31">
            <wp:extent cx="5943600" cy="4605655"/>
            <wp:effectExtent l="0" t="0" r="0" b="4445"/>
            <wp:docPr id="671940511" name="Picture 1" descr="A graph of a patien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1940511" name="Picture 1" descr="A graph of a patient&#10;&#10;Description automatically generated with medium confidenc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05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A5F23">
        <w:rPr>
          <w:color w:val="000000" w:themeColor="text1"/>
        </w:rPr>
        <w:t xml:space="preserve"> </w:t>
      </w:r>
    </w:p>
    <w:p w14:paraId="3E549BA0" w14:textId="11CA3531" w:rsidR="00DB1384" w:rsidRDefault="005A5F23">
      <w:pPr>
        <w:rPr>
          <w:color w:val="000000" w:themeColor="text1"/>
        </w:rPr>
      </w:pPr>
      <w:r>
        <w:rPr>
          <w:b/>
          <w:bCs/>
          <w:color w:val="000000" w:themeColor="text1"/>
        </w:rPr>
        <w:t xml:space="preserve">Supplemental </w:t>
      </w:r>
      <w:r w:rsidRPr="006506CD">
        <w:rPr>
          <w:b/>
          <w:bCs/>
          <w:color w:val="000000" w:themeColor="text1"/>
        </w:rPr>
        <w:t xml:space="preserve">Figure </w:t>
      </w:r>
      <w:r>
        <w:rPr>
          <w:b/>
          <w:bCs/>
          <w:color w:val="000000" w:themeColor="text1"/>
        </w:rPr>
        <w:t>3</w:t>
      </w:r>
      <w:r>
        <w:rPr>
          <w:color w:val="000000" w:themeColor="text1"/>
        </w:rPr>
        <w:t xml:space="preserve"> - </w:t>
      </w:r>
      <w:r w:rsidRPr="00454216">
        <w:rPr>
          <w:color w:val="000000" w:themeColor="text1"/>
        </w:rPr>
        <w:t xml:space="preserve">Adjusted Odds Ratio and 95%Confidence Interval of Receiving Thrombolysis </w:t>
      </w:r>
      <w:r>
        <w:rPr>
          <w:color w:val="000000" w:themeColor="text1"/>
        </w:rPr>
        <w:t xml:space="preserve">(blue) </w:t>
      </w:r>
      <w:r w:rsidRPr="00454216">
        <w:rPr>
          <w:color w:val="000000" w:themeColor="text1"/>
        </w:rPr>
        <w:t xml:space="preserve">and Endovascular </w:t>
      </w:r>
      <w:r>
        <w:rPr>
          <w:color w:val="000000" w:themeColor="text1"/>
        </w:rPr>
        <w:t>Thrombectomy (red)</w:t>
      </w:r>
      <w:r w:rsidR="00861093">
        <w:rPr>
          <w:color w:val="000000" w:themeColor="text1"/>
        </w:rPr>
        <w:t>, using 30-minute driving time as the reference</w:t>
      </w:r>
      <w:r w:rsidR="00DB1384">
        <w:rPr>
          <w:color w:val="000000" w:themeColor="text1"/>
        </w:rPr>
        <w:br w:type="page"/>
      </w:r>
    </w:p>
    <w:p w14:paraId="0D1FF1E9" w14:textId="77777777" w:rsidR="008211B4" w:rsidRDefault="008211B4">
      <w:pPr>
        <w:rPr>
          <w:color w:val="000000" w:themeColor="text1"/>
        </w:rPr>
      </w:pPr>
    </w:p>
    <w:tbl>
      <w:tblPr>
        <w:tblStyle w:val="TableGrid"/>
        <w:tblW w:w="1063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844"/>
        <w:gridCol w:w="3543"/>
        <w:gridCol w:w="5250"/>
      </w:tblGrid>
      <w:tr w:rsidR="008211B4" w:rsidRPr="00640343" w14:paraId="236EAC01" w14:textId="77777777" w:rsidTr="006A711D">
        <w:tc>
          <w:tcPr>
            <w:tcW w:w="106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365CDAE" w14:textId="77777777" w:rsidR="008211B4" w:rsidRPr="00502E54" w:rsidRDefault="008211B4" w:rsidP="006A711D">
            <w:pPr>
              <w:spacing w:line="360" w:lineRule="auto"/>
              <w:rPr>
                <w:rFonts w:cstheme="minorHAnsi"/>
                <w:color w:val="000000" w:themeColor="text1"/>
              </w:rPr>
            </w:pPr>
            <w:r w:rsidRPr="00502E54">
              <w:rPr>
                <w:rFonts w:cstheme="minorHAnsi"/>
                <w:b/>
                <w:bCs/>
                <w:color w:val="000000" w:themeColor="text1"/>
              </w:rPr>
              <w:t>Supplementary Table 1</w:t>
            </w:r>
            <w:r w:rsidRPr="00502E54">
              <w:rPr>
                <w:rFonts w:cstheme="minorHAnsi"/>
                <w:color w:val="000000" w:themeColor="text1"/>
              </w:rPr>
              <w:t xml:space="preserve"> - </w:t>
            </w:r>
            <w:r w:rsidRPr="003E3974">
              <w:rPr>
                <w:rFonts w:cstheme="minorHAnsi"/>
              </w:rPr>
              <w:t>Case</w:t>
            </w:r>
            <w:r w:rsidRPr="009A4409">
              <w:rPr>
                <w:rFonts w:cstheme="minorHAnsi"/>
              </w:rPr>
              <w:t xml:space="preserve"> definitions for outcomes and covariates</w:t>
            </w:r>
          </w:p>
          <w:p w14:paraId="13905738" w14:textId="77777777" w:rsidR="008211B4" w:rsidRPr="009A4409" w:rsidRDefault="008211B4" w:rsidP="006A711D">
            <w:pPr>
              <w:rPr>
                <w:rFonts w:cstheme="minorHAnsi"/>
                <w:b/>
                <w:color w:val="FFFFFF" w:themeColor="background1"/>
              </w:rPr>
            </w:pPr>
          </w:p>
        </w:tc>
      </w:tr>
      <w:tr w:rsidR="008211B4" w:rsidRPr="00C66D5B" w14:paraId="2FBA3B91" w14:textId="77777777" w:rsidTr="006A711D">
        <w:tc>
          <w:tcPr>
            <w:tcW w:w="1844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C95FBA" w14:textId="77777777" w:rsidR="008211B4" w:rsidRPr="009A4409" w:rsidRDefault="008211B4" w:rsidP="006A711D">
            <w:pPr>
              <w:jc w:val="center"/>
              <w:rPr>
                <w:rFonts w:cstheme="minorHAnsi"/>
                <w:b/>
              </w:rPr>
            </w:pPr>
            <w:r w:rsidRPr="009A4409">
              <w:rPr>
                <w:rFonts w:cstheme="minorHAnsi"/>
                <w:b/>
              </w:rPr>
              <w:t>Predictor variables</w:t>
            </w:r>
          </w:p>
        </w:tc>
        <w:tc>
          <w:tcPr>
            <w:tcW w:w="3543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6A59B5" w14:textId="77777777" w:rsidR="008211B4" w:rsidRPr="009A4409" w:rsidRDefault="008211B4" w:rsidP="006A711D">
            <w:pPr>
              <w:jc w:val="center"/>
              <w:rPr>
                <w:rFonts w:cstheme="minorHAnsi"/>
                <w:b/>
              </w:rPr>
            </w:pPr>
            <w:r w:rsidRPr="009A4409">
              <w:rPr>
                <w:rFonts w:cstheme="minorHAnsi"/>
                <w:b/>
              </w:rPr>
              <w:t>Database</w:t>
            </w:r>
          </w:p>
        </w:tc>
        <w:tc>
          <w:tcPr>
            <w:tcW w:w="5250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2004741" w14:textId="77777777" w:rsidR="008211B4" w:rsidRPr="009A4409" w:rsidRDefault="008211B4" w:rsidP="006A711D">
            <w:pPr>
              <w:jc w:val="center"/>
              <w:rPr>
                <w:rFonts w:cstheme="minorHAnsi"/>
                <w:b/>
              </w:rPr>
            </w:pPr>
            <w:r w:rsidRPr="009A4409">
              <w:rPr>
                <w:rFonts w:cstheme="minorHAnsi"/>
                <w:b/>
              </w:rPr>
              <w:t>Definition</w:t>
            </w:r>
          </w:p>
        </w:tc>
      </w:tr>
      <w:tr w:rsidR="008211B4" w:rsidRPr="00C66D5B" w14:paraId="04BCA5F5" w14:textId="77777777" w:rsidTr="006A711D">
        <w:trPr>
          <w:trHeight w:val="1639"/>
        </w:trPr>
        <w:tc>
          <w:tcPr>
            <w:tcW w:w="1844" w:type="dxa"/>
            <w:vAlign w:val="center"/>
          </w:tcPr>
          <w:p w14:paraId="168BF0EF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Driving time </w:t>
            </w:r>
            <w:r w:rsidRPr="0003410A">
              <w:t xml:space="preserve">to the nearest comprehensive stroke </w:t>
            </w:r>
            <w:proofErr w:type="spellStart"/>
            <w:r w:rsidRPr="0003410A">
              <w:t>centre</w:t>
            </w:r>
            <w:proofErr w:type="spellEnd"/>
            <w:r w:rsidRPr="0003410A">
              <w:t xml:space="preserve"> (CSC)</w:t>
            </w:r>
          </w:p>
        </w:tc>
        <w:tc>
          <w:tcPr>
            <w:tcW w:w="3543" w:type="dxa"/>
            <w:vAlign w:val="center"/>
          </w:tcPr>
          <w:p w14:paraId="11A6D0B3" w14:textId="77777777" w:rsidR="008211B4" w:rsidRDefault="008211B4" w:rsidP="006A711D">
            <w:pPr>
              <w:rPr>
                <w:rFonts w:cstheme="minorHAnsi"/>
                <w:bCs/>
              </w:rPr>
            </w:pPr>
            <w:r w:rsidRPr="007A3753">
              <w:rPr>
                <w:rFonts w:cstheme="minorHAnsi"/>
                <w:bCs/>
              </w:rPr>
              <w:t>Postal Code Conversion File</w:t>
            </w:r>
          </w:p>
          <w:p w14:paraId="47A12EA1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7A3753">
              <w:rPr>
                <w:rFonts w:cstheme="minorHAnsi"/>
                <w:bCs/>
              </w:rPr>
              <w:t>2017 Ontario Road Network (ORN) Road Net Element File</w:t>
            </w:r>
          </w:p>
        </w:tc>
        <w:tc>
          <w:tcPr>
            <w:tcW w:w="5250" w:type="dxa"/>
            <w:vAlign w:val="center"/>
          </w:tcPr>
          <w:p w14:paraId="0D86BAE5" w14:textId="77777777" w:rsidR="008211B4" w:rsidRPr="003E3974" w:rsidRDefault="008211B4" w:rsidP="006A711D">
            <w:p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  <w:r w:rsidRPr="007A3753">
              <w:rPr>
                <w:rFonts w:cstheme="minorHAnsi"/>
              </w:rPr>
              <w:t>stimated time it takes for a vehicle to travel from a patient's residence to the nearest comprehensive stroke center</w:t>
            </w:r>
          </w:p>
        </w:tc>
      </w:tr>
      <w:tr w:rsidR="008211B4" w:rsidRPr="00C66D5B" w14:paraId="59F5BC94" w14:textId="77777777" w:rsidTr="006A711D">
        <w:tc>
          <w:tcPr>
            <w:tcW w:w="1844" w:type="dxa"/>
            <w:shd w:val="clear" w:color="auto" w:fill="D1D1D1" w:themeFill="background2" w:themeFillShade="E6"/>
            <w:vAlign w:val="center"/>
          </w:tcPr>
          <w:p w14:paraId="54375569" w14:textId="77777777" w:rsidR="008211B4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/>
              </w:rPr>
              <w:t>Outcomes</w:t>
            </w:r>
          </w:p>
        </w:tc>
        <w:tc>
          <w:tcPr>
            <w:tcW w:w="3543" w:type="dxa"/>
            <w:shd w:val="clear" w:color="auto" w:fill="D1D1D1" w:themeFill="background2" w:themeFillShade="E6"/>
            <w:vAlign w:val="center"/>
          </w:tcPr>
          <w:p w14:paraId="69D479D4" w14:textId="77777777" w:rsidR="008211B4" w:rsidRPr="007A3753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/>
              </w:rPr>
              <w:t>Database</w:t>
            </w:r>
          </w:p>
        </w:tc>
        <w:tc>
          <w:tcPr>
            <w:tcW w:w="5250" w:type="dxa"/>
            <w:shd w:val="clear" w:color="auto" w:fill="D1D1D1" w:themeFill="background2" w:themeFillShade="E6"/>
            <w:vAlign w:val="center"/>
          </w:tcPr>
          <w:p w14:paraId="1752AE4F" w14:textId="77777777" w:rsidR="008211B4" w:rsidRDefault="008211B4" w:rsidP="006A711D">
            <w:pPr>
              <w:jc w:val="center"/>
              <w:rPr>
                <w:rFonts w:cstheme="minorHAnsi"/>
              </w:rPr>
            </w:pPr>
            <w:r w:rsidRPr="009A4409">
              <w:rPr>
                <w:rFonts w:cstheme="minorHAnsi"/>
                <w:b/>
              </w:rPr>
              <w:t>Definition</w:t>
            </w:r>
          </w:p>
        </w:tc>
      </w:tr>
      <w:tr w:rsidR="008211B4" w:rsidRPr="00C66D5B" w14:paraId="40773519" w14:textId="77777777" w:rsidTr="006A711D">
        <w:tc>
          <w:tcPr>
            <w:tcW w:w="1844" w:type="dxa"/>
            <w:vAlign w:val="center"/>
          </w:tcPr>
          <w:p w14:paraId="4350563A" w14:textId="77777777" w:rsidR="008211B4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lang w:eastAsia="en-CA"/>
              </w:rPr>
              <w:t>Intravenous thrombolysis</w:t>
            </w:r>
          </w:p>
        </w:tc>
        <w:tc>
          <w:tcPr>
            <w:tcW w:w="3543" w:type="dxa"/>
            <w:vAlign w:val="center"/>
          </w:tcPr>
          <w:p w14:paraId="7C08CE73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78E51ABE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National Ambulatory Care Reporting System</w:t>
            </w:r>
          </w:p>
          <w:p w14:paraId="083FECBA" w14:textId="77777777" w:rsidR="008211B4" w:rsidRPr="007A3753" w:rsidRDefault="008211B4" w:rsidP="006A711D">
            <w:pPr>
              <w:rPr>
                <w:rFonts w:cstheme="minorHAnsi"/>
                <w:bCs/>
              </w:rPr>
            </w:pPr>
          </w:p>
        </w:tc>
        <w:tc>
          <w:tcPr>
            <w:tcW w:w="5250" w:type="dxa"/>
            <w:vAlign w:val="center"/>
          </w:tcPr>
          <w:p w14:paraId="17695F3C" w14:textId="77777777" w:rsidR="008211B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Patients who received intravenous thrombolysis during the same episode of care among those with ischemic stroke. Reported in Special Project 340 as</w:t>
            </w:r>
            <w:r>
              <w:rPr>
                <w:rFonts w:cstheme="minorHAnsi"/>
              </w:rPr>
              <w:t xml:space="preserve"> </w:t>
            </w:r>
            <w:r w:rsidRPr="009A4409">
              <w:rPr>
                <w:rFonts w:cstheme="minorHAnsi"/>
              </w:rPr>
              <w:t>yes/no variable.</w:t>
            </w:r>
          </w:p>
        </w:tc>
      </w:tr>
      <w:tr w:rsidR="008211B4" w:rsidRPr="00C66D5B" w14:paraId="0013A1C9" w14:textId="77777777" w:rsidTr="006A711D">
        <w:tc>
          <w:tcPr>
            <w:tcW w:w="1844" w:type="dxa"/>
            <w:vAlign w:val="center"/>
          </w:tcPr>
          <w:p w14:paraId="383CD1AE" w14:textId="77777777" w:rsidR="008211B4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lang w:eastAsia="en-CA"/>
              </w:rPr>
              <w:t xml:space="preserve">Endovascular </w:t>
            </w:r>
            <w:r>
              <w:rPr>
                <w:rFonts w:cstheme="minorHAnsi"/>
                <w:lang w:eastAsia="en-CA"/>
              </w:rPr>
              <w:t>thrombectomy</w:t>
            </w:r>
          </w:p>
        </w:tc>
        <w:tc>
          <w:tcPr>
            <w:tcW w:w="3543" w:type="dxa"/>
            <w:vAlign w:val="center"/>
          </w:tcPr>
          <w:p w14:paraId="1044D2A3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3B516333" w14:textId="77777777" w:rsidR="008211B4" w:rsidRPr="007A3753" w:rsidRDefault="008211B4" w:rsidP="006A711D">
            <w:pPr>
              <w:rPr>
                <w:rFonts w:cstheme="minorHAnsi"/>
                <w:bCs/>
              </w:rPr>
            </w:pPr>
          </w:p>
        </w:tc>
        <w:tc>
          <w:tcPr>
            <w:tcW w:w="5250" w:type="dxa"/>
            <w:vAlign w:val="center"/>
          </w:tcPr>
          <w:p w14:paraId="3C5766E8" w14:textId="77777777" w:rsidR="008211B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Patients who were treated with </w:t>
            </w:r>
            <w:r>
              <w:rPr>
                <w:rFonts w:cstheme="minorHAnsi"/>
              </w:rPr>
              <w:t>THROMBECTOMY</w:t>
            </w:r>
            <w:r w:rsidRPr="009A4409">
              <w:rPr>
                <w:rFonts w:cstheme="minorHAnsi"/>
              </w:rPr>
              <w:t xml:space="preserve"> as an inpatient during the same episode of care among those with ischemic stroke. Reported in Special Project 440 as yes/no variable.</w:t>
            </w:r>
          </w:p>
        </w:tc>
      </w:tr>
      <w:tr w:rsidR="008211B4" w:rsidRPr="00C66D5B" w14:paraId="055C1493" w14:textId="77777777" w:rsidTr="006A711D">
        <w:tc>
          <w:tcPr>
            <w:tcW w:w="1844" w:type="dxa"/>
            <w:shd w:val="clear" w:color="auto" w:fill="D9D9D9" w:themeFill="background1" w:themeFillShade="D9"/>
            <w:vAlign w:val="center"/>
          </w:tcPr>
          <w:p w14:paraId="0C3244C9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/>
              </w:rPr>
              <w:t>Covariates</w:t>
            </w:r>
          </w:p>
        </w:tc>
        <w:tc>
          <w:tcPr>
            <w:tcW w:w="3543" w:type="dxa"/>
            <w:shd w:val="clear" w:color="auto" w:fill="D9D9D9" w:themeFill="background1" w:themeFillShade="D9"/>
            <w:vAlign w:val="center"/>
          </w:tcPr>
          <w:p w14:paraId="7F857F4D" w14:textId="77777777" w:rsidR="008211B4" w:rsidRPr="009A4409" w:rsidRDefault="008211B4" w:rsidP="006A711D">
            <w:pPr>
              <w:jc w:val="center"/>
              <w:rPr>
                <w:rFonts w:cstheme="minorHAnsi"/>
              </w:rPr>
            </w:pPr>
            <w:r w:rsidRPr="009A4409">
              <w:rPr>
                <w:rFonts w:cstheme="minorHAnsi"/>
                <w:b/>
              </w:rPr>
              <w:t>Database</w:t>
            </w:r>
          </w:p>
        </w:tc>
        <w:tc>
          <w:tcPr>
            <w:tcW w:w="5250" w:type="dxa"/>
            <w:shd w:val="clear" w:color="auto" w:fill="D9D9D9" w:themeFill="background1" w:themeFillShade="D9"/>
            <w:vAlign w:val="center"/>
          </w:tcPr>
          <w:p w14:paraId="3F71A1E1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/>
              </w:rPr>
              <w:t>Definition</w:t>
            </w:r>
          </w:p>
        </w:tc>
      </w:tr>
      <w:tr w:rsidR="008211B4" w:rsidRPr="00C66D5B" w14:paraId="0AD70C8A" w14:textId="77777777" w:rsidTr="006A711D">
        <w:tc>
          <w:tcPr>
            <w:tcW w:w="1844" w:type="dxa"/>
            <w:vAlign w:val="center"/>
          </w:tcPr>
          <w:p w14:paraId="388E0B18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Age</w:t>
            </w:r>
          </w:p>
        </w:tc>
        <w:tc>
          <w:tcPr>
            <w:tcW w:w="3543" w:type="dxa"/>
            <w:vAlign w:val="center"/>
          </w:tcPr>
          <w:p w14:paraId="3C4C5A55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Registered Persons Database</w:t>
            </w:r>
          </w:p>
        </w:tc>
        <w:tc>
          <w:tcPr>
            <w:tcW w:w="5250" w:type="dxa"/>
            <w:vAlign w:val="center"/>
          </w:tcPr>
          <w:p w14:paraId="583234B6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≥ 18 and &lt; 105 years of age as of index ED visit</w:t>
            </w:r>
          </w:p>
          <w:p w14:paraId="191D0F0C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</w:p>
        </w:tc>
      </w:tr>
      <w:tr w:rsidR="008211B4" w:rsidRPr="00C66D5B" w14:paraId="25279208" w14:textId="77777777" w:rsidTr="006A711D">
        <w:tc>
          <w:tcPr>
            <w:tcW w:w="1844" w:type="dxa"/>
            <w:vAlign w:val="center"/>
          </w:tcPr>
          <w:p w14:paraId="7708C10D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Sex</w:t>
            </w:r>
          </w:p>
        </w:tc>
        <w:tc>
          <w:tcPr>
            <w:tcW w:w="3543" w:type="dxa"/>
            <w:vAlign w:val="center"/>
          </w:tcPr>
          <w:p w14:paraId="25E31566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Registered Persons Database</w:t>
            </w:r>
          </w:p>
        </w:tc>
        <w:tc>
          <w:tcPr>
            <w:tcW w:w="5250" w:type="dxa"/>
            <w:vAlign w:val="center"/>
          </w:tcPr>
          <w:p w14:paraId="13B89F55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Male, Female</w:t>
            </w:r>
          </w:p>
          <w:p w14:paraId="2CC538FA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</w:p>
        </w:tc>
      </w:tr>
      <w:tr w:rsidR="008211B4" w:rsidRPr="00C66D5B" w14:paraId="02E002DD" w14:textId="77777777" w:rsidTr="006A711D">
        <w:tc>
          <w:tcPr>
            <w:tcW w:w="1844" w:type="dxa"/>
            <w:vAlign w:val="center"/>
          </w:tcPr>
          <w:p w14:paraId="7A1A141F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History of stroke</w:t>
            </w:r>
          </w:p>
        </w:tc>
        <w:tc>
          <w:tcPr>
            <w:tcW w:w="3543" w:type="dxa"/>
            <w:vAlign w:val="center"/>
          </w:tcPr>
          <w:p w14:paraId="5582D395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16FBF1BE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</w:p>
        </w:tc>
        <w:tc>
          <w:tcPr>
            <w:tcW w:w="5250" w:type="dxa"/>
            <w:vAlign w:val="center"/>
          </w:tcPr>
          <w:p w14:paraId="5A75CE1A" w14:textId="77777777" w:rsidR="008211B4" w:rsidRDefault="008211B4" w:rsidP="006A711D">
            <w:r>
              <w:t>Lookback to 2002 April,</w:t>
            </w:r>
            <w:r w:rsidDel="00792133">
              <w:t xml:space="preserve"> </w:t>
            </w:r>
            <w:r>
              <w:t>including index hospitalization for p</w:t>
            </w:r>
            <w:r w:rsidRPr="00E23310">
              <w:t>revious hospitalization for ischemic or hemorrhagic stroke</w:t>
            </w:r>
            <w:r>
              <w:t xml:space="preserve"> of any diagnosis type. </w:t>
            </w:r>
          </w:p>
          <w:p w14:paraId="7470B19B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 xml:space="preserve">Ischemic stroke: ICD-10-CA </w:t>
            </w:r>
            <w:r w:rsidRPr="009A4409">
              <w:rPr>
                <w:rFonts w:cstheme="minorHAnsi"/>
              </w:rPr>
              <w:t>I63, I64, H341; ICD-9 434, 436, 362.3 or</w:t>
            </w:r>
          </w:p>
          <w:p w14:paraId="225A724F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Hemorrhagic stroke:</w:t>
            </w:r>
            <w:r w:rsidRPr="009A4409">
              <w:rPr>
                <w:rFonts w:cstheme="minorHAnsi"/>
              </w:rPr>
              <w:t xml:space="preserve"> ICD-10-CA I60, I61; ICD-9 430, 431</w:t>
            </w:r>
          </w:p>
        </w:tc>
      </w:tr>
      <w:tr w:rsidR="008211B4" w:rsidRPr="00C66D5B" w14:paraId="47314CEA" w14:textId="77777777" w:rsidTr="006A711D">
        <w:tc>
          <w:tcPr>
            <w:tcW w:w="1844" w:type="dxa"/>
            <w:vAlign w:val="center"/>
          </w:tcPr>
          <w:p w14:paraId="66DA9AAB" w14:textId="77777777" w:rsidR="008211B4" w:rsidRPr="009A4409" w:rsidRDefault="008211B4" w:rsidP="006A711D">
            <w:pPr>
              <w:jc w:val="center"/>
              <w:rPr>
                <w:rFonts w:cstheme="minorHAnsi"/>
                <w:b/>
              </w:rPr>
            </w:pPr>
            <w:r w:rsidRPr="009A4409">
              <w:rPr>
                <w:rFonts w:cstheme="minorHAnsi"/>
                <w:bCs/>
              </w:rPr>
              <w:t>Atrial fibrillation</w:t>
            </w:r>
          </w:p>
        </w:tc>
        <w:tc>
          <w:tcPr>
            <w:tcW w:w="3543" w:type="dxa"/>
            <w:vAlign w:val="center"/>
          </w:tcPr>
          <w:p w14:paraId="6B6C8FC7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3ED4A73A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National Ambulatory Care Reporting System</w:t>
            </w:r>
          </w:p>
          <w:p w14:paraId="7F201F21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Health Insurance Plan</w:t>
            </w:r>
          </w:p>
          <w:p w14:paraId="0E5724A3" w14:textId="77777777" w:rsidR="008211B4" w:rsidRPr="009A4409" w:rsidRDefault="008211B4" w:rsidP="006A711D">
            <w:pPr>
              <w:rPr>
                <w:rFonts w:cstheme="minorHAnsi"/>
                <w:b/>
              </w:rPr>
            </w:pPr>
          </w:p>
        </w:tc>
        <w:tc>
          <w:tcPr>
            <w:tcW w:w="5250" w:type="dxa"/>
            <w:vAlign w:val="center"/>
          </w:tcPr>
          <w:p w14:paraId="4025270E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6C581382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1 hospitalization or 1 ED visit (ICD-10-CA I48)</w:t>
            </w:r>
          </w:p>
          <w:p w14:paraId="09F150C0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or</w:t>
            </w:r>
          </w:p>
          <w:p w14:paraId="09B3863B" w14:textId="77777777" w:rsidR="008211B4" w:rsidRPr="003E397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4 outpatient claims (ICD-9 427) in a 1-year period</w:t>
            </w:r>
          </w:p>
        </w:tc>
      </w:tr>
      <w:tr w:rsidR="008211B4" w:rsidRPr="00C66D5B" w14:paraId="12F2B962" w14:textId="77777777" w:rsidTr="006A711D">
        <w:tc>
          <w:tcPr>
            <w:tcW w:w="1844" w:type="dxa"/>
            <w:vAlign w:val="center"/>
          </w:tcPr>
          <w:p w14:paraId="496091C9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Diabetes</w:t>
            </w:r>
          </w:p>
        </w:tc>
        <w:tc>
          <w:tcPr>
            <w:tcW w:w="3543" w:type="dxa"/>
            <w:vAlign w:val="center"/>
          </w:tcPr>
          <w:p w14:paraId="18C5B1A0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733C0649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Health Insurance Plan</w:t>
            </w:r>
          </w:p>
          <w:p w14:paraId="60CA2371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Drug Benefit Program</w:t>
            </w:r>
          </w:p>
        </w:tc>
        <w:tc>
          <w:tcPr>
            <w:tcW w:w="5250" w:type="dxa"/>
            <w:vAlign w:val="center"/>
          </w:tcPr>
          <w:p w14:paraId="45BE88BB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3990503D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≥2 outpatient claims (ICD-9 250) in a one-year period, or</w:t>
            </w:r>
          </w:p>
          <w:p w14:paraId="706319FC" w14:textId="77777777" w:rsidR="008211B4" w:rsidRPr="00CE373A" w:rsidRDefault="008211B4" w:rsidP="006A711D">
            <w:pPr>
              <w:rPr>
                <w:rFonts w:cstheme="minorHAnsi"/>
                <w:lang w:val="pt-BR"/>
              </w:rPr>
            </w:pPr>
            <w:r w:rsidRPr="00CE373A">
              <w:rPr>
                <w:rFonts w:cstheme="minorHAnsi"/>
                <w:lang w:val="pt-BR"/>
              </w:rPr>
              <w:lastRenderedPageBreak/>
              <w:t xml:space="preserve">≥1 </w:t>
            </w:r>
            <w:proofErr w:type="spellStart"/>
            <w:r w:rsidRPr="00CE373A">
              <w:rPr>
                <w:rFonts w:cstheme="minorHAnsi"/>
                <w:lang w:val="pt-BR"/>
              </w:rPr>
              <w:t>hospitalization</w:t>
            </w:r>
            <w:proofErr w:type="spellEnd"/>
            <w:r w:rsidRPr="00CE373A">
              <w:rPr>
                <w:rFonts w:cstheme="minorHAnsi"/>
                <w:lang w:val="pt-BR"/>
              </w:rPr>
              <w:t xml:space="preserve"> (ICD-10-CA E10, E11, E13, E14), </w:t>
            </w:r>
            <w:proofErr w:type="spellStart"/>
            <w:r w:rsidRPr="00CE373A">
              <w:rPr>
                <w:rFonts w:cstheme="minorHAnsi"/>
                <w:lang w:val="pt-BR"/>
              </w:rPr>
              <w:t>or</w:t>
            </w:r>
            <w:proofErr w:type="spellEnd"/>
          </w:p>
          <w:p w14:paraId="24E8D2FB" w14:textId="77777777" w:rsidR="008211B4" w:rsidRPr="003E397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≥1 diabetes drug claim in a one-year period</w:t>
            </w:r>
          </w:p>
        </w:tc>
      </w:tr>
      <w:tr w:rsidR="008211B4" w:rsidRPr="00C66D5B" w14:paraId="3411837C" w14:textId="77777777" w:rsidTr="006A711D">
        <w:tc>
          <w:tcPr>
            <w:tcW w:w="1844" w:type="dxa"/>
            <w:vAlign w:val="center"/>
          </w:tcPr>
          <w:p w14:paraId="04BEA20C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lastRenderedPageBreak/>
              <w:t>Hypertension</w:t>
            </w:r>
          </w:p>
        </w:tc>
        <w:tc>
          <w:tcPr>
            <w:tcW w:w="3543" w:type="dxa"/>
            <w:vAlign w:val="center"/>
          </w:tcPr>
          <w:p w14:paraId="205B57BD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6B41BC08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Same Day Surgery Database</w:t>
            </w:r>
          </w:p>
          <w:p w14:paraId="53D77EF5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Health Insurance Plan</w:t>
            </w:r>
          </w:p>
        </w:tc>
        <w:tc>
          <w:tcPr>
            <w:tcW w:w="5250" w:type="dxa"/>
            <w:vAlign w:val="center"/>
          </w:tcPr>
          <w:p w14:paraId="0D2E672E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483911F3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≥2 outpatient claims (ICD-9 401.x, 402.x, 403.x, 404.x, or 405.x) in a two-year period, or</w:t>
            </w:r>
          </w:p>
          <w:p w14:paraId="507260A2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1 outpatient + 1 hospitalization or day surgery record (ICD-10-CA I10.x, I11.x, I12.x, I13.x, or I15.x) in a two-year period, or</w:t>
            </w:r>
          </w:p>
          <w:p w14:paraId="4EF1FA05" w14:textId="77777777" w:rsidR="008211B4" w:rsidRPr="003E397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If no outpatient record is found, ≥1 hospitalization or day surgery record</w:t>
            </w:r>
          </w:p>
        </w:tc>
      </w:tr>
      <w:tr w:rsidR="008211B4" w:rsidRPr="00C66D5B" w14:paraId="68A2ACCA" w14:textId="77777777" w:rsidTr="006A711D">
        <w:tc>
          <w:tcPr>
            <w:tcW w:w="1844" w:type="dxa"/>
            <w:vAlign w:val="center"/>
          </w:tcPr>
          <w:p w14:paraId="1EEDF494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Dyslipidemia</w:t>
            </w:r>
          </w:p>
        </w:tc>
        <w:tc>
          <w:tcPr>
            <w:tcW w:w="3543" w:type="dxa"/>
            <w:vAlign w:val="center"/>
          </w:tcPr>
          <w:p w14:paraId="29CCA503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2AE3365D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Same Day Surgery Database</w:t>
            </w:r>
          </w:p>
          <w:p w14:paraId="69A95231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Ontario Health Insurance Plan</w:t>
            </w:r>
          </w:p>
          <w:p w14:paraId="1FC31BC9" w14:textId="77777777" w:rsidR="008211B4" w:rsidRPr="009A4409" w:rsidRDefault="008211B4" w:rsidP="006A711D">
            <w:pPr>
              <w:rPr>
                <w:rFonts w:cstheme="minorHAnsi"/>
              </w:rPr>
            </w:pPr>
          </w:p>
        </w:tc>
        <w:tc>
          <w:tcPr>
            <w:tcW w:w="5250" w:type="dxa"/>
            <w:vAlign w:val="center"/>
          </w:tcPr>
          <w:p w14:paraId="1B0DBCC6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790FA7BB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iCs/>
              </w:rPr>
              <w:t>1 hospital admission (ICD-9 272 or ICD-10-CA E78 as any diagnosis), or 2 outpatient claims (ICD-9 272) within 2 years, or 1 outpatient claim followed by 1 hospital admission within 2 years</w:t>
            </w:r>
          </w:p>
        </w:tc>
      </w:tr>
      <w:tr w:rsidR="008211B4" w:rsidRPr="00C66D5B" w14:paraId="52CAE881" w14:textId="77777777" w:rsidTr="006A711D">
        <w:tc>
          <w:tcPr>
            <w:tcW w:w="1844" w:type="dxa"/>
            <w:vAlign w:val="center"/>
          </w:tcPr>
          <w:p w14:paraId="43CBA4F6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Coronary artery disease</w:t>
            </w:r>
          </w:p>
        </w:tc>
        <w:tc>
          <w:tcPr>
            <w:tcW w:w="3543" w:type="dxa"/>
            <w:vAlign w:val="center"/>
          </w:tcPr>
          <w:p w14:paraId="76845A90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4E93476A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Same Day Surgery Database</w:t>
            </w:r>
          </w:p>
        </w:tc>
        <w:tc>
          <w:tcPr>
            <w:tcW w:w="5250" w:type="dxa"/>
            <w:vAlign w:val="center"/>
          </w:tcPr>
          <w:p w14:paraId="03278627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1E523513" w14:textId="77777777" w:rsidR="008211B4" w:rsidRPr="00EA4A5E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ICD-10-CA I21, I22, or CCI 1IJ50, 1IJ57GQ, 1IJ54, 1IJ76</w:t>
            </w:r>
          </w:p>
        </w:tc>
      </w:tr>
      <w:tr w:rsidR="008211B4" w:rsidRPr="00C66D5B" w14:paraId="39C218A3" w14:textId="77777777" w:rsidTr="006A711D">
        <w:tc>
          <w:tcPr>
            <w:tcW w:w="1844" w:type="dxa"/>
            <w:vAlign w:val="center"/>
          </w:tcPr>
          <w:p w14:paraId="4D467C19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Peripheral artery disease</w:t>
            </w:r>
          </w:p>
        </w:tc>
        <w:tc>
          <w:tcPr>
            <w:tcW w:w="3543" w:type="dxa"/>
            <w:vAlign w:val="center"/>
          </w:tcPr>
          <w:p w14:paraId="24139FC1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  <w:p w14:paraId="1FE46C55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Same Day Surgery Database</w:t>
            </w:r>
          </w:p>
        </w:tc>
        <w:tc>
          <w:tcPr>
            <w:tcW w:w="5250" w:type="dxa"/>
            <w:vAlign w:val="center"/>
          </w:tcPr>
          <w:p w14:paraId="191CBBB8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Lookback to </w:t>
            </w:r>
            <w:r>
              <w:t>2002 April</w:t>
            </w:r>
            <w:r w:rsidRPr="009A4409">
              <w:rPr>
                <w:rFonts w:cstheme="minorHAnsi"/>
              </w:rPr>
              <w:t>:</w:t>
            </w:r>
          </w:p>
          <w:p w14:paraId="7E5A3637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ICD-10-CA I702, I713, I714, I739, I743, I744 or</w:t>
            </w:r>
          </w:p>
          <w:p w14:paraId="65DEDAE8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CCI 1JE57, 1JE50, 1JE87</w:t>
            </w:r>
          </w:p>
          <w:p w14:paraId="3180EAF2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</w:p>
        </w:tc>
      </w:tr>
      <w:tr w:rsidR="008211B4" w:rsidRPr="00C66D5B" w14:paraId="1DA04292" w14:textId="77777777" w:rsidTr="006A711D">
        <w:tc>
          <w:tcPr>
            <w:tcW w:w="1844" w:type="dxa"/>
            <w:vAlign w:val="center"/>
          </w:tcPr>
          <w:p w14:paraId="6637ED12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Frailty risk score</w:t>
            </w:r>
          </w:p>
        </w:tc>
        <w:tc>
          <w:tcPr>
            <w:tcW w:w="3543" w:type="dxa"/>
            <w:vAlign w:val="center"/>
          </w:tcPr>
          <w:p w14:paraId="0A8EACCD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Discharge Abstract Database</w:t>
            </w:r>
          </w:p>
        </w:tc>
        <w:tc>
          <w:tcPr>
            <w:tcW w:w="5250" w:type="dxa"/>
            <w:vAlign w:val="center"/>
          </w:tcPr>
          <w:p w14:paraId="1E87DF1C" w14:textId="77777777" w:rsidR="008211B4" w:rsidRDefault="008211B4" w:rsidP="006A711D">
            <w:pPr>
              <w:rPr>
                <w:rFonts w:cstheme="minorHAnsi"/>
                <w:bCs/>
              </w:rPr>
            </w:pPr>
            <w:r>
              <w:rPr>
                <w:rFonts w:ascii="Calibri" w:hAnsi="Calibri" w:cs="Calibri"/>
              </w:rPr>
              <w:t>Lookback 2 year i</w:t>
            </w:r>
            <w:r w:rsidRPr="009815A6">
              <w:rPr>
                <w:rFonts w:ascii="Calibri" w:hAnsi="Calibri" w:cs="Calibri"/>
              </w:rPr>
              <w:t>nclud</w:t>
            </w:r>
            <w:r>
              <w:rPr>
                <w:rFonts w:ascii="Calibri" w:hAnsi="Calibri" w:cs="Calibri"/>
              </w:rPr>
              <w:t>ing the</w:t>
            </w:r>
            <w:r w:rsidRPr="009815A6">
              <w:rPr>
                <w:rFonts w:ascii="Calibri" w:hAnsi="Calibri" w:cs="Calibri"/>
              </w:rPr>
              <w:t xml:space="preserve"> index </w:t>
            </w:r>
            <w:r>
              <w:rPr>
                <w:rFonts w:ascii="Calibri" w:hAnsi="Calibri" w:cs="Calibri"/>
              </w:rPr>
              <w:t>hospitalization.</w:t>
            </w:r>
          </w:p>
          <w:p w14:paraId="5D86F635" w14:textId="77777777" w:rsidR="008211B4" w:rsidRPr="003E397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  <w:bCs/>
              </w:rPr>
              <w:t>A weighted risk score calculated for each patient based on previous hospitalization(s) and ICD-10</w:t>
            </w:r>
            <w:r>
              <w:rPr>
                <w:rFonts w:cstheme="minorHAnsi"/>
                <w:bCs/>
              </w:rPr>
              <w:t>-CA</w:t>
            </w:r>
            <w:r w:rsidRPr="009A4409">
              <w:rPr>
                <w:rFonts w:cstheme="minorHAnsi"/>
                <w:bCs/>
              </w:rPr>
              <w:t xml:space="preserve"> codes that are deemed candidate markers of frailty</w:t>
            </w:r>
          </w:p>
        </w:tc>
      </w:tr>
      <w:tr w:rsidR="008211B4" w:rsidRPr="00C66D5B" w14:paraId="7D3C8CBF" w14:textId="77777777" w:rsidTr="006A711D">
        <w:tc>
          <w:tcPr>
            <w:tcW w:w="1844" w:type="dxa"/>
            <w:vAlign w:val="center"/>
          </w:tcPr>
          <w:p w14:paraId="2826A36C" w14:textId="77777777" w:rsidR="008211B4" w:rsidRPr="009A4409" w:rsidRDefault="008211B4" w:rsidP="006A711D">
            <w:pPr>
              <w:jc w:val="center"/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Arrival by ambulance</w:t>
            </w:r>
          </w:p>
        </w:tc>
        <w:tc>
          <w:tcPr>
            <w:tcW w:w="3543" w:type="dxa"/>
            <w:vAlign w:val="center"/>
          </w:tcPr>
          <w:p w14:paraId="6D582B8A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  <w:bCs/>
              </w:rPr>
              <w:t>National Ambulatory Care Reporting System</w:t>
            </w:r>
          </w:p>
        </w:tc>
        <w:tc>
          <w:tcPr>
            <w:tcW w:w="5250" w:type="dxa"/>
            <w:vAlign w:val="center"/>
          </w:tcPr>
          <w:p w14:paraId="6A8B4E02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</w:rPr>
              <w:t xml:space="preserve">Patient was transported to ED by ambulance </w:t>
            </w:r>
            <w:proofErr w:type="gramStart"/>
            <w:r w:rsidRPr="009A4409">
              <w:rPr>
                <w:rFonts w:cstheme="minorHAnsi"/>
              </w:rPr>
              <w:t xml:space="preserve">and </w:t>
            </w:r>
            <w:r>
              <w:rPr>
                <w:rFonts w:cstheme="minorHAnsi"/>
              </w:rPr>
              <w:t xml:space="preserve"> flagged</w:t>
            </w:r>
            <w:proofErr w:type="gramEnd"/>
            <w:r>
              <w:rPr>
                <w:rFonts w:cstheme="minorHAnsi"/>
              </w:rPr>
              <w:t xml:space="preserve"> as </w:t>
            </w:r>
            <w:r w:rsidRPr="009A4409">
              <w:rPr>
                <w:rFonts w:cstheme="minorHAnsi"/>
              </w:rPr>
              <w:t>not in (‘E’,’R’,’O’,’S’), meaning the visit is the first ED visit of the episode</w:t>
            </w:r>
          </w:p>
        </w:tc>
      </w:tr>
      <w:tr w:rsidR="008211B4" w:rsidRPr="00C66D5B" w14:paraId="3F2A0FC8" w14:textId="77777777" w:rsidTr="006A711D">
        <w:tc>
          <w:tcPr>
            <w:tcW w:w="1844" w:type="dxa"/>
            <w:vAlign w:val="center"/>
          </w:tcPr>
          <w:p w14:paraId="16F07C6B" w14:textId="77777777" w:rsidR="008211B4" w:rsidRPr="006060FC" w:rsidRDefault="008211B4" w:rsidP="006A711D">
            <w:pPr>
              <w:jc w:val="center"/>
              <w:rPr>
                <w:rFonts w:cstheme="minorHAnsi"/>
              </w:rPr>
            </w:pPr>
            <w:r w:rsidRPr="006060FC">
              <w:rPr>
                <w:rFonts w:cstheme="minorHAnsi"/>
              </w:rPr>
              <w:t>Community size of the residence</w:t>
            </w:r>
          </w:p>
        </w:tc>
        <w:tc>
          <w:tcPr>
            <w:tcW w:w="3543" w:type="dxa"/>
            <w:vAlign w:val="center"/>
          </w:tcPr>
          <w:p w14:paraId="22E1C01B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Postal Code Conversion File</w:t>
            </w:r>
          </w:p>
        </w:tc>
        <w:tc>
          <w:tcPr>
            <w:tcW w:w="5250" w:type="dxa"/>
            <w:vAlign w:val="center"/>
          </w:tcPr>
          <w:p w14:paraId="49939E3B" w14:textId="77777777" w:rsidR="008211B4" w:rsidRPr="009A4409" w:rsidRDefault="008211B4" w:rsidP="006A711D">
            <w:pPr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  <w:r w:rsidRPr="00D0431C">
              <w:rPr>
                <w:rFonts w:cstheme="minorHAnsi"/>
              </w:rPr>
              <w:t>arge urban [&gt;100,000 population], medium urban [10,000-100,000 population], or small town [&lt; 10,000 population]</w:t>
            </w:r>
          </w:p>
        </w:tc>
      </w:tr>
      <w:tr w:rsidR="008211B4" w:rsidRPr="00C66D5B" w14:paraId="100CC62B" w14:textId="77777777" w:rsidTr="006A711D">
        <w:tc>
          <w:tcPr>
            <w:tcW w:w="1844" w:type="dxa"/>
            <w:vAlign w:val="center"/>
          </w:tcPr>
          <w:p w14:paraId="4BAC3709" w14:textId="77777777" w:rsidR="008211B4" w:rsidRPr="006060FC" w:rsidRDefault="008211B4" w:rsidP="006A711D">
            <w:pPr>
              <w:jc w:val="center"/>
              <w:rPr>
                <w:rFonts w:cstheme="minorHAnsi"/>
              </w:rPr>
            </w:pPr>
            <w:r w:rsidRPr="009A4409">
              <w:rPr>
                <w:rFonts w:cstheme="minorHAnsi"/>
                <w:bCs/>
              </w:rPr>
              <w:t>Neighborhood material deprivation index</w:t>
            </w:r>
          </w:p>
        </w:tc>
        <w:tc>
          <w:tcPr>
            <w:tcW w:w="3543" w:type="dxa"/>
            <w:vAlign w:val="center"/>
          </w:tcPr>
          <w:p w14:paraId="28C823C5" w14:textId="77777777" w:rsidR="008211B4" w:rsidRPr="009A4409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Statistics Canada Census</w:t>
            </w:r>
          </w:p>
          <w:p w14:paraId="21110BB1" w14:textId="77777777" w:rsidR="008211B4" w:rsidRDefault="008211B4" w:rsidP="006A711D">
            <w:pPr>
              <w:rPr>
                <w:rFonts w:cstheme="minorHAnsi"/>
                <w:bCs/>
              </w:rPr>
            </w:pPr>
            <w:r w:rsidRPr="009A4409">
              <w:rPr>
                <w:rFonts w:cstheme="minorHAnsi"/>
                <w:bCs/>
              </w:rPr>
              <w:t>Postal Code Conversion File</w:t>
            </w:r>
          </w:p>
        </w:tc>
        <w:tc>
          <w:tcPr>
            <w:tcW w:w="5250" w:type="dxa"/>
            <w:vAlign w:val="center"/>
          </w:tcPr>
          <w:p w14:paraId="25FA57F3" w14:textId="77777777" w:rsidR="008211B4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>Using the smallest standard geographic area for which census data are disseminated (400-700 persons) to identify a person’s neighborhood of residence and the neighborhood’s material deprivation index</w:t>
            </w:r>
          </w:p>
        </w:tc>
      </w:tr>
      <w:tr w:rsidR="008211B4" w:rsidRPr="00C66D5B" w14:paraId="0C7323D7" w14:textId="77777777" w:rsidTr="006A711D">
        <w:tc>
          <w:tcPr>
            <w:tcW w:w="10637" w:type="dxa"/>
            <w:gridSpan w:val="3"/>
          </w:tcPr>
          <w:p w14:paraId="551B1EA3" w14:textId="77777777" w:rsidR="008211B4" w:rsidRPr="009A4409" w:rsidRDefault="008211B4" w:rsidP="006A711D">
            <w:pPr>
              <w:rPr>
                <w:rFonts w:cstheme="minorHAnsi"/>
              </w:rPr>
            </w:pPr>
            <w:r w:rsidRPr="009A4409">
              <w:rPr>
                <w:rFonts w:cstheme="minorHAnsi"/>
              </w:rPr>
              <w:t xml:space="preserve">ICD: International Classification of Diseases, CCI: Canadian classification of health interventions, CCP: </w:t>
            </w:r>
            <w:r w:rsidRPr="009A4409">
              <w:rPr>
                <w:rFonts w:cstheme="minorHAnsi"/>
                <w:bCs/>
              </w:rPr>
              <w:t xml:space="preserve">Canadian classification of procedures </w:t>
            </w:r>
          </w:p>
        </w:tc>
      </w:tr>
    </w:tbl>
    <w:p w14:paraId="03FCE04A" w14:textId="77777777" w:rsidR="008211B4" w:rsidRDefault="008211B4" w:rsidP="006163E6">
      <w:pPr>
        <w:spacing w:line="480" w:lineRule="auto"/>
        <w:rPr>
          <w:color w:val="000000" w:themeColor="text1"/>
        </w:rPr>
      </w:pPr>
    </w:p>
    <w:p w14:paraId="181CF8B4" w14:textId="24E30E31" w:rsidR="00265980" w:rsidRDefault="00265980"/>
    <w:sectPr w:rsidR="00265980" w:rsidSect="005277F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3E6"/>
    <w:rsid w:val="00150088"/>
    <w:rsid w:val="00265980"/>
    <w:rsid w:val="003A39BA"/>
    <w:rsid w:val="005277F7"/>
    <w:rsid w:val="005A5F23"/>
    <w:rsid w:val="005C0558"/>
    <w:rsid w:val="006163E6"/>
    <w:rsid w:val="00694A3F"/>
    <w:rsid w:val="008211B4"/>
    <w:rsid w:val="0085245B"/>
    <w:rsid w:val="00861093"/>
    <w:rsid w:val="008968F6"/>
    <w:rsid w:val="008B05B5"/>
    <w:rsid w:val="00914578"/>
    <w:rsid w:val="00C33DFB"/>
    <w:rsid w:val="00DB1384"/>
    <w:rsid w:val="00E92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F98C12"/>
  <w14:defaultImageDpi w14:val="32767"/>
  <w15:chartTrackingRefBased/>
  <w15:docId w15:val="{5F56D900-0AE9-BB40-BFCD-3C820463B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6163E6"/>
  </w:style>
  <w:style w:type="paragraph" w:styleId="Heading1">
    <w:name w:val="heading 1"/>
    <w:basedOn w:val="Normal"/>
    <w:next w:val="Normal"/>
    <w:link w:val="Heading1Char"/>
    <w:uiPriority w:val="9"/>
    <w:qFormat/>
    <w:rsid w:val="006163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63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63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63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63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63E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63E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63E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63E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63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63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63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63E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63E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63E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63E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63E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63E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63E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63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63E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63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63E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63E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63E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63E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63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63E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63E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211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679</Words>
  <Characters>3871</Characters>
  <Application>Microsoft Office Word</Application>
  <DocSecurity>0</DocSecurity>
  <Lines>32</Lines>
  <Paragraphs>9</Paragraphs>
  <ScaleCrop>false</ScaleCrop>
  <Company/>
  <LinksUpToDate>false</LinksUpToDate>
  <CharactersWithSpaces>4541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Foad Taghdiri</dc:creator>
  <cp:keywords/>
  <dc:description/>
  <cp:lastModifiedBy>Foad Taghdiri</cp:lastModifiedBy>
  <cp:revision>5</cp:revision>
  <dcterms:created xsi:type="dcterms:W3CDTF">2024-06-26T17:14:00Z</dcterms:created>
  <dcterms:modified xsi:type="dcterms:W3CDTF">2024-10-15T20:43:00Z</dcterms:modified>
</cp:coreProperties>
</file>