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FC44" w14:textId="4411C5BA" w:rsidR="00035233" w:rsidRPr="00505F38" w:rsidRDefault="00505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Supplementary Table 1. </w:t>
      </w:r>
      <w:r w:rsidR="005D4EF7">
        <w:rPr>
          <w:rFonts w:ascii="Arial" w:hAnsi="Arial" w:cs="Arial"/>
          <w:sz w:val="22"/>
          <w:szCs w:val="22"/>
        </w:rPr>
        <w:t xml:space="preserve">Case definitions </w:t>
      </w:r>
      <w:r w:rsidR="00E45A94">
        <w:rPr>
          <w:rFonts w:ascii="Arial" w:hAnsi="Arial" w:cs="Arial"/>
          <w:sz w:val="22"/>
          <w:szCs w:val="22"/>
        </w:rPr>
        <w:t xml:space="preserve">used to identify individuals with stroke and </w:t>
      </w:r>
      <w:r w:rsidR="005D4EF7">
        <w:rPr>
          <w:rFonts w:ascii="Arial" w:hAnsi="Arial" w:cs="Arial"/>
          <w:sz w:val="22"/>
          <w:szCs w:val="22"/>
        </w:rPr>
        <w:t>treatments for spasticity.</w:t>
      </w:r>
    </w:p>
    <w:p w14:paraId="43D96AC9" w14:textId="77777777" w:rsidR="00505F38" w:rsidRPr="00505F38" w:rsidRDefault="00505F38">
      <w:pPr>
        <w:rPr>
          <w:rFonts w:ascii="Arial" w:hAnsi="Arial" w:cs="Arial"/>
          <w:sz w:val="22"/>
          <w:szCs w:val="22"/>
        </w:rPr>
      </w:pPr>
    </w:p>
    <w:tbl>
      <w:tblPr>
        <w:tblW w:w="13144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404"/>
        <w:gridCol w:w="5850"/>
      </w:tblGrid>
      <w:tr w:rsidR="00910E29" w:rsidRPr="00B775D8" w14:paraId="6527B559" w14:textId="77777777" w:rsidTr="00910E29">
        <w:trPr>
          <w:trHeight w:val="386"/>
        </w:trPr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7E3DA54" w14:textId="6CBCC332" w:rsidR="000A0ACF" w:rsidRPr="00910E29" w:rsidRDefault="000A0ACF" w:rsidP="00910E29">
            <w:pPr>
              <w:ind w:right="-199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10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Condition / Treatment</w:t>
            </w:r>
          </w:p>
        </w:tc>
        <w:tc>
          <w:tcPr>
            <w:tcW w:w="5404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B3B9A1D" w14:textId="7C8417EC" w:rsidR="000A0ACF" w:rsidRPr="00910E29" w:rsidRDefault="000A0ACF" w:rsidP="00551FC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10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Algorithm</w:t>
            </w:r>
          </w:p>
        </w:tc>
        <w:tc>
          <w:tcPr>
            <w:tcW w:w="5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8941CF4" w14:textId="616D4613" w:rsidR="000A0ACF" w:rsidRPr="00910E29" w:rsidRDefault="000A0ACF" w:rsidP="00551FC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10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Codes</w:t>
            </w:r>
          </w:p>
        </w:tc>
      </w:tr>
      <w:tr w:rsidR="00551FCB" w:rsidRPr="00B775D8" w14:paraId="038FFF05" w14:textId="77777777" w:rsidTr="00910E29">
        <w:trPr>
          <w:trHeight w:val="346"/>
        </w:trPr>
        <w:tc>
          <w:tcPr>
            <w:tcW w:w="18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1FADCEA" w14:textId="26D84530" w:rsidR="00551FCB" w:rsidRPr="00910E29" w:rsidRDefault="00551FCB" w:rsidP="000A0AC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910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Health condition</w:t>
            </w:r>
          </w:p>
        </w:tc>
        <w:tc>
          <w:tcPr>
            <w:tcW w:w="540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FF9F8A3" w14:textId="77777777" w:rsidR="00551FCB" w:rsidRPr="00DA42F7" w:rsidRDefault="00551FCB" w:rsidP="00D13AC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3C47A2D" w14:textId="77777777" w:rsidR="00551FCB" w:rsidRPr="00DA42F7" w:rsidRDefault="00551FCB" w:rsidP="00D13AC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10E29" w:rsidRPr="00B775D8" w14:paraId="0618D01B" w14:textId="77777777" w:rsidTr="00910E29">
        <w:trPr>
          <w:trHeight w:val="449"/>
        </w:trPr>
        <w:tc>
          <w:tcPr>
            <w:tcW w:w="1890" w:type="dxa"/>
            <w:shd w:val="clear" w:color="000000" w:fill="FFFFFF"/>
            <w:noWrap/>
            <w:vAlign w:val="center"/>
          </w:tcPr>
          <w:p w14:paraId="4194CC81" w14:textId="47FD75BE" w:rsidR="000A0ACF" w:rsidRPr="00DA42F7" w:rsidRDefault="000A0ACF" w:rsidP="000A0AC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Stroke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04763D12" w14:textId="44D33C3E" w:rsidR="000A0ACF" w:rsidRPr="00DA42F7" w:rsidRDefault="00551FCB" w:rsidP="00D13AC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Had ≥1 hospitalization or emergency department visit with a stroke code in the most responsible diagnostic field.</w:t>
            </w:r>
          </w:p>
        </w:tc>
        <w:tc>
          <w:tcPr>
            <w:tcW w:w="5850" w:type="dxa"/>
            <w:shd w:val="clear" w:color="000000" w:fill="FFFFFF"/>
            <w:noWrap/>
            <w:vAlign w:val="center"/>
          </w:tcPr>
          <w:p w14:paraId="4711849A" w14:textId="4AEBE581" w:rsidR="000A0ACF" w:rsidRPr="00DA42F7" w:rsidRDefault="00551FCB" w:rsidP="00D13AC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ICD-10-CA: G08, I60,</w:t>
            </w:r>
            <w:r w:rsidR="005761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I61,</w:t>
            </w: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I62.9, I63, I64, I67.6, or H34.1</w:t>
            </w:r>
          </w:p>
        </w:tc>
      </w:tr>
      <w:tr w:rsidR="00551FCB" w:rsidRPr="00B775D8" w14:paraId="588F8A29" w14:textId="77777777" w:rsidTr="004316FB">
        <w:trPr>
          <w:trHeight w:val="342"/>
        </w:trPr>
        <w:tc>
          <w:tcPr>
            <w:tcW w:w="1890" w:type="dxa"/>
            <w:shd w:val="clear" w:color="000000" w:fill="FFFFFF"/>
            <w:noWrap/>
            <w:vAlign w:val="center"/>
          </w:tcPr>
          <w:p w14:paraId="7E811C13" w14:textId="77777777" w:rsidR="00551FCB" w:rsidRPr="00DA42F7" w:rsidRDefault="00551FCB" w:rsidP="000A0AC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3A1F04F5" w14:textId="77777777" w:rsidR="00551FCB" w:rsidRPr="00DA42F7" w:rsidRDefault="00551FCB" w:rsidP="00D13AC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50" w:type="dxa"/>
            <w:shd w:val="clear" w:color="000000" w:fill="FFFFFF"/>
            <w:noWrap/>
            <w:vAlign w:val="center"/>
          </w:tcPr>
          <w:p w14:paraId="530DEED0" w14:textId="77777777" w:rsidR="00551FCB" w:rsidRPr="00DA42F7" w:rsidRDefault="00551FCB" w:rsidP="00D13AC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51FCB" w:rsidRPr="00B775D8" w14:paraId="3B15E0EC" w14:textId="77777777" w:rsidTr="004316FB">
        <w:trPr>
          <w:trHeight w:val="70"/>
        </w:trPr>
        <w:tc>
          <w:tcPr>
            <w:tcW w:w="7294" w:type="dxa"/>
            <w:gridSpan w:val="2"/>
            <w:shd w:val="clear" w:color="000000" w:fill="FFFFFF"/>
            <w:noWrap/>
            <w:vAlign w:val="center"/>
          </w:tcPr>
          <w:p w14:paraId="48AFF0EF" w14:textId="0C8EB017" w:rsidR="00551FCB" w:rsidRPr="00910E29" w:rsidRDefault="00551FCB" w:rsidP="00551FC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10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Spasticity treatment</w:t>
            </w:r>
          </w:p>
        </w:tc>
        <w:tc>
          <w:tcPr>
            <w:tcW w:w="5850" w:type="dxa"/>
            <w:shd w:val="clear" w:color="000000" w:fill="FFFFFF"/>
            <w:noWrap/>
            <w:vAlign w:val="center"/>
          </w:tcPr>
          <w:p w14:paraId="20BAD8A4" w14:textId="77777777" w:rsidR="00551FCB" w:rsidRPr="00DA42F7" w:rsidRDefault="00551FCB" w:rsidP="00551FCB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51FCB" w:rsidRPr="00B775D8" w14:paraId="2A4E891A" w14:textId="77777777" w:rsidTr="00910E29">
        <w:trPr>
          <w:trHeight w:val="1151"/>
        </w:trPr>
        <w:tc>
          <w:tcPr>
            <w:tcW w:w="1890" w:type="dxa"/>
            <w:shd w:val="clear" w:color="000000" w:fill="FFFFFF"/>
            <w:noWrap/>
            <w:vAlign w:val="center"/>
          </w:tcPr>
          <w:p w14:paraId="4B21E081" w14:textId="2329FEF9" w:rsidR="00551FCB" w:rsidRPr="00DA42F7" w:rsidRDefault="00551FCB" w:rsidP="00551FCB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Baclofen, oral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6DAE8748" w14:textId="4E30F729" w:rsidR="00551FCB" w:rsidRPr="00DA42F7" w:rsidRDefault="00551FCB" w:rsidP="00551FCB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Had ≥1 dispensation for oral baclofen from an outpatient pharmacy.</w:t>
            </w:r>
          </w:p>
        </w:tc>
        <w:tc>
          <w:tcPr>
            <w:tcW w:w="5850" w:type="dxa"/>
            <w:shd w:val="clear" w:color="000000" w:fill="FFFFFF"/>
            <w:noWrap/>
            <w:vAlign w:val="center"/>
          </w:tcPr>
          <w:p w14:paraId="5B88CDDD" w14:textId="307A2630" w:rsidR="00551FCB" w:rsidRPr="00DA42F7" w:rsidRDefault="00150EEF" w:rsidP="00551FCB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DIN: 00455881, 00636576, 02063735, 02063743, 02084449, 02084457, 02088398, 02088401, 02136090, 02136104, 02138271, 02138298, 02139332, 02139391, 02147556, 02147564, 02152584, 02152592, 02229936, 02229937, 02230033, 02230034, 02236507, 02236508, 02236963, 02236964, 02238445, 02238446, 02239075, 02239076, 02242150, 02242151, 02244644, 02244645, 02287021, 02287048, 02371413, 02371421, 02442140, 02442159</w:t>
            </w:r>
          </w:p>
        </w:tc>
      </w:tr>
      <w:tr w:rsidR="00606A55" w:rsidRPr="00B775D8" w14:paraId="38EB7C9D" w14:textId="77777777" w:rsidTr="00910E29">
        <w:trPr>
          <w:trHeight w:val="44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67FFDF55" w14:textId="706124D6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Baclofen, intrathecal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5E27C147" w14:textId="6002D6E1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Had ≥1 dispensation for intrathecal baclofen from an outpatient pharmacy.</w:t>
            </w:r>
          </w:p>
        </w:tc>
        <w:tc>
          <w:tcPr>
            <w:tcW w:w="5850" w:type="dxa"/>
            <w:shd w:val="clear" w:color="000000" w:fill="FFFFFF"/>
            <w:noWrap/>
            <w:vAlign w:val="center"/>
          </w:tcPr>
          <w:p w14:paraId="362EB53C" w14:textId="37AAC48C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DIN: 02413620, 02413639, 02413647, 02457059, 02457067, 02457075</w:t>
            </w:r>
            <w:r w:rsidR="00370FD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,</w:t>
            </w: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02485494, 02485508, 02485516, 02131048, 02131056, 02131064</w:t>
            </w:r>
          </w:p>
        </w:tc>
      </w:tr>
      <w:tr w:rsidR="00910E29" w:rsidRPr="00B775D8" w14:paraId="54463BD9" w14:textId="77777777" w:rsidTr="00910E29">
        <w:trPr>
          <w:trHeight w:val="44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293CB169" w14:textId="2E085580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Tizanidine, oral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186ED067" w14:textId="10C4DB55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Had ≥1 dispensation for oral tizanidine from an outpatient pharmacy.</w:t>
            </w:r>
          </w:p>
        </w:tc>
        <w:tc>
          <w:tcPr>
            <w:tcW w:w="5850" w:type="dxa"/>
            <w:shd w:val="clear" w:color="000000" w:fill="FFFFFF"/>
            <w:noWrap/>
            <w:vAlign w:val="center"/>
          </w:tcPr>
          <w:p w14:paraId="6E3DCF4A" w14:textId="6B1EF875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DIN: 02272059, 02239170, 02259885, 02259893</w:t>
            </w:r>
          </w:p>
        </w:tc>
      </w:tr>
      <w:tr w:rsidR="00910E29" w:rsidRPr="00B775D8" w14:paraId="3C85E2AB" w14:textId="77777777" w:rsidTr="00910E29">
        <w:trPr>
          <w:trHeight w:val="44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41E13ECB" w14:textId="39327277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Dantrolene, oral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7932C164" w14:textId="4A682E77" w:rsidR="00606A55" w:rsidRPr="00DA42F7" w:rsidRDefault="00606A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Had ≥1 dispensation for oral dantrolene from an outpatient pharmacy.</w:t>
            </w:r>
          </w:p>
        </w:tc>
        <w:tc>
          <w:tcPr>
            <w:tcW w:w="5850" w:type="dxa"/>
            <w:shd w:val="clear" w:color="000000" w:fill="FFFFFF"/>
            <w:vAlign w:val="center"/>
          </w:tcPr>
          <w:p w14:paraId="2B321CC1" w14:textId="6E2A6EC9" w:rsidR="00606A55" w:rsidRPr="00DA42F7" w:rsidRDefault="00034DE1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DIN: </w:t>
            </w:r>
            <w:r w:rsidR="00606A55"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00452521, 00452513, 01997602, 01997653</w:t>
            </w:r>
          </w:p>
        </w:tc>
      </w:tr>
      <w:tr w:rsidR="00910E29" w:rsidRPr="00B775D8" w14:paraId="67AD3CDF" w14:textId="77777777" w:rsidTr="00910E29">
        <w:trPr>
          <w:trHeight w:val="1224"/>
        </w:trPr>
        <w:tc>
          <w:tcPr>
            <w:tcW w:w="1890" w:type="dxa"/>
            <w:shd w:val="clear" w:color="000000" w:fill="FFFFFF"/>
            <w:noWrap/>
            <w:vAlign w:val="center"/>
          </w:tcPr>
          <w:p w14:paraId="279047C2" w14:textId="58416DC7" w:rsidR="00606A55" w:rsidRPr="00DA42F7" w:rsidRDefault="00882A80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Chemodenervation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651DAC13" w14:textId="29E541D3" w:rsidR="00606A55" w:rsidRPr="00DA42F7" w:rsidRDefault="00882A80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Had </w:t>
            </w:r>
            <w:r w:rsidR="006B77A7"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≥1</w:t>
            </w: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health service procedure code for the injection of botulinum A toxin for the treatment of spasticity due to upper motor neuron injury or disease OR dispensation for botulinum toxin </w:t>
            </w:r>
            <w:r w:rsidR="006B77A7"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from an outpatient community pharmacy </w:t>
            </w: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and no health service procedure code for the injection of botulinum toxin for other conditions occurring on or within 7-days after the dispensation.</w:t>
            </w:r>
          </w:p>
        </w:tc>
        <w:tc>
          <w:tcPr>
            <w:tcW w:w="5850" w:type="dxa"/>
            <w:shd w:val="clear" w:color="000000" w:fill="FFFFFF"/>
            <w:noWrap/>
            <w:vAlign w:val="center"/>
          </w:tcPr>
          <w:p w14:paraId="3E5F437F" w14:textId="1599E5B8" w:rsidR="00606A55" w:rsidRPr="00B850A9" w:rsidRDefault="006B77A7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50A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Procedure code: 13.59K; Not procedure code: 13.59E, 13.59F, 13.59L, 13.59N, 13.59O, 23.99D, 43.0A, or 43.0B; DIN: 01981501, 02456117, 02460203, 02324032, 02371081</w:t>
            </w:r>
          </w:p>
        </w:tc>
      </w:tr>
      <w:tr w:rsidR="00387C34" w:rsidRPr="00B775D8" w14:paraId="585C57EA" w14:textId="77777777" w:rsidTr="00910E29">
        <w:trPr>
          <w:trHeight w:val="845"/>
        </w:trPr>
        <w:tc>
          <w:tcPr>
            <w:tcW w:w="1890" w:type="dxa"/>
            <w:shd w:val="clear" w:color="000000" w:fill="FFFFFF"/>
            <w:noWrap/>
            <w:vAlign w:val="center"/>
          </w:tcPr>
          <w:p w14:paraId="5CB8E8AB" w14:textId="741251CD" w:rsidR="00387C34" w:rsidRPr="00DA42F7" w:rsidRDefault="00387C34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Spasticity clinic</w:t>
            </w:r>
            <w:r w:rsidR="00DA42F7"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visit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3CC2C6D5" w14:textId="09A83F95" w:rsidR="00387C34" w:rsidRPr="00DA42F7" w:rsidRDefault="00807555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1261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Initial treatment: first of</w:t>
            </w:r>
            <w:r w:rsidR="00063C6B" w:rsidRPr="00D1261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≥2 visits to a</w:t>
            </w:r>
            <w:r w:rsidR="00D12612" w:rsidRPr="00D1261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n institution-based spasticity </w:t>
            </w:r>
            <w:r w:rsidR="00063C6B" w:rsidRPr="00D1261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clinic</w:t>
            </w:r>
            <w:r w:rsidR="00D12612" w:rsidRPr="00D1261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in Calgary or Edmonton</w:t>
            </w:r>
            <w:r w:rsidR="00B455A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with no visit(s) occurring during the 2-years before the stroke</w:t>
            </w:r>
            <w:r w:rsidRPr="00D1261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; after post-stroke treatment initiation: had ≥1 visit to a spasticity clinic</w:t>
            </w:r>
            <w:r w:rsidR="00063C6B" w:rsidRPr="00D1261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5850" w:type="dxa"/>
            <w:shd w:val="clear" w:color="000000" w:fill="FFFFFF"/>
            <w:vAlign w:val="center"/>
          </w:tcPr>
          <w:p w14:paraId="1752A3A3" w14:textId="5F2B132E" w:rsidR="00387C34" w:rsidRPr="00B850A9" w:rsidRDefault="00F40B09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Visits were identified </w:t>
            </w:r>
            <w:r w:rsidR="00660793">
              <w:rPr>
                <w:rFonts w:ascii="Arial" w:hAnsi="Arial" w:cs="Arial"/>
                <w:sz w:val="16"/>
                <w:szCs w:val="16"/>
              </w:rPr>
              <w:t>from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793">
              <w:rPr>
                <w:rFonts w:ascii="Arial" w:hAnsi="Arial" w:cs="Arial"/>
                <w:sz w:val="16"/>
                <w:szCs w:val="16"/>
              </w:rPr>
              <w:t>scheduling software data (</w:t>
            </w:r>
            <w:r w:rsidR="00B850A9" w:rsidRPr="00B850A9">
              <w:rPr>
                <w:rFonts w:ascii="Arial" w:hAnsi="Arial" w:cs="Arial"/>
                <w:sz w:val="16"/>
                <w:szCs w:val="16"/>
              </w:rPr>
              <w:t>Millennium Scheduler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B850A9" w:rsidRPr="00B850A9">
              <w:rPr>
                <w:rFonts w:ascii="Arial" w:hAnsi="Arial" w:cs="Arial"/>
                <w:sz w:val="16"/>
                <w:szCs w:val="16"/>
              </w:rPr>
              <w:t xml:space="preserve">Virtual Address </w:t>
            </w:r>
            <w:proofErr w:type="spellStart"/>
            <w:r w:rsidR="00B850A9" w:rsidRPr="00B850A9">
              <w:rPr>
                <w:rFonts w:ascii="Arial" w:hAnsi="Arial" w:cs="Arial"/>
                <w:sz w:val="16"/>
                <w:szCs w:val="16"/>
              </w:rPr>
              <w:t>eXention</w:t>
            </w:r>
            <w:proofErr w:type="spellEnd"/>
            <w:r w:rsidR="00660793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3D1D84" w:rsidRPr="00B775D8" w14:paraId="51FF1D1D" w14:textId="77777777" w:rsidTr="00910E29">
        <w:trPr>
          <w:trHeight w:val="845"/>
        </w:trPr>
        <w:tc>
          <w:tcPr>
            <w:tcW w:w="1890" w:type="dxa"/>
            <w:shd w:val="clear" w:color="000000" w:fill="FFFFFF"/>
            <w:noWrap/>
            <w:vAlign w:val="center"/>
          </w:tcPr>
          <w:p w14:paraId="70584DBC" w14:textId="3D53E3DD" w:rsidR="003D1D84" w:rsidRPr="00DA42F7" w:rsidRDefault="003D1D84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Surgical intervention</w:t>
            </w:r>
          </w:p>
        </w:tc>
        <w:tc>
          <w:tcPr>
            <w:tcW w:w="5404" w:type="dxa"/>
            <w:shd w:val="clear" w:color="000000" w:fill="FFFFFF"/>
            <w:noWrap/>
            <w:vAlign w:val="center"/>
          </w:tcPr>
          <w:p w14:paraId="06AB1B50" w14:textId="5772A2B8" w:rsidR="003D1D84" w:rsidRPr="00DA42F7" w:rsidRDefault="003D1D84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Had ≥1 health service procedure code for tendon lengthening or shortening, gastrosoleus slide</w:t>
            </w:r>
            <w:r w:rsidR="00B03D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,</w:t>
            </w: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="00B03D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Pr="00DA42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distal knee transfer or transplantation of tendon.</w:t>
            </w:r>
          </w:p>
        </w:tc>
        <w:tc>
          <w:tcPr>
            <w:tcW w:w="5850" w:type="dxa"/>
            <w:shd w:val="clear" w:color="000000" w:fill="FFFFFF"/>
            <w:vAlign w:val="center"/>
          </w:tcPr>
          <w:p w14:paraId="6D4382D5" w14:textId="4E22D6D8" w:rsidR="003D1D84" w:rsidRPr="00B850A9" w:rsidRDefault="003D1D84" w:rsidP="00606A5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50A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Procedure code: 95.76A, 95.76C, and 95.65F. As these codes are not specific for spasticity, surgical intervention was only identified among those who initiated spasticity treatment with baclofen, tizanidine, dantrolene, focal botulinum toxin, or a specialized spasticity tertiary clinic visit.</w:t>
            </w:r>
          </w:p>
        </w:tc>
      </w:tr>
    </w:tbl>
    <w:p w14:paraId="2CEADD44" w14:textId="3A700860" w:rsidR="007D416F" w:rsidRDefault="007A3312" w:rsidP="00F908EB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that p</w:t>
      </w:r>
      <w:r w:rsidR="00063C6B">
        <w:rPr>
          <w:rFonts w:ascii="Arial" w:hAnsi="Arial" w:cs="Arial"/>
          <w:sz w:val="22"/>
          <w:szCs w:val="22"/>
        </w:rPr>
        <w:t xml:space="preserve">henol/alcohol nerve block injections were not included as a spasticity treatment because they are not used in the contemporary era of spasticity treatment, and there is no reliable administrative based method for the identification of this treatment. </w:t>
      </w:r>
      <w:r w:rsidR="008C6F5F" w:rsidRPr="008C6F5F">
        <w:rPr>
          <w:rFonts w:ascii="Arial" w:hAnsi="Arial" w:cs="Arial"/>
          <w:sz w:val="22"/>
          <w:szCs w:val="22"/>
        </w:rPr>
        <w:t xml:space="preserve">Abbreviations: </w:t>
      </w:r>
      <w:r w:rsidR="00034DE1">
        <w:rPr>
          <w:rFonts w:ascii="Arial" w:hAnsi="Arial" w:cs="Arial"/>
          <w:sz w:val="22"/>
          <w:szCs w:val="22"/>
        </w:rPr>
        <w:t xml:space="preserve">DIN = drug identification number; ICD-10-CA = </w:t>
      </w:r>
      <w:r w:rsidR="00165E19">
        <w:rPr>
          <w:rFonts w:ascii="Arial" w:hAnsi="Arial" w:cs="Arial"/>
          <w:sz w:val="22"/>
          <w:szCs w:val="22"/>
        </w:rPr>
        <w:t>I</w:t>
      </w:r>
      <w:r w:rsidR="00034DE1">
        <w:rPr>
          <w:rFonts w:ascii="Arial" w:hAnsi="Arial" w:cs="Arial"/>
          <w:sz w:val="22"/>
          <w:szCs w:val="22"/>
        </w:rPr>
        <w:t xml:space="preserve">nternational </w:t>
      </w:r>
      <w:r w:rsidR="00165E19">
        <w:rPr>
          <w:rFonts w:ascii="Arial" w:hAnsi="Arial" w:cs="Arial"/>
          <w:sz w:val="22"/>
          <w:szCs w:val="22"/>
        </w:rPr>
        <w:t>C</w:t>
      </w:r>
      <w:r w:rsidR="00034DE1">
        <w:rPr>
          <w:rFonts w:ascii="Arial" w:hAnsi="Arial" w:cs="Arial"/>
          <w:sz w:val="22"/>
          <w:szCs w:val="22"/>
        </w:rPr>
        <w:t xml:space="preserve">lassification of </w:t>
      </w:r>
      <w:r w:rsidR="00165E19">
        <w:rPr>
          <w:rFonts w:ascii="Arial" w:hAnsi="Arial" w:cs="Arial"/>
          <w:sz w:val="22"/>
          <w:szCs w:val="22"/>
        </w:rPr>
        <w:t>D</w:t>
      </w:r>
      <w:r w:rsidR="00034DE1">
        <w:rPr>
          <w:rFonts w:ascii="Arial" w:hAnsi="Arial" w:cs="Arial"/>
          <w:sz w:val="22"/>
          <w:szCs w:val="22"/>
        </w:rPr>
        <w:t>isease</w:t>
      </w:r>
      <w:r w:rsidR="00165E19">
        <w:rPr>
          <w:rFonts w:ascii="Arial" w:hAnsi="Arial" w:cs="Arial"/>
          <w:sz w:val="22"/>
          <w:szCs w:val="22"/>
        </w:rPr>
        <w:t xml:space="preserve"> - version 10 - Canadian Enhancement</w:t>
      </w:r>
      <w:r w:rsidR="008C6F5F">
        <w:rPr>
          <w:rFonts w:ascii="Arial" w:hAnsi="Arial" w:cs="Arial"/>
          <w:sz w:val="22"/>
          <w:szCs w:val="22"/>
        </w:rPr>
        <w:t>.</w:t>
      </w:r>
    </w:p>
    <w:p w14:paraId="6A3E4103" w14:textId="06723857" w:rsidR="007D416F" w:rsidRPr="00B12D16" w:rsidRDefault="007D416F" w:rsidP="007D41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Supplementary Table 2. </w:t>
      </w:r>
      <w:r w:rsidRPr="00B12D16">
        <w:rPr>
          <w:rFonts w:ascii="Arial" w:hAnsi="Arial" w:cs="Arial"/>
          <w:sz w:val="22"/>
          <w:szCs w:val="22"/>
        </w:rPr>
        <w:t>Annual spasticity treatment use after initiating post-stroke spasticity treatment.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1350"/>
        <w:gridCol w:w="1350"/>
        <w:gridCol w:w="1350"/>
        <w:gridCol w:w="1350"/>
        <w:gridCol w:w="1440"/>
      </w:tblGrid>
      <w:tr w:rsidR="007D416F" w:rsidRPr="007D416F" w14:paraId="73D727B7" w14:textId="77777777" w:rsidTr="00627819">
        <w:trPr>
          <w:trHeight w:val="144"/>
        </w:trPr>
        <w:tc>
          <w:tcPr>
            <w:tcW w:w="45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F95" w14:textId="77777777" w:rsidR="007D416F" w:rsidRPr="007D416F" w:rsidRDefault="007D416F" w:rsidP="007D4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0" w:type="dxa"/>
            <w:gridSpan w:val="5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DBC2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PSS treatment cohort</w:t>
            </w:r>
          </w:p>
          <w:p w14:paraId="37207938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Years after receiving initial spasticity treatment</w:t>
            </w:r>
          </w:p>
        </w:tc>
      </w:tr>
      <w:tr w:rsidR="007D416F" w:rsidRPr="007D416F" w14:paraId="2481E45E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9789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4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694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16F" w:rsidRPr="007D416F" w14:paraId="4D1199F9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B381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2F09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1st*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3792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2nd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CAEF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3rd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0612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4th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B2CF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5th</w:t>
            </w:r>
          </w:p>
        </w:tc>
      </w:tr>
      <w:tr w:rsidR="007D416F" w:rsidRPr="007D416F" w14:paraId="7395EA00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CB927" w14:textId="77777777" w:rsidR="007D416F" w:rsidRPr="007D416F" w:rsidRDefault="007D416F" w:rsidP="007D4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E2E4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(N = 1,079)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F083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(N = 990)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A776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(N = 843)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137D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(N = 646)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B700A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(N = 432)</w:t>
            </w:r>
          </w:p>
        </w:tc>
      </w:tr>
      <w:tr w:rsidR="007D416F" w:rsidRPr="007D416F" w14:paraId="2AC01D85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EEF2" w14:textId="77777777" w:rsidR="007D416F" w:rsidRPr="007D416F" w:rsidRDefault="007D416F" w:rsidP="007D4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Had ≥1 dispensation/visit, n (%)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97F3" w14:textId="77777777" w:rsidR="007D416F" w:rsidRPr="007D416F" w:rsidRDefault="007D416F" w:rsidP="007D4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1D8B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64A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1B9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B2ED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16F" w:rsidRPr="007D416F" w14:paraId="77C66DF2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2E9E" w14:textId="77777777" w:rsidR="007D416F" w:rsidRPr="007D416F" w:rsidRDefault="007D416F" w:rsidP="007D416F">
            <w:pPr>
              <w:spacing w:before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8D2" w14:textId="77777777" w:rsidR="007D416F" w:rsidRPr="007D416F" w:rsidRDefault="007D416F" w:rsidP="007D416F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1DAF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3E8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D33F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B2B" w14:textId="77777777" w:rsidR="007D416F" w:rsidRPr="007D416F" w:rsidRDefault="007D416F" w:rsidP="007D4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16F" w:rsidRPr="007D416F" w14:paraId="5F2F17E8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C824" w14:textId="77777777" w:rsidR="007D416F" w:rsidRPr="007D416F" w:rsidRDefault="007D416F" w:rsidP="007D416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Received spasticity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DDC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1,079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5DEB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448 (45.3)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AE4D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352 (41.8)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A712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251 (38.9)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B59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153 (35.4)</w:t>
            </w:r>
          </w:p>
        </w:tc>
      </w:tr>
      <w:tr w:rsidR="007D416F" w:rsidRPr="007D416F" w14:paraId="297F6634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106D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Oral medication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E3B7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734 (68.0)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D35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279 (28.2)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C044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212 (25.2)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CDD7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158 (24.5)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27A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95 (22.0)</w:t>
            </w:r>
          </w:p>
        </w:tc>
      </w:tr>
      <w:tr w:rsidR="007D416F" w:rsidRPr="007D416F" w14:paraId="7E87E776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913D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Baclofen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9B6A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722 (66.9)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0B92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265 (26.8)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C69E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205 (24.3)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686D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149 (23.1)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ECF3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89 (20.6)</w:t>
            </w:r>
          </w:p>
        </w:tc>
      </w:tr>
      <w:tr w:rsidR="007D416F" w:rsidRPr="007D416F" w14:paraId="616838D0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B1E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Tizanidine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47B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24 (2.2)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959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19 (1.9)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1AAE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15 (1.8)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CC4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13 (2.0)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4FE0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10 (2.3)</w:t>
            </w:r>
          </w:p>
        </w:tc>
      </w:tr>
      <w:tr w:rsidR="007D416F" w:rsidRPr="007D416F" w14:paraId="7A0A6C9E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7BD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Dantrolene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B83E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2A9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C298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19B5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2272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4537FCD1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D751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Botulinum toxin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3E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383 (35.5)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9B6A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218 (22.0)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F3F7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175 (20.8)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4F5B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117 (18.1)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D03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75 (17.4)</w:t>
            </w:r>
          </w:p>
        </w:tc>
      </w:tr>
      <w:tr w:rsidR="007D416F" w:rsidRPr="007D416F" w14:paraId="7A7A3F53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BA2A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Visited a spasticity clinic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7BD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253 (23.5)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C644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157 (15.9)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F8EB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129 (15.3)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1D86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87 (13.5)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6277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58 (13.4)</w:t>
            </w:r>
          </w:p>
        </w:tc>
      </w:tr>
      <w:tr w:rsidR="007D416F" w:rsidRPr="007D416F" w14:paraId="6F8EE9E0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A06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Surgical intervention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039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E98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66C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8D6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36EC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270E6089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707" w14:textId="77777777" w:rsidR="007D416F" w:rsidRPr="007D416F" w:rsidRDefault="007D416F" w:rsidP="007D416F">
            <w:pPr>
              <w:spacing w:before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According to initial post-stroke spasticity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CBC" w14:textId="77777777" w:rsidR="007D416F" w:rsidRPr="007D416F" w:rsidRDefault="007D416F" w:rsidP="007D416F">
            <w:pPr>
              <w:ind w:right="158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064C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3799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C5F2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94D5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16F" w:rsidRPr="007D416F" w14:paraId="757B9C7D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213D" w14:textId="77777777" w:rsidR="007D416F" w:rsidRPr="007D416F" w:rsidRDefault="007D416F" w:rsidP="007D416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Oral medication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736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n=672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BBE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n=608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BCB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n=499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076E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FB40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n=240</w:t>
            </w:r>
          </w:p>
        </w:tc>
      </w:tr>
      <w:tr w:rsidR="007D416F" w:rsidRPr="007D416F" w14:paraId="5BD781CC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A3D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Received spasticity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5F55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672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A0F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228 (37.5)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B48C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170 (34.1)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333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118 (32.2)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01D2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70 (29.2)</w:t>
            </w:r>
          </w:p>
        </w:tc>
      </w:tr>
      <w:tr w:rsidR="007D416F" w:rsidRPr="007D416F" w14:paraId="67210FA2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44E6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Oral medication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2AEE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672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492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218 (35.9)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566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160 (32.1)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429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112 (30.5)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D505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63 (26.3)</w:t>
            </w:r>
          </w:p>
        </w:tc>
      </w:tr>
      <w:tr w:rsidR="007D416F" w:rsidRPr="007D416F" w14:paraId="58C48F06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AC7D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Botulinum toxin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342B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34 (5.1)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9BB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35 (5.8)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F90B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29 (5.8)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FA3B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19 (5.2)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E1A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17 (7.1)</w:t>
            </w:r>
          </w:p>
        </w:tc>
      </w:tr>
      <w:tr w:rsidR="007D416F" w:rsidRPr="007D416F" w14:paraId="413F13CE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C262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Visited a spasticity clinic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DDF9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24 (3.6)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9864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22 (3.6)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C6B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18 (3.6)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F2A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43C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105446C5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8FCB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Surgical intervention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1CEF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3E4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712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B95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448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752AEBD8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847" w14:textId="77777777" w:rsidR="007D416F" w:rsidRPr="007D416F" w:rsidRDefault="007D416F" w:rsidP="007D416F">
            <w:pPr>
              <w:spacing w:before="6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Botulinum toxin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44ED" w14:textId="77777777" w:rsidR="007D416F" w:rsidRPr="007D416F" w:rsidRDefault="007D416F" w:rsidP="007D416F">
            <w:pPr>
              <w:spacing w:before="60"/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n=251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65E" w14:textId="77777777" w:rsidR="007D416F" w:rsidRPr="007D416F" w:rsidRDefault="007D416F" w:rsidP="007D416F">
            <w:pPr>
              <w:spacing w:before="60"/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n=231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573" w14:textId="77777777" w:rsidR="007D416F" w:rsidRPr="007D416F" w:rsidRDefault="007D416F" w:rsidP="007D416F">
            <w:pPr>
              <w:spacing w:before="60"/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9A8D" w14:textId="77777777" w:rsidR="007D416F" w:rsidRPr="007D416F" w:rsidRDefault="007D416F" w:rsidP="007D416F">
            <w:pPr>
              <w:spacing w:before="60"/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CAAC" w14:textId="77777777" w:rsidR="007D416F" w:rsidRPr="007D416F" w:rsidRDefault="007D416F" w:rsidP="007D416F">
            <w:pPr>
              <w:spacing w:before="60"/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n=96</w:t>
            </w:r>
          </w:p>
        </w:tc>
      </w:tr>
      <w:tr w:rsidR="007D416F" w:rsidRPr="007D416F" w14:paraId="4B1CDC19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2A0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Received spasticity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8FFE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251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E222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123 (53.3)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0A8A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100 (50.0)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4851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69 (45.7)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32C1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38 (39.6)</w:t>
            </w:r>
          </w:p>
        </w:tc>
      </w:tr>
      <w:tr w:rsidR="007D416F" w:rsidRPr="007D416F" w14:paraId="4C2227CC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796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Oral medication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A6D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38 (15.1)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85A2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33 (14.3)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701F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30 (15.0)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07B0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28 (18.5)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E25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18 (18.8)</w:t>
            </w:r>
          </w:p>
        </w:tc>
      </w:tr>
      <w:tr w:rsidR="007D416F" w:rsidRPr="007D416F" w14:paraId="07650C33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AC74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Botulinum toxin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B4D6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251 (100.0)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2F49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110 (47.6)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F08B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82 (41.0)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C311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49 (32.5)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9FE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26 (27.1)</w:t>
            </w:r>
          </w:p>
        </w:tc>
      </w:tr>
      <w:tr w:rsidR="007D416F" w:rsidRPr="007D416F" w14:paraId="3FBE379E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B979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Visited a spasticity clinic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298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73 (29.1)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D0AE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56 (24.2)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66B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45 (22.5)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474" w14:textId="77777777" w:rsidR="007D416F" w:rsidRPr="007D416F" w:rsidRDefault="007D416F" w:rsidP="007D416F">
            <w:pPr>
              <w:ind w:right="16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26 (17.2)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1A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16 (16.7)</w:t>
            </w:r>
          </w:p>
        </w:tc>
      </w:tr>
      <w:tr w:rsidR="007D416F" w:rsidRPr="007D416F" w14:paraId="4D4AEC50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8FDF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Surgical intervention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84B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1FDE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3B3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64AA9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E474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</w:tr>
      <w:tr w:rsidR="007D416F" w:rsidRPr="007D416F" w14:paraId="7A616A98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9F6A" w14:textId="77777777" w:rsidR="007D416F" w:rsidRPr="007D416F" w:rsidRDefault="007D416F" w:rsidP="007D416F">
            <w:pPr>
              <w:spacing w:before="6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Visited a spasticity clinic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83FE" w14:textId="77777777" w:rsidR="007D416F" w:rsidRPr="007D416F" w:rsidRDefault="007D416F" w:rsidP="007D416F">
            <w:pPr>
              <w:spacing w:before="60"/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n=201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2FC" w14:textId="77777777" w:rsidR="007D416F" w:rsidRPr="007D416F" w:rsidRDefault="007D416F" w:rsidP="007D416F">
            <w:pPr>
              <w:spacing w:before="60"/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n=195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3FA" w14:textId="77777777" w:rsidR="007D416F" w:rsidRPr="007D416F" w:rsidRDefault="007D416F" w:rsidP="007D416F">
            <w:pPr>
              <w:spacing w:before="60"/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n=187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ACEA" w14:textId="77777777" w:rsidR="007D416F" w:rsidRPr="007D416F" w:rsidRDefault="007D416F" w:rsidP="007D416F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E3D" w14:textId="77777777" w:rsidR="007D416F" w:rsidRPr="007D416F" w:rsidRDefault="007D416F" w:rsidP="007D416F">
            <w:pPr>
              <w:spacing w:before="60"/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n=111</w:t>
            </w:r>
          </w:p>
        </w:tc>
      </w:tr>
      <w:tr w:rsidR="007D416F" w:rsidRPr="007D416F" w14:paraId="5E504761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5184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Received spasticity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F803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201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ABB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126 (64.6)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4A7F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102 (54.6)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DFED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74 (47.1)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F40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50 (45.1)</w:t>
            </w:r>
          </w:p>
        </w:tc>
      </w:tr>
      <w:tr w:rsidR="007D416F" w:rsidRPr="007D416F" w14:paraId="1C26E363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B44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Oral medication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02D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30 (14.9)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B56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32 (16.4)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E5AD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26 (13.9)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09F9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21 (13.4)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D0F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16 (14.4)</w:t>
            </w:r>
          </w:p>
        </w:tc>
      </w:tr>
      <w:tr w:rsidR="007D416F" w:rsidRPr="007D416F" w14:paraId="2A74A99D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0384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Botulinum toxin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9B6C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143 (71.1)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481D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97 (49.7)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5E1E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81 (43.3)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A014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56 (35.7)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10C9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35 (31.5)</w:t>
            </w:r>
          </w:p>
        </w:tc>
      </w:tr>
      <w:tr w:rsidR="007D416F" w:rsidRPr="007D416F" w14:paraId="48442EB9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C785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Visited a spasticity clinic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3133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201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357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108 (55.4)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D83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84 (44.9)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C8F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57 (36.3)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F36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36 (32.4)</w:t>
            </w:r>
          </w:p>
        </w:tc>
      </w:tr>
      <w:tr w:rsidR="007D416F" w:rsidRPr="007D416F" w14:paraId="7EEC7F34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3C74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Surgical intervention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38C2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45D0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683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348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1D3D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536E864A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EA1F" w14:textId="77777777" w:rsidR="007D416F" w:rsidRPr="007D416F" w:rsidRDefault="007D416F" w:rsidP="007D416F">
            <w:pPr>
              <w:spacing w:before="6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Received more than one type of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766" w14:textId="77777777" w:rsidR="007D416F" w:rsidRPr="007D416F" w:rsidRDefault="007D416F" w:rsidP="007D416F">
            <w:pPr>
              <w:spacing w:before="60"/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0942" w14:textId="77777777" w:rsidR="007D416F" w:rsidRPr="007D416F" w:rsidRDefault="007D416F" w:rsidP="007D416F">
            <w:pPr>
              <w:spacing w:before="60"/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B1A" w14:textId="77777777" w:rsidR="007D416F" w:rsidRPr="007D416F" w:rsidRDefault="007D416F" w:rsidP="007D416F">
            <w:pPr>
              <w:spacing w:before="60"/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223" w14:textId="77777777" w:rsidR="007D416F" w:rsidRPr="007D416F" w:rsidRDefault="007D416F" w:rsidP="007D416F">
            <w:pPr>
              <w:spacing w:before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5EB" w14:textId="77777777" w:rsidR="007D416F" w:rsidRPr="007D416F" w:rsidRDefault="007D416F" w:rsidP="007D416F">
            <w:pPr>
              <w:spacing w:before="60"/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n=15</w:t>
            </w:r>
          </w:p>
        </w:tc>
      </w:tr>
      <w:tr w:rsidR="007D416F" w:rsidRPr="007D416F" w14:paraId="17BBFD62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B0B4" w14:textId="77777777" w:rsidR="007D416F" w:rsidRPr="007D416F" w:rsidRDefault="007D416F" w:rsidP="007D416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Received spasticity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D1D8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45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06E3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29 (65.9)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0DE1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20 (46.5)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B4A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10 (34.5)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BD3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04982642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6721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Oral medication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1E40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5F1C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7131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B3C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3C0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426BFF8E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6CB8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Botulinum toxin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B845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45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F859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24 (54.6)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A89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17 (39.5)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6932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B52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359C41A3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176" w14:textId="77777777" w:rsidR="007D416F" w:rsidRPr="007D416F" w:rsidRDefault="007D416F" w:rsidP="007D41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Visited a spasticity clinic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84C5" w14:textId="77777777" w:rsidR="007D416F" w:rsidRPr="007D416F" w:rsidRDefault="007D416F" w:rsidP="007D416F">
            <w:pPr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45 (100)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386F" w14:textId="77777777" w:rsidR="007D416F" w:rsidRPr="007D416F" w:rsidRDefault="007D416F" w:rsidP="007D416F">
            <w:pPr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29 (65.9)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D02" w14:textId="77777777" w:rsidR="007D416F" w:rsidRPr="007D416F" w:rsidRDefault="007D416F" w:rsidP="007D416F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18 (41.9)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E8E4" w14:textId="77777777" w:rsidR="007D416F" w:rsidRPr="007D416F" w:rsidRDefault="007D416F" w:rsidP="007D41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53B5" w14:textId="77777777" w:rsidR="007D416F" w:rsidRPr="007D416F" w:rsidRDefault="007D416F" w:rsidP="007D416F">
            <w:pPr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&lt;10 (NA)</w:t>
            </w:r>
          </w:p>
        </w:tc>
      </w:tr>
      <w:tr w:rsidR="007D416F" w:rsidRPr="007D416F" w14:paraId="631AF52A" w14:textId="77777777" w:rsidTr="00627819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EDFDC" w14:textId="77777777" w:rsidR="007D416F" w:rsidRPr="007D416F" w:rsidRDefault="007D416F" w:rsidP="007D416F">
            <w:pPr>
              <w:spacing w:after="4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Surgical intervention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C5FF" w14:textId="77777777" w:rsidR="007D416F" w:rsidRPr="007D416F" w:rsidRDefault="007D416F" w:rsidP="007D416F">
            <w:pPr>
              <w:spacing w:after="40"/>
              <w:ind w:right="15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EC7FE" w14:textId="77777777" w:rsidR="007D416F" w:rsidRPr="007D416F" w:rsidRDefault="007D416F" w:rsidP="007D416F">
            <w:pPr>
              <w:spacing w:after="40"/>
              <w:ind w:right="1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1498" w14:textId="77777777" w:rsidR="007D416F" w:rsidRPr="007D416F" w:rsidRDefault="007D416F" w:rsidP="007D416F">
            <w:pPr>
              <w:spacing w:after="40"/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1E356" w14:textId="77777777" w:rsidR="007D416F" w:rsidRPr="007D416F" w:rsidRDefault="007D416F" w:rsidP="007D416F">
            <w:pPr>
              <w:spacing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2518" w14:textId="77777777" w:rsidR="007D416F" w:rsidRPr="007D416F" w:rsidRDefault="007D416F" w:rsidP="007D416F">
            <w:pPr>
              <w:spacing w:after="40"/>
              <w:ind w:right="16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16F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</w:tr>
    </w:tbl>
    <w:p w14:paraId="1C3C383B" w14:textId="77777777" w:rsidR="007D416F" w:rsidRPr="00B12D16" w:rsidRDefault="007D416F" w:rsidP="007D416F">
      <w:pPr>
        <w:spacing w:before="120"/>
        <w:rPr>
          <w:rFonts w:ascii="Arial" w:hAnsi="Arial" w:cs="Arial"/>
          <w:sz w:val="22"/>
          <w:szCs w:val="22"/>
        </w:rPr>
      </w:pPr>
      <w:r w:rsidRPr="00B12D16">
        <w:rPr>
          <w:rFonts w:ascii="Arial" w:hAnsi="Arial" w:cs="Arial"/>
          <w:sz w:val="22"/>
          <w:szCs w:val="22"/>
        </w:rPr>
        <w:t>*Includes the initial PSS treatment. No one received intrathecal baclofen. Abbreviations: IQR = interquartile range; NA = not applicable; PSS = post-stroke spasticity; SD = standard deviation.</w:t>
      </w:r>
    </w:p>
    <w:p w14:paraId="63B88FC3" w14:textId="4D45FF75" w:rsidR="005C3CE0" w:rsidRDefault="005C3CE0" w:rsidP="007D416F">
      <w:pPr>
        <w:rPr>
          <w:rFonts w:ascii="Arial" w:hAnsi="Arial" w:cs="Arial"/>
          <w:sz w:val="22"/>
          <w:szCs w:val="22"/>
        </w:rPr>
      </w:pPr>
    </w:p>
    <w:p w14:paraId="48F7F3DC" w14:textId="5EC931EA" w:rsidR="007D416F" w:rsidRDefault="007D4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06872E" w14:textId="4C893248" w:rsidR="005C3CE0" w:rsidRDefault="003D5648" w:rsidP="00063C6B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65AC78D" wp14:editId="0744DF9B">
            <wp:extent cx="6836898" cy="5300975"/>
            <wp:effectExtent l="0" t="0" r="0" b="0"/>
            <wp:docPr id="314387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87096" name="Picture 3143870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754" cy="535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6599" w14:textId="62F6DCD1" w:rsidR="005C3CE0" w:rsidRDefault="005C3CE0" w:rsidP="00063C6B">
      <w:pPr>
        <w:spacing w:before="120" w:line="360" w:lineRule="auto"/>
        <w:rPr>
          <w:rFonts w:ascii="Arial" w:hAnsi="Arial" w:cs="Arial"/>
          <w:sz w:val="22"/>
          <w:szCs w:val="22"/>
        </w:rPr>
        <w:sectPr w:rsidR="005C3CE0" w:rsidSect="006146D1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Supplementary Figure 1. Study design diagram.</w:t>
      </w:r>
      <w:r w:rsidR="00ED6C89">
        <w:rPr>
          <w:rFonts w:ascii="Arial" w:hAnsi="Arial" w:cs="Arial"/>
          <w:sz w:val="22"/>
          <w:szCs w:val="22"/>
        </w:rPr>
        <w:t xml:space="preserve"> Abbreviations: AHCIP = Alberta Health Care Insurance Plan;  PSS = Post-stroke spasticity.</w:t>
      </w:r>
    </w:p>
    <w:p w14:paraId="015F24BA" w14:textId="5C1AD16B" w:rsidR="00845934" w:rsidRDefault="00ED3A46" w:rsidP="00063C6B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BE0CFF0" wp14:editId="08AE6BF2">
            <wp:extent cx="4598821" cy="6463665"/>
            <wp:effectExtent l="0" t="0" r="0" b="0"/>
            <wp:docPr id="1604943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4327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021" cy="648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30D57" w14:textId="48861D32" w:rsidR="005C3CE0" w:rsidRDefault="005C3CE0" w:rsidP="00ED3A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Supplementary Figure 2. Cohort selection </w:t>
      </w:r>
      <w:r w:rsidR="00A851D9">
        <w:rPr>
          <w:rFonts w:ascii="Arial" w:hAnsi="Arial" w:cs="Arial"/>
          <w:sz w:val="22"/>
          <w:szCs w:val="22"/>
        </w:rPr>
        <w:t>flow diagram</w:t>
      </w:r>
      <w:r w:rsidR="00584DE4">
        <w:rPr>
          <w:rFonts w:ascii="Arial" w:hAnsi="Arial" w:cs="Arial"/>
          <w:sz w:val="22"/>
          <w:szCs w:val="22"/>
        </w:rPr>
        <w:t xml:space="preserve"> with associated data linkage</w:t>
      </w:r>
      <w:r>
        <w:rPr>
          <w:rFonts w:ascii="Arial" w:hAnsi="Arial" w:cs="Arial"/>
          <w:sz w:val="22"/>
          <w:szCs w:val="22"/>
        </w:rPr>
        <w:t>.</w:t>
      </w:r>
      <w:r w:rsidR="00A9680A">
        <w:rPr>
          <w:rFonts w:ascii="Arial" w:hAnsi="Arial" w:cs="Arial"/>
          <w:sz w:val="22"/>
          <w:szCs w:val="22"/>
        </w:rPr>
        <w:t xml:space="preserve"> </w:t>
      </w:r>
      <w:r w:rsidR="00A9680A" w:rsidRPr="00A9680A">
        <w:rPr>
          <w:rFonts w:ascii="Arial" w:hAnsi="Arial" w:cs="Arial"/>
          <w:sz w:val="22"/>
          <w:szCs w:val="22"/>
        </w:rPr>
        <w:t>Abbreviations: AHCIP = Alberta Health Care Insurance Plan; DAD = Discharge Abstract Database; ED = emergency department; ICD-10-CA = International Classification of Disease – Version 10 – Canadian Enhancement; MS = Millennium Scheduler; NACRS = National Ambulatory Care Reporting System; PC = Practitioner Claims; PHN = Personal Health Number; PIN = Pharmaceutical Information Network; PSS = post</w:t>
      </w:r>
      <w:r w:rsidR="00A9680A">
        <w:rPr>
          <w:rFonts w:ascii="Arial" w:hAnsi="Arial" w:cs="Arial"/>
          <w:sz w:val="22"/>
          <w:szCs w:val="22"/>
        </w:rPr>
        <w:t>-</w:t>
      </w:r>
      <w:r w:rsidR="00A9680A" w:rsidRPr="00A9680A">
        <w:rPr>
          <w:rFonts w:ascii="Arial" w:hAnsi="Arial" w:cs="Arial"/>
          <w:sz w:val="22"/>
          <w:szCs w:val="22"/>
        </w:rPr>
        <w:t xml:space="preserve">stroke spasticity, REG = Population Registry; VAX = Virtual Address </w:t>
      </w:r>
      <w:proofErr w:type="spellStart"/>
      <w:r w:rsidR="00A9680A" w:rsidRPr="00A9680A">
        <w:rPr>
          <w:rFonts w:ascii="Arial" w:hAnsi="Arial" w:cs="Arial"/>
          <w:sz w:val="22"/>
          <w:szCs w:val="22"/>
        </w:rPr>
        <w:t>eXtension</w:t>
      </w:r>
      <w:proofErr w:type="spellEnd"/>
      <w:r w:rsidR="00A9680A" w:rsidRPr="00A9680A">
        <w:rPr>
          <w:rFonts w:ascii="Arial" w:hAnsi="Arial" w:cs="Arial"/>
          <w:sz w:val="22"/>
          <w:szCs w:val="22"/>
        </w:rPr>
        <w:t>; VS = Vital Statistics.</w:t>
      </w:r>
    </w:p>
    <w:sectPr w:rsidR="005C3CE0" w:rsidSect="005C3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D0"/>
    <w:rsid w:val="00002867"/>
    <w:rsid w:val="00004EC4"/>
    <w:rsid w:val="0001107F"/>
    <w:rsid w:val="0001706E"/>
    <w:rsid w:val="000203DD"/>
    <w:rsid w:val="00020474"/>
    <w:rsid w:val="000220A5"/>
    <w:rsid w:val="0002219A"/>
    <w:rsid w:val="0002370A"/>
    <w:rsid w:val="00023EBB"/>
    <w:rsid w:val="0002679B"/>
    <w:rsid w:val="00027414"/>
    <w:rsid w:val="0003172D"/>
    <w:rsid w:val="00034DE1"/>
    <w:rsid w:val="00035233"/>
    <w:rsid w:val="000375DB"/>
    <w:rsid w:val="00042460"/>
    <w:rsid w:val="000441EA"/>
    <w:rsid w:val="00047D3E"/>
    <w:rsid w:val="00054517"/>
    <w:rsid w:val="00055BF9"/>
    <w:rsid w:val="00057325"/>
    <w:rsid w:val="000576C1"/>
    <w:rsid w:val="00057B69"/>
    <w:rsid w:val="00061E5B"/>
    <w:rsid w:val="0006208A"/>
    <w:rsid w:val="00063C6B"/>
    <w:rsid w:val="0006703E"/>
    <w:rsid w:val="00071A21"/>
    <w:rsid w:val="00075211"/>
    <w:rsid w:val="00075367"/>
    <w:rsid w:val="000766B1"/>
    <w:rsid w:val="00081FCE"/>
    <w:rsid w:val="0008244A"/>
    <w:rsid w:val="00083A6F"/>
    <w:rsid w:val="00084C26"/>
    <w:rsid w:val="0009165A"/>
    <w:rsid w:val="00096287"/>
    <w:rsid w:val="000A0ACF"/>
    <w:rsid w:val="000A2284"/>
    <w:rsid w:val="000A3260"/>
    <w:rsid w:val="000B0F1D"/>
    <w:rsid w:val="000B1234"/>
    <w:rsid w:val="000B12B5"/>
    <w:rsid w:val="000B27FE"/>
    <w:rsid w:val="000B418C"/>
    <w:rsid w:val="000B7220"/>
    <w:rsid w:val="000C022E"/>
    <w:rsid w:val="000C03F8"/>
    <w:rsid w:val="000D084B"/>
    <w:rsid w:val="000D299C"/>
    <w:rsid w:val="000D49F7"/>
    <w:rsid w:val="000D4A28"/>
    <w:rsid w:val="000D6463"/>
    <w:rsid w:val="000E3625"/>
    <w:rsid w:val="000E6618"/>
    <w:rsid w:val="000E79CC"/>
    <w:rsid w:val="000F085A"/>
    <w:rsid w:val="000F502D"/>
    <w:rsid w:val="000F598B"/>
    <w:rsid w:val="001015FC"/>
    <w:rsid w:val="00104DBA"/>
    <w:rsid w:val="0010524A"/>
    <w:rsid w:val="0011021D"/>
    <w:rsid w:val="0011438C"/>
    <w:rsid w:val="0011688B"/>
    <w:rsid w:val="001231E6"/>
    <w:rsid w:val="001233A5"/>
    <w:rsid w:val="00123EE0"/>
    <w:rsid w:val="00131ED9"/>
    <w:rsid w:val="00133AA0"/>
    <w:rsid w:val="00137D2F"/>
    <w:rsid w:val="00137F79"/>
    <w:rsid w:val="00140179"/>
    <w:rsid w:val="001426F8"/>
    <w:rsid w:val="00142EE6"/>
    <w:rsid w:val="001432C9"/>
    <w:rsid w:val="00147963"/>
    <w:rsid w:val="00150EEF"/>
    <w:rsid w:val="00155F9C"/>
    <w:rsid w:val="0015646C"/>
    <w:rsid w:val="00156B92"/>
    <w:rsid w:val="00156DF0"/>
    <w:rsid w:val="00160037"/>
    <w:rsid w:val="00165E19"/>
    <w:rsid w:val="00167D1A"/>
    <w:rsid w:val="00170F13"/>
    <w:rsid w:val="001721DB"/>
    <w:rsid w:val="0017615C"/>
    <w:rsid w:val="00176DD9"/>
    <w:rsid w:val="00184C0F"/>
    <w:rsid w:val="00190EFA"/>
    <w:rsid w:val="00197A89"/>
    <w:rsid w:val="001A0E84"/>
    <w:rsid w:val="001A1097"/>
    <w:rsid w:val="001A16A1"/>
    <w:rsid w:val="001A3C69"/>
    <w:rsid w:val="001B0459"/>
    <w:rsid w:val="001B1A1A"/>
    <w:rsid w:val="001B28B8"/>
    <w:rsid w:val="001B4DA7"/>
    <w:rsid w:val="001C03A3"/>
    <w:rsid w:val="001C0C35"/>
    <w:rsid w:val="001C2090"/>
    <w:rsid w:val="001C22EA"/>
    <w:rsid w:val="001D207C"/>
    <w:rsid w:val="001D2966"/>
    <w:rsid w:val="001D29DB"/>
    <w:rsid w:val="001D2D8D"/>
    <w:rsid w:val="001D2E5F"/>
    <w:rsid w:val="001E0062"/>
    <w:rsid w:val="001E0981"/>
    <w:rsid w:val="001E3196"/>
    <w:rsid w:val="001E374E"/>
    <w:rsid w:val="001E4684"/>
    <w:rsid w:val="001E4BD0"/>
    <w:rsid w:val="001E5A42"/>
    <w:rsid w:val="001E6E2A"/>
    <w:rsid w:val="001E6EF0"/>
    <w:rsid w:val="001F032E"/>
    <w:rsid w:val="001F28AA"/>
    <w:rsid w:val="001F53FC"/>
    <w:rsid w:val="001F6260"/>
    <w:rsid w:val="001F6FF0"/>
    <w:rsid w:val="00200585"/>
    <w:rsid w:val="00200737"/>
    <w:rsid w:val="002068D3"/>
    <w:rsid w:val="00207003"/>
    <w:rsid w:val="00215D6B"/>
    <w:rsid w:val="00220130"/>
    <w:rsid w:val="0022188F"/>
    <w:rsid w:val="0022273C"/>
    <w:rsid w:val="00223214"/>
    <w:rsid w:val="0022504D"/>
    <w:rsid w:val="0023108E"/>
    <w:rsid w:val="00233869"/>
    <w:rsid w:val="00235FFE"/>
    <w:rsid w:val="0023682F"/>
    <w:rsid w:val="00236FF5"/>
    <w:rsid w:val="0023703A"/>
    <w:rsid w:val="0023741A"/>
    <w:rsid w:val="0024128D"/>
    <w:rsid w:val="00243487"/>
    <w:rsid w:val="00246CA8"/>
    <w:rsid w:val="002475F2"/>
    <w:rsid w:val="00251197"/>
    <w:rsid w:val="002530E3"/>
    <w:rsid w:val="00266B82"/>
    <w:rsid w:val="00274A1A"/>
    <w:rsid w:val="0027555A"/>
    <w:rsid w:val="00280921"/>
    <w:rsid w:val="0028352F"/>
    <w:rsid w:val="00286067"/>
    <w:rsid w:val="00287C2C"/>
    <w:rsid w:val="00287D33"/>
    <w:rsid w:val="00290EEB"/>
    <w:rsid w:val="002A2450"/>
    <w:rsid w:val="002A2AEC"/>
    <w:rsid w:val="002A3D16"/>
    <w:rsid w:val="002A44A6"/>
    <w:rsid w:val="002B0EA3"/>
    <w:rsid w:val="002B50FA"/>
    <w:rsid w:val="002B6673"/>
    <w:rsid w:val="002B6BFD"/>
    <w:rsid w:val="002B7159"/>
    <w:rsid w:val="002B7806"/>
    <w:rsid w:val="002C231D"/>
    <w:rsid w:val="002C23F9"/>
    <w:rsid w:val="002C40DB"/>
    <w:rsid w:val="002C794A"/>
    <w:rsid w:val="002D06DB"/>
    <w:rsid w:val="002D3FAD"/>
    <w:rsid w:val="002D4357"/>
    <w:rsid w:val="002D4668"/>
    <w:rsid w:val="002D4B59"/>
    <w:rsid w:val="002D5851"/>
    <w:rsid w:val="002E2A47"/>
    <w:rsid w:val="002E53A7"/>
    <w:rsid w:val="002E57A8"/>
    <w:rsid w:val="002E62EA"/>
    <w:rsid w:val="002F21D1"/>
    <w:rsid w:val="002F30BC"/>
    <w:rsid w:val="002F3266"/>
    <w:rsid w:val="002F4AD3"/>
    <w:rsid w:val="002F6749"/>
    <w:rsid w:val="00300E5C"/>
    <w:rsid w:val="00304E29"/>
    <w:rsid w:val="00306742"/>
    <w:rsid w:val="003120F9"/>
    <w:rsid w:val="00313AEB"/>
    <w:rsid w:val="00316227"/>
    <w:rsid w:val="003168AB"/>
    <w:rsid w:val="00326F56"/>
    <w:rsid w:val="00335149"/>
    <w:rsid w:val="00335479"/>
    <w:rsid w:val="003364F8"/>
    <w:rsid w:val="0033666C"/>
    <w:rsid w:val="00342A73"/>
    <w:rsid w:val="00343F26"/>
    <w:rsid w:val="003471F6"/>
    <w:rsid w:val="00352042"/>
    <w:rsid w:val="003553C6"/>
    <w:rsid w:val="00356E33"/>
    <w:rsid w:val="0036123F"/>
    <w:rsid w:val="00364250"/>
    <w:rsid w:val="00365E91"/>
    <w:rsid w:val="003664E8"/>
    <w:rsid w:val="00367BAC"/>
    <w:rsid w:val="00370FD4"/>
    <w:rsid w:val="00371906"/>
    <w:rsid w:val="00372410"/>
    <w:rsid w:val="00372C8B"/>
    <w:rsid w:val="003737DE"/>
    <w:rsid w:val="00373B0C"/>
    <w:rsid w:val="00373C08"/>
    <w:rsid w:val="00377A31"/>
    <w:rsid w:val="00380F63"/>
    <w:rsid w:val="00383D59"/>
    <w:rsid w:val="00387C34"/>
    <w:rsid w:val="00393655"/>
    <w:rsid w:val="003937F1"/>
    <w:rsid w:val="00394003"/>
    <w:rsid w:val="003940EE"/>
    <w:rsid w:val="0039440A"/>
    <w:rsid w:val="003A1BFD"/>
    <w:rsid w:val="003A21BC"/>
    <w:rsid w:val="003A3901"/>
    <w:rsid w:val="003B3F90"/>
    <w:rsid w:val="003B4030"/>
    <w:rsid w:val="003B7E2E"/>
    <w:rsid w:val="003C1DD6"/>
    <w:rsid w:val="003C6B53"/>
    <w:rsid w:val="003D09B8"/>
    <w:rsid w:val="003D1BCC"/>
    <w:rsid w:val="003D1D84"/>
    <w:rsid w:val="003D4138"/>
    <w:rsid w:val="003D5648"/>
    <w:rsid w:val="003D6160"/>
    <w:rsid w:val="003D7C66"/>
    <w:rsid w:val="003E015D"/>
    <w:rsid w:val="003E15B8"/>
    <w:rsid w:val="003E2CED"/>
    <w:rsid w:val="003F0BDE"/>
    <w:rsid w:val="003F23D3"/>
    <w:rsid w:val="003F6FAC"/>
    <w:rsid w:val="004007C5"/>
    <w:rsid w:val="00402B79"/>
    <w:rsid w:val="00403733"/>
    <w:rsid w:val="0040427B"/>
    <w:rsid w:val="00405424"/>
    <w:rsid w:val="004071DF"/>
    <w:rsid w:val="004102C6"/>
    <w:rsid w:val="00411D47"/>
    <w:rsid w:val="0041439B"/>
    <w:rsid w:val="0041531B"/>
    <w:rsid w:val="00415D07"/>
    <w:rsid w:val="00424654"/>
    <w:rsid w:val="004258DA"/>
    <w:rsid w:val="0042655B"/>
    <w:rsid w:val="004266B7"/>
    <w:rsid w:val="00427481"/>
    <w:rsid w:val="00430659"/>
    <w:rsid w:val="004316FB"/>
    <w:rsid w:val="00433225"/>
    <w:rsid w:val="0043332A"/>
    <w:rsid w:val="0043543C"/>
    <w:rsid w:val="00436D3C"/>
    <w:rsid w:val="004439C5"/>
    <w:rsid w:val="00447315"/>
    <w:rsid w:val="004511E6"/>
    <w:rsid w:val="0045760D"/>
    <w:rsid w:val="00457627"/>
    <w:rsid w:val="0046637F"/>
    <w:rsid w:val="00470474"/>
    <w:rsid w:val="0047704A"/>
    <w:rsid w:val="0047709F"/>
    <w:rsid w:val="00477974"/>
    <w:rsid w:val="004806C0"/>
    <w:rsid w:val="00480DD0"/>
    <w:rsid w:val="00482BB6"/>
    <w:rsid w:val="00492E13"/>
    <w:rsid w:val="004932AD"/>
    <w:rsid w:val="00495218"/>
    <w:rsid w:val="004958E9"/>
    <w:rsid w:val="004963C8"/>
    <w:rsid w:val="004B368D"/>
    <w:rsid w:val="004B394C"/>
    <w:rsid w:val="004B6026"/>
    <w:rsid w:val="004C200F"/>
    <w:rsid w:val="004C3E5D"/>
    <w:rsid w:val="004C579F"/>
    <w:rsid w:val="004C58D5"/>
    <w:rsid w:val="004C5ADF"/>
    <w:rsid w:val="004C5B5E"/>
    <w:rsid w:val="004C6B0B"/>
    <w:rsid w:val="004C7905"/>
    <w:rsid w:val="004D02F7"/>
    <w:rsid w:val="004D1687"/>
    <w:rsid w:val="004D3B4E"/>
    <w:rsid w:val="004D435F"/>
    <w:rsid w:val="004D5B1B"/>
    <w:rsid w:val="004D60A5"/>
    <w:rsid w:val="004D648C"/>
    <w:rsid w:val="004D78D3"/>
    <w:rsid w:val="004D7F41"/>
    <w:rsid w:val="004E1855"/>
    <w:rsid w:val="004E4EF8"/>
    <w:rsid w:val="004E56B0"/>
    <w:rsid w:val="004E7EA0"/>
    <w:rsid w:val="004F139F"/>
    <w:rsid w:val="004F1B85"/>
    <w:rsid w:val="005018DF"/>
    <w:rsid w:val="00502580"/>
    <w:rsid w:val="00504CC7"/>
    <w:rsid w:val="00505F38"/>
    <w:rsid w:val="0051364F"/>
    <w:rsid w:val="00514B45"/>
    <w:rsid w:val="00514C43"/>
    <w:rsid w:val="005160E0"/>
    <w:rsid w:val="005168C5"/>
    <w:rsid w:val="00517998"/>
    <w:rsid w:val="005208B2"/>
    <w:rsid w:val="005227C8"/>
    <w:rsid w:val="00523D3C"/>
    <w:rsid w:val="00524F5F"/>
    <w:rsid w:val="005250B2"/>
    <w:rsid w:val="00525503"/>
    <w:rsid w:val="005306AC"/>
    <w:rsid w:val="00532A13"/>
    <w:rsid w:val="005335F1"/>
    <w:rsid w:val="0053767E"/>
    <w:rsid w:val="00541957"/>
    <w:rsid w:val="005430E2"/>
    <w:rsid w:val="005433A8"/>
    <w:rsid w:val="005464C5"/>
    <w:rsid w:val="005474B4"/>
    <w:rsid w:val="00547B8B"/>
    <w:rsid w:val="00550522"/>
    <w:rsid w:val="005511D7"/>
    <w:rsid w:val="00551FCB"/>
    <w:rsid w:val="00552E7F"/>
    <w:rsid w:val="005535D2"/>
    <w:rsid w:val="005538F4"/>
    <w:rsid w:val="00556356"/>
    <w:rsid w:val="00557D7C"/>
    <w:rsid w:val="005608DF"/>
    <w:rsid w:val="0057049C"/>
    <w:rsid w:val="00575FDC"/>
    <w:rsid w:val="0057613E"/>
    <w:rsid w:val="00576605"/>
    <w:rsid w:val="00576AF2"/>
    <w:rsid w:val="0058080D"/>
    <w:rsid w:val="00580887"/>
    <w:rsid w:val="00580F2E"/>
    <w:rsid w:val="00582DAF"/>
    <w:rsid w:val="005834AB"/>
    <w:rsid w:val="0058410D"/>
    <w:rsid w:val="00584274"/>
    <w:rsid w:val="00584B93"/>
    <w:rsid w:val="00584DE4"/>
    <w:rsid w:val="00584EA4"/>
    <w:rsid w:val="005854BE"/>
    <w:rsid w:val="00595F30"/>
    <w:rsid w:val="005A19FA"/>
    <w:rsid w:val="005A330C"/>
    <w:rsid w:val="005A4E18"/>
    <w:rsid w:val="005A52CE"/>
    <w:rsid w:val="005A5DFC"/>
    <w:rsid w:val="005B1DD2"/>
    <w:rsid w:val="005B1DF0"/>
    <w:rsid w:val="005B244A"/>
    <w:rsid w:val="005B3F12"/>
    <w:rsid w:val="005B5148"/>
    <w:rsid w:val="005B54D6"/>
    <w:rsid w:val="005B6DF0"/>
    <w:rsid w:val="005C218A"/>
    <w:rsid w:val="005C37EC"/>
    <w:rsid w:val="005C3CE0"/>
    <w:rsid w:val="005C442E"/>
    <w:rsid w:val="005D06DD"/>
    <w:rsid w:val="005D2E43"/>
    <w:rsid w:val="005D388D"/>
    <w:rsid w:val="005D4C2C"/>
    <w:rsid w:val="005D4EF7"/>
    <w:rsid w:val="005D634E"/>
    <w:rsid w:val="005D7ADE"/>
    <w:rsid w:val="005E2685"/>
    <w:rsid w:val="005E432F"/>
    <w:rsid w:val="005E4F9B"/>
    <w:rsid w:val="005E6A11"/>
    <w:rsid w:val="005F2A09"/>
    <w:rsid w:val="005F3B88"/>
    <w:rsid w:val="005F3EC8"/>
    <w:rsid w:val="005F4B58"/>
    <w:rsid w:val="005F5768"/>
    <w:rsid w:val="005F57B2"/>
    <w:rsid w:val="005F5B13"/>
    <w:rsid w:val="00604528"/>
    <w:rsid w:val="0060467A"/>
    <w:rsid w:val="00605F10"/>
    <w:rsid w:val="00606A55"/>
    <w:rsid w:val="00610320"/>
    <w:rsid w:val="00613429"/>
    <w:rsid w:val="006146D1"/>
    <w:rsid w:val="00614B6B"/>
    <w:rsid w:val="00625CF5"/>
    <w:rsid w:val="00627819"/>
    <w:rsid w:val="0063378B"/>
    <w:rsid w:val="0063596B"/>
    <w:rsid w:val="00636F91"/>
    <w:rsid w:val="006371C0"/>
    <w:rsid w:val="00640157"/>
    <w:rsid w:val="006414C0"/>
    <w:rsid w:val="00641BBA"/>
    <w:rsid w:val="00641E15"/>
    <w:rsid w:val="006435BF"/>
    <w:rsid w:val="006544EE"/>
    <w:rsid w:val="00660793"/>
    <w:rsid w:val="006649D5"/>
    <w:rsid w:val="006653D9"/>
    <w:rsid w:val="00670EA0"/>
    <w:rsid w:val="006755CF"/>
    <w:rsid w:val="0067563B"/>
    <w:rsid w:val="00676675"/>
    <w:rsid w:val="006856AB"/>
    <w:rsid w:val="006858E3"/>
    <w:rsid w:val="00686F24"/>
    <w:rsid w:val="00695695"/>
    <w:rsid w:val="00697846"/>
    <w:rsid w:val="006A5772"/>
    <w:rsid w:val="006A73FF"/>
    <w:rsid w:val="006A7FCF"/>
    <w:rsid w:val="006B26E9"/>
    <w:rsid w:val="006B77A7"/>
    <w:rsid w:val="006C0DD2"/>
    <w:rsid w:val="006C284C"/>
    <w:rsid w:val="006C7575"/>
    <w:rsid w:val="006D13CF"/>
    <w:rsid w:val="006D4687"/>
    <w:rsid w:val="006E000D"/>
    <w:rsid w:val="006E1B80"/>
    <w:rsid w:val="006E1FFE"/>
    <w:rsid w:val="006E3A15"/>
    <w:rsid w:val="006E3D50"/>
    <w:rsid w:val="006F0269"/>
    <w:rsid w:val="006F190A"/>
    <w:rsid w:val="006F656E"/>
    <w:rsid w:val="00700BFF"/>
    <w:rsid w:val="00700DAC"/>
    <w:rsid w:val="00705862"/>
    <w:rsid w:val="0071105D"/>
    <w:rsid w:val="0071230B"/>
    <w:rsid w:val="007156F0"/>
    <w:rsid w:val="0071667C"/>
    <w:rsid w:val="00717205"/>
    <w:rsid w:val="00717213"/>
    <w:rsid w:val="00721301"/>
    <w:rsid w:val="007267D2"/>
    <w:rsid w:val="00731E98"/>
    <w:rsid w:val="00735071"/>
    <w:rsid w:val="007354C2"/>
    <w:rsid w:val="00735655"/>
    <w:rsid w:val="00736611"/>
    <w:rsid w:val="00742612"/>
    <w:rsid w:val="00752E60"/>
    <w:rsid w:val="00753597"/>
    <w:rsid w:val="00754589"/>
    <w:rsid w:val="00756914"/>
    <w:rsid w:val="00756CC0"/>
    <w:rsid w:val="007579BF"/>
    <w:rsid w:val="0076350D"/>
    <w:rsid w:val="007636BA"/>
    <w:rsid w:val="00763D4B"/>
    <w:rsid w:val="00766498"/>
    <w:rsid w:val="0077336F"/>
    <w:rsid w:val="00773BA6"/>
    <w:rsid w:val="007776D5"/>
    <w:rsid w:val="00783A57"/>
    <w:rsid w:val="00786227"/>
    <w:rsid w:val="00791E95"/>
    <w:rsid w:val="00792F47"/>
    <w:rsid w:val="00793269"/>
    <w:rsid w:val="00797489"/>
    <w:rsid w:val="007A2CF3"/>
    <w:rsid w:val="007A32BD"/>
    <w:rsid w:val="007A3312"/>
    <w:rsid w:val="007A707C"/>
    <w:rsid w:val="007B4973"/>
    <w:rsid w:val="007B667D"/>
    <w:rsid w:val="007B7CCE"/>
    <w:rsid w:val="007C0398"/>
    <w:rsid w:val="007C09D5"/>
    <w:rsid w:val="007C1585"/>
    <w:rsid w:val="007C5530"/>
    <w:rsid w:val="007C5C14"/>
    <w:rsid w:val="007C7EF2"/>
    <w:rsid w:val="007D28FA"/>
    <w:rsid w:val="007D416F"/>
    <w:rsid w:val="007D4683"/>
    <w:rsid w:val="007D585D"/>
    <w:rsid w:val="007D639C"/>
    <w:rsid w:val="007E0775"/>
    <w:rsid w:val="007E0B58"/>
    <w:rsid w:val="007E78F1"/>
    <w:rsid w:val="007F0CF5"/>
    <w:rsid w:val="007F688A"/>
    <w:rsid w:val="007F72AE"/>
    <w:rsid w:val="007F7695"/>
    <w:rsid w:val="007F7B09"/>
    <w:rsid w:val="00800313"/>
    <w:rsid w:val="008026C5"/>
    <w:rsid w:val="00804145"/>
    <w:rsid w:val="00804D42"/>
    <w:rsid w:val="00806F4B"/>
    <w:rsid w:val="00807555"/>
    <w:rsid w:val="00807743"/>
    <w:rsid w:val="008104C1"/>
    <w:rsid w:val="00811944"/>
    <w:rsid w:val="008134D3"/>
    <w:rsid w:val="00815B4C"/>
    <w:rsid w:val="00816B07"/>
    <w:rsid w:val="008253D7"/>
    <w:rsid w:val="0082540D"/>
    <w:rsid w:val="00825614"/>
    <w:rsid w:val="00826065"/>
    <w:rsid w:val="00826701"/>
    <w:rsid w:val="008273D3"/>
    <w:rsid w:val="00836E73"/>
    <w:rsid w:val="00842759"/>
    <w:rsid w:val="00842E82"/>
    <w:rsid w:val="008444CB"/>
    <w:rsid w:val="00845934"/>
    <w:rsid w:val="008462A0"/>
    <w:rsid w:val="0084777B"/>
    <w:rsid w:val="00852CDC"/>
    <w:rsid w:val="0085330B"/>
    <w:rsid w:val="00853DB3"/>
    <w:rsid w:val="0085428F"/>
    <w:rsid w:val="008546E0"/>
    <w:rsid w:val="0085564E"/>
    <w:rsid w:val="008607E0"/>
    <w:rsid w:val="00864741"/>
    <w:rsid w:val="00865F74"/>
    <w:rsid w:val="008665D9"/>
    <w:rsid w:val="00867785"/>
    <w:rsid w:val="008708C9"/>
    <w:rsid w:val="00872494"/>
    <w:rsid w:val="008739C3"/>
    <w:rsid w:val="00876549"/>
    <w:rsid w:val="00877DFF"/>
    <w:rsid w:val="00880626"/>
    <w:rsid w:val="0088157B"/>
    <w:rsid w:val="00882A80"/>
    <w:rsid w:val="0088404A"/>
    <w:rsid w:val="00884EAF"/>
    <w:rsid w:val="00885044"/>
    <w:rsid w:val="00885CCC"/>
    <w:rsid w:val="00885E9B"/>
    <w:rsid w:val="0088695F"/>
    <w:rsid w:val="0088712C"/>
    <w:rsid w:val="00887ED3"/>
    <w:rsid w:val="00890E58"/>
    <w:rsid w:val="00891059"/>
    <w:rsid w:val="00891468"/>
    <w:rsid w:val="0089214B"/>
    <w:rsid w:val="00896607"/>
    <w:rsid w:val="00896BBB"/>
    <w:rsid w:val="008970D3"/>
    <w:rsid w:val="00897C81"/>
    <w:rsid w:val="008A1C3D"/>
    <w:rsid w:val="008A2052"/>
    <w:rsid w:val="008A3484"/>
    <w:rsid w:val="008A4308"/>
    <w:rsid w:val="008A492B"/>
    <w:rsid w:val="008A5155"/>
    <w:rsid w:val="008B205A"/>
    <w:rsid w:val="008B62E2"/>
    <w:rsid w:val="008B6DAD"/>
    <w:rsid w:val="008C03F6"/>
    <w:rsid w:val="008C1D45"/>
    <w:rsid w:val="008C3181"/>
    <w:rsid w:val="008C3D21"/>
    <w:rsid w:val="008C5F64"/>
    <w:rsid w:val="008C6F5F"/>
    <w:rsid w:val="008D1002"/>
    <w:rsid w:val="008D1E1E"/>
    <w:rsid w:val="008D3730"/>
    <w:rsid w:val="008D4365"/>
    <w:rsid w:val="008E1BAD"/>
    <w:rsid w:val="008E34CE"/>
    <w:rsid w:val="008E3BBF"/>
    <w:rsid w:val="008E5A9C"/>
    <w:rsid w:val="008E5F54"/>
    <w:rsid w:val="008F2830"/>
    <w:rsid w:val="008F5349"/>
    <w:rsid w:val="008F5656"/>
    <w:rsid w:val="009017AE"/>
    <w:rsid w:val="0090274F"/>
    <w:rsid w:val="00902B6D"/>
    <w:rsid w:val="0090427E"/>
    <w:rsid w:val="009051FC"/>
    <w:rsid w:val="0090609B"/>
    <w:rsid w:val="00910E29"/>
    <w:rsid w:val="00913799"/>
    <w:rsid w:val="0091498F"/>
    <w:rsid w:val="00915740"/>
    <w:rsid w:val="00915BC7"/>
    <w:rsid w:val="009214D2"/>
    <w:rsid w:val="00923E5E"/>
    <w:rsid w:val="0093216F"/>
    <w:rsid w:val="00933D22"/>
    <w:rsid w:val="00937B6C"/>
    <w:rsid w:val="009406BB"/>
    <w:rsid w:val="009409BE"/>
    <w:rsid w:val="009415DB"/>
    <w:rsid w:val="0094558E"/>
    <w:rsid w:val="00946EE8"/>
    <w:rsid w:val="009478F1"/>
    <w:rsid w:val="009547DC"/>
    <w:rsid w:val="00957AE8"/>
    <w:rsid w:val="009615CE"/>
    <w:rsid w:val="0096428A"/>
    <w:rsid w:val="009660E4"/>
    <w:rsid w:val="009675FD"/>
    <w:rsid w:val="00967B68"/>
    <w:rsid w:val="00977D35"/>
    <w:rsid w:val="0098012B"/>
    <w:rsid w:val="0098084E"/>
    <w:rsid w:val="00983FFC"/>
    <w:rsid w:val="00984304"/>
    <w:rsid w:val="009853E2"/>
    <w:rsid w:val="00985C7C"/>
    <w:rsid w:val="009906F4"/>
    <w:rsid w:val="00991CAB"/>
    <w:rsid w:val="009922A0"/>
    <w:rsid w:val="009949F1"/>
    <w:rsid w:val="009962F3"/>
    <w:rsid w:val="009966A9"/>
    <w:rsid w:val="00996D06"/>
    <w:rsid w:val="009A27E3"/>
    <w:rsid w:val="009A3D82"/>
    <w:rsid w:val="009B29B8"/>
    <w:rsid w:val="009B3410"/>
    <w:rsid w:val="009B3690"/>
    <w:rsid w:val="009B78DD"/>
    <w:rsid w:val="009B7A80"/>
    <w:rsid w:val="009C032C"/>
    <w:rsid w:val="009C26BF"/>
    <w:rsid w:val="009D256E"/>
    <w:rsid w:val="009D25B4"/>
    <w:rsid w:val="009D4D58"/>
    <w:rsid w:val="009D52E3"/>
    <w:rsid w:val="009D562E"/>
    <w:rsid w:val="009D5BE5"/>
    <w:rsid w:val="009D631B"/>
    <w:rsid w:val="009D71FD"/>
    <w:rsid w:val="009E004A"/>
    <w:rsid w:val="009E24D0"/>
    <w:rsid w:val="009E3046"/>
    <w:rsid w:val="009E6CAB"/>
    <w:rsid w:val="009E751E"/>
    <w:rsid w:val="009F2B99"/>
    <w:rsid w:val="009F594A"/>
    <w:rsid w:val="00A070F3"/>
    <w:rsid w:val="00A0756C"/>
    <w:rsid w:val="00A10C33"/>
    <w:rsid w:val="00A11CFF"/>
    <w:rsid w:val="00A1290F"/>
    <w:rsid w:val="00A13C94"/>
    <w:rsid w:val="00A16510"/>
    <w:rsid w:val="00A25405"/>
    <w:rsid w:val="00A2557B"/>
    <w:rsid w:val="00A256AC"/>
    <w:rsid w:val="00A27CC3"/>
    <w:rsid w:val="00A32DAB"/>
    <w:rsid w:val="00A3303F"/>
    <w:rsid w:val="00A33945"/>
    <w:rsid w:val="00A362D6"/>
    <w:rsid w:val="00A41D9A"/>
    <w:rsid w:val="00A42CAD"/>
    <w:rsid w:val="00A43082"/>
    <w:rsid w:val="00A474AB"/>
    <w:rsid w:val="00A47D77"/>
    <w:rsid w:val="00A51CDA"/>
    <w:rsid w:val="00A52FE1"/>
    <w:rsid w:val="00A554FB"/>
    <w:rsid w:val="00A555F1"/>
    <w:rsid w:val="00A560E9"/>
    <w:rsid w:val="00A618C5"/>
    <w:rsid w:val="00A650D2"/>
    <w:rsid w:val="00A6575B"/>
    <w:rsid w:val="00A66EDE"/>
    <w:rsid w:val="00A67683"/>
    <w:rsid w:val="00A67B3F"/>
    <w:rsid w:val="00A727EF"/>
    <w:rsid w:val="00A73C8A"/>
    <w:rsid w:val="00A758EB"/>
    <w:rsid w:val="00A76984"/>
    <w:rsid w:val="00A8050B"/>
    <w:rsid w:val="00A819F7"/>
    <w:rsid w:val="00A81AD8"/>
    <w:rsid w:val="00A835A1"/>
    <w:rsid w:val="00A83A1E"/>
    <w:rsid w:val="00A83BE9"/>
    <w:rsid w:val="00A851D9"/>
    <w:rsid w:val="00A85289"/>
    <w:rsid w:val="00A86B0A"/>
    <w:rsid w:val="00A86EB0"/>
    <w:rsid w:val="00A92143"/>
    <w:rsid w:val="00A94922"/>
    <w:rsid w:val="00A94E7D"/>
    <w:rsid w:val="00A967F0"/>
    <w:rsid w:val="00A9680A"/>
    <w:rsid w:val="00A96C93"/>
    <w:rsid w:val="00AA3F4E"/>
    <w:rsid w:val="00AA50BE"/>
    <w:rsid w:val="00AA7245"/>
    <w:rsid w:val="00AB072E"/>
    <w:rsid w:val="00AB15CC"/>
    <w:rsid w:val="00AB4720"/>
    <w:rsid w:val="00AB4F4B"/>
    <w:rsid w:val="00AB4FC6"/>
    <w:rsid w:val="00AB596B"/>
    <w:rsid w:val="00AB7489"/>
    <w:rsid w:val="00AC284D"/>
    <w:rsid w:val="00AC586F"/>
    <w:rsid w:val="00AC5A46"/>
    <w:rsid w:val="00AC5FFB"/>
    <w:rsid w:val="00AC69CE"/>
    <w:rsid w:val="00AD1D87"/>
    <w:rsid w:val="00AD1F1A"/>
    <w:rsid w:val="00AD2F72"/>
    <w:rsid w:val="00AD34AA"/>
    <w:rsid w:val="00AD4962"/>
    <w:rsid w:val="00AD6EF2"/>
    <w:rsid w:val="00AD799D"/>
    <w:rsid w:val="00AD7BBF"/>
    <w:rsid w:val="00AE0E5F"/>
    <w:rsid w:val="00AE7947"/>
    <w:rsid w:val="00AF04E0"/>
    <w:rsid w:val="00AF1771"/>
    <w:rsid w:val="00AF3797"/>
    <w:rsid w:val="00AF427D"/>
    <w:rsid w:val="00AF4937"/>
    <w:rsid w:val="00AF6C85"/>
    <w:rsid w:val="00B0028B"/>
    <w:rsid w:val="00B00BE5"/>
    <w:rsid w:val="00B029A1"/>
    <w:rsid w:val="00B038B9"/>
    <w:rsid w:val="00B03AFF"/>
    <w:rsid w:val="00B03DD8"/>
    <w:rsid w:val="00B0628E"/>
    <w:rsid w:val="00B1202E"/>
    <w:rsid w:val="00B13CA4"/>
    <w:rsid w:val="00B142B7"/>
    <w:rsid w:val="00B143DB"/>
    <w:rsid w:val="00B1776F"/>
    <w:rsid w:val="00B1780A"/>
    <w:rsid w:val="00B17F38"/>
    <w:rsid w:val="00B24CA4"/>
    <w:rsid w:val="00B26330"/>
    <w:rsid w:val="00B31701"/>
    <w:rsid w:val="00B357DD"/>
    <w:rsid w:val="00B43314"/>
    <w:rsid w:val="00B4419C"/>
    <w:rsid w:val="00B44DFC"/>
    <w:rsid w:val="00B455A5"/>
    <w:rsid w:val="00B45DC5"/>
    <w:rsid w:val="00B53812"/>
    <w:rsid w:val="00B552C4"/>
    <w:rsid w:val="00B55901"/>
    <w:rsid w:val="00B57058"/>
    <w:rsid w:val="00B60F29"/>
    <w:rsid w:val="00B61232"/>
    <w:rsid w:val="00B66312"/>
    <w:rsid w:val="00B664AC"/>
    <w:rsid w:val="00B66910"/>
    <w:rsid w:val="00B70137"/>
    <w:rsid w:val="00B74A9C"/>
    <w:rsid w:val="00B76AFE"/>
    <w:rsid w:val="00B775D8"/>
    <w:rsid w:val="00B814C2"/>
    <w:rsid w:val="00B850A9"/>
    <w:rsid w:val="00B8511F"/>
    <w:rsid w:val="00B95005"/>
    <w:rsid w:val="00BA06B6"/>
    <w:rsid w:val="00BA071A"/>
    <w:rsid w:val="00BA5786"/>
    <w:rsid w:val="00BB3592"/>
    <w:rsid w:val="00BB4C53"/>
    <w:rsid w:val="00BB61E4"/>
    <w:rsid w:val="00BB7907"/>
    <w:rsid w:val="00BC013F"/>
    <w:rsid w:val="00BC197C"/>
    <w:rsid w:val="00BC20C3"/>
    <w:rsid w:val="00BC62FD"/>
    <w:rsid w:val="00BD27DC"/>
    <w:rsid w:val="00BD604B"/>
    <w:rsid w:val="00BD6053"/>
    <w:rsid w:val="00BD7928"/>
    <w:rsid w:val="00BE1BD8"/>
    <w:rsid w:val="00BF6001"/>
    <w:rsid w:val="00BF6FA5"/>
    <w:rsid w:val="00C005E6"/>
    <w:rsid w:val="00C00DE2"/>
    <w:rsid w:val="00C01419"/>
    <w:rsid w:val="00C02E07"/>
    <w:rsid w:val="00C03467"/>
    <w:rsid w:val="00C066C1"/>
    <w:rsid w:val="00C0702B"/>
    <w:rsid w:val="00C120AC"/>
    <w:rsid w:val="00C13A45"/>
    <w:rsid w:val="00C144DB"/>
    <w:rsid w:val="00C20D7B"/>
    <w:rsid w:val="00C243B0"/>
    <w:rsid w:val="00C311DC"/>
    <w:rsid w:val="00C3226E"/>
    <w:rsid w:val="00C3264A"/>
    <w:rsid w:val="00C364F3"/>
    <w:rsid w:val="00C36F08"/>
    <w:rsid w:val="00C37269"/>
    <w:rsid w:val="00C422FD"/>
    <w:rsid w:val="00C442D8"/>
    <w:rsid w:val="00C447A1"/>
    <w:rsid w:val="00C46BC1"/>
    <w:rsid w:val="00C541F1"/>
    <w:rsid w:val="00C56A85"/>
    <w:rsid w:val="00C62BDF"/>
    <w:rsid w:val="00C634C5"/>
    <w:rsid w:val="00C63BA4"/>
    <w:rsid w:val="00C64ECB"/>
    <w:rsid w:val="00C66901"/>
    <w:rsid w:val="00C73BD0"/>
    <w:rsid w:val="00C74F0C"/>
    <w:rsid w:val="00C7522B"/>
    <w:rsid w:val="00C75B47"/>
    <w:rsid w:val="00C75E9D"/>
    <w:rsid w:val="00C77202"/>
    <w:rsid w:val="00C77491"/>
    <w:rsid w:val="00C8064D"/>
    <w:rsid w:val="00C811E2"/>
    <w:rsid w:val="00C81DAB"/>
    <w:rsid w:val="00C83B85"/>
    <w:rsid w:val="00C8671C"/>
    <w:rsid w:val="00C86CA5"/>
    <w:rsid w:val="00C90B05"/>
    <w:rsid w:val="00C93859"/>
    <w:rsid w:val="00C949B7"/>
    <w:rsid w:val="00C95657"/>
    <w:rsid w:val="00CA11F3"/>
    <w:rsid w:val="00CA6291"/>
    <w:rsid w:val="00CA7C3D"/>
    <w:rsid w:val="00CB1182"/>
    <w:rsid w:val="00CB1A13"/>
    <w:rsid w:val="00CB3C41"/>
    <w:rsid w:val="00CB6D08"/>
    <w:rsid w:val="00CB7F20"/>
    <w:rsid w:val="00CC0BC0"/>
    <w:rsid w:val="00CC2542"/>
    <w:rsid w:val="00CC2EB0"/>
    <w:rsid w:val="00CC3550"/>
    <w:rsid w:val="00CC3B70"/>
    <w:rsid w:val="00CC6EEA"/>
    <w:rsid w:val="00CD3AAA"/>
    <w:rsid w:val="00CD5393"/>
    <w:rsid w:val="00CE0194"/>
    <w:rsid w:val="00CE2100"/>
    <w:rsid w:val="00CE3172"/>
    <w:rsid w:val="00CE4FC7"/>
    <w:rsid w:val="00CF0B6F"/>
    <w:rsid w:val="00CF10A5"/>
    <w:rsid w:val="00CF2760"/>
    <w:rsid w:val="00CF37AD"/>
    <w:rsid w:val="00CF68E4"/>
    <w:rsid w:val="00CF6C8B"/>
    <w:rsid w:val="00CF70D1"/>
    <w:rsid w:val="00D07FB8"/>
    <w:rsid w:val="00D10CF9"/>
    <w:rsid w:val="00D12612"/>
    <w:rsid w:val="00D1370E"/>
    <w:rsid w:val="00D137C2"/>
    <w:rsid w:val="00D13AC5"/>
    <w:rsid w:val="00D20CBD"/>
    <w:rsid w:val="00D219FB"/>
    <w:rsid w:val="00D22267"/>
    <w:rsid w:val="00D258FE"/>
    <w:rsid w:val="00D25966"/>
    <w:rsid w:val="00D25FB7"/>
    <w:rsid w:val="00D26F4F"/>
    <w:rsid w:val="00D35C6B"/>
    <w:rsid w:val="00D42B48"/>
    <w:rsid w:val="00D43718"/>
    <w:rsid w:val="00D463F9"/>
    <w:rsid w:val="00D51643"/>
    <w:rsid w:val="00D53CF2"/>
    <w:rsid w:val="00D542A0"/>
    <w:rsid w:val="00D56F81"/>
    <w:rsid w:val="00D57010"/>
    <w:rsid w:val="00D5729F"/>
    <w:rsid w:val="00D6314D"/>
    <w:rsid w:val="00D65140"/>
    <w:rsid w:val="00D66475"/>
    <w:rsid w:val="00D67DD8"/>
    <w:rsid w:val="00D718E4"/>
    <w:rsid w:val="00D725A2"/>
    <w:rsid w:val="00D749E8"/>
    <w:rsid w:val="00D75617"/>
    <w:rsid w:val="00D76AC2"/>
    <w:rsid w:val="00D7751B"/>
    <w:rsid w:val="00D77B85"/>
    <w:rsid w:val="00D8019D"/>
    <w:rsid w:val="00D833CA"/>
    <w:rsid w:val="00D86737"/>
    <w:rsid w:val="00D870BA"/>
    <w:rsid w:val="00D9192C"/>
    <w:rsid w:val="00D93556"/>
    <w:rsid w:val="00D93D2E"/>
    <w:rsid w:val="00DA0771"/>
    <w:rsid w:val="00DA1E38"/>
    <w:rsid w:val="00DA42F7"/>
    <w:rsid w:val="00DA4FE8"/>
    <w:rsid w:val="00DA565E"/>
    <w:rsid w:val="00DB6373"/>
    <w:rsid w:val="00DB6377"/>
    <w:rsid w:val="00DB6AA4"/>
    <w:rsid w:val="00DC0CB3"/>
    <w:rsid w:val="00DC1132"/>
    <w:rsid w:val="00DC48F2"/>
    <w:rsid w:val="00DC7245"/>
    <w:rsid w:val="00DC7D0F"/>
    <w:rsid w:val="00DC7F74"/>
    <w:rsid w:val="00DD2AFF"/>
    <w:rsid w:val="00DD472E"/>
    <w:rsid w:val="00DD6012"/>
    <w:rsid w:val="00DE4A88"/>
    <w:rsid w:val="00DE71E7"/>
    <w:rsid w:val="00DF0E25"/>
    <w:rsid w:val="00DF7F81"/>
    <w:rsid w:val="00E03BDB"/>
    <w:rsid w:val="00E1552D"/>
    <w:rsid w:val="00E158C9"/>
    <w:rsid w:val="00E21EC9"/>
    <w:rsid w:val="00E2419F"/>
    <w:rsid w:val="00E24429"/>
    <w:rsid w:val="00E304D0"/>
    <w:rsid w:val="00E33A52"/>
    <w:rsid w:val="00E34157"/>
    <w:rsid w:val="00E362A0"/>
    <w:rsid w:val="00E36A52"/>
    <w:rsid w:val="00E40C76"/>
    <w:rsid w:val="00E43DF2"/>
    <w:rsid w:val="00E44DCA"/>
    <w:rsid w:val="00E45A94"/>
    <w:rsid w:val="00E463AD"/>
    <w:rsid w:val="00E50D30"/>
    <w:rsid w:val="00E511A5"/>
    <w:rsid w:val="00E526E2"/>
    <w:rsid w:val="00E532A4"/>
    <w:rsid w:val="00E54784"/>
    <w:rsid w:val="00E54C1A"/>
    <w:rsid w:val="00E555E6"/>
    <w:rsid w:val="00E5586F"/>
    <w:rsid w:val="00E576DD"/>
    <w:rsid w:val="00E60763"/>
    <w:rsid w:val="00E61EE3"/>
    <w:rsid w:val="00E62CF3"/>
    <w:rsid w:val="00E64780"/>
    <w:rsid w:val="00E6514C"/>
    <w:rsid w:val="00E66D77"/>
    <w:rsid w:val="00E67223"/>
    <w:rsid w:val="00E71AE3"/>
    <w:rsid w:val="00E73B31"/>
    <w:rsid w:val="00E740B2"/>
    <w:rsid w:val="00E769BA"/>
    <w:rsid w:val="00E777F3"/>
    <w:rsid w:val="00E80BD9"/>
    <w:rsid w:val="00E85495"/>
    <w:rsid w:val="00E859A2"/>
    <w:rsid w:val="00E859D3"/>
    <w:rsid w:val="00E8713A"/>
    <w:rsid w:val="00E95036"/>
    <w:rsid w:val="00EA276A"/>
    <w:rsid w:val="00EA5885"/>
    <w:rsid w:val="00EB046B"/>
    <w:rsid w:val="00EB2E5D"/>
    <w:rsid w:val="00EB6437"/>
    <w:rsid w:val="00EB6CD9"/>
    <w:rsid w:val="00EB7FEF"/>
    <w:rsid w:val="00EC0B25"/>
    <w:rsid w:val="00EC1E1C"/>
    <w:rsid w:val="00EC6815"/>
    <w:rsid w:val="00ED0F5D"/>
    <w:rsid w:val="00ED2ADF"/>
    <w:rsid w:val="00ED3A46"/>
    <w:rsid w:val="00ED422D"/>
    <w:rsid w:val="00ED5F3D"/>
    <w:rsid w:val="00ED654C"/>
    <w:rsid w:val="00ED66C7"/>
    <w:rsid w:val="00ED6C89"/>
    <w:rsid w:val="00ED71F9"/>
    <w:rsid w:val="00EE0B24"/>
    <w:rsid w:val="00EE175F"/>
    <w:rsid w:val="00EE23BC"/>
    <w:rsid w:val="00EE3F64"/>
    <w:rsid w:val="00EF0191"/>
    <w:rsid w:val="00EF1840"/>
    <w:rsid w:val="00EF1D02"/>
    <w:rsid w:val="00EF280F"/>
    <w:rsid w:val="00EF4F44"/>
    <w:rsid w:val="00EF5BF1"/>
    <w:rsid w:val="00EF6C82"/>
    <w:rsid w:val="00F00F1F"/>
    <w:rsid w:val="00F15DE1"/>
    <w:rsid w:val="00F200E6"/>
    <w:rsid w:val="00F208B8"/>
    <w:rsid w:val="00F23590"/>
    <w:rsid w:val="00F31D3F"/>
    <w:rsid w:val="00F345F2"/>
    <w:rsid w:val="00F34AC3"/>
    <w:rsid w:val="00F37669"/>
    <w:rsid w:val="00F37C32"/>
    <w:rsid w:val="00F40B09"/>
    <w:rsid w:val="00F5170C"/>
    <w:rsid w:val="00F52AA0"/>
    <w:rsid w:val="00F547BF"/>
    <w:rsid w:val="00F57711"/>
    <w:rsid w:val="00F618A1"/>
    <w:rsid w:val="00F61B3D"/>
    <w:rsid w:val="00F703C1"/>
    <w:rsid w:val="00F727D1"/>
    <w:rsid w:val="00F73E48"/>
    <w:rsid w:val="00F74B4F"/>
    <w:rsid w:val="00F764DE"/>
    <w:rsid w:val="00F82D70"/>
    <w:rsid w:val="00F86422"/>
    <w:rsid w:val="00F867C4"/>
    <w:rsid w:val="00F871A3"/>
    <w:rsid w:val="00F908EB"/>
    <w:rsid w:val="00F91FC0"/>
    <w:rsid w:val="00F92D99"/>
    <w:rsid w:val="00F9364F"/>
    <w:rsid w:val="00F95EA2"/>
    <w:rsid w:val="00F96509"/>
    <w:rsid w:val="00FA343F"/>
    <w:rsid w:val="00FA40E9"/>
    <w:rsid w:val="00FA51AF"/>
    <w:rsid w:val="00FA5C11"/>
    <w:rsid w:val="00FA747A"/>
    <w:rsid w:val="00FB020E"/>
    <w:rsid w:val="00FB3024"/>
    <w:rsid w:val="00FB33FF"/>
    <w:rsid w:val="00FB5F60"/>
    <w:rsid w:val="00FB6BF0"/>
    <w:rsid w:val="00FB70A1"/>
    <w:rsid w:val="00FC1B9A"/>
    <w:rsid w:val="00FC2521"/>
    <w:rsid w:val="00FC5469"/>
    <w:rsid w:val="00FC65A9"/>
    <w:rsid w:val="00FC7933"/>
    <w:rsid w:val="00FD1A01"/>
    <w:rsid w:val="00FD3293"/>
    <w:rsid w:val="00FE2BAA"/>
    <w:rsid w:val="00FE487D"/>
    <w:rsid w:val="00FE52AE"/>
    <w:rsid w:val="00FE5709"/>
    <w:rsid w:val="00FE7918"/>
    <w:rsid w:val="00FE7C33"/>
    <w:rsid w:val="00FE7E59"/>
    <w:rsid w:val="00FF2DFE"/>
    <w:rsid w:val="00FF5D39"/>
    <w:rsid w:val="00FF7925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831CF"/>
  <w15:chartTrackingRefBased/>
  <w15:docId w15:val="{D25737C5-A5D7-7345-BDE7-4CBEE95B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C1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1D4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73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7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Martins</dc:creator>
  <cp:keywords/>
  <dc:description/>
  <cp:lastModifiedBy>Karen Martins</cp:lastModifiedBy>
  <cp:revision>3</cp:revision>
  <dcterms:created xsi:type="dcterms:W3CDTF">2024-09-20T16:59:00Z</dcterms:created>
  <dcterms:modified xsi:type="dcterms:W3CDTF">2024-09-20T17:00:00Z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43dd8703b6cfb32a7de96dc825ea66fa1223cc4f92a7624e1116c7420b8174c4</vt:lpwstr>
  </property>
</Properties>
</file>