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2F54E0" w14:textId="77777777" w:rsidR="00B41992" w:rsidRDefault="00B41992" w:rsidP="00B41992">
      <w:pPr>
        <w:tabs>
          <w:tab w:val="left" w:pos="7485"/>
          <w:tab w:val="left" w:pos="9169"/>
          <w:tab w:val="right" w:pos="10466"/>
        </w:tabs>
        <w:rPr>
          <w:b/>
          <w:bCs/>
          <w:u w:val="single"/>
        </w:rPr>
      </w:pPr>
    </w:p>
    <w:p w14:paraId="2CD7EE17" w14:textId="77777777" w:rsidR="00B41992" w:rsidRPr="00B00148" w:rsidRDefault="00B41992" w:rsidP="00B41992">
      <w:pPr>
        <w:pStyle w:val="ListParagraph"/>
      </w:pPr>
    </w:p>
    <w:p w14:paraId="72D5C497" w14:textId="77777777" w:rsidR="00B41992" w:rsidRPr="00B00148" w:rsidRDefault="00B41992" w:rsidP="00B41992">
      <w:pPr>
        <w:rPr>
          <w:b/>
          <w:bCs/>
          <w:u w:val="single"/>
        </w:rPr>
      </w:pPr>
      <w:r w:rsidRPr="00B00148">
        <w:rPr>
          <w:b/>
          <w:bCs/>
          <w:u w:val="single"/>
        </w:rPr>
        <w:t>Appendix 3</w:t>
      </w:r>
    </w:p>
    <w:p w14:paraId="0DE3C5B3" w14:textId="77777777" w:rsidR="00B41992" w:rsidRPr="00B00148" w:rsidRDefault="00B41992" w:rsidP="00B41992">
      <w:pPr>
        <w:rPr>
          <w:b/>
          <w:bCs/>
        </w:rPr>
      </w:pPr>
      <w:r w:rsidRPr="00B00148">
        <w:rPr>
          <w:b/>
          <w:bCs/>
        </w:rPr>
        <w:t>Evidence Synthesis of Data</w:t>
      </w:r>
    </w:p>
    <w:p w14:paraId="76242CC8" w14:textId="77777777" w:rsidR="00B41992" w:rsidRDefault="00B41992" w:rsidP="00B41992"/>
    <w:p w14:paraId="64D6DCCE" w14:textId="77777777" w:rsidR="00B41992" w:rsidRPr="00717A31" w:rsidRDefault="00B41992" w:rsidP="00B41992"/>
    <w:p w14:paraId="21E1B742" w14:textId="77777777" w:rsidR="00B41992" w:rsidRPr="00767611" w:rsidRDefault="00B41992" w:rsidP="00B41992">
      <w:pPr>
        <w:rPr>
          <w:b/>
          <w:bCs/>
          <w:sz w:val="32"/>
          <w:szCs w:val="32"/>
        </w:rPr>
      </w:pPr>
      <w:r w:rsidRPr="00767611">
        <w:rPr>
          <w:b/>
          <w:bCs/>
          <w:sz w:val="32"/>
          <w:szCs w:val="32"/>
        </w:rPr>
        <w:t>3. 1.1 Atogepant in Episodic Migraine</w:t>
      </w:r>
    </w:p>
    <w:p w14:paraId="6B403272" w14:textId="77777777" w:rsidR="00B41992" w:rsidRPr="00717A31" w:rsidRDefault="00B41992" w:rsidP="00B41992">
      <w:bookmarkStart w:id="0" w:name="_Hlk151719489"/>
      <w:r w:rsidRPr="00717A31">
        <w:t>Two studies were found Ailani et al, 2021</w:t>
      </w:r>
      <w:r>
        <w:fldChar w:fldCharType="begin"/>
      </w:r>
      <w:r>
        <w:instrText xml:space="preserve"> ADDIN ZOTERO_ITEM CSL_CITATION {"citationID":"DyGYbMa8","properties":{"formattedCitation":"(30)","plainCitation":"(30)","noteIndex":0},"citationItems":[{"id":5823,"uris":["http://zotero.org/users/5131939/items/S56KVEE4"],"itemData":{"id":5823,"type":"article-journal","archive_location":"34407343","container-title":"New England Journal of Medicine","DOI":"10.1056/NEJMoa2035908","issue":"8","journalAbbreviation":"New England Journal of Medicine","page":"695-706","title":"Atogepant for the Preventive Treatment of Migraine","volume":"385","author":[{"family":"Ailani","given":"J."},{"family":"Lipton","given":"R. B."},{"family":"Goadsby","given":"P. J."},{"family":"Guo","given":"H."},{"family":"Miceli","given":"R."},{"family":"Severt","given":"L."},{"family":"Finnegan","given":"M."},{"family":"Trugman","given":"J. M."}],"issued":{"date-parts":[["2021"]]}}}],"schema":"https://github.com/citation-style-language/schema/raw/master/csl-citation.json"} </w:instrText>
      </w:r>
      <w:r>
        <w:fldChar w:fldCharType="separate"/>
      </w:r>
      <w:r w:rsidRPr="00E0100C">
        <w:rPr>
          <w:rFonts w:ascii="Calibri" w:hAnsi="Calibri" w:cs="Calibri"/>
        </w:rPr>
        <w:t>(30)</w:t>
      </w:r>
      <w:r>
        <w:fldChar w:fldCharType="end"/>
      </w:r>
      <w:r w:rsidRPr="00717A31">
        <w:t xml:space="preserve"> and Goadsby et al, 20</w:t>
      </w:r>
      <w:r>
        <w:t>20</w:t>
      </w:r>
      <w:r>
        <w:fldChar w:fldCharType="begin"/>
      </w:r>
      <w:r>
        <w:instrText xml:space="preserve"> ADDIN ZOTERO_ITEM CSL_CITATION {"citationID":"zspDPxsJ","properties":{"formattedCitation":"(31)","plainCitation":"(31)","noteIndex":0},"citationItems":[{"id":5833,"uris":["http://zotero.org/users/5131939/items/8WI2V5GZ"],"itemData":{"id":5833,"type":"article-journal","archive_location":"32822633","container-title":"Lancet Neurology","DOI":"10.1016/S1474-4422(20)30234-9","issue":"9","journalAbbreviation":"Lancet Neurology","page":"727-737","title":"Safety, tolerability, and efficacy of orally administered atogepant for the prevention of episodic migraine in adults: a double-blind, randomised phase 2b/3 trial","volume":"19","author":[{"family":"Goadsby","given":"P. J."},{"family":"Dodick","given":"D. W."},{"family":"Ailani","given":"J."},{"family":"Trugman","given":"J. M."},{"family":"Finnegan","given":"M."},{"family":"Lu","given":"K."},{"family":"Szegedi","given":"A."}],"issued":{"date-parts":[["2020"]]}}}],"schema":"https://github.com/citation-style-language/schema/raw/master/csl-citation.json"} </w:instrText>
      </w:r>
      <w:r>
        <w:fldChar w:fldCharType="separate"/>
      </w:r>
      <w:r w:rsidRPr="00E0100C">
        <w:rPr>
          <w:rFonts w:ascii="Calibri" w:hAnsi="Calibri" w:cs="Calibri"/>
        </w:rPr>
        <w:t>(31)</w:t>
      </w:r>
      <w:r>
        <w:fldChar w:fldCharType="end"/>
      </w:r>
      <w:r w:rsidRPr="00717A31">
        <w:t>.</w:t>
      </w:r>
    </w:p>
    <w:bookmarkEnd w:id="0"/>
    <w:p w14:paraId="18DC2698" w14:textId="77777777" w:rsidR="00B41992" w:rsidRPr="00B07F90" w:rsidRDefault="00B41992" w:rsidP="00B41992">
      <w:pPr>
        <w:rPr>
          <w:b/>
          <w:bCs/>
          <w:u w:val="single"/>
        </w:rPr>
      </w:pPr>
      <w:r w:rsidRPr="00717A31">
        <w:rPr>
          <w:b/>
          <w:bCs/>
          <w:u w:val="single"/>
        </w:rPr>
        <w:t>Migraine Day Reduction</w:t>
      </w:r>
    </w:p>
    <w:p w14:paraId="50C14D57" w14:textId="77777777" w:rsidR="00B41992" w:rsidRDefault="00B41992" w:rsidP="00B41992">
      <w:r>
        <w:rPr>
          <w:noProof/>
        </w:rPr>
        <w:drawing>
          <wp:inline distT="0" distB="0" distL="0" distR="0" wp14:anchorId="2FA91E63" wp14:editId="05FF97C2">
            <wp:extent cx="5943600" cy="1351915"/>
            <wp:effectExtent l="0" t="0" r="0" b="0"/>
            <wp:docPr id="18110359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3597" name="Graphic 181103597"/>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5943600" cy="1351915"/>
                    </a:xfrm>
                    <a:prstGeom prst="rect">
                      <a:avLst/>
                    </a:prstGeom>
                  </pic:spPr>
                </pic:pic>
              </a:graphicData>
            </a:graphic>
          </wp:inline>
        </w:drawing>
      </w:r>
    </w:p>
    <w:p w14:paraId="22C0DE52" w14:textId="77777777" w:rsidR="00B41992" w:rsidRPr="00717A31" w:rsidRDefault="00B41992" w:rsidP="00B41992">
      <w:pPr>
        <w:rPr>
          <w:b/>
          <w:bCs/>
          <w:u w:val="single"/>
        </w:rPr>
      </w:pPr>
      <w:r w:rsidRPr="00717A31">
        <w:rPr>
          <w:b/>
          <w:bCs/>
          <w:u w:val="single"/>
        </w:rPr>
        <w:t>50% Responder Rate</w:t>
      </w:r>
    </w:p>
    <w:p w14:paraId="5C1DAFDA" w14:textId="77777777" w:rsidR="00B41992" w:rsidRDefault="00B41992" w:rsidP="00B41992">
      <w:r>
        <w:rPr>
          <w:noProof/>
        </w:rPr>
        <w:drawing>
          <wp:inline distT="0" distB="0" distL="0" distR="0" wp14:anchorId="396D8E25" wp14:editId="3AF302C6">
            <wp:extent cx="5943600" cy="1633855"/>
            <wp:effectExtent l="0" t="0" r="0" b="0"/>
            <wp:docPr id="122094880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48803" name="Graphic 1220948803"/>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943600" cy="1633855"/>
                    </a:xfrm>
                    <a:prstGeom prst="rect">
                      <a:avLst/>
                    </a:prstGeom>
                  </pic:spPr>
                </pic:pic>
              </a:graphicData>
            </a:graphic>
          </wp:inline>
        </w:drawing>
      </w:r>
    </w:p>
    <w:p w14:paraId="79F023A5" w14:textId="77777777" w:rsidR="00B41992" w:rsidRPr="00717A31" w:rsidRDefault="00B41992" w:rsidP="00B41992">
      <w:pPr>
        <w:rPr>
          <w:b/>
          <w:bCs/>
          <w:u w:val="single"/>
        </w:rPr>
      </w:pPr>
      <w:r w:rsidRPr="00717A31">
        <w:rPr>
          <w:b/>
          <w:bCs/>
          <w:u w:val="single"/>
        </w:rPr>
        <w:t>Adverse Events</w:t>
      </w:r>
    </w:p>
    <w:p w14:paraId="0C946EE6" w14:textId="77777777" w:rsidR="00B41992" w:rsidRDefault="00B41992" w:rsidP="00B41992">
      <w:r>
        <w:rPr>
          <w:noProof/>
        </w:rPr>
        <w:drawing>
          <wp:inline distT="0" distB="0" distL="0" distR="0" wp14:anchorId="17BE3DE6" wp14:editId="78595D78">
            <wp:extent cx="5943600" cy="1656715"/>
            <wp:effectExtent l="0" t="0" r="0" b="0"/>
            <wp:docPr id="479581733" name="Graphic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81733" name="Graphic 479581733"/>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943600" cy="1656715"/>
                    </a:xfrm>
                    <a:prstGeom prst="rect">
                      <a:avLst/>
                    </a:prstGeom>
                  </pic:spPr>
                </pic:pic>
              </a:graphicData>
            </a:graphic>
          </wp:inline>
        </w:drawing>
      </w:r>
    </w:p>
    <w:p w14:paraId="356F2E12" w14:textId="77777777" w:rsidR="00B41992" w:rsidRDefault="00B41992" w:rsidP="00B41992">
      <w:pPr>
        <w:rPr>
          <w:b/>
          <w:bCs/>
          <w:sz w:val="28"/>
          <w:szCs w:val="28"/>
          <w:u w:val="single"/>
        </w:rPr>
      </w:pPr>
    </w:p>
    <w:p w14:paraId="05472B14" w14:textId="77777777" w:rsidR="00B41992" w:rsidRDefault="00B41992" w:rsidP="00B41992">
      <w:pPr>
        <w:rPr>
          <w:b/>
          <w:bCs/>
          <w:sz w:val="28"/>
          <w:szCs w:val="28"/>
          <w:u w:val="single"/>
        </w:rPr>
      </w:pPr>
    </w:p>
    <w:p w14:paraId="164C5D22" w14:textId="77777777" w:rsidR="00B41992" w:rsidRDefault="00B41992" w:rsidP="00B41992">
      <w:pPr>
        <w:rPr>
          <w:b/>
          <w:bCs/>
          <w:sz w:val="28"/>
          <w:szCs w:val="28"/>
          <w:u w:val="single"/>
        </w:rPr>
      </w:pPr>
    </w:p>
    <w:p w14:paraId="0A9DA40B" w14:textId="77777777" w:rsidR="00B41992" w:rsidRDefault="00B41992" w:rsidP="00B41992">
      <w:pPr>
        <w:rPr>
          <w:b/>
          <w:bCs/>
          <w:sz w:val="28"/>
          <w:szCs w:val="28"/>
          <w:u w:val="single"/>
        </w:rPr>
      </w:pPr>
    </w:p>
    <w:p w14:paraId="5CAAE06F" w14:textId="77777777" w:rsidR="00B41992" w:rsidRDefault="00B41992" w:rsidP="00B41992">
      <w:pPr>
        <w:rPr>
          <w:b/>
          <w:bCs/>
          <w:sz w:val="28"/>
          <w:szCs w:val="28"/>
          <w:u w:val="single"/>
        </w:rPr>
      </w:pPr>
    </w:p>
    <w:p w14:paraId="2270E322" w14:textId="77777777" w:rsidR="00B41992" w:rsidRDefault="00B41992" w:rsidP="00B41992">
      <w:pPr>
        <w:rPr>
          <w:b/>
          <w:bCs/>
          <w:sz w:val="28"/>
          <w:szCs w:val="28"/>
          <w:u w:val="single"/>
        </w:rPr>
      </w:pPr>
    </w:p>
    <w:p w14:paraId="5FC65CE7" w14:textId="77777777" w:rsidR="00B41992" w:rsidRDefault="00B41992" w:rsidP="00B41992">
      <w:pPr>
        <w:rPr>
          <w:b/>
          <w:bCs/>
          <w:sz w:val="28"/>
          <w:szCs w:val="28"/>
          <w:u w:val="single"/>
        </w:rPr>
      </w:pPr>
    </w:p>
    <w:p w14:paraId="57E6E3AE" w14:textId="77777777" w:rsidR="00B41992" w:rsidRDefault="00B41992" w:rsidP="00B41992">
      <w:pPr>
        <w:rPr>
          <w:b/>
          <w:bCs/>
          <w:sz w:val="28"/>
          <w:szCs w:val="28"/>
          <w:u w:val="single"/>
        </w:rPr>
      </w:pPr>
    </w:p>
    <w:p w14:paraId="4FB97B47" w14:textId="77777777" w:rsidR="00B41992" w:rsidRDefault="00B41992" w:rsidP="00B41992">
      <w:pPr>
        <w:rPr>
          <w:b/>
          <w:bCs/>
          <w:sz w:val="28"/>
          <w:szCs w:val="28"/>
          <w:u w:val="single"/>
        </w:rPr>
      </w:pPr>
    </w:p>
    <w:p w14:paraId="19BB304E" w14:textId="77777777" w:rsidR="00B41992" w:rsidRDefault="00B41992" w:rsidP="00B41992">
      <w:pPr>
        <w:rPr>
          <w:b/>
          <w:bCs/>
          <w:sz w:val="28"/>
          <w:szCs w:val="28"/>
          <w:u w:val="single"/>
        </w:rPr>
      </w:pPr>
    </w:p>
    <w:p w14:paraId="3D38EE30" w14:textId="77777777" w:rsidR="00B41992" w:rsidRDefault="00B41992" w:rsidP="00B41992">
      <w:pPr>
        <w:rPr>
          <w:b/>
          <w:bCs/>
          <w:sz w:val="28"/>
          <w:szCs w:val="28"/>
          <w:u w:val="single"/>
        </w:rPr>
      </w:pPr>
    </w:p>
    <w:p w14:paraId="4C1676B6" w14:textId="77777777" w:rsidR="00B41992" w:rsidRDefault="00B41992" w:rsidP="00B41992">
      <w:pPr>
        <w:rPr>
          <w:b/>
          <w:bCs/>
          <w:sz w:val="28"/>
          <w:szCs w:val="28"/>
          <w:u w:val="single"/>
        </w:rPr>
      </w:pPr>
    </w:p>
    <w:p w14:paraId="14D504B4" w14:textId="77777777" w:rsidR="00B41992" w:rsidRPr="00356351"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Atogepant for Episodic Migraine</w:t>
      </w:r>
    </w:p>
    <w:p w14:paraId="4B222609"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Atogepant compared to placebo for episodic migraine</w:t>
      </w:r>
    </w:p>
    <w:p w14:paraId="781A0D65"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64"/>
        <w:gridCol w:w="862"/>
        <w:gridCol w:w="779"/>
        <w:gridCol w:w="749"/>
        <w:gridCol w:w="938"/>
        <w:gridCol w:w="661"/>
        <w:gridCol w:w="661"/>
        <w:gridCol w:w="661"/>
        <w:gridCol w:w="608"/>
        <w:gridCol w:w="853"/>
        <w:gridCol w:w="836"/>
      </w:tblGrid>
      <w:tr w:rsidR="00B41992" w14:paraId="515CAC0C" w14:textId="77777777" w:rsidTr="0062262B">
        <w:trPr>
          <w:cantSplit/>
          <w:tblHeader/>
        </w:trPr>
        <w:tc>
          <w:tcPr>
            <w:tcW w:w="2707"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A80CBA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707"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A10EE1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680"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8A422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457"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11846D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44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B6308F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3D9ADC87" w14:textId="77777777" w:rsidTr="0062262B">
        <w:trPr>
          <w:cantSplit/>
          <w:tblHeader/>
        </w:trPr>
        <w:tc>
          <w:tcPr>
            <w:tcW w:w="28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B4135F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34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FC0AE0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30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DE2413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4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BEC33D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F8EAC8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40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F7DB1E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50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41FA6B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35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D4C921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atogepant</w:t>
            </w:r>
          </w:p>
        </w:tc>
        <w:tc>
          <w:tcPr>
            <w:tcW w:w="35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D8DC99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35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37B46C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32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B5603B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457" w:type="pct"/>
            <w:vMerge/>
            <w:tcBorders>
              <w:top w:val="single" w:sz="12" w:space="0" w:color="FFFFFF"/>
              <w:left w:val="single" w:sz="12" w:space="0" w:color="FFFFFF"/>
              <w:bottom w:val="single" w:sz="12" w:space="0" w:color="FFFFFF"/>
              <w:right w:val="single" w:sz="12" w:space="0" w:color="FFFFFF"/>
            </w:tcBorders>
            <w:vAlign w:val="center"/>
            <w:hideMark/>
          </w:tcPr>
          <w:p w14:paraId="5DD8BC99" w14:textId="77777777" w:rsidR="00B41992" w:rsidRDefault="00B41992" w:rsidP="0062262B">
            <w:pPr>
              <w:rPr>
                <w:rFonts w:ascii="Arial Narrow" w:eastAsia="Times New Roman" w:hAnsi="Arial Narrow"/>
                <w:b/>
                <w:bCs/>
                <w:color w:val="FFFFFF"/>
                <w:sz w:val="13"/>
                <w:szCs w:val="13"/>
              </w:rPr>
            </w:pPr>
          </w:p>
        </w:tc>
        <w:tc>
          <w:tcPr>
            <w:tcW w:w="449" w:type="pct"/>
            <w:vMerge/>
            <w:tcBorders>
              <w:top w:val="single" w:sz="12" w:space="0" w:color="FFFFFF"/>
              <w:left w:val="single" w:sz="12" w:space="0" w:color="FFFFFF"/>
              <w:bottom w:val="single" w:sz="12" w:space="0" w:color="FFFFFF"/>
              <w:right w:val="single" w:sz="12" w:space="0" w:color="FFFFFF"/>
            </w:tcBorders>
            <w:vAlign w:val="center"/>
            <w:hideMark/>
          </w:tcPr>
          <w:p w14:paraId="5EC81A03" w14:textId="77777777" w:rsidR="00B41992" w:rsidRDefault="00B41992" w:rsidP="0062262B">
            <w:pPr>
              <w:rPr>
                <w:rFonts w:ascii="Arial Narrow" w:eastAsia="Times New Roman" w:hAnsi="Arial Narrow"/>
                <w:b/>
                <w:bCs/>
                <w:color w:val="FFFFFF"/>
                <w:sz w:val="13"/>
                <w:szCs w:val="13"/>
              </w:rPr>
            </w:pPr>
          </w:p>
        </w:tc>
      </w:tr>
      <w:tr w:rsidR="00B41992" w14:paraId="33818E8E" w14:textId="77777777" w:rsidTr="0062262B">
        <w:trPr>
          <w:cantSplit/>
        </w:trPr>
        <w:tc>
          <w:tcPr>
            <w:tcW w:w="5000" w:type="pct"/>
            <w:gridSpan w:val="13"/>
            <w:shd w:val="clear" w:color="auto" w:fill="FFFFFF"/>
            <w:tcMar>
              <w:top w:w="75" w:type="dxa"/>
              <w:left w:w="38" w:type="dxa"/>
              <w:bottom w:w="38" w:type="dxa"/>
              <w:right w:w="38" w:type="dxa"/>
            </w:tcMar>
            <w:vAlign w:val="center"/>
            <w:hideMark/>
          </w:tcPr>
          <w:p w14:paraId="790AEF0C"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 Scale from: -10 to 10)</w:t>
            </w:r>
          </w:p>
        </w:tc>
      </w:tr>
      <w:tr w:rsidR="00B41992" w14:paraId="267A49B0" w14:textId="77777777" w:rsidTr="0062262B">
        <w:trPr>
          <w:cantSplit/>
        </w:trPr>
        <w:tc>
          <w:tcPr>
            <w:tcW w:w="281" w:type="pct"/>
            <w:tcBorders>
              <w:top w:val="single" w:sz="6" w:space="0" w:color="000000"/>
              <w:left w:val="single" w:sz="6" w:space="0" w:color="000000"/>
              <w:bottom w:val="single" w:sz="6" w:space="0" w:color="000000"/>
              <w:right w:val="single" w:sz="6" w:space="0" w:color="000000"/>
            </w:tcBorders>
            <w:hideMark/>
          </w:tcPr>
          <w:p w14:paraId="0C46A65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40" w:type="pct"/>
            <w:tcBorders>
              <w:top w:val="single" w:sz="6" w:space="0" w:color="000000"/>
              <w:left w:val="single" w:sz="6" w:space="0" w:color="000000"/>
              <w:bottom w:val="single" w:sz="6" w:space="0" w:color="000000"/>
              <w:right w:val="single" w:sz="6" w:space="0" w:color="000000"/>
            </w:tcBorders>
            <w:hideMark/>
          </w:tcPr>
          <w:p w14:paraId="0D683FC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03" w:type="pct"/>
            <w:tcBorders>
              <w:top w:val="single" w:sz="6" w:space="0" w:color="000000"/>
              <w:left w:val="single" w:sz="6" w:space="0" w:color="000000"/>
              <w:bottom w:val="single" w:sz="6" w:space="0" w:color="000000"/>
              <w:right w:val="single" w:sz="6" w:space="0" w:color="000000"/>
            </w:tcBorders>
            <w:hideMark/>
          </w:tcPr>
          <w:p w14:paraId="7362BB6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62" w:type="pct"/>
            <w:tcBorders>
              <w:top w:val="single" w:sz="6" w:space="0" w:color="000000"/>
              <w:left w:val="single" w:sz="6" w:space="0" w:color="000000"/>
              <w:bottom w:val="single" w:sz="6" w:space="0" w:color="000000"/>
              <w:right w:val="single" w:sz="6" w:space="0" w:color="000000"/>
            </w:tcBorders>
            <w:hideMark/>
          </w:tcPr>
          <w:p w14:paraId="2DBB8A8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r>
              <w:rPr>
                <w:rFonts w:ascii="Arial Narrow" w:eastAsia="Times New Roman" w:hAnsi="Arial Narrow"/>
                <w:sz w:val="13"/>
                <w:szCs w:val="13"/>
                <w:vertAlign w:val="superscript"/>
              </w:rPr>
              <w:t>a</w:t>
            </w:r>
          </w:p>
        </w:tc>
        <w:tc>
          <w:tcPr>
            <w:tcW w:w="417" w:type="pct"/>
            <w:tcBorders>
              <w:top w:val="single" w:sz="6" w:space="0" w:color="000000"/>
              <w:left w:val="single" w:sz="6" w:space="0" w:color="000000"/>
              <w:bottom w:val="single" w:sz="6" w:space="0" w:color="000000"/>
              <w:right w:val="single" w:sz="6" w:space="0" w:color="000000"/>
            </w:tcBorders>
            <w:hideMark/>
          </w:tcPr>
          <w:p w14:paraId="0EBD198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01" w:type="pct"/>
            <w:tcBorders>
              <w:top w:val="single" w:sz="6" w:space="0" w:color="000000"/>
              <w:left w:val="single" w:sz="6" w:space="0" w:color="000000"/>
              <w:bottom w:val="single" w:sz="6" w:space="0" w:color="000000"/>
              <w:right w:val="single" w:sz="6" w:space="0" w:color="000000"/>
            </w:tcBorders>
            <w:hideMark/>
          </w:tcPr>
          <w:p w14:paraId="078A3A4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03" w:type="pct"/>
            <w:tcBorders>
              <w:top w:val="single" w:sz="6" w:space="0" w:color="000000"/>
              <w:left w:val="single" w:sz="6" w:space="0" w:color="000000"/>
              <w:bottom w:val="single" w:sz="6" w:space="0" w:color="000000"/>
              <w:right w:val="single" w:sz="6" w:space="0" w:color="000000"/>
            </w:tcBorders>
            <w:hideMark/>
          </w:tcPr>
          <w:p w14:paraId="5CE95EA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354" w:type="pct"/>
            <w:tcBorders>
              <w:top w:val="single" w:sz="6" w:space="0" w:color="000000"/>
              <w:left w:val="single" w:sz="6" w:space="0" w:color="000000"/>
              <w:bottom w:val="single" w:sz="6" w:space="0" w:color="000000"/>
              <w:right w:val="single" w:sz="6" w:space="0" w:color="000000"/>
            </w:tcBorders>
            <w:hideMark/>
          </w:tcPr>
          <w:p w14:paraId="7FE1D9E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399</w:t>
            </w:r>
          </w:p>
        </w:tc>
        <w:tc>
          <w:tcPr>
            <w:tcW w:w="354" w:type="pct"/>
            <w:tcBorders>
              <w:top w:val="single" w:sz="6" w:space="0" w:color="000000"/>
              <w:left w:val="single" w:sz="6" w:space="0" w:color="000000"/>
              <w:bottom w:val="single" w:sz="6" w:space="0" w:color="000000"/>
              <w:right w:val="single" w:sz="6" w:space="0" w:color="000000"/>
            </w:tcBorders>
            <w:hideMark/>
          </w:tcPr>
          <w:p w14:paraId="16706E13"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392</w:t>
            </w:r>
          </w:p>
        </w:tc>
        <w:tc>
          <w:tcPr>
            <w:tcW w:w="354" w:type="pct"/>
            <w:tcBorders>
              <w:top w:val="single" w:sz="6" w:space="0" w:color="000000"/>
              <w:left w:val="single" w:sz="6" w:space="0" w:color="000000"/>
              <w:bottom w:val="single" w:sz="6" w:space="0" w:color="000000"/>
              <w:right w:val="single" w:sz="6" w:space="0" w:color="000000"/>
            </w:tcBorders>
            <w:hideMark/>
          </w:tcPr>
          <w:p w14:paraId="723B8094"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325" w:type="pct"/>
            <w:tcBorders>
              <w:top w:val="single" w:sz="6" w:space="0" w:color="000000"/>
              <w:left w:val="single" w:sz="6" w:space="0" w:color="000000"/>
              <w:bottom w:val="single" w:sz="6" w:space="0" w:color="000000"/>
              <w:right w:val="single" w:sz="6" w:space="0" w:color="000000"/>
            </w:tcBorders>
            <w:hideMark/>
          </w:tcPr>
          <w:p w14:paraId="6FC09803"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mean </w:t>
            </w:r>
            <w:r>
              <w:rPr>
                <w:rStyle w:val="cell-value"/>
                <w:rFonts w:ascii="Arial Narrow" w:eastAsia="Times New Roman" w:hAnsi="Arial Narrow"/>
                <w:b/>
                <w:bCs/>
                <w:sz w:val="13"/>
                <w:szCs w:val="13"/>
              </w:rPr>
              <w:t>1.2 days lower</w:t>
            </w:r>
            <w:r>
              <w:rPr>
                <w:rFonts w:ascii="Arial Narrow" w:eastAsia="Times New Roman" w:hAnsi="Arial Narrow"/>
                <w:sz w:val="13"/>
                <w:szCs w:val="13"/>
              </w:rPr>
              <w:br/>
            </w:r>
            <w:r>
              <w:rPr>
                <w:rStyle w:val="cell-value"/>
                <w:rFonts w:ascii="Arial Narrow" w:eastAsia="Times New Roman" w:hAnsi="Arial Narrow"/>
                <w:sz w:val="13"/>
                <w:szCs w:val="13"/>
              </w:rPr>
              <w:t>(1.64 lower to 0.66 lower)</w:t>
            </w:r>
          </w:p>
        </w:tc>
        <w:tc>
          <w:tcPr>
            <w:tcW w:w="457" w:type="pct"/>
            <w:tcBorders>
              <w:top w:val="single" w:sz="6" w:space="0" w:color="000000"/>
              <w:left w:val="single" w:sz="6" w:space="0" w:color="000000"/>
              <w:bottom w:val="single" w:sz="6" w:space="0" w:color="000000"/>
              <w:right w:val="single" w:sz="6" w:space="0" w:color="000000"/>
            </w:tcBorders>
            <w:hideMark/>
          </w:tcPr>
          <w:p w14:paraId="4A949ACF"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449" w:type="pct"/>
            <w:tcBorders>
              <w:top w:val="single" w:sz="6" w:space="0" w:color="000000"/>
              <w:left w:val="single" w:sz="6" w:space="0" w:color="000000"/>
              <w:bottom w:val="single" w:sz="6" w:space="0" w:color="000000"/>
              <w:right w:val="single" w:sz="6" w:space="0" w:color="000000"/>
            </w:tcBorders>
            <w:hideMark/>
          </w:tcPr>
          <w:p w14:paraId="4203CA7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3C928EF4" w14:textId="77777777" w:rsidTr="0062262B">
        <w:trPr>
          <w:cantSplit/>
        </w:trPr>
        <w:tc>
          <w:tcPr>
            <w:tcW w:w="5000" w:type="pct"/>
            <w:gridSpan w:val="13"/>
            <w:shd w:val="clear" w:color="auto" w:fill="FFFFFF"/>
            <w:tcMar>
              <w:top w:w="75" w:type="dxa"/>
              <w:left w:w="38" w:type="dxa"/>
              <w:bottom w:w="38" w:type="dxa"/>
              <w:right w:w="38" w:type="dxa"/>
            </w:tcMar>
            <w:vAlign w:val="center"/>
            <w:hideMark/>
          </w:tcPr>
          <w:p w14:paraId="3C69A959"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12 weeks)</w:t>
            </w:r>
          </w:p>
        </w:tc>
      </w:tr>
      <w:tr w:rsidR="00B41992" w14:paraId="1B72BE54" w14:textId="77777777" w:rsidTr="0062262B">
        <w:trPr>
          <w:cantSplit/>
        </w:trPr>
        <w:tc>
          <w:tcPr>
            <w:tcW w:w="281" w:type="pct"/>
            <w:tcBorders>
              <w:top w:val="single" w:sz="6" w:space="0" w:color="000000"/>
              <w:left w:val="single" w:sz="6" w:space="0" w:color="000000"/>
              <w:bottom w:val="single" w:sz="6" w:space="0" w:color="000000"/>
              <w:right w:val="single" w:sz="6" w:space="0" w:color="000000"/>
            </w:tcBorders>
            <w:hideMark/>
          </w:tcPr>
          <w:p w14:paraId="5D82F56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40" w:type="pct"/>
            <w:tcBorders>
              <w:top w:val="single" w:sz="6" w:space="0" w:color="000000"/>
              <w:left w:val="single" w:sz="6" w:space="0" w:color="000000"/>
              <w:bottom w:val="single" w:sz="6" w:space="0" w:color="000000"/>
              <w:right w:val="single" w:sz="6" w:space="0" w:color="000000"/>
            </w:tcBorders>
            <w:hideMark/>
          </w:tcPr>
          <w:p w14:paraId="040CD38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03" w:type="pct"/>
            <w:tcBorders>
              <w:top w:val="single" w:sz="6" w:space="0" w:color="000000"/>
              <w:left w:val="single" w:sz="6" w:space="0" w:color="000000"/>
              <w:bottom w:val="single" w:sz="6" w:space="0" w:color="000000"/>
              <w:right w:val="single" w:sz="6" w:space="0" w:color="000000"/>
            </w:tcBorders>
            <w:hideMark/>
          </w:tcPr>
          <w:p w14:paraId="7B1A84A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62" w:type="pct"/>
            <w:tcBorders>
              <w:top w:val="single" w:sz="6" w:space="0" w:color="000000"/>
              <w:left w:val="single" w:sz="6" w:space="0" w:color="000000"/>
              <w:bottom w:val="single" w:sz="6" w:space="0" w:color="000000"/>
              <w:right w:val="single" w:sz="6" w:space="0" w:color="000000"/>
            </w:tcBorders>
            <w:hideMark/>
          </w:tcPr>
          <w:p w14:paraId="435EF7F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417" w:type="pct"/>
            <w:tcBorders>
              <w:top w:val="single" w:sz="6" w:space="0" w:color="000000"/>
              <w:left w:val="single" w:sz="6" w:space="0" w:color="000000"/>
              <w:bottom w:val="single" w:sz="6" w:space="0" w:color="000000"/>
              <w:right w:val="single" w:sz="6" w:space="0" w:color="000000"/>
            </w:tcBorders>
            <w:hideMark/>
          </w:tcPr>
          <w:p w14:paraId="2D5CAD8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01" w:type="pct"/>
            <w:tcBorders>
              <w:top w:val="single" w:sz="6" w:space="0" w:color="000000"/>
              <w:left w:val="single" w:sz="6" w:space="0" w:color="000000"/>
              <w:bottom w:val="single" w:sz="6" w:space="0" w:color="000000"/>
              <w:right w:val="single" w:sz="6" w:space="0" w:color="000000"/>
            </w:tcBorders>
            <w:hideMark/>
          </w:tcPr>
          <w:p w14:paraId="57790CB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03" w:type="pct"/>
            <w:tcBorders>
              <w:top w:val="single" w:sz="6" w:space="0" w:color="000000"/>
              <w:left w:val="single" w:sz="6" w:space="0" w:color="000000"/>
              <w:bottom w:val="single" w:sz="6" w:space="0" w:color="000000"/>
              <w:right w:val="single" w:sz="6" w:space="0" w:color="000000"/>
            </w:tcBorders>
            <w:hideMark/>
          </w:tcPr>
          <w:p w14:paraId="59E9ED6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354" w:type="pct"/>
            <w:tcBorders>
              <w:top w:val="single" w:sz="6" w:space="0" w:color="000000"/>
              <w:left w:val="single" w:sz="6" w:space="0" w:color="000000"/>
              <w:bottom w:val="single" w:sz="6" w:space="0" w:color="000000"/>
              <w:right w:val="single" w:sz="6" w:space="0" w:color="000000"/>
            </w:tcBorders>
            <w:hideMark/>
          </w:tcPr>
          <w:p w14:paraId="7E4533DF"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228/405 (56.3%) </w:t>
            </w:r>
          </w:p>
        </w:tc>
        <w:tc>
          <w:tcPr>
            <w:tcW w:w="354" w:type="pct"/>
            <w:tcBorders>
              <w:top w:val="single" w:sz="6" w:space="0" w:color="000000"/>
              <w:left w:val="single" w:sz="6" w:space="0" w:color="000000"/>
              <w:bottom w:val="single" w:sz="6" w:space="0" w:color="000000"/>
              <w:right w:val="single" w:sz="6" w:space="0" w:color="000000"/>
            </w:tcBorders>
          </w:tcPr>
          <w:p w14:paraId="3FE3FFB4" w14:textId="77777777" w:rsidR="00B41992" w:rsidRDefault="00B41992" w:rsidP="0062262B">
            <w:pPr>
              <w:rPr>
                <w:rFonts w:ascii="Arial Narrow" w:eastAsia="Times New Roman" w:hAnsi="Arial Narrow"/>
                <w:color w:val="000000"/>
                <w:sz w:val="14"/>
                <w:szCs w:val="14"/>
                <w:lang w:val="en"/>
              </w:rPr>
            </w:pPr>
            <w:r>
              <w:rPr>
                <w:rFonts w:ascii="Arial Narrow" w:eastAsia="Times New Roman" w:hAnsi="Arial Narrow"/>
                <w:sz w:val="13"/>
                <w:szCs w:val="13"/>
              </w:rPr>
              <w:t>134/392 (34.2%)</w:t>
            </w:r>
          </w:p>
          <w:p w14:paraId="28D56273" w14:textId="77777777" w:rsidR="00B41992" w:rsidRDefault="00B41992" w:rsidP="0062262B">
            <w:pPr>
              <w:jc w:val="center"/>
              <w:rPr>
                <w:rFonts w:ascii="Arial Narrow" w:eastAsia="Times New Roman" w:hAnsi="Arial Narrow"/>
                <w:sz w:val="13"/>
                <w:szCs w:val="13"/>
              </w:rPr>
            </w:pPr>
          </w:p>
        </w:tc>
        <w:tc>
          <w:tcPr>
            <w:tcW w:w="354" w:type="pct"/>
            <w:tcBorders>
              <w:top w:val="single" w:sz="6" w:space="0" w:color="000000"/>
              <w:left w:val="single" w:sz="6" w:space="0" w:color="000000"/>
              <w:bottom w:val="single" w:sz="6" w:space="0" w:color="000000"/>
              <w:right w:val="single" w:sz="6" w:space="0" w:color="000000"/>
            </w:tcBorders>
            <w:hideMark/>
          </w:tcPr>
          <w:p w14:paraId="1D2EA940"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2.43</w:t>
            </w:r>
            <w:r>
              <w:rPr>
                <w:rFonts w:ascii="Arial Narrow" w:eastAsia="Times New Roman" w:hAnsi="Arial Narrow"/>
                <w:sz w:val="13"/>
                <w:szCs w:val="13"/>
              </w:rPr>
              <w:br/>
            </w:r>
            <w:r>
              <w:rPr>
                <w:rStyle w:val="cell"/>
                <w:rFonts w:ascii="Arial Narrow" w:eastAsia="Times New Roman" w:hAnsi="Arial Narrow"/>
                <w:sz w:val="13"/>
                <w:szCs w:val="13"/>
              </w:rPr>
              <w:t>(1.19 to 4.97)</w:t>
            </w:r>
          </w:p>
        </w:tc>
        <w:tc>
          <w:tcPr>
            <w:tcW w:w="325" w:type="pct"/>
            <w:tcBorders>
              <w:top w:val="single" w:sz="6" w:space="0" w:color="000000"/>
              <w:left w:val="single" w:sz="6" w:space="0" w:color="000000"/>
              <w:bottom w:val="single" w:sz="6" w:space="0" w:color="000000"/>
              <w:right w:val="single" w:sz="6" w:space="0" w:color="000000"/>
            </w:tcBorders>
            <w:hideMark/>
          </w:tcPr>
          <w:p w14:paraId="221FBD1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19 more per 100</w:t>
            </w:r>
            <w:r>
              <w:rPr>
                <w:rFonts w:ascii="Arial Narrow" w:eastAsia="Times New Roman" w:hAnsi="Arial Narrow"/>
                <w:sz w:val="13"/>
                <w:szCs w:val="13"/>
              </w:rPr>
              <w:br/>
              <w:t>(from 4 more to 30 more)</w:t>
            </w:r>
          </w:p>
        </w:tc>
        <w:tc>
          <w:tcPr>
            <w:tcW w:w="457" w:type="pct"/>
            <w:tcBorders>
              <w:top w:val="single" w:sz="6" w:space="0" w:color="000000"/>
              <w:left w:val="single" w:sz="6" w:space="0" w:color="000000"/>
              <w:bottom w:val="single" w:sz="6" w:space="0" w:color="000000"/>
              <w:right w:val="single" w:sz="6" w:space="0" w:color="000000"/>
            </w:tcBorders>
            <w:hideMark/>
          </w:tcPr>
          <w:p w14:paraId="36A4ED39"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449" w:type="pct"/>
            <w:tcBorders>
              <w:top w:val="single" w:sz="6" w:space="0" w:color="000000"/>
              <w:left w:val="single" w:sz="6" w:space="0" w:color="000000"/>
              <w:bottom w:val="single" w:sz="6" w:space="0" w:color="000000"/>
              <w:right w:val="single" w:sz="6" w:space="0" w:color="000000"/>
            </w:tcBorders>
            <w:hideMark/>
          </w:tcPr>
          <w:p w14:paraId="702D787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3B4A814A" w14:textId="77777777" w:rsidTr="0062262B">
        <w:trPr>
          <w:cantSplit/>
        </w:trPr>
        <w:tc>
          <w:tcPr>
            <w:tcW w:w="5000" w:type="pct"/>
            <w:gridSpan w:val="13"/>
            <w:shd w:val="clear" w:color="auto" w:fill="FFFFFF"/>
            <w:tcMar>
              <w:top w:w="75" w:type="dxa"/>
              <w:left w:w="38" w:type="dxa"/>
              <w:bottom w:w="38" w:type="dxa"/>
              <w:right w:w="38" w:type="dxa"/>
            </w:tcMar>
            <w:vAlign w:val="center"/>
            <w:hideMark/>
          </w:tcPr>
          <w:p w14:paraId="1BFC5B62"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12 weeks)</w:t>
            </w:r>
          </w:p>
        </w:tc>
      </w:tr>
      <w:tr w:rsidR="00B41992" w14:paraId="3523569D" w14:textId="77777777" w:rsidTr="0062262B">
        <w:trPr>
          <w:cantSplit/>
        </w:trPr>
        <w:tc>
          <w:tcPr>
            <w:tcW w:w="281" w:type="pct"/>
            <w:tcBorders>
              <w:top w:val="single" w:sz="6" w:space="0" w:color="000000"/>
              <w:left w:val="single" w:sz="6" w:space="0" w:color="000000"/>
              <w:bottom w:val="single" w:sz="6" w:space="0" w:color="000000"/>
              <w:right w:val="single" w:sz="6" w:space="0" w:color="000000"/>
            </w:tcBorders>
            <w:hideMark/>
          </w:tcPr>
          <w:p w14:paraId="344EC0A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40" w:type="pct"/>
            <w:tcBorders>
              <w:top w:val="single" w:sz="6" w:space="0" w:color="000000"/>
              <w:left w:val="single" w:sz="6" w:space="0" w:color="000000"/>
              <w:bottom w:val="single" w:sz="6" w:space="0" w:color="000000"/>
              <w:right w:val="single" w:sz="6" w:space="0" w:color="000000"/>
            </w:tcBorders>
            <w:hideMark/>
          </w:tcPr>
          <w:p w14:paraId="4C42DA6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03" w:type="pct"/>
            <w:tcBorders>
              <w:top w:val="single" w:sz="6" w:space="0" w:color="000000"/>
              <w:left w:val="single" w:sz="6" w:space="0" w:color="000000"/>
              <w:bottom w:val="single" w:sz="6" w:space="0" w:color="000000"/>
              <w:right w:val="single" w:sz="6" w:space="0" w:color="000000"/>
            </w:tcBorders>
            <w:hideMark/>
          </w:tcPr>
          <w:p w14:paraId="3BC0AF2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62" w:type="pct"/>
            <w:tcBorders>
              <w:top w:val="single" w:sz="6" w:space="0" w:color="000000"/>
              <w:left w:val="single" w:sz="6" w:space="0" w:color="000000"/>
              <w:bottom w:val="single" w:sz="6" w:space="0" w:color="000000"/>
              <w:right w:val="single" w:sz="6" w:space="0" w:color="000000"/>
            </w:tcBorders>
            <w:hideMark/>
          </w:tcPr>
          <w:p w14:paraId="6A0C44E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417" w:type="pct"/>
            <w:tcBorders>
              <w:top w:val="single" w:sz="6" w:space="0" w:color="000000"/>
              <w:left w:val="single" w:sz="6" w:space="0" w:color="000000"/>
              <w:bottom w:val="single" w:sz="6" w:space="0" w:color="000000"/>
              <w:right w:val="single" w:sz="6" w:space="0" w:color="000000"/>
            </w:tcBorders>
            <w:hideMark/>
          </w:tcPr>
          <w:p w14:paraId="73BD4F8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01" w:type="pct"/>
            <w:tcBorders>
              <w:top w:val="single" w:sz="6" w:space="0" w:color="000000"/>
              <w:left w:val="single" w:sz="6" w:space="0" w:color="000000"/>
              <w:bottom w:val="single" w:sz="6" w:space="0" w:color="000000"/>
              <w:right w:val="single" w:sz="6" w:space="0" w:color="000000"/>
            </w:tcBorders>
            <w:hideMark/>
          </w:tcPr>
          <w:p w14:paraId="40A0CB8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03" w:type="pct"/>
            <w:tcBorders>
              <w:top w:val="single" w:sz="6" w:space="0" w:color="000000"/>
              <w:left w:val="single" w:sz="6" w:space="0" w:color="000000"/>
              <w:bottom w:val="single" w:sz="6" w:space="0" w:color="000000"/>
              <w:right w:val="single" w:sz="6" w:space="0" w:color="000000"/>
            </w:tcBorders>
            <w:hideMark/>
          </w:tcPr>
          <w:p w14:paraId="73ADD46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354" w:type="pct"/>
            <w:tcBorders>
              <w:top w:val="single" w:sz="6" w:space="0" w:color="000000"/>
              <w:left w:val="single" w:sz="6" w:space="0" w:color="000000"/>
              <w:bottom w:val="single" w:sz="6" w:space="0" w:color="000000"/>
              <w:right w:val="single" w:sz="6" w:space="0" w:color="000000"/>
            </w:tcBorders>
            <w:hideMark/>
          </w:tcPr>
          <w:p w14:paraId="6EBB9BF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211/414 (51.0%) </w:t>
            </w:r>
          </w:p>
        </w:tc>
        <w:tc>
          <w:tcPr>
            <w:tcW w:w="354" w:type="pct"/>
            <w:tcBorders>
              <w:top w:val="single" w:sz="6" w:space="0" w:color="000000"/>
              <w:left w:val="single" w:sz="6" w:space="0" w:color="000000"/>
              <w:bottom w:val="single" w:sz="6" w:space="0" w:color="000000"/>
              <w:right w:val="single" w:sz="6" w:space="0" w:color="000000"/>
            </w:tcBorders>
            <w:hideMark/>
          </w:tcPr>
          <w:p w14:paraId="2E5B0D1A"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241/405 (59.5%) </w:t>
            </w:r>
          </w:p>
        </w:tc>
        <w:tc>
          <w:tcPr>
            <w:tcW w:w="354" w:type="pct"/>
            <w:tcBorders>
              <w:top w:val="single" w:sz="6" w:space="0" w:color="000000"/>
              <w:left w:val="single" w:sz="6" w:space="0" w:color="000000"/>
              <w:bottom w:val="single" w:sz="6" w:space="0" w:color="000000"/>
              <w:right w:val="single" w:sz="6" w:space="0" w:color="000000"/>
            </w:tcBorders>
            <w:hideMark/>
          </w:tcPr>
          <w:p w14:paraId="7612651A"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1.19</w:t>
            </w:r>
            <w:r>
              <w:rPr>
                <w:rFonts w:ascii="Arial Narrow" w:eastAsia="Times New Roman" w:hAnsi="Arial Narrow"/>
                <w:sz w:val="13"/>
                <w:szCs w:val="13"/>
              </w:rPr>
              <w:br/>
            </w:r>
            <w:r>
              <w:rPr>
                <w:rStyle w:val="cell"/>
                <w:rFonts w:ascii="Arial Narrow" w:eastAsia="Times New Roman" w:hAnsi="Arial Narrow"/>
                <w:sz w:val="13"/>
                <w:szCs w:val="13"/>
              </w:rPr>
              <w:t>(0.58 to 2.44)</w:t>
            </w:r>
          </w:p>
        </w:tc>
        <w:tc>
          <w:tcPr>
            <w:tcW w:w="325" w:type="pct"/>
            <w:tcBorders>
              <w:top w:val="single" w:sz="6" w:space="0" w:color="000000"/>
              <w:left w:val="single" w:sz="6" w:space="0" w:color="000000"/>
              <w:bottom w:val="single" w:sz="6" w:space="0" w:color="000000"/>
              <w:right w:val="single" w:sz="6" w:space="0" w:color="000000"/>
            </w:tcBorders>
            <w:hideMark/>
          </w:tcPr>
          <w:p w14:paraId="3ABD7B4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4 more per 100</w:t>
            </w:r>
            <w:r>
              <w:rPr>
                <w:rFonts w:ascii="Arial Narrow" w:eastAsia="Times New Roman" w:hAnsi="Arial Narrow"/>
                <w:sz w:val="13"/>
                <w:szCs w:val="13"/>
              </w:rPr>
              <w:br/>
              <w:t>(from 13 fewer to 19 more)</w:t>
            </w:r>
          </w:p>
        </w:tc>
        <w:tc>
          <w:tcPr>
            <w:tcW w:w="457" w:type="pct"/>
            <w:tcBorders>
              <w:top w:val="single" w:sz="6" w:space="0" w:color="000000"/>
              <w:left w:val="single" w:sz="6" w:space="0" w:color="000000"/>
              <w:bottom w:val="single" w:sz="6" w:space="0" w:color="000000"/>
              <w:right w:val="single" w:sz="6" w:space="0" w:color="000000"/>
            </w:tcBorders>
            <w:hideMark/>
          </w:tcPr>
          <w:p w14:paraId="122FFF55"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449" w:type="pct"/>
            <w:tcBorders>
              <w:top w:val="single" w:sz="6" w:space="0" w:color="000000"/>
              <w:left w:val="single" w:sz="6" w:space="0" w:color="000000"/>
              <w:bottom w:val="single" w:sz="6" w:space="0" w:color="000000"/>
              <w:right w:val="single" w:sz="6" w:space="0" w:color="000000"/>
            </w:tcBorders>
            <w:hideMark/>
          </w:tcPr>
          <w:p w14:paraId="566328D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bl>
    <w:p w14:paraId="27BEA4F2"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57CA9E92"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13322BE5" w14:textId="77777777" w:rsidR="00B41992" w:rsidRPr="00BA6EB8" w:rsidRDefault="00B41992" w:rsidP="00B41992">
      <w:pPr>
        <w:pStyle w:val="ListParagraph"/>
        <w:numPr>
          <w:ilvl w:val="0"/>
          <w:numId w:val="24"/>
        </w:numPr>
        <w:spacing w:after="160"/>
        <w:rPr>
          <w:rFonts w:ascii="Arial Narrow" w:eastAsia="Times New Roman" w:hAnsi="Arial Narrow"/>
          <w:b/>
          <w:bCs/>
          <w:color w:val="000000"/>
          <w:sz w:val="14"/>
          <w:szCs w:val="14"/>
          <w:u w:val="single"/>
          <w:lang w:val="en"/>
        </w:rPr>
      </w:pPr>
      <w:r w:rsidRPr="003D2B85">
        <w:rPr>
          <w:rFonts w:ascii="Arial Narrow" w:eastAsia="Times New Roman" w:hAnsi="Arial Narrow"/>
          <w:color w:val="000000"/>
          <w:sz w:val="14"/>
          <w:szCs w:val="14"/>
          <w:lang w:val="en"/>
        </w:rPr>
        <w:t>p value significant for heterogeneity in meta-analysis and also very high heterogeneity</w:t>
      </w:r>
    </w:p>
    <w:p w14:paraId="06CAB667" w14:textId="77777777" w:rsidR="00B41992" w:rsidRDefault="00B41992" w:rsidP="00B41992">
      <w:pPr>
        <w:rPr>
          <w:rFonts w:eastAsia="Times New Roman"/>
          <w:b/>
          <w:bCs/>
          <w:u w:val="single"/>
        </w:rPr>
      </w:pPr>
    </w:p>
    <w:p w14:paraId="29C44877" w14:textId="77777777" w:rsidR="00B41992" w:rsidRPr="00767611" w:rsidRDefault="00B41992" w:rsidP="00B41992">
      <w:pPr>
        <w:rPr>
          <w:rFonts w:ascii="Arial Narrow" w:eastAsia="Times New Roman" w:hAnsi="Arial Narrow"/>
          <w:color w:val="000000"/>
          <w:sz w:val="14"/>
          <w:szCs w:val="14"/>
          <w:lang w:val="en"/>
        </w:rPr>
      </w:pPr>
      <w:r w:rsidRPr="00767611">
        <w:rPr>
          <w:b/>
          <w:bCs/>
          <w:sz w:val="32"/>
          <w:szCs w:val="32"/>
        </w:rPr>
        <w:t>3.1.2 Atogepant for Chronic Migraine</w:t>
      </w:r>
    </w:p>
    <w:p w14:paraId="6A1CB5CD" w14:textId="77777777" w:rsidR="00B41992" w:rsidRPr="001D249D" w:rsidRDefault="00B41992" w:rsidP="00B41992">
      <w:pPr>
        <w:rPr>
          <w:rFonts w:ascii="Arial Narrow" w:eastAsia="Times New Roman" w:hAnsi="Arial Narrow"/>
          <w:color w:val="000000"/>
          <w:sz w:val="14"/>
          <w:szCs w:val="14"/>
          <w:lang w:val="en"/>
        </w:rPr>
      </w:pPr>
      <w:r>
        <w:t xml:space="preserve">A single study was </w:t>
      </w:r>
      <w:r w:rsidRPr="00717A31">
        <w:t xml:space="preserve">found </w:t>
      </w:r>
      <w:bookmarkStart w:id="1" w:name="_Hlk151719890"/>
      <w:r>
        <w:t xml:space="preserve">Pozo-Rosich et al 2023 </w:t>
      </w:r>
      <w:r>
        <w:fldChar w:fldCharType="begin"/>
      </w:r>
      <w:r>
        <w:instrText xml:space="preserve"> ADDIN ZOTERO_ITEM CSL_CITATION {"citationID":"htaZZYdu","properties":{"formattedCitation":"(32)","plainCitation":"(32)","noteIndex":0},"citationItems":[{"id":5890,"uris":["http://zotero.org/users/5131939/items/QAX8IS4X"],"itemData":{"id":5890,"type":"article-journal","container-title":"The Lancet","DOI":"10.1016/S0140-6736(23)01049-8","ISSN":"0140-6736, 1474-547X","issue":"10404","journalAbbreviation":"The Lancet","language":"English","note":"publisher: Elsevier\nPMID: 37516125","page":"775-785","source":"www.thelancet.com","title":"Atogepant for the preventive treatment of chronic migraine (PROGRESS): a randomised, double-blind, placebo-controlled, phase 3 trial","title-short":"Atogepant for the preventive treatment of chronic migraine (PROGRESS)","volume":"402","author":[{"family":"Pozo-Rosich","given":"Patricia"},{"family":"Ailani","given":"Jessica"},{"family":"Ashina","given":"Messoud"},{"family":"Goadsby","given":"Peter J."},{"family":"Lipton","given":"Richard B."},{"family":"Reuter","given":"Uwe"},{"family":"Guo","given":"Hua"},{"family":"Schwefel","given":"Brittany"},{"family":"Lu","given":"Kaifeng"},{"family":"Boinpally","given":"Ramesh"},{"family":"Miceli","given":"Rosa"},{"family":"Ferreira","given":"Rosa De Abreu"},{"family":"McCusker","given":"Emily"},{"family":"Yu","given":"Sung Yun"},{"family":"Severt","given":"Lawrence"},{"family":"Finnegan","given":"Michelle"},{"family":"Trugman","given":"Joel M."}],"issued":{"date-parts":[["2023",9,2]]}}}],"schema":"https://github.com/citation-style-language/schema/raw/master/csl-citation.json"} </w:instrText>
      </w:r>
      <w:r>
        <w:fldChar w:fldCharType="separate"/>
      </w:r>
      <w:r w:rsidRPr="00E0100C">
        <w:rPr>
          <w:rFonts w:ascii="Calibri" w:hAnsi="Calibri" w:cs="Calibri"/>
        </w:rPr>
        <w:t>(32)</w:t>
      </w:r>
      <w:r>
        <w:fldChar w:fldCharType="end"/>
      </w:r>
      <w:bookmarkEnd w:id="1"/>
      <w:r w:rsidRPr="00717A31">
        <w:t>.</w:t>
      </w:r>
    </w:p>
    <w:p w14:paraId="6A7758A1"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 xml:space="preserve">Atogepant compared to placebo for chronic migraine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66"/>
        <w:gridCol w:w="862"/>
        <w:gridCol w:w="779"/>
        <w:gridCol w:w="749"/>
        <w:gridCol w:w="938"/>
        <w:gridCol w:w="660"/>
        <w:gridCol w:w="660"/>
        <w:gridCol w:w="661"/>
        <w:gridCol w:w="607"/>
        <w:gridCol w:w="845"/>
        <w:gridCol w:w="845"/>
      </w:tblGrid>
      <w:tr w:rsidR="00B41992" w14:paraId="308235D8"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F900C8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43E64E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8B29A8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6E03E3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3BF649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45D96D0A"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E585C2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ED46FA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6CD376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9D4734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656DEA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DA89C8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88A14E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44FBEC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atogepant</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25787C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2FFC35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8F4C9D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1F0785A"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1460278" w14:textId="77777777" w:rsidR="00B41992" w:rsidRDefault="00B41992" w:rsidP="0062262B">
            <w:pPr>
              <w:rPr>
                <w:rFonts w:ascii="Arial Narrow" w:eastAsia="Times New Roman" w:hAnsi="Arial Narrow"/>
                <w:b/>
                <w:bCs/>
                <w:color w:val="FFFFFF"/>
                <w:sz w:val="13"/>
                <w:szCs w:val="13"/>
              </w:rPr>
            </w:pPr>
          </w:p>
        </w:tc>
      </w:tr>
      <w:tr w:rsidR="00B41992" w14:paraId="431C4236"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4139025B"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w:t>
            </w:r>
          </w:p>
        </w:tc>
      </w:tr>
      <w:tr w:rsidR="00B41992" w14:paraId="53BC439B"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E24F3B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5AA5EAF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2A334CB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D12B33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17126C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CEA9C0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F70A7A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FDCE68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256</w:t>
            </w:r>
          </w:p>
        </w:tc>
        <w:tc>
          <w:tcPr>
            <w:tcW w:w="400" w:type="pct"/>
            <w:tcBorders>
              <w:top w:val="single" w:sz="6" w:space="0" w:color="000000"/>
              <w:left w:val="single" w:sz="6" w:space="0" w:color="000000"/>
              <w:bottom w:val="single" w:sz="6" w:space="0" w:color="000000"/>
              <w:right w:val="single" w:sz="6" w:space="0" w:color="000000"/>
            </w:tcBorders>
            <w:hideMark/>
          </w:tcPr>
          <w:p w14:paraId="18854EC5"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246</w:t>
            </w:r>
          </w:p>
        </w:tc>
        <w:tc>
          <w:tcPr>
            <w:tcW w:w="400" w:type="pct"/>
            <w:tcBorders>
              <w:top w:val="single" w:sz="6" w:space="0" w:color="000000"/>
              <w:left w:val="single" w:sz="6" w:space="0" w:color="000000"/>
              <w:bottom w:val="single" w:sz="6" w:space="0" w:color="000000"/>
              <w:right w:val="single" w:sz="6" w:space="0" w:color="000000"/>
            </w:tcBorders>
            <w:hideMark/>
          </w:tcPr>
          <w:p w14:paraId="4D2BA119"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1DD02B81"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1.8 days lower</w:t>
            </w:r>
            <w:r>
              <w:rPr>
                <w:rFonts w:ascii="Arial Narrow" w:eastAsia="Times New Roman" w:hAnsi="Arial Narrow"/>
                <w:sz w:val="13"/>
                <w:szCs w:val="13"/>
              </w:rPr>
              <w:br/>
            </w:r>
            <w:r>
              <w:rPr>
                <w:rStyle w:val="cell-value"/>
                <w:rFonts w:ascii="Arial Narrow" w:eastAsia="Times New Roman" w:hAnsi="Arial Narrow"/>
                <w:sz w:val="13"/>
                <w:szCs w:val="13"/>
              </w:rPr>
              <w:t>(2.9 lower to 0.8 lower)</w:t>
            </w:r>
          </w:p>
        </w:tc>
        <w:tc>
          <w:tcPr>
            <w:tcW w:w="750" w:type="dxa"/>
            <w:tcBorders>
              <w:top w:val="single" w:sz="6" w:space="0" w:color="000000"/>
              <w:left w:val="single" w:sz="6" w:space="0" w:color="000000"/>
              <w:bottom w:val="single" w:sz="6" w:space="0" w:color="000000"/>
              <w:right w:val="single" w:sz="6" w:space="0" w:color="000000"/>
            </w:tcBorders>
            <w:hideMark/>
          </w:tcPr>
          <w:p w14:paraId="5621AB29"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64B01FA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0C8CD58C"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787A72A3"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07B0F697"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1E918E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366E175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883076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5BFD23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AF11D2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EF7C3A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2197B9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6A62F5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105/256 (41.0%) </w:t>
            </w:r>
          </w:p>
        </w:tc>
        <w:tc>
          <w:tcPr>
            <w:tcW w:w="400" w:type="pct"/>
            <w:tcBorders>
              <w:top w:val="single" w:sz="6" w:space="0" w:color="000000"/>
              <w:left w:val="single" w:sz="6" w:space="0" w:color="000000"/>
              <w:bottom w:val="single" w:sz="6" w:space="0" w:color="000000"/>
              <w:right w:val="single" w:sz="6" w:space="0" w:color="000000"/>
            </w:tcBorders>
            <w:hideMark/>
          </w:tcPr>
          <w:p w14:paraId="2073B36A"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64/246 (26.0%) </w:t>
            </w:r>
          </w:p>
        </w:tc>
        <w:tc>
          <w:tcPr>
            <w:tcW w:w="400" w:type="pct"/>
            <w:tcBorders>
              <w:top w:val="single" w:sz="6" w:space="0" w:color="000000"/>
              <w:left w:val="single" w:sz="6" w:space="0" w:color="000000"/>
              <w:bottom w:val="single" w:sz="6" w:space="0" w:color="000000"/>
              <w:right w:val="single" w:sz="6" w:space="0" w:color="000000"/>
            </w:tcBorders>
            <w:hideMark/>
          </w:tcPr>
          <w:p w14:paraId="11B6BEEE"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1.98</w:t>
            </w:r>
            <w:r>
              <w:rPr>
                <w:rFonts w:ascii="Arial Narrow" w:eastAsia="Times New Roman" w:hAnsi="Arial Narrow"/>
                <w:sz w:val="13"/>
                <w:szCs w:val="13"/>
              </w:rPr>
              <w:br/>
            </w:r>
            <w:r>
              <w:rPr>
                <w:rStyle w:val="cell"/>
                <w:rFonts w:ascii="Arial Narrow" w:eastAsia="Times New Roman" w:hAnsi="Arial Narrow"/>
                <w:sz w:val="13"/>
                <w:szCs w:val="13"/>
              </w:rPr>
              <w:t>(1.35 to 2.89)</w:t>
            </w:r>
          </w:p>
        </w:tc>
        <w:tc>
          <w:tcPr>
            <w:tcW w:w="0" w:type="auto"/>
            <w:tcBorders>
              <w:top w:val="single" w:sz="6" w:space="0" w:color="000000"/>
              <w:left w:val="single" w:sz="6" w:space="0" w:color="000000"/>
              <w:bottom w:val="single" w:sz="6" w:space="0" w:color="000000"/>
              <w:right w:val="single" w:sz="6" w:space="0" w:color="000000"/>
            </w:tcBorders>
            <w:hideMark/>
          </w:tcPr>
          <w:p w14:paraId="2AC766A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15 more per 100</w:t>
            </w:r>
            <w:r>
              <w:rPr>
                <w:rFonts w:ascii="Arial Narrow" w:eastAsia="Times New Roman" w:hAnsi="Arial Narrow"/>
                <w:sz w:val="13"/>
                <w:szCs w:val="13"/>
              </w:rPr>
              <w:br/>
              <w:t>(from 6 more to 24 more)</w:t>
            </w:r>
          </w:p>
        </w:tc>
        <w:tc>
          <w:tcPr>
            <w:tcW w:w="750" w:type="dxa"/>
            <w:tcBorders>
              <w:top w:val="single" w:sz="6" w:space="0" w:color="000000"/>
              <w:left w:val="single" w:sz="6" w:space="0" w:color="000000"/>
              <w:bottom w:val="single" w:sz="6" w:space="0" w:color="000000"/>
              <w:right w:val="single" w:sz="6" w:space="0" w:color="000000"/>
            </w:tcBorders>
            <w:hideMark/>
          </w:tcPr>
          <w:p w14:paraId="3EB93B34"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6321186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70D922D2"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2AF0BEEC"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New outcome (follow-up: mean 12 weeks)</w:t>
            </w:r>
          </w:p>
        </w:tc>
      </w:tr>
      <w:tr w:rsidR="00B41992" w14:paraId="1292D75F"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5519D03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lastRenderedPageBreak/>
              <w:t>1</w:t>
            </w:r>
          </w:p>
        </w:tc>
        <w:tc>
          <w:tcPr>
            <w:tcW w:w="300" w:type="pct"/>
            <w:tcBorders>
              <w:top w:val="single" w:sz="6" w:space="0" w:color="000000"/>
              <w:left w:val="single" w:sz="6" w:space="0" w:color="000000"/>
              <w:bottom w:val="single" w:sz="6" w:space="0" w:color="000000"/>
              <w:right w:val="single" w:sz="6" w:space="0" w:color="000000"/>
            </w:tcBorders>
            <w:hideMark/>
          </w:tcPr>
          <w:p w14:paraId="5A56C16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D464EF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D4FCBD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94CECB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7215BD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5CCB4D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941D03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165/261 (63.2%) </w:t>
            </w:r>
          </w:p>
        </w:tc>
        <w:tc>
          <w:tcPr>
            <w:tcW w:w="400" w:type="pct"/>
            <w:tcBorders>
              <w:top w:val="single" w:sz="6" w:space="0" w:color="000000"/>
              <w:left w:val="single" w:sz="6" w:space="0" w:color="000000"/>
              <w:bottom w:val="single" w:sz="6" w:space="0" w:color="000000"/>
              <w:right w:val="single" w:sz="6" w:space="0" w:color="000000"/>
            </w:tcBorders>
            <w:hideMark/>
          </w:tcPr>
          <w:p w14:paraId="1CDD34A8"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126/255 (49.4%) </w:t>
            </w:r>
          </w:p>
        </w:tc>
        <w:tc>
          <w:tcPr>
            <w:tcW w:w="400" w:type="pct"/>
            <w:tcBorders>
              <w:top w:val="single" w:sz="6" w:space="0" w:color="000000"/>
              <w:left w:val="single" w:sz="6" w:space="0" w:color="000000"/>
              <w:bottom w:val="single" w:sz="6" w:space="0" w:color="000000"/>
              <w:right w:val="single" w:sz="6" w:space="0" w:color="000000"/>
            </w:tcBorders>
            <w:hideMark/>
          </w:tcPr>
          <w:p w14:paraId="6D39DBBB"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1.76</w:t>
            </w:r>
            <w:r>
              <w:rPr>
                <w:rFonts w:ascii="Arial Narrow" w:eastAsia="Times New Roman" w:hAnsi="Arial Narrow"/>
                <w:sz w:val="13"/>
                <w:szCs w:val="13"/>
              </w:rPr>
              <w:br/>
            </w:r>
            <w:r>
              <w:rPr>
                <w:rStyle w:val="cell"/>
                <w:rFonts w:ascii="Arial Narrow" w:eastAsia="Times New Roman" w:hAnsi="Arial Narrow"/>
                <w:sz w:val="13"/>
                <w:szCs w:val="13"/>
              </w:rPr>
              <w:t>(1.24 to 2.50)</w:t>
            </w:r>
          </w:p>
        </w:tc>
        <w:tc>
          <w:tcPr>
            <w:tcW w:w="0" w:type="auto"/>
            <w:tcBorders>
              <w:top w:val="single" w:sz="6" w:space="0" w:color="000000"/>
              <w:left w:val="single" w:sz="6" w:space="0" w:color="000000"/>
              <w:bottom w:val="single" w:sz="6" w:space="0" w:color="000000"/>
              <w:right w:val="single" w:sz="6" w:space="0" w:color="000000"/>
            </w:tcBorders>
            <w:hideMark/>
          </w:tcPr>
          <w:p w14:paraId="5FAF98C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14 more per 100</w:t>
            </w:r>
            <w:r>
              <w:rPr>
                <w:rFonts w:ascii="Arial Narrow" w:eastAsia="Times New Roman" w:hAnsi="Arial Narrow"/>
                <w:sz w:val="13"/>
                <w:szCs w:val="13"/>
              </w:rPr>
              <w:br/>
              <w:t>(from 5 more to 22 more)</w:t>
            </w:r>
          </w:p>
        </w:tc>
        <w:tc>
          <w:tcPr>
            <w:tcW w:w="750" w:type="dxa"/>
            <w:tcBorders>
              <w:top w:val="single" w:sz="6" w:space="0" w:color="000000"/>
              <w:left w:val="single" w:sz="6" w:space="0" w:color="000000"/>
              <w:bottom w:val="single" w:sz="6" w:space="0" w:color="000000"/>
              <w:right w:val="single" w:sz="6" w:space="0" w:color="000000"/>
            </w:tcBorders>
            <w:hideMark/>
          </w:tcPr>
          <w:p w14:paraId="6E860B0C"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2762C10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bl>
    <w:p w14:paraId="265D1E19"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5D585C9A" w14:textId="77777777" w:rsidR="00B41992" w:rsidRDefault="00B41992" w:rsidP="00B41992">
      <w:pPr>
        <w:pStyle w:val="NormalWeb"/>
        <w:rPr>
          <w:rFonts w:ascii="Arial Narrow" w:hAnsi="Arial Narrow"/>
          <w:color w:val="000000"/>
          <w:sz w:val="14"/>
          <w:szCs w:val="14"/>
          <w:lang w:val="en"/>
        </w:rPr>
      </w:pPr>
    </w:p>
    <w:p w14:paraId="21E570A4" w14:textId="77777777" w:rsidR="00B41992" w:rsidRDefault="00B41992" w:rsidP="00B41992">
      <w:pPr>
        <w:pStyle w:val="NormalWeb"/>
        <w:rPr>
          <w:rFonts w:ascii="Arial Narrow" w:hAnsi="Arial Narrow"/>
          <w:color w:val="000000"/>
          <w:sz w:val="14"/>
          <w:szCs w:val="14"/>
          <w:lang w:val="en"/>
        </w:rPr>
      </w:pPr>
      <w:r>
        <w:rPr>
          <w:rFonts w:ascii="Arial Narrow" w:hAnsi="Arial Narrow"/>
          <w:color w:val="000000"/>
          <w:sz w:val="14"/>
          <w:szCs w:val="14"/>
          <w:lang w:val="en"/>
        </w:rPr>
        <w:t>For side effects see above, although more common in higher dosing with chronic migraine</w:t>
      </w:r>
    </w:p>
    <w:p w14:paraId="7A1EFE3E" w14:textId="77777777" w:rsidR="00B41992" w:rsidRDefault="00B41992" w:rsidP="00B41992">
      <w:pPr>
        <w:rPr>
          <w:rFonts w:ascii="Arial Narrow" w:eastAsia="Times New Roman" w:hAnsi="Arial Narrow"/>
          <w:color w:val="000000"/>
          <w:sz w:val="14"/>
          <w:szCs w:val="14"/>
          <w:lang w:val="en"/>
        </w:rPr>
      </w:pPr>
    </w:p>
    <w:p w14:paraId="120C9958" w14:textId="77777777" w:rsidR="00B41992" w:rsidRPr="0019520C" w:rsidRDefault="00B41992" w:rsidP="00B41992">
      <w:pPr>
        <w:rPr>
          <w:b/>
          <w:bCs/>
          <w:sz w:val="32"/>
          <w:szCs w:val="32"/>
        </w:rPr>
      </w:pPr>
      <w:r w:rsidRPr="0019520C">
        <w:rPr>
          <w:b/>
          <w:bCs/>
          <w:sz w:val="32"/>
          <w:szCs w:val="32"/>
        </w:rPr>
        <w:t>3.2.1 Eptinezumab in Episodic Migraine</w:t>
      </w:r>
    </w:p>
    <w:p w14:paraId="08639286" w14:textId="77777777" w:rsidR="00B41992" w:rsidRPr="0024284B" w:rsidRDefault="00B41992" w:rsidP="00B41992">
      <w:r w:rsidRPr="0024284B">
        <w:t xml:space="preserve">A single study by </w:t>
      </w:r>
      <w:bookmarkStart w:id="2" w:name="_Hlk151721132"/>
      <w:r w:rsidRPr="0024284B">
        <w:t>Ashina et al, 2020 was found</w:t>
      </w:r>
      <w:r>
        <w:fldChar w:fldCharType="begin"/>
      </w:r>
      <w:r>
        <w:instrText xml:space="preserve"> ADDIN ZOTERO_ITEM CSL_CITATION {"citationID":"AdDipZmM","properties":{"formattedCitation":"(34)","plainCitation":"(34)","noteIndex":0},"citationItems":[{"id":5835,"uris":["http://zotero.org/users/5131939/items/3IK2ZQDU"],"itemData":{"id":5835,"type":"article-journal","archive_location":"32075406","container-title":"Cephalalgia","DOI":"10.1177/0333102420905132","issue":"3","journalAbbreviation":"Cephalalgia","page":"241-254","title":"Eptinezumab in episodic migraine: A randomized, double-blind, placebo-controlled study (PROMISE-1)","volume":"40","author":[{"family":"Ashina","given":"M."},{"family":"Saper","given":"J."},{"family":"Cady","given":"R."},{"family":"Schaeffler","given":"B. A."},{"family":"Biondi","given":"D. M."},{"family":"Hirman","given":"J."},{"family":"Pederson","given":"S."},{"family":"Allan","given":"B."},{"family":"Smith","given":"J."}],"issued":{"date-parts":[["2020"]]}}}],"schema":"https://github.com/citation-style-language/schema/raw/master/csl-citation.json"} </w:instrText>
      </w:r>
      <w:r>
        <w:fldChar w:fldCharType="separate"/>
      </w:r>
      <w:r w:rsidRPr="00090573">
        <w:rPr>
          <w:rFonts w:ascii="Calibri" w:hAnsi="Calibri" w:cs="Calibri"/>
        </w:rPr>
        <w:t>(34)</w:t>
      </w:r>
      <w:r>
        <w:fldChar w:fldCharType="end"/>
      </w:r>
      <w:bookmarkEnd w:id="2"/>
      <w:r w:rsidRPr="0024284B">
        <w:t>.</w:t>
      </w:r>
    </w:p>
    <w:p w14:paraId="6EF8D214" w14:textId="77777777" w:rsidR="00B41992" w:rsidRDefault="00B41992" w:rsidP="00B41992">
      <w:pPr>
        <w:rPr>
          <w:rFonts w:ascii="Arial Narrow" w:eastAsia="Times New Roman" w:hAnsi="Arial Narrow"/>
          <w:color w:val="000000"/>
          <w:sz w:val="14"/>
          <w:szCs w:val="14"/>
          <w:lang w:val="en"/>
        </w:rPr>
      </w:pP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42"/>
        <w:gridCol w:w="862"/>
        <w:gridCol w:w="779"/>
        <w:gridCol w:w="749"/>
        <w:gridCol w:w="915"/>
        <w:gridCol w:w="802"/>
        <w:gridCol w:w="637"/>
        <w:gridCol w:w="637"/>
        <w:gridCol w:w="607"/>
        <w:gridCol w:w="853"/>
        <w:gridCol w:w="789"/>
      </w:tblGrid>
      <w:tr w:rsidR="00B41992" w14:paraId="4737053D"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AA03A5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EAAC7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8E7260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AB8BE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E21F16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301E7E6E"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4D0C29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7C4DA2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5F16A0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97D450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5CD865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8A69F6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B3EF5C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968DE8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eptinezumab</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72E33E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28990E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28927B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2C6697D"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60C99323" w14:textId="77777777" w:rsidR="00B41992" w:rsidRDefault="00B41992" w:rsidP="0062262B">
            <w:pPr>
              <w:rPr>
                <w:rFonts w:ascii="Arial Narrow" w:eastAsia="Times New Roman" w:hAnsi="Arial Narrow"/>
                <w:b/>
                <w:bCs/>
                <w:color w:val="FFFFFF"/>
                <w:sz w:val="13"/>
                <w:szCs w:val="13"/>
              </w:rPr>
            </w:pPr>
          </w:p>
        </w:tc>
      </w:tr>
      <w:tr w:rsidR="00B41992" w14:paraId="1CC45502"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1CE51E33"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w:t>
            </w:r>
          </w:p>
        </w:tc>
      </w:tr>
      <w:tr w:rsidR="00B41992" w14:paraId="617BD77C"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32FDF65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53DFF51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51CA67D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CFF9AC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4E2543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9C555C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7277F1E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E872EF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221</w:t>
            </w:r>
          </w:p>
        </w:tc>
        <w:tc>
          <w:tcPr>
            <w:tcW w:w="400" w:type="pct"/>
            <w:tcBorders>
              <w:top w:val="single" w:sz="6" w:space="0" w:color="000000"/>
              <w:left w:val="single" w:sz="6" w:space="0" w:color="000000"/>
              <w:bottom w:val="single" w:sz="6" w:space="0" w:color="000000"/>
              <w:right w:val="single" w:sz="6" w:space="0" w:color="000000"/>
            </w:tcBorders>
            <w:hideMark/>
          </w:tcPr>
          <w:p w14:paraId="23226944"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222</w:t>
            </w:r>
          </w:p>
        </w:tc>
        <w:tc>
          <w:tcPr>
            <w:tcW w:w="400" w:type="pct"/>
            <w:tcBorders>
              <w:top w:val="single" w:sz="6" w:space="0" w:color="000000"/>
              <w:left w:val="single" w:sz="6" w:space="0" w:color="000000"/>
              <w:bottom w:val="single" w:sz="6" w:space="0" w:color="000000"/>
              <w:right w:val="single" w:sz="6" w:space="0" w:color="000000"/>
            </w:tcBorders>
            <w:hideMark/>
          </w:tcPr>
          <w:p w14:paraId="7A2D28F2"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3188C48D"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1.11 day lower</w:t>
            </w:r>
            <w:r>
              <w:rPr>
                <w:rFonts w:ascii="Arial Narrow" w:eastAsia="Times New Roman" w:hAnsi="Arial Narrow"/>
                <w:sz w:val="13"/>
                <w:szCs w:val="13"/>
              </w:rPr>
              <w:br/>
            </w:r>
            <w:r>
              <w:rPr>
                <w:rStyle w:val="cell-value"/>
                <w:rFonts w:ascii="Arial Narrow" w:eastAsia="Times New Roman" w:hAnsi="Arial Narrow"/>
                <w:sz w:val="13"/>
                <w:szCs w:val="13"/>
              </w:rPr>
              <w:t>(1.68 lower to 0.54 lower)</w:t>
            </w:r>
          </w:p>
        </w:tc>
        <w:tc>
          <w:tcPr>
            <w:tcW w:w="750" w:type="dxa"/>
            <w:tcBorders>
              <w:top w:val="single" w:sz="6" w:space="0" w:color="000000"/>
              <w:left w:val="single" w:sz="6" w:space="0" w:color="000000"/>
              <w:bottom w:val="single" w:sz="6" w:space="0" w:color="000000"/>
              <w:right w:val="single" w:sz="6" w:space="0" w:color="000000"/>
            </w:tcBorders>
            <w:hideMark/>
          </w:tcPr>
          <w:p w14:paraId="66E919C8"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178EEF3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06343DF8"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6706AD53"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10BA7056"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D3A0D6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572074F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333238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BE7EEE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BC4F87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E7D0AA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E0E9AA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14F1D4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125/221 (56.6%) </w:t>
            </w:r>
          </w:p>
        </w:tc>
        <w:tc>
          <w:tcPr>
            <w:tcW w:w="400" w:type="pct"/>
            <w:tcBorders>
              <w:top w:val="single" w:sz="6" w:space="0" w:color="000000"/>
              <w:left w:val="single" w:sz="6" w:space="0" w:color="000000"/>
              <w:bottom w:val="single" w:sz="6" w:space="0" w:color="000000"/>
              <w:right w:val="single" w:sz="6" w:space="0" w:color="000000"/>
            </w:tcBorders>
            <w:hideMark/>
          </w:tcPr>
          <w:p w14:paraId="53222FBD"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83/222 (37.4%) </w:t>
            </w:r>
          </w:p>
        </w:tc>
        <w:tc>
          <w:tcPr>
            <w:tcW w:w="400" w:type="pct"/>
            <w:tcBorders>
              <w:top w:val="single" w:sz="6" w:space="0" w:color="000000"/>
              <w:left w:val="single" w:sz="6" w:space="0" w:color="000000"/>
              <w:bottom w:val="single" w:sz="6" w:space="0" w:color="000000"/>
              <w:right w:val="single" w:sz="6" w:space="0" w:color="000000"/>
            </w:tcBorders>
            <w:hideMark/>
          </w:tcPr>
          <w:p w14:paraId="618E396E"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2.16</w:t>
            </w:r>
            <w:r>
              <w:rPr>
                <w:rFonts w:ascii="Arial Narrow" w:eastAsia="Times New Roman" w:hAnsi="Arial Narrow"/>
                <w:sz w:val="13"/>
                <w:szCs w:val="13"/>
              </w:rPr>
              <w:br/>
            </w:r>
            <w:r>
              <w:rPr>
                <w:rStyle w:val="cell"/>
                <w:rFonts w:ascii="Arial Narrow" w:eastAsia="Times New Roman" w:hAnsi="Arial Narrow"/>
                <w:sz w:val="13"/>
                <w:szCs w:val="13"/>
              </w:rPr>
              <w:t>(1.48 to 3.16)</w:t>
            </w:r>
          </w:p>
        </w:tc>
        <w:tc>
          <w:tcPr>
            <w:tcW w:w="0" w:type="auto"/>
            <w:tcBorders>
              <w:top w:val="single" w:sz="6" w:space="0" w:color="000000"/>
              <w:left w:val="single" w:sz="6" w:space="0" w:color="000000"/>
              <w:bottom w:val="single" w:sz="6" w:space="0" w:color="000000"/>
              <w:right w:val="single" w:sz="6" w:space="0" w:color="000000"/>
            </w:tcBorders>
            <w:hideMark/>
          </w:tcPr>
          <w:p w14:paraId="283E191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19 more per 100</w:t>
            </w:r>
            <w:r>
              <w:rPr>
                <w:rFonts w:ascii="Arial Narrow" w:eastAsia="Times New Roman" w:hAnsi="Arial Narrow"/>
                <w:sz w:val="13"/>
                <w:szCs w:val="13"/>
              </w:rPr>
              <w:br/>
              <w:t>(from 10 more to 28 more)</w:t>
            </w:r>
          </w:p>
        </w:tc>
        <w:tc>
          <w:tcPr>
            <w:tcW w:w="750" w:type="dxa"/>
            <w:tcBorders>
              <w:top w:val="single" w:sz="6" w:space="0" w:color="000000"/>
              <w:left w:val="single" w:sz="6" w:space="0" w:color="000000"/>
              <w:bottom w:val="single" w:sz="6" w:space="0" w:color="000000"/>
              <w:right w:val="single" w:sz="6" w:space="0" w:color="000000"/>
            </w:tcBorders>
            <w:hideMark/>
          </w:tcPr>
          <w:p w14:paraId="71563371"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130061F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175C6BEC"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5B744A8A"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12 weeks)</w:t>
            </w:r>
          </w:p>
        </w:tc>
      </w:tr>
      <w:tr w:rsidR="00B41992" w14:paraId="1670B42C"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4FA503C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088E578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57C0FAB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15FE19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65DB81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46C359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65045E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096B8A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129/224 (57.6%) </w:t>
            </w:r>
          </w:p>
        </w:tc>
        <w:tc>
          <w:tcPr>
            <w:tcW w:w="400" w:type="pct"/>
            <w:tcBorders>
              <w:top w:val="single" w:sz="6" w:space="0" w:color="000000"/>
              <w:left w:val="single" w:sz="6" w:space="0" w:color="000000"/>
              <w:bottom w:val="single" w:sz="6" w:space="0" w:color="000000"/>
              <w:right w:val="single" w:sz="6" w:space="0" w:color="000000"/>
            </w:tcBorders>
            <w:hideMark/>
          </w:tcPr>
          <w:p w14:paraId="01361983"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132/222 (59.5%) </w:t>
            </w:r>
          </w:p>
        </w:tc>
        <w:tc>
          <w:tcPr>
            <w:tcW w:w="400" w:type="pct"/>
            <w:tcBorders>
              <w:top w:val="single" w:sz="6" w:space="0" w:color="000000"/>
              <w:left w:val="single" w:sz="6" w:space="0" w:color="000000"/>
              <w:bottom w:val="single" w:sz="6" w:space="0" w:color="000000"/>
              <w:right w:val="single" w:sz="6" w:space="0" w:color="000000"/>
            </w:tcBorders>
            <w:hideMark/>
          </w:tcPr>
          <w:p w14:paraId="137D7755"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0.93</w:t>
            </w:r>
            <w:r>
              <w:rPr>
                <w:rFonts w:ascii="Arial Narrow" w:eastAsia="Times New Roman" w:hAnsi="Arial Narrow"/>
                <w:sz w:val="13"/>
                <w:szCs w:val="13"/>
              </w:rPr>
              <w:br/>
            </w:r>
            <w:r>
              <w:rPr>
                <w:rStyle w:val="cell"/>
                <w:rFonts w:ascii="Arial Narrow" w:eastAsia="Times New Roman" w:hAnsi="Arial Narrow"/>
                <w:sz w:val="13"/>
                <w:szCs w:val="13"/>
              </w:rPr>
              <w:t>(0.64 to 1.35)</w:t>
            </w:r>
          </w:p>
        </w:tc>
        <w:tc>
          <w:tcPr>
            <w:tcW w:w="0" w:type="auto"/>
            <w:tcBorders>
              <w:top w:val="single" w:sz="6" w:space="0" w:color="000000"/>
              <w:left w:val="single" w:sz="6" w:space="0" w:color="000000"/>
              <w:bottom w:val="single" w:sz="6" w:space="0" w:color="000000"/>
              <w:right w:val="single" w:sz="6" w:space="0" w:color="000000"/>
            </w:tcBorders>
            <w:hideMark/>
          </w:tcPr>
          <w:p w14:paraId="4F57A8F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2 fewer per 100</w:t>
            </w:r>
            <w:r>
              <w:rPr>
                <w:rFonts w:ascii="Arial Narrow" w:eastAsia="Times New Roman" w:hAnsi="Arial Narrow"/>
                <w:sz w:val="13"/>
                <w:szCs w:val="13"/>
              </w:rPr>
              <w:br/>
              <w:t>(from 11 fewer to 7 more)</w:t>
            </w:r>
          </w:p>
        </w:tc>
        <w:tc>
          <w:tcPr>
            <w:tcW w:w="750" w:type="dxa"/>
            <w:tcBorders>
              <w:top w:val="single" w:sz="6" w:space="0" w:color="000000"/>
              <w:left w:val="single" w:sz="6" w:space="0" w:color="000000"/>
              <w:bottom w:val="single" w:sz="6" w:space="0" w:color="000000"/>
              <w:right w:val="single" w:sz="6" w:space="0" w:color="000000"/>
            </w:tcBorders>
            <w:hideMark/>
          </w:tcPr>
          <w:p w14:paraId="70F9A35E"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33FD45E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bl>
    <w:p w14:paraId="7CBCC75C"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71390A48" w14:textId="77777777" w:rsidR="00B41992" w:rsidRDefault="00B41992" w:rsidP="00B41992">
      <w:pPr>
        <w:pStyle w:val="Heading4"/>
        <w:rPr>
          <w:rFonts w:ascii="Arial Narrow" w:hAnsi="Arial Narrow"/>
          <w:color w:val="000000"/>
          <w:lang w:val="en"/>
        </w:rPr>
      </w:pPr>
      <w:r>
        <w:rPr>
          <w:rFonts w:ascii="Arial Narrow" w:hAnsi="Arial Narrow"/>
          <w:color w:val="000000"/>
          <w:lang w:val="en"/>
        </w:rPr>
        <w:t>Explanations</w:t>
      </w:r>
    </w:p>
    <w:p w14:paraId="344C61B8"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a. close to clinically meaningful limit of confidence interval</w:t>
      </w:r>
    </w:p>
    <w:p w14:paraId="714DA988" w14:textId="77777777" w:rsidR="00B41992" w:rsidRDefault="00B41992" w:rsidP="00B41992">
      <w:pPr>
        <w:rPr>
          <w:b/>
          <w:bCs/>
          <w:sz w:val="32"/>
          <w:szCs w:val="32"/>
          <w:u w:val="single"/>
        </w:rPr>
      </w:pPr>
    </w:p>
    <w:p w14:paraId="4B6DB081" w14:textId="77777777" w:rsidR="00B41992" w:rsidRDefault="00B41992" w:rsidP="00B41992">
      <w:pPr>
        <w:rPr>
          <w:b/>
          <w:bCs/>
          <w:sz w:val="32"/>
          <w:szCs w:val="32"/>
          <w:u w:val="single"/>
        </w:rPr>
      </w:pPr>
    </w:p>
    <w:p w14:paraId="4A19267F" w14:textId="77777777" w:rsidR="00B41992" w:rsidRDefault="00B41992" w:rsidP="00B41992">
      <w:pPr>
        <w:rPr>
          <w:b/>
          <w:bCs/>
          <w:sz w:val="32"/>
          <w:szCs w:val="32"/>
          <w:u w:val="single"/>
        </w:rPr>
      </w:pPr>
    </w:p>
    <w:p w14:paraId="41E6A39D" w14:textId="77777777" w:rsidR="00B41992" w:rsidRDefault="00B41992" w:rsidP="00B41992">
      <w:pPr>
        <w:rPr>
          <w:b/>
          <w:bCs/>
          <w:sz w:val="32"/>
          <w:szCs w:val="32"/>
          <w:u w:val="single"/>
        </w:rPr>
      </w:pPr>
    </w:p>
    <w:p w14:paraId="481F90D5" w14:textId="77777777" w:rsidR="00B41992" w:rsidRDefault="00B41992" w:rsidP="00B41992">
      <w:pPr>
        <w:rPr>
          <w:b/>
          <w:bCs/>
          <w:sz w:val="32"/>
          <w:szCs w:val="32"/>
          <w:u w:val="single"/>
        </w:rPr>
      </w:pPr>
    </w:p>
    <w:p w14:paraId="7E040A33" w14:textId="77777777" w:rsidR="00B41992" w:rsidRDefault="00B41992" w:rsidP="00B41992">
      <w:pPr>
        <w:rPr>
          <w:b/>
          <w:bCs/>
          <w:sz w:val="32"/>
          <w:szCs w:val="32"/>
          <w:u w:val="single"/>
        </w:rPr>
      </w:pPr>
    </w:p>
    <w:p w14:paraId="7C084A06" w14:textId="77777777" w:rsidR="00B41992" w:rsidRPr="0019520C" w:rsidRDefault="00B41992" w:rsidP="00B41992">
      <w:pPr>
        <w:rPr>
          <w:b/>
          <w:bCs/>
          <w:sz w:val="32"/>
          <w:szCs w:val="32"/>
        </w:rPr>
      </w:pPr>
      <w:r w:rsidRPr="0019520C">
        <w:rPr>
          <w:b/>
          <w:bCs/>
          <w:sz w:val="32"/>
          <w:szCs w:val="32"/>
        </w:rPr>
        <w:t>3.2.2 Eptinezumab in Chronic Migraine</w:t>
      </w:r>
    </w:p>
    <w:p w14:paraId="650CBFFD" w14:textId="77777777" w:rsidR="00B41992" w:rsidRDefault="00B41992" w:rsidP="00B41992">
      <w:bookmarkStart w:id="3" w:name="_Hlk151721293"/>
      <w:r w:rsidRPr="0024284B">
        <w:t>Two studies were found, Dodick et al 2019</w:t>
      </w:r>
      <w:r>
        <w:t xml:space="preserve"> </w:t>
      </w:r>
      <w:r>
        <w:fldChar w:fldCharType="begin"/>
      </w:r>
      <w:r>
        <w:instrText xml:space="preserve"> ADDIN ZOTERO_ITEM CSL_CITATION {"citationID":"pLVWDb8Q","properties":{"formattedCitation":"(35)","plainCitation":"(35)","noteIndex":0},"citationItems":[{"id":5839,"uris":["http://zotero.org/users/5131939/items/7IC3QE4Z"],"itemData":{"id":5839,"type":"article-journal","archive_location":"31234642","container-title":"Cephalalgia","DOI":"10.1177/0333102419858355","issue":"9","journalAbbreviation":"Cephalalgia","page":"1075-1085","title":"Eptinezumab for prevention of chronic migraine: A randomized phase 2b clinical trial","volume":"39","author":[{"family":"Dodick","given":"D. W."},{"family":"Lipton","given":"R. B."},{"family":"Silberstein","given":"S."},{"family":"Goadsby","given":"P. J."},{"family":"Biondi","given":"D."},{"family":"Hirman","given":"J."},{"family":"Cady","given":"R."},{"family":"Smith","given":"J."}],"issued":{"date-parts":[["2019"]]}}}],"schema":"https://github.com/citation-style-language/schema/raw/master/csl-citation.json"} </w:instrText>
      </w:r>
      <w:r>
        <w:fldChar w:fldCharType="separate"/>
      </w:r>
      <w:r w:rsidRPr="00090573">
        <w:rPr>
          <w:rFonts w:ascii="Calibri" w:hAnsi="Calibri" w:cs="Calibri"/>
        </w:rPr>
        <w:t>(35)</w:t>
      </w:r>
      <w:r>
        <w:fldChar w:fldCharType="end"/>
      </w:r>
      <w:r w:rsidRPr="0024284B">
        <w:t xml:space="preserve"> and Lipton et al 2020</w:t>
      </w:r>
      <w:r>
        <w:t xml:space="preserve"> </w:t>
      </w:r>
      <w:r>
        <w:fldChar w:fldCharType="begin"/>
      </w:r>
      <w:r>
        <w:instrText xml:space="preserve"> ADDIN ZOTERO_ITEM CSL_CITATION {"citationID":"xgElM0lP","properties":{"formattedCitation":"(36)","plainCitation":"(36)","noteIndex":0},"citationItems":[{"id":5834,"uris":["http://zotero.org/users/5131939/items/Q8ZHC7YD"],"itemData":{"id":5834,"type":"article-journal","archive_location":"32209650","container-title":"Neurology","DOI":"10.1212/WNL.0000000000009169","issue":"13","journalAbbreviation":"Neurology","page":"e1365-e1377","title":"Efficacy and safety of eptinezumab in patients with chronic migraine: PROMISE-2","volume":"94","author":[{"family":"Lipton","given":"R. B."},{"family":"Goadsby","given":"P. J."},{"family":"Smith","given":"J."},{"family":"Schaeffler","given":"B. A."},{"family":"Biondi","given":"D. M."},{"family":"Hirman","given":"J."},{"family":"Pederson","given":"S."},{"family":"Allan","given":"B."},{"family":"Cady","given":"R."}],"issued":{"date-parts":[["2020"]]}}}],"schema":"https://github.com/citation-style-language/schema/raw/master/csl-citation.json"} </w:instrText>
      </w:r>
      <w:r>
        <w:fldChar w:fldCharType="separate"/>
      </w:r>
      <w:r w:rsidRPr="00090573">
        <w:rPr>
          <w:rFonts w:ascii="Calibri" w:hAnsi="Calibri" w:cs="Calibri"/>
        </w:rPr>
        <w:t>(36)</w:t>
      </w:r>
      <w:r>
        <w:fldChar w:fldCharType="end"/>
      </w:r>
      <w:r w:rsidRPr="0024284B">
        <w:t>.</w:t>
      </w:r>
    </w:p>
    <w:bookmarkEnd w:id="3"/>
    <w:p w14:paraId="352E37D5" w14:textId="77777777" w:rsidR="00B41992" w:rsidRPr="00EF6B99" w:rsidRDefault="00B41992" w:rsidP="00B41992">
      <w:r w:rsidRPr="003B0C97">
        <w:rPr>
          <w:b/>
          <w:bCs/>
          <w:u w:val="single"/>
        </w:rPr>
        <w:t>Migraine Day Reduction</w:t>
      </w:r>
    </w:p>
    <w:p w14:paraId="4920C7EF" w14:textId="77777777" w:rsidR="00B41992" w:rsidRPr="003B0C97" w:rsidRDefault="00B41992" w:rsidP="00B41992">
      <w:pPr>
        <w:rPr>
          <w:b/>
          <w:bCs/>
          <w:u w:val="single"/>
        </w:rPr>
      </w:pPr>
      <w:r>
        <w:rPr>
          <w:b/>
          <w:bCs/>
          <w:noProof/>
          <w:u w:val="single"/>
        </w:rPr>
        <w:lastRenderedPageBreak/>
        <w:drawing>
          <wp:inline distT="0" distB="0" distL="0" distR="0" wp14:anchorId="1763B849" wp14:editId="67A18D60">
            <wp:extent cx="5943600" cy="2353945"/>
            <wp:effectExtent l="0" t="0" r="0" b="0"/>
            <wp:docPr id="147106241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62417" name="Graphic 1471062417"/>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943600" cy="2353945"/>
                    </a:xfrm>
                    <a:prstGeom prst="rect">
                      <a:avLst/>
                    </a:prstGeom>
                  </pic:spPr>
                </pic:pic>
              </a:graphicData>
            </a:graphic>
          </wp:inline>
        </w:drawing>
      </w:r>
    </w:p>
    <w:p w14:paraId="09A308B3" w14:textId="77777777" w:rsidR="00B41992" w:rsidRPr="003B0C97" w:rsidRDefault="00B41992" w:rsidP="00B41992">
      <w:pPr>
        <w:rPr>
          <w:b/>
          <w:bCs/>
          <w:noProof/>
          <w:u w:val="single"/>
        </w:rPr>
      </w:pPr>
      <w:r w:rsidRPr="003B0C97">
        <w:rPr>
          <w:b/>
          <w:bCs/>
          <w:u w:val="single"/>
        </w:rPr>
        <w:t>50% Responder Rat</w:t>
      </w:r>
      <w:r w:rsidRPr="003B0C97">
        <w:rPr>
          <w:b/>
          <w:bCs/>
          <w:noProof/>
          <w:u w:val="single"/>
        </w:rPr>
        <w:t>e</w:t>
      </w:r>
    </w:p>
    <w:p w14:paraId="4E916B95" w14:textId="77777777" w:rsidR="00B41992" w:rsidRPr="003B0C97" w:rsidRDefault="00B41992" w:rsidP="00B41992">
      <w:pPr>
        <w:rPr>
          <w:b/>
          <w:bCs/>
          <w:u w:val="single"/>
        </w:rPr>
      </w:pPr>
      <w:r>
        <w:rPr>
          <w:b/>
          <w:bCs/>
          <w:noProof/>
          <w:u w:val="single"/>
        </w:rPr>
        <w:drawing>
          <wp:inline distT="0" distB="0" distL="0" distR="0" wp14:anchorId="3BB9994E" wp14:editId="5A3B21B9">
            <wp:extent cx="5943600" cy="2693670"/>
            <wp:effectExtent l="0" t="0" r="0" b="0"/>
            <wp:docPr id="184461678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16781" name="Graphic 184461678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943600" cy="2693670"/>
                    </a:xfrm>
                    <a:prstGeom prst="rect">
                      <a:avLst/>
                    </a:prstGeom>
                  </pic:spPr>
                </pic:pic>
              </a:graphicData>
            </a:graphic>
          </wp:inline>
        </w:drawing>
      </w:r>
    </w:p>
    <w:p w14:paraId="3BD90194" w14:textId="77777777" w:rsidR="00B41992" w:rsidRDefault="00B41992" w:rsidP="00B41992">
      <w:pPr>
        <w:rPr>
          <w:b/>
          <w:bCs/>
          <w:u w:val="single"/>
        </w:rPr>
      </w:pPr>
    </w:p>
    <w:p w14:paraId="0F1E6B6D" w14:textId="77777777" w:rsidR="00B41992" w:rsidRDefault="00B41992" w:rsidP="00B41992">
      <w:pPr>
        <w:rPr>
          <w:b/>
          <w:bCs/>
          <w:u w:val="single"/>
        </w:rPr>
      </w:pPr>
    </w:p>
    <w:p w14:paraId="1D0BF437" w14:textId="77777777" w:rsidR="00B41992" w:rsidRDefault="00B41992" w:rsidP="00B41992">
      <w:pPr>
        <w:rPr>
          <w:b/>
          <w:bCs/>
          <w:u w:val="single"/>
        </w:rPr>
      </w:pPr>
    </w:p>
    <w:p w14:paraId="6EA49D9F" w14:textId="77777777" w:rsidR="00B41992" w:rsidRDefault="00B41992" w:rsidP="00B41992">
      <w:pPr>
        <w:rPr>
          <w:b/>
          <w:bCs/>
          <w:u w:val="single"/>
        </w:rPr>
      </w:pPr>
    </w:p>
    <w:p w14:paraId="3C3FCD14" w14:textId="77777777" w:rsidR="00B41992" w:rsidRDefault="00B41992" w:rsidP="00B41992">
      <w:pPr>
        <w:rPr>
          <w:b/>
          <w:bCs/>
          <w:u w:val="single"/>
        </w:rPr>
      </w:pPr>
    </w:p>
    <w:p w14:paraId="76AB5CE4" w14:textId="77777777" w:rsidR="00B41992" w:rsidRDefault="00B41992" w:rsidP="00B41992">
      <w:pPr>
        <w:rPr>
          <w:b/>
          <w:bCs/>
          <w:u w:val="single"/>
        </w:rPr>
      </w:pPr>
    </w:p>
    <w:p w14:paraId="271794DC" w14:textId="77777777" w:rsidR="00B41992" w:rsidRDefault="00B41992" w:rsidP="00B41992">
      <w:pPr>
        <w:rPr>
          <w:b/>
          <w:bCs/>
          <w:u w:val="single"/>
        </w:rPr>
      </w:pPr>
    </w:p>
    <w:p w14:paraId="4EB6837A" w14:textId="77777777" w:rsidR="00B41992" w:rsidRDefault="00B41992" w:rsidP="00B41992">
      <w:pPr>
        <w:rPr>
          <w:b/>
          <w:bCs/>
          <w:u w:val="single"/>
        </w:rPr>
      </w:pPr>
    </w:p>
    <w:p w14:paraId="4ADECB11" w14:textId="77777777" w:rsidR="00B41992" w:rsidRDefault="00B41992" w:rsidP="00B41992">
      <w:pPr>
        <w:rPr>
          <w:b/>
          <w:bCs/>
          <w:u w:val="single"/>
        </w:rPr>
      </w:pPr>
    </w:p>
    <w:p w14:paraId="60212CA8" w14:textId="77777777" w:rsidR="00B41992" w:rsidRDefault="00B41992" w:rsidP="00B41992">
      <w:pPr>
        <w:rPr>
          <w:b/>
          <w:bCs/>
          <w:u w:val="single"/>
        </w:rPr>
      </w:pPr>
    </w:p>
    <w:p w14:paraId="73BB0EEE" w14:textId="77777777" w:rsidR="00B41992" w:rsidRDefault="00B41992" w:rsidP="00B41992">
      <w:pPr>
        <w:rPr>
          <w:b/>
          <w:bCs/>
          <w:u w:val="single"/>
        </w:rPr>
      </w:pPr>
    </w:p>
    <w:p w14:paraId="6A38C1DC" w14:textId="77777777" w:rsidR="00B41992" w:rsidRDefault="00B41992" w:rsidP="00B41992">
      <w:pPr>
        <w:rPr>
          <w:b/>
          <w:bCs/>
          <w:u w:val="single"/>
        </w:rPr>
      </w:pPr>
    </w:p>
    <w:p w14:paraId="1E720970" w14:textId="77777777" w:rsidR="00B41992" w:rsidRPr="003B0C97" w:rsidRDefault="00B41992" w:rsidP="00B41992">
      <w:pPr>
        <w:rPr>
          <w:b/>
          <w:bCs/>
          <w:u w:val="single"/>
        </w:rPr>
      </w:pPr>
      <w:r w:rsidRPr="003B0C97">
        <w:rPr>
          <w:b/>
          <w:bCs/>
          <w:u w:val="single"/>
        </w:rPr>
        <w:t>Adverse Events</w:t>
      </w:r>
    </w:p>
    <w:p w14:paraId="17E0D279" w14:textId="77777777" w:rsidR="00B41992" w:rsidRDefault="00B41992" w:rsidP="00B41992">
      <w:pPr>
        <w:rPr>
          <w:b/>
          <w:bCs/>
          <w:sz w:val="28"/>
          <w:szCs w:val="28"/>
          <w:u w:val="single"/>
        </w:rPr>
      </w:pPr>
      <w:r>
        <w:rPr>
          <w:b/>
          <w:bCs/>
          <w:noProof/>
          <w:sz w:val="28"/>
          <w:szCs w:val="28"/>
          <w:u w:val="single"/>
        </w:rPr>
        <w:lastRenderedPageBreak/>
        <w:drawing>
          <wp:inline distT="0" distB="0" distL="0" distR="0" wp14:anchorId="29898EA0" wp14:editId="1D31507E">
            <wp:extent cx="5943600" cy="2693670"/>
            <wp:effectExtent l="0" t="0" r="0" b="0"/>
            <wp:docPr id="51368749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87499" name="Graphic 513687499"/>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43600" cy="2693670"/>
                    </a:xfrm>
                    <a:prstGeom prst="rect">
                      <a:avLst/>
                    </a:prstGeom>
                  </pic:spPr>
                </pic:pic>
              </a:graphicData>
            </a:graphic>
          </wp:inline>
        </w:drawing>
      </w:r>
    </w:p>
    <w:p w14:paraId="26F73C0F" w14:textId="77777777" w:rsidR="00B41992" w:rsidRPr="00D8042E"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Eptinezumab in Chronic Migraine</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40"/>
        <w:gridCol w:w="862"/>
        <w:gridCol w:w="779"/>
        <w:gridCol w:w="749"/>
        <w:gridCol w:w="913"/>
        <w:gridCol w:w="814"/>
        <w:gridCol w:w="635"/>
        <w:gridCol w:w="635"/>
        <w:gridCol w:w="607"/>
        <w:gridCol w:w="819"/>
        <w:gridCol w:w="819"/>
      </w:tblGrid>
      <w:tr w:rsidR="00B41992" w14:paraId="386D554B"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5C7C59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BF4304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1EC3E4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1EE02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E89D2E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7E870D7F"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56DE28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3975AE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08773A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76C09B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6BD484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689EE3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484461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1829EB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Eptinezumab</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B10176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35E3EA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96790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4AD5B1C"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98CEDAF" w14:textId="77777777" w:rsidR="00B41992" w:rsidRDefault="00B41992" w:rsidP="0062262B">
            <w:pPr>
              <w:rPr>
                <w:rFonts w:ascii="Arial Narrow" w:eastAsia="Times New Roman" w:hAnsi="Arial Narrow"/>
                <w:b/>
                <w:bCs/>
                <w:color w:val="FFFFFF"/>
                <w:sz w:val="13"/>
                <w:szCs w:val="13"/>
              </w:rPr>
            </w:pPr>
          </w:p>
        </w:tc>
      </w:tr>
      <w:tr w:rsidR="00B41992" w14:paraId="777CD5AB"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1E1DC78B"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reductions (follow-up: mean 12 weeks)</w:t>
            </w:r>
          </w:p>
        </w:tc>
      </w:tr>
      <w:tr w:rsidR="00B41992" w14:paraId="401692B0"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0B1DE77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1545EB9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66BE98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4E9D80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A122A8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5F7A6D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8C929F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85B3BE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470</w:t>
            </w:r>
          </w:p>
        </w:tc>
        <w:tc>
          <w:tcPr>
            <w:tcW w:w="400" w:type="pct"/>
            <w:tcBorders>
              <w:top w:val="single" w:sz="6" w:space="0" w:color="000000"/>
              <w:left w:val="single" w:sz="6" w:space="0" w:color="000000"/>
              <w:bottom w:val="single" w:sz="6" w:space="0" w:color="000000"/>
              <w:right w:val="single" w:sz="6" w:space="0" w:color="000000"/>
            </w:tcBorders>
            <w:hideMark/>
          </w:tcPr>
          <w:p w14:paraId="6F16B51B"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482</w:t>
            </w:r>
          </w:p>
        </w:tc>
        <w:tc>
          <w:tcPr>
            <w:tcW w:w="400" w:type="pct"/>
            <w:tcBorders>
              <w:top w:val="single" w:sz="6" w:space="0" w:color="000000"/>
              <w:left w:val="single" w:sz="6" w:space="0" w:color="000000"/>
              <w:bottom w:val="single" w:sz="6" w:space="0" w:color="000000"/>
              <w:right w:val="single" w:sz="6" w:space="0" w:color="000000"/>
            </w:tcBorders>
            <w:hideMark/>
          </w:tcPr>
          <w:p w14:paraId="552ECDFC"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7FA11C14"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2.6 days lower</w:t>
            </w:r>
            <w:r>
              <w:rPr>
                <w:rFonts w:ascii="Arial Narrow" w:eastAsia="Times New Roman" w:hAnsi="Arial Narrow"/>
                <w:sz w:val="13"/>
                <w:szCs w:val="13"/>
              </w:rPr>
              <w:br/>
            </w:r>
            <w:r>
              <w:rPr>
                <w:rStyle w:val="cell-value"/>
                <w:rFonts w:ascii="Arial Narrow" w:eastAsia="Times New Roman" w:hAnsi="Arial Narrow"/>
                <w:sz w:val="13"/>
                <w:szCs w:val="13"/>
              </w:rPr>
              <w:t>(3.41 lower to 1.79 lower)</w:t>
            </w:r>
          </w:p>
        </w:tc>
        <w:tc>
          <w:tcPr>
            <w:tcW w:w="750" w:type="dxa"/>
            <w:tcBorders>
              <w:top w:val="single" w:sz="6" w:space="0" w:color="000000"/>
              <w:left w:val="single" w:sz="6" w:space="0" w:color="000000"/>
              <w:bottom w:val="single" w:sz="6" w:space="0" w:color="000000"/>
              <w:right w:val="single" w:sz="6" w:space="0" w:color="000000"/>
            </w:tcBorders>
            <w:hideMark/>
          </w:tcPr>
          <w:p w14:paraId="62BF1BCE"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589AA77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312CDFF4"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3D062E59"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4F4DF281"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198626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6E036C7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46619A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BF2191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1B88A6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FA15F9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CDDE29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374B134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280/464 (60.3%) </w:t>
            </w:r>
          </w:p>
        </w:tc>
        <w:tc>
          <w:tcPr>
            <w:tcW w:w="400" w:type="pct"/>
            <w:tcBorders>
              <w:top w:val="single" w:sz="6" w:space="0" w:color="000000"/>
              <w:left w:val="single" w:sz="6" w:space="0" w:color="000000"/>
              <w:bottom w:val="single" w:sz="6" w:space="0" w:color="000000"/>
              <w:right w:val="single" w:sz="6" w:space="0" w:color="000000"/>
            </w:tcBorders>
            <w:hideMark/>
          </w:tcPr>
          <w:p w14:paraId="562E47E7"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191/482 (39.6%) </w:t>
            </w:r>
          </w:p>
        </w:tc>
        <w:tc>
          <w:tcPr>
            <w:tcW w:w="400" w:type="pct"/>
            <w:tcBorders>
              <w:top w:val="single" w:sz="6" w:space="0" w:color="000000"/>
              <w:left w:val="single" w:sz="6" w:space="0" w:color="000000"/>
              <w:bottom w:val="single" w:sz="6" w:space="0" w:color="000000"/>
              <w:right w:val="single" w:sz="6" w:space="0" w:color="000000"/>
            </w:tcBorders>
            <w:hideMark/>
          </w:tcPr>
          <w:p w14:paraId="488957F6"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2.32</w:t>
            </w:r>
            <w:r>
              <w:rPr>
                <w:rFonts w:ascii="Arial Narrow" w:eastAsia="Times New Roman" w:hAnsi="Arial Narrow"/>
                <w:sz w:val="13"/>
                <w:szCs w:val="13"/>
              </w:rPr>
              <w:br/>
            </w:r>
            <w:r>
              <w:rPr>
                <w:rStyle w:val="cell"/>
                <w:rFonts w:ascii="Arial Narrow" w:eastAsia="Times New Roman" w:hAnsi="Arial Narrow"/>
                <w:sz w:val="13"/>
                <w:szCs w:val="13"/>
              </w:rPr>
              <w:t>(1.79 to 3.01)</w:t>
            </w:r>
          </w:p>
        </w:tc>
        <w:tc>
          <w:tcPr>
            <w:tcW w:w="0" w:type="auto"/>
            <w:tcBorders>
              <w:top w:val="single" w:sz="6" w:space="0" w:color="000000"/>
              <w:left w:val="single" w:sz="6" w:space="0" w:color="000000"/>
              <w:bottom w:val="single" w:sz="6" w:space="0" w:color="000000"/>
              <w:right w:val="single" w:sz="6" w:space="0" w:color="000000"/>
            </w:tcBorders>
            <w:hideMark/>
          </w:tcPr>
          <w:p w14:paraId="5800598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21 more per 100</w:t>
            </w:r>
            <w:r>
              <w:rPr>
                <w:rFonts w:ascii="Arial Narrow" w:eastAsia="Times New Roman" w:hAnsi="Arial Narrow"/>
                <w:sz w:val="13"/>
                <w:szCs w:val="13"/>
              </w:rPr>
              <w:br/>
              <w:t>(from 14 more to 27 more)</w:t>
            </w:r>
          </w:p>
        </w:tc>
        <w:tc>
          <w:tcPr>
            <w:tcW w:w="750" w:type="dxa"/>
            <w:tcBorders>
              <w:top w:val="single" w:sz="6" w:space="0" w:color="000000"/>
              <w:left w:val="single" w:sz="6" w:space="0" w:color="000000"/>
              <w:bottom w:val="single" w:sz="6" w:space="0" w:color="000000"/>
              <w:right w:val="single" w:sz="6" w:space="0" w:color="000000"/>
            </w:tcBorders>
            <w:hideMark/>
          </w:tcPr>
          <w:p w14:paraId="20784041"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4045C2C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1E3298E8"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7C5D3120"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12 weeks)</w:t>
            </w:r>
          </w:p>
        </w:tc>
      </w:tr>
      <w:tr w:rsidR="00B41992" w14:paraId="484666A3"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620AE9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7ED5793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5E9827F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E41373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6F0440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A6F5EF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D9C200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9845ED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259/471 (55.0%) </w:t>
            </w:r>
          </w:p>
        </w:tc>
        <w:tc>
          <w:tcPr>
            <w:tcW w:w="400" w:type="pct"/>
            <w:tcBorders>
              <w:top w:val="single" w:sz="6" w:space="0" w:color="000000"/>
              <w:left w:val="single" w:sz="6" w:space="0" w:color="000000"/>
              <w:bottom w:val="single" w:sz="6" w:space="0" w:color="000000"/>
              <w:right w:val="single" w:sz="6" w:space="0" w:color="000000"/>
            </w:tcBorders>
            <w:hideMark/>
          </w:tcPr>
          <w:p w14:paraId="36382D56"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239/487 (49.1%) </w:t>
            </w:r>
          </w:p>
        </w:tc>
        <w:tc>
          <w:tcPr>
            <w:tcW w:w="400" w:type="pct"/>
            <w:tcBorders>
              <w:top w:val="single" w:sz="6" w:space="0" w:color="000000"/>
              <w:left w:val="single" w:sz="6" w:space="0" w:color="000000"/>
              <w:bottom w:val="single" w:sz="6" w:space="0" w:color="000000"/>
              <w:right w:val="single" w:sz="6" w:space="0" w:color="000000"/>
            </w:tcBorders>
            <w:hideMark/>
          </w:tcPr>
          <w:p w14:paraId="2430090C"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1.27</w:t>
            </w:r>
            <w:r>
              <w:rPr>
                <w:rFonts w:ascii="Arial Narrow" w:eastAsia="Times New Roman" w:hAnsi="Arial Narrow"/>
                <w:sz w:val="13"/>
                <w:szCs w:val="13"/>
              </w:rPr>
              <w:br/>
            </w:r>
            <w:r>
              <w:rPr>
                <w:rStyle w:val="cell"/>
                <w:rFonts w:ascii="Arial Narrow" w:eastAsia="Times New Roman" w:hAnsi="Arial Narrow"/>
                <w:sz w:val="13"/>
                <w:szCs w:val="13"/>
              </w:rPr>
              <w:t>(0.98 to 1.63)</w:t>
            </w:r>
          </w:p>
        </w:tc>
        <w:tc>
          <w:tcPr>
            <w:tcW w:w="0" w:type="auto"/>
            <w:tcBorders>
              <w:top w:val="single" w:sz="6" w:space="0" w:color="000000"/>
              <w:left w:val="single" w:sz="6" w:space="0" w:color="000000"/>
              <w:bottom w:val="single" w:sz="6" w:space="0" w:color="000000"/>
              <w:right w:val="single" w:sz="6" w:space="0" w:color="000000"/>
            </w:tcBorders>
            <w:hideMark/>
          </w:tcPr>
          <w:p w14:paraId="61D7CBC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6 more per 100</w:t>
            </w:r>
            <w:r>
              <w:rPr>
                <w:rFonts w:ascii="Arial Narrow" w:eastAsia="Times New Roman" w:hAnsi="Arial Narrow"/>
                <w:sz w:val="13"/>
                <w:szCs w:val="13"/>
              </w:rPr>
              <w:br/>
              <w:t>(from 1 fewer to 12 more)</w:t>
            </w:r>
          </w:p>
        </w:tc>
        <w:tc>
          <w:tcPr>
            <w:tcW w:w="750" w:type="dxa"/>
            <w:tcBorders>
              <w:top w:val="single" w:sz="6" w:space="0" w:color="000000"/>
              <w:left w:val="single" w:sz="6" w:space="0" w:color="000000"/>
              <w:bottom w:val="single" w:sz="6" w:space="0" w:color="000000"/>
              <w:right w:val="single" w:sz="6" w:space="0" w:color="000000"/>
            </w:tcBorders>
            <w:hideMark/>
          </w:tcPr>
          <w:p w14:paraId="2EB26B63"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0DCE8EB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bl>
    <w:p w14:paraId="4FDC58BA"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5344A56C" w14:textId="77777777" w:rsidR="00B41992" w:rsidRDefault="00B41992" w:rsidP="00B41992">
      <w:pPr>
        <w:rPr>
          <w:b/>
          <w:bCs/>
          <w:sz w:val="32"/>
          <w:szCs w:val="32"/>
          <w:u w:val="single"/>
        </w:rPr>
      </w:pPr>
    </w:p>
    <w:p w14:paraId="0B8AEF83" w14:textId="77777777" w:rsidR="00B41992" w:rsidRPr="00302C4E" w:rsidRDefault="00B41992" w:rsidP="00B41992">
      <w:pPr>
        <w:rPr>
          <w:b/>
          <w:bCs/>
          <w:sz w:val="32"/>
          <w:szCs w:val="32"/>
        </w:rPr>
      </w:pPr>
      <w:r w:rsidRPr="00302C4E">
        <w:rPr>
          <w:b/>
          <w:bCs/>
          <w:sz w:val="32"/>
          <w:szCs w:val="32"/>
        </w:rPr>
        <w:t>3.3.1 Erenumab in Episodic Migraine</w:t>
      </w:r>
    </w:p>
    <w:p w14:paraId="6C132ECF" w14:textId="77777777" w:rsidR="00B41992" w:rsidRPr="003B0C97" w:rsidRDefault="00B41992" w:rsidP="00B41992">
      <w:bookmarkStart w:id="4" w:name="_Hlk151721755"/>
      <w:r w:rsidRPr="003B0C97">
        <w:t xml:space="preserve">We identified </w:t>
      </w:r>
      <w:r>
        <w:t>5</w:t>
      </w:r>
      <w:r w:rsidRPr="003B0C97">
        <w:t xml:space="preserve"> studies: Dodick et al, 2018</w:t>
      </w:r>
      <w:r>
        <w:fldChar w:fldCharType="begin"/>
      </w:r>
      <w:r>
        <w:instrText xml:space="preserve"> ADDIN ZOTERO_ITEM CSL_CITATION {"citationID":"5yKX3OuW","properties":{"formattedCitation":"(38)","plainCitation":"(38)","noteIndex":0},"citationItems":[{"id":5845,"uris":["http://zotero.org/users/5131939/items/TE2XF8SU"],"itemData":{"id":5845,"type":"article-journal","abstract":"Background Calcitonin gene-related peptide plays an important role in migraine pathophysiology. Erenumab, a human monoclonal antibody that inhibits the calcitonin gene-related peptide receptor, is being evaluated for migraine prevention. Methods In this randomized, double-blind, placebo-controlled, phase 3 study, 577 adults with episodic migraine were randomized to placebo or 70 mg erenumab; 570 patients were included in efficacy analyses. Primary endpoint was change in monthly migraine days. Secondary endpoints were &gt;=50% reduction in monthly migraine days, change in acute migraine-specific medication treatment days, and &gt;=5-point reduction in Physical Impairment and Impact on Everyday Activities domain scores measured by the Migraine Physical Function Impact Diary. All endpoints assessed change from baseline at month 3. Results Patients receiving erenumab experienced -2.9 days change in monthly migraine days, compared with -1.8 days for placebo, least-squares mean (95% CI) treatment difference of -1.0 (-1.6, -0.5) ( p &lt; 0.001). A &gt;= 50% reduction in monthly migraine days was achieved by 39.7% (erenumab) and 29.5% (placebo) of patients (OR:1.59 (95% CI: 1.12, 2.27) ( p = 0.010). Migraine-specific medication treatment days were reduced by -1.2 (erenumab) and -0.6 (placebo) days, a treatment difference of -0.6 (-1.0, -0.2) ( p = 0.002). The &gt;=5-point reduction rates in Migraine Physical Function Impact Diary - Physical Impairment were 33.0% and 27.1% (OR:1.33 (0.92, 1.90) ( p = 0.13) and in Migraine Physical Function Impact Diary - Everyday Activities were 40.4% and 35.8% (OR:1.22 (0.87, 1.71) ( p = 0.26). Safety and adverse event profiles of erenumab were similar to placebo. Most frequent adverse events were upper respiratory tract infection, injection site pain, and nasopharyngitis. Conclusions As a preventive treatment of episodic migraine, erenumab at a dosage of 70 mg monthly significantly reduced migraine frequency and acute migraine-specific medication use. (Funded by Amgen). Trial registration ClinicalTrials.gov, NCT02483585.","archive_location":"29471679","container-title":"Cephalalgia","DOI":"10.1177/0333102418759786","issue":"6","journalAbbreviation":"Cephalalgia","page":"1026-1037","title":"ARISE: A Phase 3 randomized trial of erenumab for episodic migraine","volume":"38","author":[{"family":"Dodick","given":"D. W."},{"family":"Ashina","given":"M."},{"family":"Brandes","given":"J. L."},{"family":"Kudrow","given":"D."},{"family":"Lanteri-Minet","given":"M."},{"family":"Osipova","given":"V."},{"family":"Palmer","given":"K."},{"family":"Picard","given":"H."},{"family":"Mikol","given":"D. D."},{"family":"Lenz","given":"R. A."}],"issued":{"date-parts":[["2018"]]}}}],"schema":"https://github.com/citation-style-language/schema/raw/master/csl-citation.json"} </w:instrText>
      </w:r>
      <w:r>
        <w:fldChar w:fldCharType="separate"/>
      </w:r>
      <w:r w:rsidRPr="00090573">
        <w:rPr>
          <w:rFonts w:ascii="Calibri" w:hAnsi="Calibri" w:cs="Calibri"/>
        </w:rPr>
        <w:t>(38)</w:t>
      </w:r>
      <w:r>
        <w:fldChar w:fldCharType="end"/>
      </w:r>
      <w:r w:rsidRPr="003B0C97">
        <w:t>; Goadsby et al, 2017</w:t>
      </w:r>
      <w:r>
        <w:fldChar w:fldCharType="begin"/>
      </w:r>
      <w:r>
        <w:instrText xml:space="preserve"> ADDIN ZOTERO_ITEM CSL_CITATION {"citationID":"aSw0Pzr7","properties":{"formattedCitation":"(39)","plainCitation":"(39)","noteIndex":0},"citationItems":[{"id":5847,"uris":["http://zotero.org/users/5131939/items/P2CDBE4I"],"itemData":{"id":5847,"type":"article-journal","archive_location":"29171821","container-title":"New England Journal of Medicine","DOI":"10.1056/NEJMoa1705848","issue":"22","journalAbbreviation":"New England Journal of Medicine","page":"2123-2132","title":"A Controlled Trial of Erenumab for Episodic Migraine","volume":"377","author":[{"family":"Goadsby","given":"P. J."},{"family":"Reuter","given":"U."},{"family":"Hallstrom","given":"Y."},{"family":"Broessner","given":"G."},{"family":"Bonner","given":"J. H."},{"family":"Zhang","given":"F."},{"family":"Sapra","given":"S."},{"family":"Picard","given":"H."},{"family":"Mikol","given":"D. D."},{"family":"Lenz","given":"R. A."}],"issued":{"date-parts":[["2017"]]}}}],"schema":"https://github.com/citation-style-language/schema/raw/master/csl-citation.json"} </w:instrText>
      </w:r>
      <w:r>
        <w:fldChar w:fldCharType="separate"/>
      </w:r>
      <w:r w:rsidRPr="00090573">
        <w:rPr>
          <w:rFonts w:ascii="Calibri" w:hAnsi="Calibri" w:cs="Calibri"/>
        </w:rPr>
        <w:t>(39)</w:t>
      </w:r>
      <w:r>
        <w:fldChar w:fldCharType="end"/>
      </w:r>
      <w:r w:rsidRPr="003B0C97">
        <w:t>; Sakai et al, 2019</w:t>
      </w:r>
      <w:r>
        <w:fldChar w:fldCharType="begin"/>
      </w:r>
      <w:r>
        <w:instrText xml:space="preserve"> ADDIN ZOTERO_ITEM CSL_CITATION {"citationID":"aTfC9RPB","properties":{"formattedCitation":"(40)","plainCitation":"(40)","noteIndex":0},"citationItems":[{"id":5837,"uris":["http://zotero.org/users/5131939/items/XQV5VZGZ"],"itemData":{"id":5837,"type":"article-journal","archive_location":"31612482","container-title":"Headache","DOI":"10.1111/head.13652","issue":"10","journalAbbreviation":"Headache","page":"1731-1742","title":"A Randomized Phase 2 Study of Erenumab for the Prevention of Episodic Migraine in Japanese Adults","volume":"59","author":[{"family":"Sakai","given":"F."},{"family":"Takeshima","given":"T."},{"family":"Tatsuoka","given":"Y."},{"family":"Hirata","given":"K."},{"family":"Lenz","given":"R."},{"family":"Wang","given":"Y."},{"family":"Cheng","given":"S."},{"family":"Hirama","given":"T."},{"family":"Mikol","given":"D. D."}],"issued":{"date-parts":[["2019"]]}}}],"schema":"https://github.com/citation-style-language/schema/raw/master/csl-citation.json"} </w:instrText>
      </w:r>
      <w:r>
        <w:fldChar w:fldCharType="separate"/>
      </w:r>
      <w:r w:rsidRPr="00090573">
        <w:rPr>
          <w:rFonts w:ascii="Calibri" w:hAnsi="Calibri" w:cs="Calibri"/>
        </w:rPr>
        <w:t>(40)</w:t>
      </w:r>
      <w:r>
        <w:fldChar w:fldCharType="end"/>
      </w:r>
      <w:r w:rsidRPr="003B0C97">
        <w:t>; Sun et al, 2016</w:t>
      </w:r>
      <w:r>
        <w:fldChar w:fldCharType="begin"/>
      </w:r>
      <w:r>
        <w:instrText xml:space="preserve"> ADDIN ZOTERO_ITEM CSL_CITATION {"citationID":"l1E0tMkx","properties":{"formattedCitation":"(41)","plainCitation":"(41)","noteIndex":0},"citationItems":[{"id":5853,"uris":["http://zotero.org/users/5131939/items/LKYAQTTH"],"itemData":{"id":5853,"type":"article-journal","archive_location":"26879279","container-title":"Lancet Neurology","DOI":"10.1016/S1474-4422(16)00019-3","issue":"4","journalAbbreviation":"Lancet Neurology","page":"382-90","title":"Safety and efficacy of AMG 334 for prevention of episodic migraine: a randomised, double-blind, placebo-controlled, phase 2 trial","volume":"15","author":[{"family":"Sun","given":"H."},{"family":"Dodick","given":"D. W."},{"family":"Silberstein","given":"S."},{"family":"Goadsby","given":"P. J."},{"family":"Reuter","given":"U."},{"family":"Ashina","given":"M."},{"family":"Saper","given":"J."},{"family":"Cady","given":"R."},{"family":"Chon","given":"Y."},{"family":"Dietrich","given":"J."},{"family":"Lenz","given":"R."}],"issued":{"date-parts":[["2016"]]}}}],"schema":"https://github.com/citation-style-language/schema/raw/master/csl-citation.json"} </w:instrText>
      </w:r>
      <w:r>
        <w:fldChar w:fldCharType="separate"/>
      </w:r>
      <w:r w:rsidRPr="00090573">
        <w:rPr>
          <w:rFonts w:ascii="Calibri" w:hAnsi="Calibri" w:cs="Calibri"/>
        </w:rPr>
        <w:t>(41)</w:t>
      </w:r>
      <w:r>
        <w:fldChar w:fldCharType="end"/>
      </w:r>
      <w:r w:rsidRPr="003B0C97">
        <w:t>; Wang et al, 20</w:t>
      </w:r>
      <w:r>
        <w:t>2</w:t>
      </w:r>
      <w:r w:rsidRPr="003B0C97">
        <w:t>1</w:t>
      </w:r>
      <w:r>
        <w:fldChar w:fldCharType="begin"/>
      </w:r>
      <w:r>
        <w:instrText xml:space="preserve"> ADDIN ZOTERO_ITEM CSL_CITATION {"citationID":"F3PSJWzj","properties":{"formattedCitation":"(42)","plainCitation":"(42)","noteIndex":0},"citationItems":[{"id":5826,"uris":["http://zotero.org/users/5131939/items/UB44XA92"],"itemData":{"id":5826,"type":"article-journal","archive_location":"34171973","container-title":"Cephalalgia","DOI":"10.1177/03331024211024160","issue":"13","journalAbbreviation":"Cephalalgia","page":"1285-1297","title":"Randomised, controlled trial of erenumab for the prevention of episodic migraine in patients from Asia, the Middle East, and Latin America: The EMPOwER study","volume":"41","author":[{"family":"Wang","given":"S. J."},{"family":"Roxas","given":"A. A.","suffix":"Jr."},{"family":"Saravia","given":"B."},{"family":"Kim","given":"B. K."},{"family":"Chowdhury","given":"D."},{"family":"Riachi","given":"N."},{"family":"Tai","given":"M. S."},{"family":"Tanprawate","given":"S."},{"family":"Ngoc","given":"T. T."},{"family":"Zhao","given":"Y. J."},{"family":"Mikol","given":"D. D."},{"family":"Pandhi","given":"S."},{"family":"Wen","given":"S."},{"family":"Mondal","given":"S."},{"family":"Tenenbaum","given":"N."},{"family":"Hours-Zesiger","given":"P."}],"issued":{"date-parts":[["2021"]]}}}],"schema":"https://github.com/citation-style-language/schema/raw/master/csl-citation.json"} </w:instrText>
      </w:r>
      <w:r>
        <w:fldChar w:fldCharType="separate"/>
      </w:r>
      <w:r w:rsidRPr="00090573">
        <w:rPr>
          <w:rFonts w:ascii="Calibri" w:hAnsi="Calibri" w:cs="Calibri"/>
        </w:rPr>
        <w:t>(42)</w:t>
      </w:r>
      <w:r>
        <w:fldChar w:fldCharType="end"/>
      </w:r>
      <w:r w:rsidRPr="003B0C97">
        <w:t>.</w:t>
      </w:r>
      <w:bookmarkStart w:id="5" w:name="_Hlk151722031"/>
      <w:bookmarkEnd w:id="4"/>
    </w:p>
    <w:p w14:paraId="36F79A36" w14:textId="77777777" w:rsidR="00B41992" w:rsidRDefault="00B41992" w:rsidP="00B41992">
      <w:pPr>
        <w:rPr>
          <w:b/>
          <w:bCs/>
          <w:u w:val="single"/>
        </w:rPr>
      </w:pPr>
      <w:r w:rsidRPr="009B1FDC">
        <w:t>One study</w:t>
      </w:r>
      <w:r w:rsidRPr="009B1FDC">
        <w:rPr>
          <w:b/>
          <w:bCs/>
        </w:rPr>
        <w:t xml:space="preserve"> </w:t>
      </w:r>
      <w:r w:rsidRPr="009B1FDC">
        <w:t xml:space="preserve">by </w:t>
      </w:r>
      <w:r w:rsidRPr="003B0C97">
        <w:t>Reuter at al, 2018</w:t>
      </w:r>
      <w:r>
        <w:fldChar w:fldCharType="begin"/>
      </w:r>
      <w:r>
        <w:instrText xml:space="preserve"> ADDIN ZOTERO_ITEM CSL_CITATION {"citationID":"j025Hgns","properties":{"formattedCitation":"(43)","plainCitation":"(43)","noteIndex":0},"citationItems":[{"id":5841,"uris":["http://zotero.org/users/5131939/items/H7QDV6PY"],"itemData":{"id":5841,"type":"article-journal","archive_location":"30360965","container-title":"Lancet","DOI":"10.1016/S0140-6736(18)32534-0","issue":"10161","journalAbbreviation":"Lancet","page":"2280-2287","title":"Efficacy and tolerability of erenumab in patients with episodic migraine in whom two-to-four previous preventive treatments were unsuccessful: a randomised, double-blind, placebo-controlled, phase 3b study","volume":"392","author":[{"family":"Reuter","given":"U."},{"family":"Goadsby","given":"P. J."},{"family":"Lanteri-Minet","given":"M."},{"family":"Wen","given":"S."},{"family":"Hours-Zesiger","given":"P."},{"family":"Ferrari","given":"M. D."},{"family":"Klatt","given":"J."}],"issued":{"date-parts":[["2018"]]}}}],"schema":"https://github.com/citation-style-language/schema/raw/master/csl-citation.json"} </w:instrText>
      </w:r>
      <w:r>
        <w:fldChar w:fldCharType="separate"/>
      </w:r>
      <w:r w:rsidRPr="00090573">
        <w:rPr>
          <w:rFonts w:ascii="Calibri" w:hAnsi="Calibri" w:cs="Calibri"/>
        </w:rPr>
        <w:t>(43)</w:t>
      </w:r>
      <w:r>
        <w:fldChar w:fldCharType="end"/>
      </w:r>
      <w:r>
        <w:t xml:space="preserve"> was in treatment resistant episodic migraine patients so because this is a separate population than other studies was left out of meta-analysis.</w:t>
      </w:r>
    </w:p>
    <w:bookmarkEnd w:id="5"/>
    <w:p w14:paraId="53E3C961" w14:textId="77777777" w:rsidR="00B41992" w:rsidRPr="003B0C97" w:rsidRDefault="00B41992" w:rsidP="00B41992">
      <w:pPr>
        <w:rPr>
          <w:b/>
          <w:bCs/>
          <w:u w:val="single"/>
        </w:rPr>
      </w:pPr>
      <w:r w:rsidRPr="003B0C97">
        <w:rPr>
          <w:b/>
          <w:bCs/>
          <w:u w:val="single"/>
        </w:rPr>
        <w:t>Migraine Day Reduction</w:t>
      </w:r>
    </w:p>
    <w:p w14:paraId="64B17E2E" w14:textId="77777777" w:rsidR="00B41992" w:rsidRDefault="00B41992" w:rsidP="00B41992">
      <w:r>
        <w:rPr>
          <w:noProof/>
        </w:rPr>
        <w:lastRenderedPageBreak/>
        <w:drawing>
          <wp:inline distT="0" distB="0" distL="0" distR="0" wp14:anchorId="07E9A660" wp14:editId="29A077FC">
            <wp:extent cx="5943600" cy="2863215"/>
            <wp:effectExtent l="0" t="0" r="0" b="0"/>
            <wp:docPr id="9817798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79822" name="Graphic 981779822"/>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43600" cy="2863215"/>
                    </a:xfrm>
                    <a:prstGeom prst="rect">
                      <a:avLst/>
                    </a:prstGeom>
                  </pic:spPr>
                </pic:pic>
              </a:graphicData>
            </a:graphic>
          </wp:inline>
        </w:drawing>
      </w:r>
    </w:p>
    <w:p w14:paraId="084292CA" w14:textId="77777777" w:rsidR="00B41992" w:rsidRPr="003C3FB6" w:rsidRDefault="00B41992" w:rsidP="00B41992">
      <w:pPr>
        <w:rPr>
          <w:b/>
          <w:bCs/>
          <w:noProof/>
          <w:u w:val="single"/>
        </w:rPr>
      </w:pPr>
      <w:r w:rsidRPr="003C3FB6">
        <w:rPr>
          <w:b/>
          <w:bCs/>
          <w:u w:val="single"/>
        </w:rPr>
        <w:t>50% Responder Rat</w:t>
      </w:r>
      <w:r w:rsidRPr="003C3FB6">
        <w:rPr>
          <w:b/>
          <w:bCs/>
          <w:noProof/>
          <w:u w:val="single"/>
        </w:rPr>
        <w:t>e</w:t>
      </w:r>
    </w:p>
    <w:p w14:paraId="7D060E52" w14:textId="77777777" w:rsidR="00B41992" w:rsidRDefault="00B41992" w:rsidP="00B41992">
      <w:r>
        <w:rPr>
          <w:noProof/>
        </w:rPr>
        <w:drawing>
          <wp:inline distT="0" distB="0" distL="0" distR="0" wp14:anchorId="0C27C07D" wp14:editId="6C1028E4">
            <wp:extent cx="5943600" cy="3279140"/>
            <wp:effectExtent l="0" t="0" r="0" b="0"/>
            <wp:docPr id="137021257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12571" name="Graphic 137021257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943600" cy="3279140"/>
                    </a:xfrm>
                    <a:prstGeom prst="rect">
                      <a:avLst/>
                    </a:prstGeom>
                  </pic:spPr>
                </pic:pic>
              </a:graphicData>
            </a:graphic>
          </wp:inline>
        </w:drawing>
      </w:r>
    </w:p>
    <w:p w14:paraId="6C604FCE" w14:textId="77777777" w:rsidR="00B41992" w:rsidRDefault="00B41992" w:rsidP="00B41992"/>
    <w:p w14:paraId="45E280F4" w14:textId="77777777" w:rsidR="00B41992" w:rsidRDefault="00B41992" w:rsidP="00B41992"/>
    <w:p w14:paraId="1D79F8DE" w14:textId="77777777" w:rsidR="00B41992" w:rsidRDefault="00B41992" w:rsidP="00B41992"/>
    <w:p w14:paraId="6B4D2986" w14:textId="77777777" w:rsidR="00B41992" w:rsidRPr="00E05933" w:rsidRDefault="00B41992" w:rsidP="00B41992">
      <w:pPr>
        <w:rPr>
          <w:b/>
          <w:bCs/>
          <w:u w:val="single"/>
        </w:rPr>
      </w:pPr>
      <w:r w:rsidRPr="00E05933">
        <w:rPr>
          <w:b/>
          <w:bCs/>
          <w:u w:val="single"/>
        </w:rPr>
        <w:t>Adverse Events</w:t>
      </w:r>
    </w:p>
    <w:p w14:paraId="0A3EE176" w14:textId="77777777" w:rsidR="00B41992" w:rsidRDefault="00B41992" w:rsidP="00B41992">
      <w:r>
        <w:rPr>
          <w:noProof/>
        </w:rPr>
        <w:lastRenderedPageBreak/>
        <w:drawing>
          <wp:inline distT="0" distB="0" distL="0" distR="0" wp14:anchorId="42FD967C" wp14:editId="1582DD01">
            <wp:extent cx="5943600" cy="3279140"/>
            <wp:effectExtent l="0" t="0" r="0" b="0"/>
            <wp:docPr id="2451104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1043" name="Graphic 24511043"/>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943600" cy="3279140"/>
                    </a:xfrm>
                    <a:prstGeom prst="rect">
                      <a:avLst/>
                    </a:prstGeom>
                  </pic:spPr>
                </pic:pic>
              </a:graphicData>
            </a:graphic>
          </wp:inline>
        </w:drawing>
      </w:r>
    </w:p>
    <w:p w14:paraId="295C0F03" w14:textId="77777777" w:rsidR="00B41992" w:rsidRPr="00E05933" w:rsidRDefault="00B41992" w:rsidP="00B41992"/>
    <w:p w14:paraId="4BB8A0D5" w14:textId="77777777" w:rsidR="00B4199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Erenumab in Episodic Migraine</w:t>
      </w:r>
    </w:p>
    <w:p w14:paraId="04FEF4CF"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 </w:t>
      </w:r>
      <w:r>
        <w:rPr>
          <w:rFonts w:ascii="Arial Narrow" w:eastAsia="Times New Roman" w:hAnsi="Arial Narrow"/>
          <w:color w:val="000000"/>
          <w:sz w:val="14"/>
          <w:szCs w:val="14"/>
          <w:lang w:val="en"/>
        </w:rPr>
        <w:t>Erenumab compared to placebo for episodic migraine</w:t>
      </w:r>
      <w:r>
        <w:rPr>
          <w:rFonts w:ascii="Arial Narrow" w:eastAsia="Times New Roman" w:hAnsi="Arial Narrow"/>
          <w:b/>
          <w:bCs/>
          <w:color w:val="000000"/>
          <w:sz w:val="14"/>
          <w:szCs w:val="14"/>
          <w:lang w:val="en"/>
        </w:rPr>
        <w:t xml:space="preserve"> </w:t>
      </w:r>
    </w:p>
    <w:tbl>
      <w:tblPr>
        <w:tblW w:w="5000" w:type="pct"/>
        <w:tblCellMar>
          <w:top w:w="75" w:type="dxa"/>
          <w:left w:w="75" w:type="dxa"/>
          <w:bottom w:w="75" w:type="dxa"/>
          <w:right w:w="75" w:type="dxa"/>
        </w:tblCellMar>
        <w:tblLook w:val="04A0" w:firstRow="1" w:lastRow="0" w:firstColumn="1" w:lastColumn="0" w:noHBand="0" w:noVBand="1"/>
      </w:tblPr>
      <w:tblGrid>
        <w:gridCol w:w="524"/>
        <w:gridCol w:w="708"/>
        <w:gridCol w:w="555"/>
        <w:gridCol w:w="862"/>
        <w:gridCol w:w="779"/>
        <w:gridCol w:w="749"/>
        <w:gridCol w:w="928"/>
        <w:gridCol w:w="660"/>
        <w:gridCol w:w="640"/>
        <w:gridCol w:w="650"/>
        <w:gridCol w:w="607"/>
        <w:gridCol w:w="881"/>
        <w:gridCol w:w="787"/>
      </w:tblGrid>
      <w:tr w:rsidR="00B41992" w14:paraId="79E90AD7"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4024C1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72EE71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D649FD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855F62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4D1A66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0F5933CE"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C51C30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7B2E29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4ABA3F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7BEA7F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83E185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1381C7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0A7F14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5E0A6B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erenumab</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6684D2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A641A5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D52972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47C9094"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9C32B19" w14:textId="77777777" w:rsidR="00B41992" w:rsidRDefault="00B41992" w:rsidP="0062262B">
            <w:pPr>
              <w:rPr>
                <w:rFonts w:ascii="Arial Narrow" w:eastAsia="Times New Roman" w:hAnsi="Arial Narrow"/>
                <w:b/>
                <w:bCs/>
                <w:color w:val="FFFFFF"/>
                <w:sz w:val="13"/>
                <w:szCs w:val="13"/>
              </w:rPr>
            </w:pPr>
          </w:p>
        </w:tc>
      </w:tr>
      <w:tr w:rsidR="00B41992" w14:paraId="651DF12F" w14:textId="77777777" w:rsidTr="0062262B">
        <w:trPr>
          <w:cantSplit/>
        </w:trPr>
        <w:tc>
          <w:tcPr>
            <w:tcW w:w="0" w:type="auto"/>
            <w:gridSpan w:val="13"/>
            <w:shd w:val="clear" w:color="auto" w:fill="FFFFFF"/>
            <w:vAlign w:val="center"/>
            <w:hideMark/>
          </w:tcPr>
          <w:p w14:paraId="6C251184"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 Scale from: -10 to 10)</w:t>
            </w:r>
          </w:p>
        </w:tc>
      </w:tr>
      <w:tr w:rsidR="00B41992" w14:paraId="370A5EF8"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48BA783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5</w:t>
            </w:r>
          </w:p>
        </w:tc>
        <w:tc>
          <w:tcPr>
            <w:tcW w:w="300" w:type="pct"/>
            <w:tcBorders>
              <w:top w:val="single" w:sz="6" w:space="0" w:color="000000"/>
              <w:left w:val="single" w:sz="6" w:space="0" w:color="000000"/>
              <w:bottom w:val="single" w:sz="6" w:space="0" w:color="000000"/>
              <w:right w:val="single" w:sz="6" w:space="0" w:color="000000"/>
            </w:tcBorders>
            <w:hideMark/>
          </w:tcPr>
          <w:p w14:paraId="34A264D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55027E6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BB8963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3671FB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63936C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BF7551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A87792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1158</w:t>
            </w:r>
          </w:p>
        </w:tc>
        <w:tc>
          <w:tcPr>
            <w:tcW w:w="400" w:type="pct"/>
            <w:tcBorders>
              <w:top w:val="single" w:sz="6" w:space="0" w:color="000000"/>
              <w:left w:val="single" w:sz="6" w:space="0" w:color="000000"/>
              <w:bottom w:val="single" w:sz="6" w:space="0" w:color="000000"/>
              <w:right w:val="single" w:sz="6" w:space="0" w:color="000000"/>
            </w:tcBorders>
            <w:hideMark/>
          </w:tcPr>
          <w:p w14:paraId="6A3F3F9B"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1327</w:t>
            </w:r>
          </w:p>
        </w:tc>
        <w:tc>
          <w:tcPr>
            <w:tcW w:w="400" w:type="pct"/>
            <w:tcBorders>
              <w:top w:val="single" w:sz="6" w:space="0" w:color="000000"/>
              <w:left w:val="single" w:sz="6" w:space="0" w:color="000000"/>
              <w:bottom w:val="single" w:sz="6" w:space="0" w:color="000000"/>
              <w:right w:val="single" w:sz="6" w:space="0" w:color="000000"/>
            </w:tcBorders>
            <w:hideMark/>
          </w:tcPr>
          <w:p w14:paraId="1777FBDF"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71065654"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1.56 day lower</w:t>
            </w:r>
            <w:r>
              <w:rPr>
                <w:rFonts w:ascii="Arial Narrow" w:eastAsia="Times New Roman" w:hAnsi="Arial Narrow"/>
                <w:sz w:val="13"/>
                <w:szCs w:val="13"/>
              </w:rPr>
              <w:br/>
            </w:r>
            <w:r>
              <w:rPr>
                <w:rStyle w:val="cell-value"/>
                <w:rFonts w:ascii="Arial Narrow" w:eastAsia="Times New Roman" w:hAnsi="Arial Narrow"/>
                <w:sz w:val="13"/>
                <w:szCs w:val="13"/>
              </w:rPr>
              <w:t>(1.93 lower to 1.19 lower)</w:t>
            </w:r>
          </w:p>
        </w:tc>
        <w:tc>
          <w:tcPr>
            <w:tcW w:w="750" w:type="dxa"/>
            <w:tcBorders>
              <w:top w:val="single" w:sz="6" w:space="0" w:color="000000"/>
              <w:left w:val="single" w:sz="6" w:space="0" w:color="000000"/>
              <w:bottom w:val="single" w:sz="6" w:space="0" w:color="000000"/>
              <w:right w:val="single" w:sz="6" w:space="0" w:color="000000"/>
            </w:tcBorders>
            <w:hideMark/>
          </w:tcPr>
          <w:p w14:paraId="1B2AB6D3"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50B47C1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683254AF" w14:textId="77777777" w:rsidTr="0062262B">
        <w:trPr>
          <w:cantSplit/>
        </w:trPr>
        <w:tc>
          <w:tcPr>
            <w:tcW w:w="0" w:type="auto"/>
            <w:gridSpan w:val="13"/>
            <w:shd w:val="clear" w:color="auto" w:fill="FFFFFF"/>
            <w:vAlign w:val="center"/>
            <w:hideMark/>
          </w:tcPr>
          <w:p w14:paraId="23EA224B"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1312D891"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6DE7BBA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5</w:t>
            </w:r>
          </w:p>
        </w:tc>
        <w:tc>
          <w:tcPr>
            <w:tcW w:w="300" w:type="pct"/>
            <w:tcBorders>
              <w:top w:val="single" w:sz="6" w:space="0" w:color="000000"/>
              <w:left w:val="single" w:sz="6" w:space="0" w:color="000000"/>
              <w:bottom w:val="single" w:sz="6" w:space="0" w:color="000000"/>
              <w:right w:val="single" w:sz="6" w:space="0" w:color="000000"/>
            </w:tcBorders>
            <w:hideMark/>
          </w:tcPr>
          <w:p w14:paraId="6E17D09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22A9E45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AA962A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F39747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A36832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8523B5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5BC7AF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530/1173 (45.2%) </w:t>
            </w:r>
          </w:p>
        </w:tc>
        <w:tc>
          <w:tcPr>
            <w:tcW w:w="400" w:type="pct"/>
            <w:tcBorders>
              <w:top w:val="single" w:sz="6" w:space="0" w:color="000000"/>
              <w:left w:val="single" w:sz="6" w:space="0" w:color="000000"/>
              <w:bottom w:val="single" w:sz="6" w:space="0" w:color="000000"/>
              <w:right w:val="single" w:sz="6" w:space="0" w:color="000000"/>
            </w:tcBorders>
            <w:hideMark/>
          </w:tcPr>
          <w:p w14:paraId="2AC51158"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387/1338 (28.9%) </w:t>
            </w:r>
          </w:p>
        </w:tc>
        <w:tc>
          <w:tcPr>
            <w:tcW w:w="400" w:type="pct"/>
            <w:tcBorders>
              <w:top w:val="single" w:sz="6" w:space="0" w:color="000000"/>
              <w:left w:val="single" w:sz="6" w:space="0" w:color="000000"/>
              <w:bottom w:val="single" w:sz="6" w:space="0" w:color="000000"/>
              <w:right w:val="single" w:sz="6" w:space="0" w:color="000000"/>
            </w:tcBorders>
            <w:hideMark/>
          </w:tcPr>
          <w:p w14:paraId="653733BC"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2.30</w:t>
            </w:r>
            <w:r>
              <w:rPr>
                <w:rFonts w:ascii="Arial Narrow" w:eastAsia="Times New Roman" w:hAnsi="Arial Narrow"/>
                <w:sz w:val="13"/>
                <w:szCs w:val="13"/>
              </w:rPr>
              <w:br/>
            </w:r>
            <w:r>
              <w:rPr>
                <w:rStyle w:val="cell"/>
                <w:rFonts w:ascii="Arial Narrow" w:eastAsia="Times New Roman" w:hAnsi="Arial Narrow"/>
                <w:sz w:val="13"/>
                <w:szCs w:val="13"/>
              </w:rPr>
              <w:t>(1.71 to 3.08)</w:t>
            </w:r>
          </w:p>
        </w:tc>
        <w:tc>
          <w:tcPr>
            <w:tcW w:w="0" w:type="auto"/>
            <w:tcBorders>
              <w:top w:val="single" w:sz="6" w:space="0" w:color="000000"/>
              <w:left w:val="single" w:sz="6" w:space="0" w:color="000000"/>
              <w:bottom w:val="single" w:sz="6" w:space="0" w:color="000000"/>
              <w:right w:val="single" w:sz="6" w:space="0" w:color="000000"/>
            </w:tcBorders>
            <w:hideMark/>
          </w:tcPr>
          <w:p w14:paraId="11C89A2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19 more per 100</w:t>
            </w:r>
            <w:r>
              <w:rPr>
                <w:rFonts w:ascii="Arial Narrow" w:eastAsia="Times New Roman" w:hAnsi="Arial Narrow"/>
                <w:sz w:val="13"/>
                <w:szCs w:val="13"/>
              </w:rPr>
              <w:br/>
              <w:t>(from 12 more to 27 more)</w:t>
            </w:r>
          </w:p>
        </w:tc>
        <w:tc>
          <w:tcPr>
            <w:tcW w:w="750" w:type="dxa"/>
            <w:tcBorders>
              <w:top w:val="single" w:sz="6" w:space="0" w:color="000000"/>
              <w:left w:val="single" w:sz="6" w:space="0" w:color="000000"/>
              <w:bottom w:val="single" w:sz="6" w:space="0" w:color="000000"/>
              <w:right w:val="single" w:sz="6" w:space="0" w:color="000000"/>
            </w:tcBorders>
            <w:hideMark/>
          </w:tcPr>
          <w:p w14:paraId="57CF72E2"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4C772D5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21F7CC21" w14:textId="77777777" w:rsidTr="0062262B">
        <w:trPr>
          <w:cantSplit/>
        </w:trPr>
        <w:tc>
          <w:tcPr>
            <w:tcW w:w="0" w:type="auto"/>
            <w:gridSpan w:val="13"/>
            <w:shd w:val="clear" w:color="auto" w:fill="FFFFFF"/>
            <w:vAlign w:val="center"/>
            <w:hideMark/>
          </w:tcPr>
          <w:p w14:paraId="550AFF7A"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12 weeks)</w:t>
            </w:r>
          </w:p>
        </w:tc>
      </w:tr>
      <w:tr w:rsidR="00B41992" w14:paraId="0EAB71FE"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3A5EDB8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5</w:t>
            </w:r>
          </w:p>
        </w:tc>
        <w:tc>
          <w:tcPr>
            <w:tcW w:w="300" w:type="pct"/>
            <w:tcBorders>
              <w:top w:val="single" w:sz="6" w:space="0" w:color="000000"/>
              <w:left w:val="single" w:sz="6" w:space="0" w:color="000000"/>
              <w:bottom w:val="single" w:sz="6" w:space="0" w:color="000000"/>
              <w:right w:val="single" w:sz="6" w:space="0" w:color="000000"/>
            </w:tcBorders>
            <w:hideMark/>
          </w:tcPr>
          <w:p w14:paraId="641916E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190404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5FE017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C8BE64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E0D679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34CD2C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53E962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607/1188 (51.1%) </w:t>
            </w:r>
          </w:p>
        </w:tc>
        <w:tc>
          <w:tcPr>
            <w:tcW w:w="400" w:type="pct"/>
            <w:tcBorders>
              <w:top w:val="single" w:sz="6" w:space="0" w:color="000000"/>
              <w:left w:val="single" w:sz="6" w:space="0" w:color="000000"/>
              <w:bottom w:val="single" w:sz="6" w:space="0" w:color="000000"/>
              <w:right w:val="single" w:sz="6" w:space="0" w:color="000000"/>
            </w:tcBorders>
            <w:hideMark/>
          </w:tcPr>
          <w:p w14:paraId="3D130DB1"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723/1356 (53.3%) </w:t>
            </w:r>
          </w:p>
        </w:tc>
        <w:tc>
          <w:tcPr>
            <w:tcW w:w="400" w:type="pct"/>
            <w:tcBorders>
              <w:top w:val="single" w:sz="6" w:space="0" w:color="000000"/>
              <w:left w:val="single" w:sz="6" w:space="0" w:color="000000"/>
              <w:bottom w:val="single" w:sz="6" w:space="0" w:color="000000"/>
              <w:right w:val="single" w:sz="6" w:space="0" w:color="000000"/>
            </w:tcBorders>
            <w:hideMark/>
          </w:tcPr>
          <w:p w14:paraId="1F0120A3"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0.84</w:t>
            </w:r>
            <w:r>
              <w:rPr>
                <w:rFonts w:ascii="Arial Narrow" w:eastAsia="Times New Roman" w:hAnsi="Arial Narrow"/>
                <w:sz w:val="13"/>
                <w:szCs w:val="13"/>
              </w:rPr>
              <w:br/>
            </w:r>
            <w:r>
              <w:rPr>
                <w:rStyle w:val="cell"/>
                <w:rFonts w:ascii="Arial Narrow" w:eastAsia="Times New Roman" w:hAnsi="Arial Narrow"/>
                <w:sz w:val="13"/>
                <w:szCs w:val="13"/>
              </w:rPr>
              <w:t>(0.71 to 1.00)</w:t>
            </w:r>
          </w:p>
        </w:tc>
        <w:tc>
          <w:tcPr>
            <w:tcW w:w="0" w:type="auto"/>
            <w:tcBorders>
              <w:top w:val="single" w:sz="6" w:space="0" w:color="000000"/>
              <w:left w:val="single" w:sz="6" w:space="0" w:color="000000"/>
              <w:bottom w:val="single" w:sz="6" w:space="0" w:color="000000"/>
              <w:right w:val="single" w:sz="6" w:space="0" w:color="000000"/>
            </w:tcBorders>
            <w:hideMark/>
          </w:tcPr>
          <w:p w14:paraId="094DBED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4 fewer per 100</w:t>
            </w:r>
            <w:r>
              <w:rPr>
                <w:rFonts w:ascii="Arial Narrow" w:eastAsia="Times New Roman" w:hAnsi="Arial Narrow"/>
                <w:sz w:val="13"/>
                <w:szCs w:val="13"/>
              </w:rPr>
              <w:br/>
              <w:t>(from 9 fewer to 0 fewer)</w:t>
            </w:r>
          </w:p>
        </w:tc>
        <w:tc>
          <w:tcPr>
            <w:tcW w:w="750" w:type="dxa"/>
            <w:tcBorders>
              <w:top w:val="single" w:sz="6" w:space="0" w:color="000000"/>
              <w:left w:val="single" w:sz="6" w:space="0" w:color="000000"/>
              <w:bottom w:val="single" w:sz="6" w:space="0" w:color="000000"/>
              <w:right w:val="single" w:sz="6" w:space="0" w:color="000000"/>
            </w:tcBorders>
            <w:hideMark/>
          </w:tcPr>
          <w:p w14:paraId="069E3B36"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7F522D9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bl>
    <w:p w14:paraId="6240CE0D" w14:textId="77777777" w:rsidR="00B41992" w:rsidRDefault="00B41992" w:rsidP="00B41992">
      <w:pPr>
        <w:pStyle w:val="NormalWeb"/>
        <w:rPr>
          <w:rFonts w:ascii="Arial Narrow" w:eastAsiaTheme="minorEastAsia"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6B2DAC13" w14:textId="77777777" w:rsidR="00B41992" w:rsidRPr="00E05933" w:rsidRDefault="00B41992" w:rsidP="00B41992">
      <w:pPr>
        <w:rPr>
          <w:b/>
          <w:bCs/>
          <w:sz w:val="28"/>
          <w:szCs w:val="28"/>
          <w:u w:val="single"/>
        </w:rPr>
      </w:pPr>
    </w:p>
    <w:p w14:paraId="522F4F8F" w14:textId="77777777" w:rsidR="00B41992" w:rsidRPr="009B1AC2" w:rsidRDefault="00B41992" w:rsidP="00B41992">
      <w:pPr>
        <w:rPr>
          <w:b/>
          <w:bCs/>
          <w:sz w:val="32"/>
          <w:szCs w:val="32"/>
        </w:rPr>
      </w:pPr>
      <w:r w:rsidRPr="009B1AC2">
        <w:rPr>
          <w:b/>
          <w:bCs/>
          <w:sz w:val="32"/>
          <w:szCs w:val="32"/>
        </w:rPr>
        <w:t>3.3.2 Erenumab in Chronic Migraine</w:t>
      </w:r>
    </w:p>
    <w:p w14:paraId="7C0C081F" w14:textId="77777777" w:rsidR="00B41992" w:rsidRPr="00971167" w:rsidRDefault="00B41992" w:rsidP="00B41992">
      <w:r w:rsidRPr="00971167">
        <w:t>Two studies were found Tepper et al 2017</w:t>
      </w:r>
      <w:r>
        <w:fldChar w:fldCharType="begin"/>
      </w:r>
      <w:r>
        <w:instrText xml:space="preserve"> ADDIN ZOTERO_ITEM CSL_CITATION {"citationID":"amSaYIhw","properties":{"formattedCitation":"(124)","plainCitation":"(124)","noteIndex":0},"citationItems":[{"id":13,"uris":["http://zotero.org/users/5131939/items/5ACAVD98"],"itemData":{"id":13,"type":"article-journal","container-title":"The Lancet Neurology","issue":"6","page":"425-434","title":"Safety and efficacy of erenumab for preventive treatment of chronic migraine: a randomised, double-blind, placebo-controlled phase 2 trial","volume":"16","author":[{"family":"Tepper","given":"Stewart"},{"family":"Ashina","given":"Messoud"},{"family":"Reuter","given":"Uwe"},{"family":"Brandes","given":"Jan L."},{"family":"Doležil","given":"David"},{"family":"Silberstein","given":"Stephen"},{"family":"Winner","given":"Paul"},{"family":"Leonardi","given":"Dean"},{"family":"Mikol","given":"Daniel"},{"family":"Lenz","given":"Robert"}],"issued":{"date-parts":[["2017"]]}}}],"schema":"https://github.com/citation-style-language/schema/raw/master/csl-citation.json"} </w:instrText>
      </w:r>
      <w:r>
        <w:fldChar w:fldCharType="separate"/>
      </w:r>
      <w:r w:rsidRPr="00A70DFB">
        <w:rPr>
          <w:rFonts w:ascii="Calibri" w:hAnsi="Calibri" w:cs="Calibri"/>
        </w:rPr>
        <w:t>(124)</w:t>
      </w:r>
      <w:r>
        <w:fldChar w:fldCharType="end"/>
      </w:r>
      <w:r w:rsidRPr="00971167">
        <w:t>, and Yu et al 2022</w:t>
      </w:r>
      <w:r>
        <w:fldChar w:fldCharType="begin"/>
      </w:r>
      <w:r>
        <w:instrText xml:space="preserve"> ADDIN ZOTERO_ITEM CSL_CITATION {"citationID":"25zyqQi7","properties":{"formattedCitation":"(125)","plainCitation":"(125)","noteIndex":0},"citationItems":[{"id":5817,"uris":["http://zotero.org/users/5131939/items/JNX5QTIQ"],"itemData":{"id":5817,"type":"article-journal","archive_location":"36404301","container-title":"Journal of Headache and Pain","DOI":"10.1186/s10194-022-01514-9","issue":"1","journalAbbreviation":"Journal of Headache and Pain","page":"146","title":"A phase 3, randomised, placebo-controlled study of erenumab for the prevention of chronic migraine in patients from Asia: the DRAGON study","volume":"23","author":[{"family":"Yu","given":"S."},{"family":"Kim","given":"B. K."},{"family":"Wang","given":"H."},{"family":"Zhou","given":"J."},{"family":"Wan","given":"Q."},{"family":"Yu","given":"T."},{"family":"Lian","given":"Y."},{"family":"Arkuszewski","given":"M."},{"family":"Ecochard","given":"L."},{"family":"Wen","given":"S."},{"family":"Yin","given":"F."},{"family":"Li","given":"Z."},{"family":"Su","given":"W."},{"family":"Wang","given":"S. J."}],"issued":{"date-parts":[["2022"]]}}}],"schema":"https://github.com/citation-style-language/schema/raw/master/csl-citation.json"} </w:instrText>
      </w:r>
      <w:r>
        <w:fldChar w:fldCharType="separate"/>
      </w:r>
      <w:r w:rsidRPr="00A70DFB">
        <w:rPr>
          <w:rFonts w:ascii="Calibri" w:hAnsi="Calibri" w:cs="Calibri"/>
        </w:rPr>
        <w:t>(125)</w:t>
      </w:r>
      <w:r>
        <w:fldChar w:fldCharType="end"/>
      </w:r>
      <w:r w:rsidRPr="00971167">
        <w:t>.</w:t>
      </w:r>
    </w:p>
    <w:p w14:paraId="74A09208" w14:textId="77777777" w:rsidR="00B41992" w:rsidRDefault="00B41992" w:rsidP="00B41992">
      <w:r>
        <w:t>Migraine Day Reduction</w:t>
      </w:r>
    </w:p>
    <w:p w14:paraId="4F0F3803" w14:textId="77777777" w:rsidR="00B41992" w:rsidRDefault="00B41992" w:rsidP="00B41992">
      <w:r>
        <w:rPr>
          <w:noProof/>
        </w:rPr>
        <w:lastRenderedPageBreak/>
        <w:drawing>
          <wp:inline distT="0" distB="0" distL="0" distR="0" wp14:anchorId="58652D8D" wp14:editId="3C917149">
            <wp:extent cx="5943600" cy="2863215"/>
            <wp:effectExtent l="0" t="0" r="0" b="0"/>
            <wp:docPr id="2115678329" name="Graphic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78329" name="Graphic 2115678329"/>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943600" cy="2863215"/>
                    </a:xfrm>
                    <a:prstGeom prst="rect">
                      <a:avLst/>
                    </a:prstGeom>
                  </pic:spPr>
                </pic:pic>
              </a:graphicData>
            </a:graphic>
          </wp:inline>
        </w:drawing>
      </w:r>
    </w:p>
    <w:p w14:paraId="15E4B5B7" w14:textId="77777777" w:rsidR="00B41992" w:rsidRDefault="00B41992" w:rsidP="00B41992">
      <w:pPr>
        <w:rPr>
          <w:noProof/>
        </w:rPr>
      </w:pPr>
      <w:r>
        <w:t>50% Responder Rat</w:t>
      </w:r>
      <w:r>
        <w:rPr>
          <w:noProof/>
        </w:rPr>
        <w:t>e</w:t>
      </w:r>
    </w:p>
    <w:p w14:paraId="021BF32B" w14:textId="77777777" w:rsidR="00B41992" w:rsidRDefault="00B41992" w:rsidP="00B41992">
      <w:r>
        <w:rPr>
          <w:noProof/>
        </w:rPr>
        <w:drawing>
          <wp:inline distT="0" distB="0" distL="0" distR="0" wp14:anchorId="32B3C90C" wp14:editId="3634AECC">
            <wp:extent cx="5943600" cy="3279140"/>
            <wp:effectExtent l="0" t="0" r="0" b="0"/>
            <wp:docPr id="875411546" name="Graphic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11546" name="Graphic 875411546"/>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943600" cy="3279140"/>
                    </a:xfrm>
                    <a:prstGeom prst="rect">
                      <a:avLst/>
                    </a:prstGeom>
                  </pic:spPr>
                </pic:pic>
              </a:graphicData>
            </a:graphic>
          </wp:inline>
        </w:drawing>
      </w:r>
    </w:p>
    <w:p w14:paraId="054C6941" w14:textId="77777777" w:rsidR="00B41992" w:rsidRDefault="00B41992" w:rsidP="00B41992">
      <w:r>
        <w:t>Adverse Events</w:t>
      </w:r>
    </w:p>
    <w:p w14:paraId="5F6E91AB" w14:textId="77777777" w:rsidR="00B41992" w:rsidRDefault="00B41992" w:rsidP="00B41992">
      <w:pPr>
        <w:rPr>
          <w:b/>
          <w:bCs/>
          <w:sz w:val="28"/>
          <w:szCs w:val="28"/>
          <w:u w:val="single"/>
        </w:rPr>
      </w:pPr>
      <w:r>
        <w:rPr>
          <w:b/>
          <w:bCs/>
          <w:noProof/>
          <w:sz w:val="28"/>
          <w:szCs w:val="28"/>
          <w:u w:val="single"/>
        </w:rPr>
        <w:lastRenderedPageBreak/>
        <w:drawing>
          <wp:inline distT="0" distB="0" distL="0" distR="0" wp14:anchorId="1E228EFE" wp14:editId="2ED479AC">
            <wp:extent cx="5943600" cy="3279140"/>
            <wp:effectExtent l="0" t="0" r="0" b="0"/>
            <wp:docPr id="1045071767" name="Graphic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71767" name="Graphic 1045071767"/>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943600" cy="3279140"/>
                    </a:xfrm>
                    <a:prstGeom prst="rect">
                      <a:avLst/>
                    </a:prstGeom>
                  </pic:spPr>
                </pic:pic>
              </a:graphicData>
            </a:graphic>
          </wp:inline>
        </w:drawing>
      </w:r>
    </w:p>
    <w:p w14:paraId="2FD740A7" w14:textId="77777777" w:rsidR="00B41992" w:rsidRDefault="00B41992" w:rsidP="00B41992">
      <w:pPr>
        <w:rPr>
          <w:b/>
          <w:bCs/>
          <w:sz w:val="28"/>
          <w:szCs w:val="28"/>
          <w:u w:val="single"/>
        </w:rPr>
      </w:pPr>
    </w:p>
    <w:p w14:paraId="6FD814AA" w14:textId="77777777" w:rsidR="00B41992" w:rsidRDefault="00B41992" w:rsidP="00B41992">
      <w:pPr>
        <w:rPr>
          <w:b/>
          <w:bCs/>
          <w:sz w:val="28"/>
          <w:szCs w:val="28"/>
          <w:u w:val="single"/>
        </w:rPr>
      </w:pPr>
    </w:p>
    <w:p w14:paraId="4F9DC155" w14:textId="77777777"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Erenumab in Chronic Migraine</w:t>
      </w:r>
    </w:p>
    <w:p w14:paraId="720EB237"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Erenumab compared to placebo for chronic migraine</w:t>
      </w:r>
    </w:p>
    <w:p w14:paraId="38D7EE1A" w14:textId="77777777" w:rsidR="00B41992" w:rsidRDefault="00B41992" w:rsidP="00B41992">
      <w:pPr>
        <w:rPr>
          <w:rFonts w:ascii="Arial Narrow" w:eastAsia="Times New Roman" w:hAnsi="Arial Narrow"/>
          <w:color w:val="000000"/>
          <w:sz w:val="14"/>
          <w:szCs w:val="14"/>
          <w:lang w:val="en"/>
        </w:rPr>
      </w:pP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66"/>
        <w:gridCol w:w="862"/>
        <w:gridCol w:w="779"/>
        <w:gridCol w:w="749"/>
        <w:gridCol w:w="938"/>
        <w:gridCol w:w="660"/>
        <w:gridCol w:w="660"/>
        <w:gridCol w:w="661"/>
        <w:gridCol w:w="607"/>
        <w:gridCol w:w="845"/>
        <w:gridCol w:w="845"/>
      </w:tblGrid>
      <w:tr w:rsidR="00B41992" w14:paraId="462DB6ED"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ED63AA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B95F9E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3A0105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E9EDC9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F82C0D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7A4EA4E3"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2CF775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C231FB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A85D0F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AAF0AE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842BC3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33AE0D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4D0A30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30AEDE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erenumab</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5549C4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9FBBA2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920BDF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282459C4"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5946E0D" w14:textId="77777777" w:rsidR="00B41992" w:rsidRDefault="00B41992" w:rsidP="0062262B">
            <w:pPr>
              <w:rPr>
                <w:rFonts w:ascii="Arial Narrow" w:eastAsia="Times New Roman" w:hAnsi="Arial Narrow"/>
                <w:b/>
                <w:bCs/>
                <w:color w:val="FFFFFF"/>
                <w:sz w:val="13"/>
                <w:szCs w:val="13"/>
              </w:rPr>
            </w:pPr>
          </w:p>
        </w:tc>
      </w:tr>
      <w:tr w:rsidR="00B41992" w14:paraId="67D3D362"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36189333"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w:t>
            </w:r>
          </w:p>
        </w:tc>
      </w:tr>
      <w:tr w:rsidR="00B41992" w14:paraId="48C87094"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446137D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60A8C3E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570F5C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99179E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CFD9B7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842A95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067E2A6" w14:textId="77777777" w:rsidR="00B41992" w:rsidRDefault="00B41992" w:rsidP="0062262B">
            <w:pPr>
              <w:rPr>
                <w:rFonts w:ascii="Arial Narrow" w:eastAsia="Times New Roman" w:hAnsi="Arial Narrow"/>
                <w:sz w:val="13"/>
                <w:szCs w:val="13"/>
              </w:rPr>
            </w:pPr>
            <w:r>
              <w:rPr>
                <w:rFonts w:ascii="Arial Narrow" w:eastAsia="Times New Roman" w:hAnsi="Arial Narrow"/>
                <w:sz w:val="13"/>
                <w:szCs w:val="13"/>
              </w:rPr>
              <w:t xml:space="preserve">          none</w:t>
            </w:r>
          </w:p>
        </w:tc>
        <w:tc>
          <w:tcPr>
            <w:tcW w:w="400" w:type="pct"/>
            <w:tcBorders>
              <w:top w:val="single" w:sz="6" w:space="0" w:color="000000"/>
              <w:left w:val="single" w:sz="6" w:space="0" w:color="000000"/>
              <w:bottom w:val="single" w:sz="6" w:space="0" w:color="000000"/>
              <w:right w:val="single" w:sz="6" w:space="0" w:color="000000"/>
            </w:tcBorders>
            <w:hideMark/>
          </w:tcPr>
          <w:p w14:paraId="4C6EC4E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457</w:t>
            </w:r>
          </w:p>
        </w:tc>
        <w:tc>
          <w:tcPr>
            <w:tcW w:w="400" w:type="pct"/>
            <w:tcBorders>
              <w:top w:val="single" w:sz="6" w:space="0" w:color="000000"/>
              <w:left w:val="single" w:sz="6" w:space="0" w:color="000000"/>
              <w:bottom w:val="single" w:sz="6" w:space="0" w:color="000000"/>
              <w:right w:val="single" w:sz="6" w:space="0" w:color="000000"/>
            </w:tcBorders>
            <w:hideMark/>
          </w:tcPr>
          <w:p w14:paraId="5085DB5E"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555</w:t>
            </w:r>
          </w:p>
        </w:tc>
        <w:tc>
          <w:tcPr>
            <w:tcW w:w="400" w:type="pct"/>
            <w:tcBorders>
              <w:top w:val="single" w:sz="6" w:space="0" w:color="000000"/>
              <w:left w:val="single" w:sz="6" w:space="0" w:color="000000"/>
              <w:bottom w:val="single" w:sz="6" w:space="0" w:color="000000"/>
              <w:right w:val="single" w:sz="6" w:space="0" w:color="000000"/>
            </w:tcBorders>
            <w:hideMark/>
          </w:tcPr>
          <w:p w14:paraId="3A3D771F"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630FAF29"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2.09 days lower</w:t>
            </w:r>
            <w:r>
              <w:rPr>
                <w:rFonts w:ascii="Arial Narrow" w:eastAsia="Times New Roman" w:hAnsi="Arial Narrow"/>
                <w:sz w:val="13"/>
                <w:szCs w:val="13"/>
              </w:rPr>
              <w:br/>
            </w:r>
            <w:r>
              <w:rPr>
                <w:rStyle w:val="cell-value"/>
                <w:rFonts w:ascii="Arial Narrow" w:eastAsia="Times New Roman" w:hAnsi="Arial Narrow"/>
                <w:sz w:val="13"/>
                <w:szCs w:val="13"/>
              </w:rPr>
              <w:t>(2.95 lower to 1.22 lower)</w:t>
            </w:r>
          </w:p>
        </w:tc>
        <w:tc>
          <w:tcPr>
            <w:tcW w:w="750" w:type="dxa"/>
            <w:tcBorders>
              <w:top w:val="single" w:sz="6" w:space="0" w:color="000000"/>
              <w:left w:val="single" w:sz="6" w:space="0" w:color="000000"/>
              <w:bottom w:val="single" w:sz="6" w:space="0" w:color="000000"/>
              <w:right w:val="single" w:sz="6" w:space="0" w:color="000000"/>
            </w:tcBorders>
            <w:hideMark/>
          </w:tcPr>
          <w:p w14:paraId="6BBF9BFF"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30D07941" w14:textId="77777777" w:rsidR="00B41992" w:rsidRDefault="00B41992" w:rsidP="0062262B">
            <w:pPr>
              <w:jc w:val="center"/>
              <w:rPr>
                <w:rFonts w:ascii="Arial Narrow" w:eastAsia="Times New Roman" w:hAnsi="Arial Narrow"/>
                <w:sz w:val="13"/>
                <w:szCs w:val="13"/>
              </w:rPr>
            </w:pPr>
          </w:p>
        </w:tc>
      </w:tr>
      <w:tr w:rsidR="00B41992" w14:paraId="5B3698A0"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4C93BFEC"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6EAC569D"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588A0E6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4358B02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C69F33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7A3C61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0F4378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4030C9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406A88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E7C8C0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208/446 (46.6%) </w:t>
            </w:r>
          </w:p>
        </w:tc>
        <w:tc>
          <w:tcPr>
            <w:tcW w:w="400" w:type="pct"/>
            <w:tcBorders>
              <w:top w:val="single" w:sz="6" w:space="0" w:color="000000"/>
              <w:left w:val="single" w:sz="6" w:space="0" w:color="000000"/>
              <w:bottom w:val="single" w:sz="6" w:space="0" w:color="000000"/>
              <w:right w:val="single" w:sz="6" w:space="0" w:color="000000"/>
            </w:tcBorders>
            <w:hideMark/>
          </w:tcPr>
          <w:p w14:paraId="3B13BBFC"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168/559 (30.1%) </w:t>
            </w:r>
          </w:p>
        </w:tc>
        <w:tc>
          <w:tcPr>
            <w:tcW w:w="400" w:type="pct"/>
            <w:tcBorders>
              <w:top w:val="single" w:sz="6" w:space="0" w:color="000000"/>
              <w:left w:val="single" w:sz="6" w:space="0" w:color="000000"/>
              <w:bottom w:val="single" w:sz="6" w:space="0" w:color="000000"/>
              <w:right w:val="single" w:sz="6" w:space="0" w:color="000000"/>
            </w:tcBorders>
            <w:hideMark/>
          </w:tcPr>
          <w:p w14:paraId="7F1F803E"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1.84</w:t>
            </w:r>
            <w:r>
              <w:rPr>
                <w:rFonts w:ascii="Arial Narrow" w:eastAsia="Times New Roman" w:hAnsi="Arial Narrow"/>
                <w:sz w:val="13"/>
                <w:szCs w:val="13"/>
              </w:rPr>
              <w:br/>
            </w:r>
            <w:r>
              <w:rPr>
                <w:rStyle w:val="cell"/>
                <w:rFonts w:ascii="Arial Narrow" w:eastAsia="Times New Roman" w:hAnsi="Arial Narrow"/>
                <w:sz w:val="13"/>
                <w:szCs w:val="13"/>
              </w:rPr>
              <w:t>(1.24 to 2.72)</w:t>
            </w:r>
          </w:p>
        </w:tc>
        <w:tc>
          <w:tcPr>
            <w:tcW w:w="0" w:type="auto"/>
            <w:tcBorders>
              <w:top w:val="single" w:sz="6" w:space="0" w:color="000000"/>
              <w:left w:val="single" w:sz="6" w:space="0" w:color="000000"/>
              <w:bottom w:val="single" w:sz="6" w:space="0" w:color="000000"/>
              <w:right w:val="single" w:sz="6" w:space="0" w:color="000000"/>
            </w:tcBorders>
            <w:hideMark/>
          </w:tcPr>
          <w:p w14:paraId="7687D89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14 more per 100</w:t>
            </w:r>
            <w:r>
              <w:rPr>
                <w:rFonts w:ascii="Arial Narrow" w:eastAsia="Times New Roman" w:hAnsi="Arial Narrow"/>
                <w:sz w:val="13"/>
                <w:szCs w:val="13"/>
              </w:rPr>
              <w:br/>
              <w:t>(from 5 more to 24 more)</w:t>
            </w:r>
          </w:p>
        </w:tc>
        <w:tc>
          <w:tcPr>
            <w:tcW w:w="750" w:type="dxa"/>
            <w:tcBorders>
              <w:top w:val="single" w:sz="6" w:space="0" w:color="000000"/>
              <w:left w:val="single" w:sz="6" w:space="0" w:color="000000"/>
              <w:bottom w:val="single" w:sz="6" w:space="0" w:color="000000"/>
              <w:right w:val="single" w:sz="6" w:space="0" w:color="000000"/>
            </w:tcBorders>
            <w:hideMark/>
          </w:tcPr>
          <w:p w14:paraId="548CDB51"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3AC690C3" w14:textId="77777777" w:rsidR="00B41992" w:rsidRDefault="00B41992" w:rsidP="0062262B">
            <w:pPr>
              <w:jc w:val="center"/>
              <w:rPr>
                <w:rFonts w:ascii="Arial Narrow" w:eastAsia="Times New Roman" w:hAnsi="Arial Narrow"/>
                <w:sz w:val="13"/>
                <w:szCs w:val="13"/>
              </w:rPr>
            </w:pPr>
          </w:p>
        </w:tc>
      </w:tr>
      <w:tr w:rsidR="00B41992" w14:paraId="2B91E52C"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6483B3B4"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12 weeks)</w:t>
            </w:r>
          </w:p>
        </w:tc>
      </w:tr>
      <w:tr w:rsidR="00B41992" w14:paraId="440901E6"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711883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16A3D83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26AB545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5D009B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91279F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4DDDE9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EAFE80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D64DA0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215/467 (46.0%) </w:t>
            </w:r>
          </w:p>
        </w:tc>
        <w:tc>
          <w:tcPr>
            <w:tcW w:w="400" w:type="pct"/>
            <w:tcBorders>
              <w:top w:val="single" w:sz="6" w:space="0" w:color="000000"/>
              <w:left w:val="single" w:sz="6" w:space="0" w:color="000000"/>
              <w:bottom w:val="single" w:sz="6" w:space="0" w:color="000000"/>
              <w:right w:val="single" w:sz="6" w:space="0" w:color="000000"/>
            </w:tcBorders>
            <w:hideMark/>
          </w:tcPr>
          <w:p w14:paraId="310C88E5"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242/560 (43.2%) </w:t>
            </w:r>
          </w:p>
        </w:tc>
        <w:tc>
          <w:tcPr>
            <w:tcW w:w="400" w:type="pct"/>
            <w:tcBorders>
              <w:top w:val="single" w:sz="6" w:space="0" w:color="000000"/>
              <w:left w:val="single" w:sz="6" w:space="0" w:color="000000"/>
              <w:bottom w:val="single" w:sz="6" w:space="0" w:color="000000"/>
              <w:right w:val="single" w:sz="6" w:space="0" w:color="000000"/>
            </w:tcBorders>
            <w:hideMark/>
          </w:tcPr>
          <w:p w14:paraId="48EC90EF"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1.12</w:t>
            </w:r>
            <w:r>
              <w:rPr>
                <w:rFonts w:ascii="Arial Narrow" w:eastAsia="Times New Roman" w:hAnsi="Arial Narrow"/>
                <w:sz w:val="13"/>
                <w:szCs w:val="13"/>
              </w:rPr>
              <w:br/>
            </w:r>
            <w:r>
              <w:rPr>
                <w:rStyle w:val="cell"/>
                <w:rFonts w:ascii="Arial Narrow" w:eastAsia="Times New Roman" w:hAnsi="Arial Narrow"/>
                <w:sz w:val="13"/>
                <w:szCs w:val="13"/>
              </w:rPr>
              <w:t>(0.76 to 1.65)</w:t>
            </w:r>
          </w:p>
        </w:tc>
        <w:tc>
          <w:tcPr>
            <w:tcW w:w="0" w:type="auto"/>
            <w:tcBorders>
              <w:top w:val="single" w:sz="6" w:space="0" w:color="000000"/>
              <w:left w:val="single" w:sz="6" w:space="0" w:color="000000"/>
              <w:bottom w:val="single" w:sz="6" w:space="0" w:color="000000"/>
              <w:right w:val="single" w:sz="6" w:space="0" w:color="000000"/>
            </w:tcBorders>
            <w:hideMark/>
          </w:tcPr>
          <w:p w14:paraId="3680EF3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3 more per 100</w:t>
            </w:r>
            <w:r>
              <w:rPr>
                <w:rFonts w:ascii="Arial Narrow" w:eastAsia="Times New Roman" w:hAnsi="Arial Narrow"/>
                <w:sz w:val="13"/>
                <w:szCs w:val="13"/>
              </w:rPr>
              <w:br/>
              <w:t>(from 7 fewer to 12 more)</w:t>
            </w:r>
          </w:p>
        </w:tc>
        <w:tc>
          <w:tcPr>
            <w:tcW w:w="750" w:type="dxa"/>
            <w:tcBorders>
              <w:top w:val="single" w:sz="6" w:space="0" w:color="000000"/>
              <w:left w:val="single" w:sz="6" w:space="0" w:color="000000"/>
              <w:bottom w:val="single" w:sz="6" w:space="0" w:color="000000"/>
              <w:right w:val="single" w:sz="6" w:space="0" w:color="000000"/>
            </w:tcBorders>
            <w:hideMark/>
          </w:tcPr>
          <w:p w14:paraId="0B655138"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48E99514" w14:textId="77777777" w:rsidR="00B41992" w:rsidRDefault="00B41992" w:rsidP="0062262B">
            <w:pPr>
              <w:jc w:val="center"/>
              <w:rPr>
                <w:rFonts w:ascii="Arial Narrow" w:eastAsia="Times New Roman" w:hAnsi="Arial Narrow"/>
                <w:sz w:val="13"/>
                <w:szCs w:val="13"/>
              </w:rPr>
            </w:pPr>
          </w:p>
        </w:tc>
      </w:tr>
    </w:tbl>
    <w:p w14:paraId="289AA208"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4F46DFB4" w14:textId="77777777" w:rsidR="00B41992" w:rsidRDefault="00B41992" w:rsidP="00B41992">
      <w:pPr>
        <w:pStyle w:val="NormalWeb"/>
        <w:rPr>
          <w:rFonts w:ascii="Arial Narrow" w:hAnsi="Arial Narrow"/>
          <w:color w:val="000000"/>
          <w:sz w:val="14"/>
          <w:szCs w:val="14"/>
          <w:lang w:val="en"/>
        </w:rPr>
      </w:pPr>
    </w:p>
    <w:p w14:paraId="6D00CB36" w14:textId="77777777" w:rsidR="00B41992" w:rsidRDefault="00B41992" w:rsidP="00B41992">
      <w:pPr>
        <w:pStyle w:val="NormalWeb"/>
        <w:rPr>
          <w:rFonts w:ascii="Arial Narrow" w:hAnsi="Arial Narrow"/>
          <w:color w:val="000000"/>
          <w:sz w:val="14"/>
          <w:szCs w:val="14"/>
          <w:lang w:val="en"/>
        </w:rPr>
      </w:pPr>
    </w:p>
    <w:p w14:paraId="5280DA1E" w14:textId="77777777" w:rsidR="00B41992" w:rsidRPr="009B1AC2" w:rsidRDefault="00B41992" w:rsidP="00B41992">
      <w:pPr>
        <w:pStyle w:val="NormalWeb"/>
        <w:rPr>
          <w:rFonts w:ascii="Arial Narrow" w:hAnsi="Arial Narrow"/>
          <w:color w:val="000000"/>
          <w:sz w:val="14"/>
          <w:szCs w:val="14"/>
          <w:lang w:val="en"/>
        </w:rPr>
      </w:pPr>
      <w:r w:rsidRPr="009B1AC2">
        <w:rPr>
          <w:b/>
          <w:bCs/>
          <w:sz w:val="32"/>
          <w:szCs w:val="32"/>
        </w:rPr>
        <w:t>3.4.1 Fremanezumab in Episodic Migraine</w:t>
      </w:r>
    </w:p>
    <w:p w14:paraId="343C8259" w14:textId="77777777" w:rsidR="00B41992" w:rsidRDefault="00B41992" w:rsidP="00B41992">
      <w:bookmarkStart w:id="6" w:name="_Hlk151726666"/>
      <w:r>
        <w:lastRenderedPageBreak/>
        <w:t>Three studies were found: Bigal et al, 2015</w:t>
      </w:r>
      <w:r>
        <w:fldChar w:fldCharType="begin"/>
      </w:r>
      <w:r>
        <w:instrText xml:space="preserve"> ADDIN ZOTERO_ITEM CSL_CITATION {"citationID":"R3auv134","properties":{"formattedCitation":"(44)","plainCitation":"(44)","noteIndex":0},"citationItems":[{"id":5855,"uris":["http://zotero.org/users/5131939/items/XP4GMM3H"],"itemData":{"id":5855,"type":"article-journal","archive_location":"26432182","container-title":"Lancet Neurology","DOI":"10.1016/S1474-4422(15)00249-5","issue":"11","journalAbbreviation":"Lancet Neurology","page":"1081-90","title":"Safety, tolerability, and efficacy of TEV-48125 for preventive treatment of high-frequency episodic migraine: a multicentre, randomised, double-blind, placebo-controlled, phase 2b study","volume":"14","author":[{"family":"Bigal","given":"M. E."},{"family":"Dodick","given":"D. W."},{"family":"Rapoport","given":"A. M."},{"family":"Silberstein","given":"S. D."},{"family":"Ma","given":"Y."},{"family":"Yang","given":"R."},{"family":"Loupe","given":"P. S."},{"family":"Burstein","given":"R."},{"family":"Newman","given":"L. C."},{"family":"Lipton","given":"R. B."}],"issued":{"date-parts":[["2015"]]}}}],"schema":"https://github.com/citation-style-language/schema/raw/master/csl-citation.json"} </w:instrText>
      </w:r>
      <w:r>
        <w:fldChar w:fldCharType="separate"/>
      </w:r>
      <w:r w:rsidRPr="000E2478">
        <w:rPr>
          <w:rFonts w:ascii="Calibri" w:hAnsi="Calibri" w:cs="Calibri"/>
        </w:rPr>
        <w:t>(44)</w:t>
      </w:r>
      <w:r>
        <w:fldChar w:fldCharType="end"/>
      </w:r>
      <w:r>
        <w:t>; Dodick et al, 2018</w:t>
      </w:r>
      <w:r>
        <w:fldChar w:fldCharType="begin"/>
      </w:r>
      <w:r>
        <w:instrText xml:space="preserve"> ADDIN ZOTERO_ITEM CSL_CITATION {"citationID":"rbuUXtjY","properties":{"formattedCitation":"(45)","plainCitation":"(45)","noteIndex":0},"citationItems":[{"id":5844,"uris":["http://zotero.org/users/5131939/items/943V4227"],"itemData":{"id":5844,"type":"article-journal","archive_location":"29800211","container-title":"JAMA","DOI":"10.1001/jama.2018.4853","issue":"19","journalAbbreviation":"JAMA","page":"1999-2008","title":"Effect of Fremanezumab Compared With Placebo for Prevention of Episodic Migraine: A Randomized Clinical Trial","volume":"319","author":[{"family":"Dodick","given":"D. W."},{"family":"Silberstein","given":"S. D."},{"family":"Bigal","given":"M. E."},{"family":"Yeung","given":"P. P."},{"family":"Goadsby","given":"P. J."},{"family":"Blankenbiller","given":"T."},{"family":"Grozinski-Wolff","given":"M."},{"family":"Yang","given":"R."},{"family":"Ma","given":"Y."},{"family":"Aycardi","given":"E."}],"issued":{"date-parts":[["2018"]]}}}],"schema":"https://github.com/citation-style-language/schema/raw/master/csl-citation.json"} </w:instrText>
      </w:r>
      <w:r>
        <w:fldChar w:fldCharType="separate"/>
      </w:r>
      <w:r w:rsidRPr="000E2478">
        <w:rPr>
          <w:rFonts w:ascii="Calibri" w:hAnsi="Calibri" w:cs="Calibri"/>
        </w:rPr>
        <w:t>(45)</w:t>
      </w:r>
      <w:r>
        <w:fldChar w:fldCharType="end"/>
      </w:r>
      <w:r>
        <w:t xml:space="preserve"> and Sakai et al 2021</w:t>
      </w:r>
      <w:r>
        <w:fldChar w:fldCharType="begin"/>
      </w:r>
      <w:r>
        <w:instrText xml:space="preserve"> ADDIN ZOTERO_ITEM CSL_CITATION {"citationID":"SDljKiL1","properties":{"formattedCitation":"(46)","plainCitation":"(46)","noteIndex":0},"citationItems":[{"id":5825,"uris":["http://zotero.org/users/5131939/items/MPF9ZJJR"],"itemData":{"id":5825,"type":"article-journal","archive_location":"34323290","container-title":"Headache","DOI":"10.1111/head.14178","issue":"7","journalAbbreviation":"Headache","page":"1102-1111","title":"Efficacy and safety of fremanezumab for episodic migraine prevention: Multicenter, randomized, double-blind, placebo-controlled, parallel-group trial in Japanese and Korean patients","volume":"61","author":[{"family":"Sakai","given":"F."},{"family":"Suzuki","given":"N."},{"family":"Kim","given":"B. K."},{"family":"Tatsuoka","given":"Y."},{"family":"Imai","given":"N."},{"family":"Ning","given":"X."},{"family":"Ishida","given":"M."},{"family":"Nagano","given":"K."},{"family":"Iba","given":"K."},{"family":"Kondo","given":"H."},{"family":"Koga","given":"N."}],"issued":{"date-parts":[["2021"]]}}}],"schema":"https://github.com/citation-style-language/schema/raw/master/csl-citation.json"} </w:instrText>
      </w:r>
      <w:r>
        <w:fldChar w:fldCharType="separate"/>
      </w:r>
      <w:r w:rsidRPr="000E2478">
        <w:rPr>
          <w:rFonts w:ascii="Calibri" w:hAnsi="Calibri" w:cs="Calibri"/>
        </w:rPr>
        <w:t>(46)</w:t>
      </w:r>
      <w:r>
        <w:fldChar w:fldCharType="end"/>
      </w:r>
      <w:bookmarkEnd w:id="6"/>
      <w:r>
        <w:t>.</w:t>
      </w:r>
    </w:p>
    <w:p w14:paraId="106154D2" w14:textId="77777777" w:rsidR="00B41992" w:rsidRPr="00355FFC" w:rsidRDefault="00B41992" w:rsidP="00B41992">
      <w:r w:rsidRPr="00527694">
        <w:rPr>
          <w:b/>
          <w:bCs/>
          <w:u w:val="single"/>
        </w:rPr>
        <w:t>Migraine Day Reduction</w:t>
      </w:r>
    </w:p>
    <w:p w14:paraId="00FFB085" w14:textId="77777777" w:rsidR="00B41992" w:rsidRDefault="00B41992" w:rsidP="00B41992">
      <w:r>
        <w:rPr>
          <w:noProof/>
        </w:rPr>
        <w:drawing>
          <wp:inline distT="0" distB="0" distL="0" distR="0" wp14:anchorId="284C7555" wp14:editId="183DFA0D">
            <wp:extent cx="5943600" cy="2545080"/>
            <wp:effectExtent l="0" t="0" r="0" b="0"/>
            <wp:docPr id="422392063" name="Graphic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2063" name="Graphic 422392063"/>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943600" cy="2545080"/>
                    </a:xfrm>
                    <a:prstGeom prst="rect">
                      <a:avLst/>
                    </a:prstGeom>
                  </pic:spPr>
                </pic:pic>
              </a:graphicData>
            </a:graphic>
          </wp:inline>
        </w:drawing>
      </w:r>
    </w:p>
    <w:p w14:paraId="6C238294" w14:textId="77777777" w:rsidR="00B41992" w:rsidRPr="00527694" w:rsidRDefault="00B41992" w:rsidP="00B41992">
      <w:pPr>
        <w:rPr>
          <w:b/>
          <w:bCs/>
          <w:u w:val="single"/>
        </w:rPr>
      </w:pPr>
      <w:r w:rsidRPr="00527694">
        <w:rPr>
          <w:b/>
          <w:bCs/>
          <w:u w:val="single"/>
        </w:rPr>
        <w:t>50% Responder Rat</w:t>
      </w:r>
      <w:r w:rsidRPr="00527694">
        <w:rPr>
          <w:b/>
          <w:bCs/>
          <w:noProof/>
          <w:u w:val="single"/>
        </w:rPr>
        <w:t>e</w:t>
      </w:r>
    </w:p>
    <w:p w14:paraId="295564AD" w14:textId="77777777" w:rsidR="00B41992" w:rsidRDefault="00B41992" w:rsidP="00B41992">
      <w:pPr>
        <w:rPr>
          <w:noProof/>
        </w:rPr>
      </w:pPr>
      <w:r>
        <w:rPr>
          <w:noProof/>
        </w:rPr>
        <w:drawing>
          <wp:inline distT="0" distB="0" distL="0" distR="0" wp14:anchorId="1CAE72BB" wp14:editId="6B7437A3">
            <wp:extent cx="5943600" cy="2927985"/>
            <wp:effectExtent l="0" t="0" r="0" b="0"/>
            <wp:docPr id="1145137013"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37013" name="Graphic 1145137013"/>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943600" cy="2927985"/>
                    </a:xfrm>
                    <a:prstGeom prst="rect">
                      <a:avLst/>
                    </a:prstGeom>
                  </pic:spPr>
                </pic:pic>
              </a:graphicData>
            </a:graphic>
          </wp:inline>
        </w:drawing>
      </w:r>
    </w:p>
    <w:p w14:paraId="4C03F812" w14:textId="77777777" w:rsidR="00B41992" w:rsidRDefault="00B41992" w:rsidP="00B41992">
      <w:pPr>
        <w:rPr>
          <w:noProof/>
        </w:rPr>
      </w:pPr>
      <w:r>
        <w:rPr>
          <w:noProof/>
        </w:rPr>
        <w:br w:type="page"/>
      </w:r>
    </w:p>
    <w:p w14:paraId="4F509F5B" w14:textId="77777777" w:rsidR="00B41992" w:rsidRPr="00527694" w:rsidRDefault="00B41992" w:rsidP="00B41992">
      <w:pPr>
        <w:rPr>
          <w:b/>
          <w:bCs/>
          <w:u w:val="single"/>
        </w:rPr>
      </w:pPr>
      <w:r w:rsidRPr="00527694">
        <w:rPr>
          <w:b/>
          <w:bCs/>
          <w:u w:val="single"/>
        </w:rPr>
        <w:lastRenderedPageBreak/>
        <w:t>Adverse Events</w:t>
      </w:r>
    </w:p>
    <w:p w14:paraId="62FE5793" w14:textId="77777777" w:rsidR="00B41992" w:rsidRPr="004F4667" w:rsidRDefault="00B41992" w:rsidP="00B41992">
      <w:r>
        <w:rPr>
          <w:noProof/>
        </w:rPr>
        <w:drawing>
          <wp:inline distT="0" distB="0" distL="0" distR="0" wp14:anchorId="648761E5" wp14:editId="38C38DCC">
            <wp:extent cx="5907323" cy="2910114"/>
            <wp:effectExtent l="0" t="0" r="0" b="0"/>
            <wp:docPr id="289595890" name="Graphic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95890" name="Graphic 289595890"/>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914423" cy="2913612"/>
                    </a:xfrm>
                    <a:prstGeom prst="rect">
                      <a:avLst/>
                    </a:prstGeom>
                  </pic:spPr>
                </pic:pic>
              </a:graphicData>
            </a:graphic>
          </wp:inline>
        </w:drawing>
      </w:r>
      <w:r w:rsidRPr="00356351">
        <w:rPr>
          <w:b/>
          <w:bCs/>
          <w:sz w:val="28"/>
          <w:szCs w:val="28"/>
          <w:u w:val="single"/>
        </w:rPr>
        <w:t>Summary of findings table</w:t>
      </w:r>
      <w:r>
        <w:rPr>
          <w:b/>
          <w:bCs/>
          <w:sz w:val="28"/>
          <w:szCs w:val="28"/>
          <w:u w:val="single"/>
        </w:rPr>
        <w:t xml:space="preserve"> for Fremanezumab in Episodic Migraine</w:t>
      </w:r>
    </w:p>
    <w:tbl>
      <w:tblPr>
        <w:tblW w:w="5000" w:type="pct"/>
        <w:tblCellMar>
          <w:top w:w="75" w:type="dxa"/>
          <w:left w:w="75" w:type="dxa"/>
          <w:bottom w:w="75" w:type="dxa"/>
          <w:right w:w="75" w:type="dxa"/>
        </w:tblCellMar>
        <w:tblLook w:val="04A0" w:firstRow="1" w:lastRow="0" w:firstColumn="1" w:lastColumn="0" w:noHBand="0" w:noVBand="1"/>
      </w:tblPr>
      <w:tblGrid>
        <w:gridCol w:w="524"/>
        <w:gridCol w:w="708"/>
        <w:gridCol w:w="494"/>
        <w:gridCol w:w="862"/>
        <w:gridCol w:w="779"/>
        <w:gridCol w:w="749"/>
        <w:gridCol w:w="909"/>
        <w:gridCol w:w="903"/>
        <w:gridCol w:w="553"/>
        <w:gridCol w:w="559"/>
        <w:gridCol w:w="607"/>
        <w:gridCol w:w="927"/>
        <w:gridCol w:w="756"/>
      </w:tblGrid>
      <w:tr w:rsidR="00B41992" w14:paraId="52B03676"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272835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E263BE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BD52B2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BE5DC1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C389B7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1D57BA7A"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D2622C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B12462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71A0FA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DD81A9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680FC4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D5B1F6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BD1D7E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C54154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fremanezumab</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0C026C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69C2A5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010E5C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34B0603"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0328652" w14:textId="77777777" w:rsidR="00B41992" w:rsidRDefault="00B41992" w:rsidP="0062262B">
            <w:pPr>
              <w:rPr>
                <w:rFonts w:ascii="Arial Narrow" w:eastAsia="Times New Roman" w:hAnsi="Arial Narrow"/>
                <w:b/>
                <w:bCs/>
                <w:color w:val="FFFFFF"/>
                <w:sz w:val="13"/>
                <w:szCs w:val="13"/>
              </w:rPr>
            </w:pPr>
          </w:p>
        </w:tc>
      </w:tr>
      <w:tr w:rsidR="00B41992" w14:paraId="26AD3112" w14:textId="77777777" w:rsidTr="0062262B">
        <w:trPr>
          <w:cantSplit/>
        </w:trPr>
        <w:tc>
          <w:tcPr>
            <w:tcW w:w="0" w:type="auto"/>
            <w:gridSpan w:val="13"/>
            <w:shd w:val="clear" w:color="auto" w:fill="FFFFFF"/>
            <w:vAlign w:val="center"/>
            <w:hideMark/>
          </w:tcPr>
          <w:p w14:paraId="4999A71F"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w:t>
            </w:r>
          </w:p>
        </w:tc>
      </w:tr>
      <w:tr w:rsidR="00B41992" w14:paraId="2CE00553"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5D404D1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3</w:t>
            </w:r>
          </w:p>
        </w:tc>
        <w:tc>
          <w:tcPr>
            <w:tcW w:w="300" w:type="pct"/>
            <w:tcBorders>
              <w:top w:val="single" w:sz="6" w:space="0" w:color="000000"/>
              <w:left w:val="single" w:sz="6" w:space="0" w:color="000000"/>
              <w:bottom w:val="single" w:sz="6" w:space="0" w:color="000000"/>
              <w:right w:val="single" w:sz="6" w:space="0" w:color="000000"/>
            </w:tcBorders>
            <w:hideMark/>
          </w:tcPr>
          <w:p w14:paraId="06DA452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7E9A80F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852613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B69555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2FD132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r>
              <w:rPr>
                <w:rFonts w:ascii="Arial Narrow" w:eastAsia="Times New Roman" w:hAnsi="Arial Narrow"/>
                <w:sz w:val="13"/>
                <w:szCs w:val="13"/>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71D4796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F41AA0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504</w:t>
            </w:r>
          </w:p>
        </w:tc>
        <w:tc>
          <w:tcPr>
            <w:tcW w:w="400" w:type="pct"/>
            <w:tcBorders>
              <w:top w:val="single" w:sz="6" w:space="0" w:color="000000"/>
              <w:left w:val="single" w:sz="6" w:space="0" w:color="000000"/>
              <w:bottom w:val="single" w:sz="6" w:space="0" w:color="000000"/>
              <w:right w:val="single" w:sz="6" w:space="0" w:color="000000"/>
            </w:tcBorders>
            <w:hideMark/>
          </w:tcPr>
          <w:p w14:paraId="15257B88"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510</w:t>
            </w:r>
          </w:p>
        </w:tc>
        <w:tc>
          <w:tcPr>
            <w:tcW w:w="400" w:type="pct"/>
            <w:tcBorders>
              <w:top w:val="single" w:sz="6" w:space="0" w:color="000000"/>
              <w:left w:val="single" w:sz="6" w:space="0" w:color="000000"/>
              <w:bottom w:val="single" w:sz="6" w:space="0" w:color="000000"/>
              <w:right w:val="single" w:sz="6" w:space="0" w:color="000000"/>
            </w:tcBorders>
            <w:hideMark/>
          </w:tcPr>
          <w:p w14:paraId="5A00DCE8"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6E279B93"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2.33 days lower</w:t>
            </w:r>
            <w:r>
              <w:rPr>
                <w:rFonts w:ascii="Arial Narrow" w:eastAsia="Times New Roman" w:hAnsi="Arial Narrow"/>
                <w:sz w:val="13"/>
                <w:szCs w:val="13"/>
              </w:rPr>
              <w:br/>
            </w:r>
            <w:r>
              <w:rPr>
                <w:rStyle w:val="cell-value"/>
                <w:rFonts w:ascii="Arial Narrow" w:eastAsia="Times New Roman" w:hAnsi="Arial Narrow"/>
                <w:sz w:val="13"/>
                <w:szCs w:val="13"/>
              </w:rPr>
              <w:t>(3.42 lower to 1.24 lower)</w:t>
            </w:r>
          </w:p>
        </w:tc>
        <w:tc>
          <w:tcPr>
            <w:tcW w:w="750" w:type="dxa"/>
            <w:tcBorders>
              <w:top w:val="single" w:sz="6" w:space="0" w:color="000000"/>
              <w:left w:val="single" w:sz="6" w:space="0" w:color="000000"/>
              <w:bottom w:val="single" w:sz="6" w:space="0" w:color="000000"/>
              <w:right w:val="single" w:sz="6" w:space="0" w:color="000000"/>
            </w:tcBorders>
            <w:hideMark/>
          </w:tcPr>
          <w:p w14:paraId="00885ACE"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0A1042D1" w14:textId="77777777" w:rsidR="00B41992" w:rsidRDefault="00B41992" w:rsidP="0062262B">
            <w:pPr>
              <w:jc w:val="center"/>
              <w:rPr>
                <w:rFonts w:ascii="Arial Narrow" w:eastAsia="Times New Roman" w:hAnsi="Arial Narrow"/>
                <w:sz w:val="13"/>
                <w:szCs w:val="13"/>
              </w:rPr>
            </w:pPr>
          </w:p>
        </w:tc>
      </w:tr>
      <w:tr w:rsidR="00B41992" w14:paraId="0B900942" w14:textId="77777777" w:rsidTr="0062262B">
        <w:trPr>
          <w:cantSplit/>
        </w:trPr>
        <w:tc>
          <w:tcPr>
            <w:tcW w:w="0" w:type="auto"/>
            <w:gridSpan w:val="13"/>
            <w:shd w:val="clear" w:color="auto" w:fill="FFFFFF"/>
            <w:vAlign w:val="center"/>
            <w:hideMark/>
          </w:tcPr>
          <w:p w14:paraId="29390560"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7A167546"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FBFEED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3</w:t>
            </w:r>
          </w:p>
        </w:tc>
        <w:tc>
          <w:tcPr>
            <w:tcW w:w="300" w:type="pct"/>
            <w:tcBorders>
              <w:top w:val="single" w:sz="6" w:space="0" w:color="000000"/>
              <w:left w:val="single" w:sz="6" w:space="0" w:color="000000"/>
              <w:bottom w:val="single" w:sz="6" w:space="0" w:color="000000"/>
              <w:right w:val="single" w:sz="6" w:space="0" w:color="000000"/>
            </w:tcBorders>
            <w:hideMark/>
          </w:tcPr>
          <w:p w14:paraId="713AD00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784CD41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67213C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16CCE5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635E4A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C90F7A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07AF6C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232/503 (46.1%) </w:t>
            </w:r>
          </w:p>
        </w:tc>
        <w:tc>
          <w:tcPr>
            <w:tcW w:w="400" w:type="pct"/>
            <w:tcBorders>
              <w:top w:val="single" w:sz="6" w:space="0" w:color="000000"/>
              <w:left w:val="single" w:sz="6" w:space="0" w:color="000000"/>
              <w:bottom w:val="single" w:sz="6" w:space="0" w:color="000000"/>
              <w:right w:val="single" w:sz="6" w:space="0" w:color="000000"/>
            </w:tcBorders>
            <w:hideMark/>
          </w:tcPr>
          <w:p w14:paraId="585AE49F"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122/510 (23.9%) </w:t>
            </w:r>
          </w:p>
        </w:tc>
        <w:tc>
          <w:tcPr>
            <w:tcW w:w="400" w:type="pct"/>
            <w:tcBorders>
              <w:top w:val="single" w:sz="6" w:space="0" w:color="000000"/>
              <w:left w:val="single" w:sz="6" w:space="0" w:color="000000"/>
              <w:bottom w:val="single" w:sz="6" w:space="0" w:color="000000"/>
              <w:right w:val="single" w:sz="6" w:space="0" w:color="000000"/>
            </w:tcBorders>
            <w:hideMark/>
          </w:tcPr>
          <w:p w14:paraId="320192E9"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2.99</w:t>
            </w:r>
            <w:r>
              <w:rPr>
                <w:rFonts w:ascii="Arial Narrow" w:eastAsia="Times New Roman" w:hAnsi="Arial Narrow"/>
                <w:sz w:val="13"/>
                <w:szCs w:val="13"/>
              </w:rPr>
              <w:br/>
            </w:r>
            <w:r>
              <w:rPr>
                <w:rStyle w:val="cell"/>
                <w:rFonts w:ascii="Arial Narrow" w:eastAsia="Times New Roman" w:hAnsi="Arial Narrow"/>
                <w:sz w:val="13"/>
                <w:szCs w:val="13"/>
              </w:rPr>
              <w:t>(1.84 to 4.87)</w:t>
            </w:r>
          </w:p>
        </w:tc>
        <w:tc>
          <w:tcPr>
            <w:tcW w:w="0" w:type="auto"/>
            <w:tcBorders>
              <w:top w:val="single" w:sz="6" w:space="0" w:color="000000"/>
              <w:left w:val="single" w:sz="6" w:space="0" w:color="000000"/>
              <w:bottom w:val="single" w:sz="6" w:space="0" w:color="000000"/>
              <w:right w:val="single" w:sz="6" w:space="0" w:color="000000"/>
            </w:tcBorders>
            <w:hideMark/>
          </w:tcPr>
          <w:p w14:paraId="016DC4B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25 more per 100</w:t>
            </w:r>
            <w:r>
              <w:rPr>
                <w:rFonts w:ascii="Arial Narrow" w:eastAsia="Times New Roman" w:hAnsi="Arial Narrow"/>
                <w:sz w:val="13"/>
                <w:szCs w:val="13"/>
              </w:rPr>
              <w:br/>
              <w:t>(from 13 more to 37 more)</w:t>
            </w:r>
          </w:p>
        </w:tc>
        <w:tc>
          <w:tcPr>
            <w:tcW w:w="750" w:type="dxa"/>
            <w:tcBorders>
              <w:top w:val="single" w:sz="6" w:space="0" w:color="000000"/>
              <w:left w:val="single" w:sz="6" w:space="0" w:color="000000"/>
              <w:bottom w:val="single" w:sz="6" w:space="0" w:color="000000"/>
              <w:right w:val="single" w:sz="6" w:space="0" w:color="000000"/>
            </w:tcBorders>
            <w:hideMark/>
          </w:tcPr>
          <w:p w14:paraId="6B218D87"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013F7274" w14:textId="77777777" w:rsidR="00B41992" w:rsidRDefault="00B41992" w:rsidP="0062262B">
            <w:pPr>
              <w:jc w:val="center"/>
              <w:rPr>
                <w:rFonts w:ascii="Arial Narrow" w:eastAsia="Times New Roman" w:hAnsi="Arial Narrow"/>
                <w:sz w:val="13"/>
                <w:szCs w:val="13"/>
              </w:rPr>
            </w:pPr>
          </w:p>
        </w:tc>
      </w:tr>
      <w:tr w:rsidR="00B41992" w14:paraId="28A35C8F" w14:textId="77777777" w:rsidTr="0062262B">
        <w:trPr>
          <w:cantSplit/>
        </w:trPr>
        <w:tc>
          <w:tcPr>
            <w:tcW w:w="0" w:type="auto"/>
            <w:gridSpan w:val="13"/>
            <w:shd w:val="clear" w:color="auto" w:fill="FFFFFF"/>
            <w:vAlign w:val="center"/>
            <w:hideMark/>
          </w:tcPr>
          <w:p w14:paraId="4A9DF3EB"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w:t>
            </w:r>
          </w:p>
        </w:tc>
      </w:tr>
      <w:tr w:rsidR="00B41992" w14:paraId="437FF4BB"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E2299C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3</w:t>
            </w:r>
          </w:p>
        </w:tc>
        <w:tc>
          <w:tcPr>
            <w:tcW w:w="300" w:type="pct"/>
            <w:tcBorders>
              <w:top w:val="single" w:sz="6" w:space="0" w:color="000000"/>
              <w:left w:val="single" w:sz="6" w:space="0" w:color="000000"/>
              <w:bottom w:val="single" w:sz="6" w:space="0" w:color="000000"/>
              <w:right w:val="single" w:sz="6" w:space="0" w:color="000000"/>
            </w:tcBorders>
            <w:hideMark/>
          </w:tcPr>
          <w:p w14:paraId="3072AAE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A14506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85DD83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33B6F9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A340E7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A1C416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904F5A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287/507 (56.6%) </w:t>
            </w:r>
          </w:p>
        </w:tc>
        <w:tc>
          <w:tcPr>
            <w:tcW w:w="400" w:type="pct"/>
            <w:tcBorders>
              <w:top w:val="single" w:sz="6" w:space="0" w:color="000000"/>
              <w:left w:val="single" w:sz="6" w:space="0" w:color="000000"/>
              <w:bottom w:val="single" w:sz="6" w:space="0" w:color="000000"/>
              <w:right w:val="single" w:sz="6" w:space="0" w:color="000000"/>
            </w:tcBorders>
            <w:hideMark/>
          </w:tcPr>
          <w:p w14:paraId="1E5142EB"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272/514 (52.9%) </w:t>
            </w:r>
          </w:p>
        </w:tc>
        <w:tc>
          <w:tcPr>
            <w:tcW w:w="400" w:type="pct"/>
            <w:tcBorders>
              <w:top w:val="single" w:sz="6" w:space="0" w:color="000000"/>
              <w:left w:val="single" w:sz="6" w:space="0" w:color="000000"/>
              <w:bottom w:val="single" w:sz="6" w:space="0" w:color="000000"/>
              <w:right w:val="single" w:sz="6" w:space="0" w:color="000000"/>
            </w:tcBorders>
            <w:hideMark/>
          </w:tcPr>
          <w:p w14:paraId="2E80E1C7"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1.08</w:t>
            </w:r>
            <w:r>
              <w:rPr>
                <w:rFonts w:ascii="Arial Narrow" w:eastAsia="Times New Roman" w:hAnsi="Arial Narrow"/>
                <w:sz w:val="13"/>
                <w:szCs w:val="13"/>
              </w:rPr>
              <w:br/>
            </w:r>
            <w:r>
              <w:rPr>
                <w:rStyle w:val="cell"/>
                <w:rFonts w:ascii="Arial Narrow" w:eastAsia="Times New Roman" w:hAnsi="Arial Narrow"/>
                <w:sz w:val="13"/>
                <w:szCs w:val="13"/>
              </w:rPr>
              <w:t>(0.69 to 1.69)</w:t>
            </w:r>
          </w:p>
        </w:tc>
        <w:tc>
          <w:tcPr>
            <w:tcW w:w="0" w:type="auto"/>
            <w:tcBorders>
              <w:top w:val="single" w:sz="6" w:space="0" w:color="000000"/>
              <w:left w:val="single" w:sz="6" w:space="0" w:color="000000"/>
              <w:bottom w:val="single" w:sz="6" w:space="0" w:color="000000"/>
              <w:right w:val="single" w:sz="6" w:space="0" w:color="000000"/>
            </w:tcBorders>
            <w:hideMark/>
          </w:tcPr>
          <w:p w14:paraId="21624FC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2 more per 100</w:t>
            </w:r>
            <w:r>
              <w:rPr>
                <w:rFonts w:ascii="Arial Narrow" w:eastAsia="Times New Roman" w:hAnsi="Arial Narrow"/>
                <w:sz w:val="13"/>
                <w:szCs w:val="13"/>
              </w:rPr>
              <w:br/>
              <w:t>(from 9 fewer to 13 more)</w:t>
            </w:r>
          </w:p>
        </w:tc>
        <w:tc>
          <w:tcPr>
            <w:tcW w:w="750" w:type="dxa"/>
            <w:tcBorders>
              <w:top w:val="single" w:sz="6" w:space="0" w:color="000000"/>
              <w:left w:val="single" w:sz="6" w:space="0" w:color="000000"/>
              <w:bottom w:val="single" w:sz="6" w:space="0" w:color="000000"/>
              <w:right w:val="single" w:sz="6" w:space="0" w:color="000000"/>
            </w:tcBorders>
            <w:hideMark/>
          </w:tcPr>
          <w:p w14:paraId="539C7ABC"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351D6387" w14:textId="77777777" w:rsidR="00B41992" w:rsidRDefault="00B41992" w:rsidP="0062262B">
            <w:pPr>
              <w:jc w:val="center"/>
              <w:rPr>
                <w:rFonts w:ascii="Arial Narrow" w:eastAsia="Times New Roman" w:hAnsi="Arial Narrow"/>
                <w:sz w:val="13"/>
                <w:szCs w:val="13"/>
              </w:rPr>
            </w:pPr>
          </w:p>
        </w:tc>
      </w:tr>
    </w:tbl>
    <w:p w14:paraId="1EDC76BD"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0AC3EB1C"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191F385D"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a. the Bigal 2015 results and Sakai 2021a results are much higher than dodick study wich is a larger study. Heterogeneity is significant</w:t>
      </w:r>
    </w:p>
    <w:p w14:paraId="5DC1FB2F" w14:textId="77777777" w:rsidR="00B41992" w:rsidRDefault="00B41992" w:rsidP="00B41992">
      <w:pPr>
        <w:rPr>
          <w:rFonts w:ascii="Arial Narrow" w:eastAsia="Times New Roman" w:hAnsi="Arial Narrow"/>
          <w:color w:val="000000"/>
          <w:sz w:val="14"/>
          <w:szCs w:val="14"/>
          <w:lang w:val="en"/>
        </w:rPr>
      </w:pPr>
    </w:p>
    <w:p w14:paraId="75CE2B23" w14:textId="77777777" w:rsidR="00B41992" w:rsidRPr="009B1AC2" w:rsidRDefault="00B41992" w:rsidP="00B41992">
      <w:pPr>
        <w:rPr>
          <w:b/>
          <w:bCs/>
          <w:sz w:val="32"/>
          <w:szCs w:val="32"/>
        </w:rPr>
      </w:pPr>
      <w:r w:rsidRPr="009B1AC2">
        <w:rPr>
          <w:b/>
          <w:bCs/>
          <w:sz w:val="32"/>
          <w:szCs w:val="32"/>
        </w:rPr>
        <w:t>3.4.2 Fremanezmab in Chronic Migraine</w:t>
      </w:r>
    </w:p>
    <w:p w14:paraId="0159E198" w14:textId="77777777" w:rsidR="00B41992" w:rsidRPr="00761814" w:rsidRDefault="00B41992" w:rsidP="00B41992">
      <w:bookmarkStart w:id="7" w:name="_Hlk151726846"/>
      <w:r w:rsidRPr="00761814">
        <w:t>There were 2 studies found: Sakai et al 2021</w:t>
      </w:r>
      <w:r>
        <w:fldChar w:fldCharType="begin"/>
      </w:r>
      <w:r>
        <w:instrText xml:space="preserve"> ADDIN ZOTERO_ITEM CSL_CITATION {"citationID":"j8Zgqjyo","properties":{"formattedCitation":"(47)","plainCitation":"(47)","noteIndex":0},"citationItems":[{"id":5824,"uris":["http://zotero.org/users/5131939/items/TKPQJ9JE"],"itemData":{"id":5824,"type":"article-journal","archive_location":"34324700","container-title":"Headache","DOI":"10.1111/head.14169","issue":"7","journalAbbreviation":"Headache","page":"1092-1101","title":"Efficacy and safety of fremanezumab for chronic migraine prevention: Multicenter, randomized, double-blind, placebo-controlled, parallel-group trial in Japanese and Korean patients","volume":"61","author":[{"family":"Sakai","given":"F."},{"family":"Suzuki","given":"N."},{"family":"Kim","given":"B. K."},{"family":"Igarashi","given":"H."},{"family":"Hirata","given":"K."},{"family":"Takeshima","given":"T."},{"family":"Ning","given":"X."},{"family":"Shima","given":"T."},{"family":"Ishida","given":"M."},{"family":"Iba","given":"K."},{"family":"Kondo","given":"H."},{"family":"Koga","given":"N."}],"issued":{"date-parts":[["2021"]]}}}],"schema":"https://github.com/citation-style-language/schema/raw/master/csl-citation.json"} </w:instrText>
      </w:r>
      <w:r>
        <w:fldChar w:fldCharType="separate"/>
      </w:r>
      <w:r w:rsidRPr="000E2478">
        <w:rPr>
          <w:rFonts w:ascii="Calibri" w:hAnsi="Calibri" w:cs="Calibri"/>
        </w:rPr>
        <w:t>(47)</w:t>
      </w:r>
      <w:r>
        <w:fldChar w:fldCharType="end"/>
      </w:r>
      <w:r w:rsidRPr="00761814">
        <w:t>, Silberstein et al 2017</w:t>
      </w:r>
      <w:r>
        <w:fldChar w:fldCharType="begin"/>
      </w:r>
      <w:r>
        <w:instrText xml:space="preserve"> ADDIN ZOTERO_ITEM CSL_CITATION {"citationID":"esyGA4s1","properties":{"formattedCitation":"(48)","plainCitation":"(48)","noteIndex":0},"citationItems":[{"id":12,"uris":["http://zotero.org/users/5131939/items/HVAJFTY3"],"itemData":{"id":12,"type":"article-journal","container-title":"New England Journal of Medicine","issue":"22","page":"2113-2122","title":"Fremanezumab for the preventive treatment of chronic migraine","volume":"377","author":[{"family":"Silberstein","given":"Stephen D."},{"family":"Dodick","given":"David W."},{"family":"Bigal","given":"Marcelo E."},{"family":"Yeung","given":"Paul P."},{"family":"Goadsby","given":"Peter J."},{"family":"Blankenbiller","given":"Tricia"},{"family":"Grozinski-Wolff","given":"Melissa"},{"family":"Yang","given":"Ronghua"},{"family":"Ma","given":"Yuju"},{"family":"Aycardi","given":"Ernesto"}],"issued":{"date-parts":[["2017"]]}}}],"schema":"https://github.com/citation-style-language/schema/raw/master/csl-citation.json"} </w:instrText>
      </w:r>
      <w:r>
        <w:fldChar w:fldCharType="separate"/>
      </w:r>
      <w:r w:rsidRPr="000E2478">
        <w:rPr>
          <w:rFonts w:ascii="Calibri" w:hAnsi="Calibri" w:cs="Calibri"/>
        </w:rPr>
        <w:t>(48)</w:t>
      </w:r>
      <w:r>
        <w:fldChar w:fldCharType="end"/>
      </w:r>
      <w:r w:rsidRPr="00761814">
        <w:t>.</w:t>
      </w:r>
    </w:p>
    <w:bookmarkEnd w:id="7"/>
    <w:p w14:paraId="70302BB4" w14:textId="77777777" w:rsidR="00B41992" w:rsidRPr="007E798C" w:rsidRDefault="00B41992" w:rsidP="00B41992">
      <w:pPr>
        <w:rPr>
          <w:b/>
          <w:bCs/>
          <w:u w:val="single"/>
        </w:rPr>
      </w:pPr>
      <w:r w:rsidRPr="007E798C">
        <w:rPr>
          <w:b/>
          <w:bCs/>
          <w:u w:val="single"/>
        </w:rPr>
        <w:t>Migraine Day Reduction</w:t>
      </w:r>
    </w:p>
    <w:p w14:paraId="03098E09" w14:textId="77777777" w:rsidR="00B41992" w:rsidRPr="007E798C" w:rsidRDefault="00B41992" w:rsidP="00B41992">
      <w:pPr>
        <w:rPr>
          <w:b/>
          <w:bCs/>
          <w:u w:val="single"/>
        </w:rPr>
      </w:pPr>
      <w:r>
        <w:rPr>
          <w:noProof/>
        </w:rPr>
        <w:lastRenderedPageBreak/>
        <w:drawing>
          <wp:inline distT="0" distB="0" distL="0" distR="0" wp14:anchorId="41238B66" wp14:editId="0BA79C0E">
            <wp:extent cx="5943600" cy="2545080"/>
            <wp:effectExtent l="0" t="0" r="0" b="0"/>
            <wp:docPr id="670110933" name="Graphic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10933" name="Graphic 670110933"/>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943600" cy="2545080"/>
                    </a:xfrm>
                    <a:prstGeom prst="rect">
                      <a:avLst/>
                    </a:prstGeom>
                  </pic:spPr>
                </pic:pic>
              </a:graphicData>
            </a:graphic>
          </wp:inline>
        </w:drawing>
      </w:r>
    </w:p>
    <w:p w14:paraId="209A8EAB" w14:textId="77777777" w:rsidR="00B41992" w:rsidRPr="007E798C" w:rsidRDefault="00B41992" w:rsidP="00B41992">
      <w:pPr>
        <w:rPr>
          <w:b/>
          <w:bCs/>
          <w:noProof/>
          <w:u w:val="single"/>
        </w:rPr>
      </w:pPr>
      <w:r w:rsidRPr="007E798C">
        <w:rPr>
          <w:b/>
          <w:bCs/>
          <w:u w:val="single"/>
        </w:rPr>
        <w:t>50% Responder Rat</w:t>
      </w:r>
      <w:r w:rsidRPr="007E798C">
        <w:rPr>
          <w:b/>
          <w:bCs/>
          <w:noProof/>
          <w:u w:val="single"/>
        </w:rPr>
        <w:t>e</w:t>
      </w:r>
    </w:p>
    <w:p w14:paraId="645FEDB8" w14:textId="77777777" w:rsidR="00B41992" w:rsidRDefault="00B41992" w:rsidP="00B41992">
      <w:r>
        <w:rPr>
          <w:noProof/>
        </w:rPr>
        <w:drawing>
          <wp:inline distT="0" distB="0" distL="0" distR="0" wp14:anchorId="381A69F4" wp14:editId="685F7733">
            <wp:extent cx="5943600" cy="2927985"/>
            <wp:effectExtent l="0" t="0" r="0" b="0"/>
            <wp:docPr id="593919951"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9951" name="Graphic 59391995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943600" cy="2927985"/>
                    </a:xfrm>
                    <a:prstGeom prst="rect">
                      <a:avLst/>
                    </a:prstGeom>
                  </pic:spPr>
                </pic:pic>
              </a:graphicData>
            </a:graphic>
          </wp:inline>
        </w:drawing>
      </w:r>
    </w:p>
    <w:p w14:paraId="4F2F9425" w14:textId="77777777" w:rsidR="00B41992" w:rsidRDefault="00B41992" w:rsidP="00B41992">
      <w:pPr>
        <w:rPr>
          <w:b/>
          <w:bCs/>
          <w:u w:val="single"/>
        </w:rPr>
      </w:pPr>
    </w:p>
    <w:p w14:paraId="6F532349" w14:textId="77777777" w:rsidR="00B41992" w:rsidRDefault="00B41992" w:rsidP="00B41992">
      <w:pPr>
        <w:rPr>
          <w:b/>
          <w:bCs/>
          <w:u w:val="single"/>
        </w:rPr>
      </w:pPr>
    </w:p>
    <w:p w14:paraId="637D8B2C" w14:textId="77777777" w:rsidR="00B41992" w:rsidRDefault="00B41992" w:rsidP="00B41992">
      <w:pPr>
        <w:rPr>
          <w:b/>
          <w:bCs/>
          <w:u w:val="single"/>
        </w:rPr>
      </w:pPr>
    </w:p>
    <w:p w14:paraId="6251074D" w14:textId="77777777" w:rsidR="00B41992" w:rsidRDefault="00B41992" w:rsidP="00B41992">
      <w:pPr>
        <w:rPr>
          <w:b/>
          <w:bCs/>
          <w:u w:val="single"/>
        </w:rPr>
      </w:pPr>
    </w:p>
    <w:p w14:paraId="5991F986" w14:textId="77777777" w:rsidR="00B41992" w:rsidRDefault="00B41992" w:rsidP="00B41992">
      <w:pPr>
        <w:rPr>
          <w:b/>
          <w:bCs/>
          <w:u w:val="single"/>
        </w:rPr>
      </w:pPr>
    </w:p>
    <w:p w14:paraId="501E80BD" w14:textId="77777777" w:rsidR="00B41992" w:rsidRDefault="00B41992" w:rsidP="00B41992">
      <w:pPr>
        <w:rPr>
          <w:b/>
          <w:bCs/>
          <w:u w:val="single"/>
        </w:rPr>
      </w:pPr>
    </w:p>
    <w:p w14:paraId="3D3DC48D" w14:textId="77777777" w:rsidR="00B41992" w:rsidRDefault="00B41992" w:rsidP="00B41992">
      <w:pPr>
        <w:rPr>
          <w:b/>
          <w:bCs/>
          <w:u w:val="single"/>
        </w:rPr>
      </w:pPr>
    </w:p>
    <w:p w14:paraId="05AA32AA" w14:textId="77777777" w:rsidR="00B41992" w:rsidRDefault="00B41992" w:rsidP="00B41992">
      <w:pPr>
        <w:rPr>
          <w:b/>
          <w:bCs/>
          <w:u w:val="single"/>
        </w:rPr>
      </w:pPr>
    </w:p>
    <w:p w14:paraId="6D664446" w14:textId="77777777" w:rsidR="00B41992" w:rsidRDefault="00B41992" w:rsidP="00B41992">
      <w:pPr>
        <w:rPr>
          <w:b/>
          <w:bCs/>
          <w:u w:val="single"/>
        </w:rPr>
      </w:pPr>
    </w:p>
    <w:p w14:paraId="07562B31" w14:textId="77777777" w:rsidR="00B41992" w:rsidRDefault="00B41992" w:rsidP="00B41992">
      <w:pPr>
        <w:rPr>
          <w:b/>
          <w:bCs/>
          <w:u w:val="single"/>
        </w:rPr>
      </w:pPr>
    </w:p>
    <w:p w14:paraId="0FC3B0B9" w14:textId="77777777" w:rsidR="00B41992" w:rsidRDefault="00B41992" w:rsidP="00B41992">
      <w:pPr>
        <w:rPr>
          <w:b/>
          <w:bCs/>
          <w:u w:val="single"/>
        </w:rPr>
      </w:pPr>
    </w:p>
    <w:p w14:paraId="615F6C57" w14:textId="77777777" w:rsidR="00B41992" w:rsidRDefault="00B41992" w:rsidP="00B41992">
      <w:pPr>
        <w:rPr>
          <w:b/>
          <w:bCs/>
          <w:u w:val="single"/>
        </w:rPr>
      </w:pPr>
    </w:p>
    <w:p w14:paraId="24CC3C38" w14:textId="77777777" w:rsidR="00B41992" w:rsidRDefault="00B41992" w:rsidP="00B41992">
      <w:pPr>
        <w:rPr>
          <w:b/>
          <w:bCs/>
          <w:u w:val="single"/>
        </w:rPr>
      </w:pPr>
    </w:p>
    <w:p w14:paraId="4A2EF86D" w14:textId="77777777" w:rsidR="00B41992" w:rsidRDefault="00B41992" w:rsidP="00B41992">
      <w:pPr>
        <w:rPr>
          <w:b/>
          <w:bCs/>
          <w:u w:val="single"/>
        </w:rPr>
      </w:pPr>
    </w:p>
    <w:p w14:paraId="06FD3D66" w14:textId="77777777" w:rsidR="00B41992" w:rsidRPr="007E798C" w:rsidRDefault="00B41992" w:rsidP="00B41992">
      <w:pPr>
        <w:rPr>
          <w:b/>
          <w:bCs/>
          <w:u w:val="single"/>
        </w:rPr>
      </w:pPr>
      <w:r w:rsidRPr="007E798C">
        <w:rPr>
          <w:b/>
          <w:bCs/>
          <w:u w:val="single"/>
        </w:rPr>
        <w:lastRenderedPageBreak/>
        <w:t>Adverse Events</w:t>
      </w:r>
    </w:p>
    <w:p w14:paraId="3C2936B1" w14:textId="77777777" w:rsidR="00B41992" w:rsidRDefault="00B41992" w:rsidP="00B41992">
      <w:r>
        <w:rPr>
          <w:noProof/>
        </w:rPr>
        <w:drawing>
          <wp:inline distT="0" distB="0" distL="0" distR="0" wp14:anchorId="316CDD42" wp14:editId="3870FEE0">
            <wp:extent cx="5943600" cy="2927985"/>
            <wp:effectExtent l="0" t="0" r="0" b="0"/>
            <wp:docPr id="6435064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06447" name="Graphic 643506447"/>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943600" cy="2927985"/>
                    </a:xfrm>
                    <a:prstGeom prst="rect">
                      <a:avLst/>
                    </a:prstGeom>
                  </pic:spPr>
                </pic:pic>
              </a:graphicData>
            </a:graphic>
          </wp:inline>
        </w:drawing>
      </w:r>
    </w:p>
    <w:p w14:paraId="1423E677" w14:textId="77777777"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Fremazenumab in Chronic Migraine</w:t>
      </w:r>
    </w:p>
    <w:p w14:paraId="404D259E"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Fremanezumab compared to placebo for chronic migraine</w:t>
      </w: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26"/>
        <w:gridCol w:w="862"/>
        <w:gridCol w:w="779"/>
        <w:gridCol w:w="749"/>
        <w:gridCol w:w="909"/>
        <w:gridCol w:w="903"/>
        <w:gridCol w:w="609"/>
        <w:gridCol w:w="620"/>
        <w:gridCol w:w="607"/>
        <w:gridCol w:w="807"/>
        <w:gridCol w:w="801"/>
      </w:tblGrid>
      <w:tr w:rsidR="00B41992" w14:paraId="393E18B3"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AA8F5B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EE6523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4ED6D7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38E15F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CEDC8D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76CA4B98"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E4660E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D00112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9FB8F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888093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5D5636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652847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6B179B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9828B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fremanezumab</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55DF0C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FEA0FE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170020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10AB7D6"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633B58CB" w14:textId="77777777" w:rsidR="00B41992" w:rsidRDefault="00B41992" w:rsidP="0062262B">
            <w:pPr>
              <w:rPr>
                <w:rFonts w:ascii="Arial Narrow" w:eastAsia="Times New Roman" w:hAnsi="Arial Narrow"/>
                <w:b/>
                <w:bCs/>
                <w:color w:val="FFFFFF"/>
                <w:sz w:val="13"/>
                <w:szCs w:val="13"/>
              </w:rPr>
            </w:pPr>
          </w:p>
        </w:tc>
      </w:tr>
      <w:tr w:rsidR="00B41992" w14:paraId="586FFF46"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49C2FCFB"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w:t>
            </w:r>
          </w:p>
        </w:tc>
      </w:tr>
      <w:tr w:rsidR="00B41992" w14:paraId="484AEFD9"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5BA1155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4DBBAC0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3C4509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D54202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F62183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148AC1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BFF80D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3FDB92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564</w:t>
            </w:r>
          </w:p>
        </w:tc>
        <w:tc>
          <w:tcPr>
            <w:tcW w:w="400" w:type="pct"/>
            <w:tcBorders>
              <w:top w:val="single" w:sz="6" w:space="0" w:color="000000"/>
              <w:left w:val="single" w:sz="6" w:space="0" w:color="000000"/>
              <w:bottom w:val="single" w:sz="6" w:space="0" w:color="000000"/>
              <w:right w:val="single" w:sz="6" w:space="0" w:color="000000"/>
            </w:tcBorders>
            <w:hideMark/>
          </w:tcPr>
          <w:p w14:paraId="07B5D8E1"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561</w:t>
            </w:r>
          </w:p>
        </w:tc>
        <w:tc>
          <w:tcPr>
            <w:tcW w:w="400" w:type="pct"/>
            <w:tcBorders>
              <w:top w:val="single" w:sz="6" w:space="0" w:color="000000"/>
              <w:left w:val="single" w:sz="6" w:space="0" w:color="000000"/>
              <w:bottom w:val="single" w:sz="6" w:space="0" w:color="000000"/>
              <w:right w:val="single" w:sz="6" w:space="0" w:color="000000"/>
            </w:tcBorders>
            <w:hideMark/>
          </w:tcPr>
          <w:p w14:paraId="664DE7EF"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55C79E81"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1.76 day lower</w:t>
            </w:r>
            <w:r>
              <w:rPr>
                <w:rFonts w:ascii="Arial Narrow" w:eastAsia="Times New Roman" w:hAnsi="Arial Narrow"/>
                <w:sz w:val="13"/>
                <w:szCs w:val="13"/>
              </w:rPr>
              <w:br/>
            </w:r>
            <w:r>
              <w:rPr>
                <w:rStyle w:val="cell-value"/>
                <w:rFonts w:ascii="Arial Narrow" w:eastAsia="Times New Roman" w:hAnsi="Arial Narrow"/>
                <w:sz w:val="13"/>
                <w:szCs w:val="13"/>
              </w:rPr>
              <w:t>(2.43 lower to 1.1 lower)</w:t>
            </w:r>
          </w:p>
        </w:tc>
        <w:tc>
          <w:tcPr>
            <w:tcW w:w="750" w:type="dxa"/>
            <w:tcBorders>
              <w:top w:val="single" w:sz="6" w:space="0" w:color="000000"/>
              <w:left w:val="single" w:sz="6" w:space="0" w:color="000000"/>
              <w:bottom w:val="single" w:sz="6" w:space="0" w:color="000000"/>
              <w:right w:val="single" w:sz="6" w:space="0" w:color="000000"/>
            </w:tcBorders>
            <w:hideMark/>
          </w:tcPr>
          <w:p w14:paraId="66189D2B"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59526073" w14:textId="77777777" w:rsidR="00B41992" w:rsidRDefault="00B41992" w:rsidP="0062262B">
            <w:pPr>
              <w:jc w:val="center"/>
              <w:rPr>
                <w:rFonts w:ascii="Arial Narrow" w:eastAsia="Times New Roman" w:hAnsi="Arial Narrow"/>
                <w:sz w:val="13"/>
                <w:szCs w:val="13"/>
              </w:rPr>
            </w:pPr>
          </w:p>
        </w:tc>
      </w:tr>
      <w:tr w:rsidR="00B41992" w14:paraId="1BB9325A"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7DE02A06"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397D47FA"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ACD581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22B89F4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FC3407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08D98C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32B124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6696E5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5BB925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7EAFCE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196/554 (35.4%) </w:t>
            </w:r>
          </w:p>
        </w:tc>
        <w:tc>
          <w:tcPr>
            <w:tcW w:w="400" w:type="pct"/>
            <w:tcBorders>
              <w:top w:val="single" w:sz="6" w:space="0" w:color="000000"/>
              <w:left w:val="single" w:sz="6" w:space="0" w:color="000000"/>
              <w:bottom w:val="single" w:sz="6" w:space="0" w:color="000000"/>
              <w:right w:val="single" w:sz="6" w:space="0" w:color="000000"/>
            </w:tcBorders>
            <w:hideMark/>
          </w:tcPr>
          <w:p w14:paraId="7CF54B89"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92/561 (16.4%) </w:t>
            </w:r>
          </w:p>
        </w:tc>
        <w:tc>
          <w:tcPr>
            <w:tcW w:w="400" w:type="pct"/>
            <w:tcBorders>
              <w:top w:val="single" w:sz="6" w:space="0" w:color="000000"/>
              <w:left w:val="single" w:sz="6" w:space="0" w:color="000000"/>
              <w:bottom w:val="single" w:sz="6" w:space="0" w:color="000000"/>
              <w:right w:val="single" w:sz="6" w:space="0" w:color="000000"/>
            </w:tcBorders>
            <w:hideMark/>
          </w:tcPr>
          <w:p w14:paraId="695FBF41"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2.73</w:t>
            </w:r>
            <w:r>
              <w:rPr>
                <w:rFonts w:ascii="Arial Narrow" w:eastAsia="Times New Roman" w:hAnsi="Arial Narrow"/>
                <w:sz w:val="13"/>
                <w:szCs w:val="13"/>
              </w:rPr>
              <w:br/>
            </w:r>
            <w:r>
              <w:rPr>
                <w:rStyle w:val="cell"/>
                <w:rFonts w:ascii="Arial Narrow" w:eastAsia="Times New Roman" w:hAnsi="Arial Narrow"/>
                <w:sz w:val="13"/>
                <w:szCs w:val="13"/>
              </w:rPr>
              <w:t>(2.05 to 3.62)</w:t>
            </w:r>
          </w:p>
        </w:tc>
        <w:tc>
          <w:tcPr>
            <w:tcW w:w="0" w:type="auto"/>
            <w:tcBorders>
              <w:top w:val="single" w:sz="6" w:space="0" w:color="000000"/>
              <w:left w:val="single" w:sz="6" w:space="0" w:color="000000"/>
              <w:bottom w:val="single" w:sz="6" w:space="0" w:color="000000"/>
              <w:right w:val="single" w:sz="6" w:space="0" w:color="000000"/>
            </w:tcBorders>
            <w:hideMark/>
          </w:tcPr>
          <w:p w14:paraId="1938FD7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18 more per 100</w:t>
            </w:r>
            <w:r>
              <w:rPr>
                <w:rFonts w:ascii="Arial Narrow" w:eastAsia="Times New Roman" w:hAnsi="Arial Narrow"/>
                <w:sz w:val="13"/>
                <w:szCs w:val="13"/>
              </w:rPr>
              <w:br/>
              <w:t>(from 12 more to 25 more)</w:t>
            </w:r>
          </w:p>
        </w:tc>
        <w:tc>
          <w:tcPr>
            <w:tcW w:w="750" w:type="dxa"/>
            <w:tcBorders>
              <w:top w:val="single" w:sz="6" w:space="0" w:color="000000"/>
              <w:left w:val="single" w:sz="6" w:space="0" w:color="000000"/>
              <w:bottom w:val="single" w:sz="6" w:space="0" w:color="000000"/>
              <w:right w:val="single" w:sz="6" w:space="0" w:color="000000"/>
            </w:tcBorders>
            <w:hideMark/>
          </w:tcPr>
          <w:p w14:paraId="3A6000A4"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10056195" w14:textId="77777777" w:rsidR="00B41992" w:rsidRDefault="00B41992" w:rsidP="0062262B">
            <w:pPr>
              <w:jc w:val="center"/>
              <w:rPr>
                <w:rFonts w:ascii="Arial Narrow" w:eastAsia="Times New Roman" w:hAnsi="Arial Narrow"/>
                <w:sz w:val="13"/>
                <w:szCs w:val="13"/>
              </w:rPr>
            </w:pPr>
          </w:p>
        </w:tc>
      </w:tr>
      <w:tr w:rsidR="00B41992" w14:paraId="0DDB76A8"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163F1A2A"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12 weeks)</w:t>
            </w:r>
          </w:p>
        </w:tc>
      </w:tr>
      <w:tr w:rsidR="00B41992" w14:paraId="208A98EA"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3763C3C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095989D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B0A0F4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BF9725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BA408A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EED16C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890CDC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63234B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381/566 (67.3%) </w:t>
            </w:r>
          </w:p>
        </w:tc>
        <w:tc>
          <w:tcPr>
            <w:tcW w:w="400" w:type="pct"/>
            <w:tcBorders>
              <w:top w:val="single" w:sz="6" w:space="0" w:color="000000"/>
              <w:left w:val="single" w:sz="6" w:space="0" w:color="000000"/>
              <w:bottom w:val="single" w:sz="6" w:space="0" w:color="000000"/>
              <w:right w:val="single" w:sz="6" w:space="0" w:color="000000"/>
            </w:tcBorders>
            <w:hideMark/>
          </w:tcPr>
          <w:p w14:paraId="0F1C1A09"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358/566 (63.3%) </w:t>
            </w:r>
          </w:p>
        </w:tc>
        <w:tc>
          <w:tcPr>
            <w:tcW w:w="400" w:type="pct"/>
            <w:tcBorders>
              <w:top w:val="single" w:sz="6" w:space="0" w:color="000000"/>
              <w:left w:val="single" w:sz="6" w:space="0" w:color="000000"/>
              <w:bottom w:val="single" w:sz="6" w:space="0" w:color="000000"/>
              <w:right w:val="single" w:sz="6" w:space="0" w:color="000000"/>
            </w:tcBorders>
            <w:hideMark/>
          </w:tcPr>
          <w:p w14:paraId="441F736E"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1.18</w:t>
            </w:r>
            <w:r>
              <w:rPr>
                <w:rFonts w:ascii="Arial Narrow" w:eastAsia="Times New Roman" w:hAnsi="Arial Narrow"/>
                <w:sz w:val="13"/>
                <w:szCs w:val="13"/>
              </w:rPr>
              <w:br/>
            </w:r>
            <w:r>
              <w:rPr>
                <w:rStyle w:val="cell"/>
                <w:rFonts w:ascii="Arial Narrow" w:eastAsia="Times New Roman" w:hAnsi="Arial Narrow"/>
                <w:sz w:val="13"/>
                <w:szCs w:val="13"/>
              </w:rPr>
              <w:t>(0.86 to 1.61)</w:t>
            </w:r>
          </w:p>
        </w:tc>
        <w:tc>
          <w:tcPr>
            <w:tcW w:w="0" w:type="auto"/>
            <w:tcBorders>
              <w:top w:val="single" w:sz="6" w:space="0" w:color="000000"/>
              <w:left w:val="single" w:sz="6" w:space="0" w:color="000000"/>
              <w:bottom w:val="single" w:sz="6" w:space="0" w:color="000000"/>
              <w:right w:val="single" w:sz="6" w:space="0" w:color="000000"/>
            </w:tcBorders>
            <w:hideMark/>
          </w:tcPr>
          <w:p w14:paraId="059C2A9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4 more per 100</w:t>
            </w:r>
            <w:r>
              <w:rPr>
                <w:rFonts w:ascii="Arial Narrow" w:eastAsia="Times New Roman" w:hAnsi="Arial Narrow"/>
                <w:sz w:val="13"/>
                <w:szCs w:val="13"/>
              </w:rPr>
              <w:br/>
              <w:t>(from 4 fewer to 10 more)</w:t>
            </w:r>
          </w:p>
        </w:tc>
        <w:tc>
          <w:tcPr>
            <w:tcW w:w="750" w:type="dxa"/>
            <w:tcBorders>
              <w:top w:val="single" w:sz="6" w:space="0" w:color="000000"/>
              <w:left w:val="single" w:sz="6" w:space="0" w:color="000000"/>
              <w:bottom w:val="single" w:sz="6" w:space="0" w:color="000000"/>
              <w:right w:val="single" w:sz="6" w:space="0" w:color="000000"/>
            </w:tcBorders>
            <w:hideMark/>
          </w:tcPr>
          <w:p w14:paraId="531A9E59"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3F399EB7" w14:textId="77777777" w:rsidR="00B41992" w:rsidRDefault="00B41992" w:rsidP="0062262B">
            <w:pPr>
              <w:jc w:val="center"/>
              <w:rPr>
                <w:rFonts w:ascii="Arial Narrow" w:eastAsia="Times New Roman" w:hAnsi="Arial Narrow"/>
                <w:sz w:val="13"/>
                <w:szCs w:val="13"/>
              </w:rPr>
            </w:pPr>
          </w:p>
        </w:tc>
      </w:tr>
    </w:tbl>
    <w:p w14:paraId="001918F6"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5DDF4193" w14:textId="77777777" w:rsidR="00B41992" w:rsidRPr="000E2478" w:rsidRDefault="00B41992" w:rsidP="00B41992">
      <w:pPr>
        <w:rPr>
          <w:sz w:val="32"/>
          <w:szCs w:val="32"/>
        </w:rPr>
      </w:pPr>
    </w:p>
    <w:p w14:paraId="58E384AF" w14:textId="77777777" w:rsidR="00B41992" w:rsidRDefault="00B41992" w:rsidP="00B41992">
      <w:pPr>
        <w:rPr>
          <w:b/>
          <w:bCs/>
          <w:sz w:val="32"/>
          <w:szCs w:val="32"/>
        </w:rPr>
      </w:pPr>
    </w:p>
    <w:p w14:paraId="2B6624B6" w14:textId="77777777" w:rsidR="00B41992" w:rsidRDefault="00B41992" w:rsidP="00B41992">
      <w:pPr>
        <w:rPr>
          <w:b/>
          <w:bCs/>
          <w:sz w:val="32"/>
          <w:szCs w:val="32"/>
        </w:rPr>
      </w:pPr>
    </w:p>
    <w:p w14:paraId="089B2C9E" w14:textId="77777777" w:rsidR="00B41992" w:rsidRDefault="00B41992" w:rsidP="00B41992">
      <w:pPr>
        <w:rPr>
          <w:b/>
          <w:bCs/>
          <w:sz w:val="32"/>
          <w:szCs w:val="32"/>
        </w:rPr>
      </w:pPr>
    </w:p>
    <w:p w14:paraId="440B5C5A" w14:textId="77777777" w:rsidR="00B41992" w:rsidRDefault="00B41992" w:rsidP="00B41992">
      <w:pPr>
        <w:rPr>
          <w:b/>
          <w:bCs/>
          <w:sz w:val="32"/>
          <w:szCs w:val="32"/>
        </w:rPr>
      </w:pPr>
    </w:p>
    <w:p w14:paraId="02E2AFF5" w14:textId="77777777" w:rsidR="00B41992" w:rsidRDefault="00B41992" w:rsidP="00B41992">
      <w:pPr>
        <w:rPr>
          <w:b/>
          <w:bCs/>
          <w:sz w:val="32"/>
          <w:szCs w:val="32"/>
        </w:rPr>
      </w:pPr>
    </w:p>
    <w:p w14:paraId="4D84F384" w14:textId="77777777" w:rsidR="00B41992" w:rsidRDefault="00B41992" w:rsidP="00B41992">
      <w:pPr>
        <w:rPr>
          <w:b/>
          <w:bCs/>
          <w:sz w:val="32"/>
          <w:szCs w:val="32"/>
        </w:rPr>
      </w:pPr>
    </w:p>
    <w:p w14:paraId="007EDA90" w14:textId="77777777" w:rsidR="00B41992" w:rsidRDefault="00B41992" w:rsidP="00B41992">
      <w:pPr>
        <w:rPr>
          <w:b/>
          <w:bCs/>
          <w:sz w:val="32"/>
          <w:szCs w:val="32"/>
        </w:rPr>
      </w:pPr>
    </w:p>
    <w:p w14:paraId="1D9374FF" w14:textId="77777777" w:rsidR="00B41992" w:rsidRPr="009B1AC2" w:rsidRDefault="00B41992" w:rsidP="00B41992">
      <w:r w:rsidRPr="009B1AC2">
        <w:rPr>
          <w:b/>
          <w:bCs/>
          <w:sz w:val="32"/>
          <w:szCs w:val="32"/>
        </w:rPr>
        <w:t>3.5.1 Galcanezumab in Episodic Migraine</w:t>
      </w:r>
    </w:p>
    <w:p w14:paraId="3CFC1455" w14:textId="77777777" w:rsidR="00B41992" w:rsidRPr="00DC4B20" w:rsidRDefault="00B41992" w:rsidP="00B41992">
      <w:bookmarkStart w:id="8" w:name="_Hlk151727893"/>
      <w:r w:rsidRPr="00DC4B20">
        <w:t>There were 5 studies found:</w:t>
      </w:r>
      <w:r>
        <w:t xml:space="preserve"> Hu et al, 2022</w:t>
      </w:r>
      <w:r>
        <w:fldChar w:fldCharType="begin"/>
      </w:r>
      <w:r>
        <w:instrText xml:space="preserve"> ADDIN ZOTERO_ITEM CSL_CITATION {"citationID":"aHJHCzSD","properties":{"formattedCitation":"(50)","plainCitation":"(50)","noteIndex":0},"citationItems":[{"id":5818,"uris":["http://zotero.org/users/5131939/items/2BSGNAE2"],"itemData":{"id":5818,"type":"article-journal","archive_location":"35896988","container-title":"Journal of Headache and Pain","DOI":"10.1186/s10194-022-01458-0","issue":"1","journalAbbreviation":"Journal of Headache and Pain","page":"90","title":"Galcanezumab in episodic migraine: the phase 3, randomized, double-blind, placebo-controlled PERSIST study","volume":"23","author":[{"family":"Hu","given":"B."},{"family":"Li","given":"G."},{"family":"Li","given":"X."},{"family":"Wu","given":"S."},{"family":"Yu","given":"T."},{"family":"Li","given":"X."},{"family":"Zhao","given":"H."},{"family":"Jia","given":"Z."},{"family":"Zhuang","given":"J."},{"family":"Yu","given":"S."}],"issued":{"date-parts":[["2022"]]}}}],"schema":"https://github.com/citation-style-language/schema/raw/master/csl-citation.json"} </w:instrText>
      </w:r>
      <w:r>
        <w:fldChar w:fldCharType="separate"/>
      </w:r>
      <w:r w:rsidRPr="006F3388">
        <w:rPr>
          <w:rFonts w:ascii="Calibri" w:hAnsi="Calibri" w:cs="Calibri"/>
        </w:rPr>
        <w:t>(50)</w:t>
      </w:r>
      <w:r>
        <w:fldChar w:fldCharType="end"/>
      </w:r>
      <w:r>
        <w:t>; Sakai et al, 2021</w:t>
      </w:r>
      <w:r>
        <w:fldChar w:fldCharType="begin"/>
      </w:r>
      <w:r>
        <w:instrText xml:space="preserve"> ADDIN ZOTERO_ITEM CSL_CITATION {"citationID":"Ft3Jgyat","properties":{"formattedCitation":"(53)","plainCitation":"(53)","noteIndex":0},"citationItems":[{"id":5867,"uris":["http://zotero.org/users/5131939/items/NNWPRUHP"],"itemData":{"id":5867,"type":"article-journal","abstract":"Objective: This study was designed to assess the efficacy and safety of galcanezumab in comparison with placebo for the prevention of migraine in Japanese patients with episodic migraine. Method(s): In this double-blind, placebo-controlled study, which was conducted over 6 months, randomized adult patients received subcutaneous injections of galcanezumab (120 mg n = 115, 240 mg n = 114) or placebo (n = 230) once monthly. The primary endpoint was the overall mean change from baseline in the number of monthly migraine headache days. The key secondary outcome measures were response rates (&gt;=50%, &gt;=75%, and 100%); the Migraine-Specific Quality-of-Life Questionnaire Role Function-Restrictive score; monthly migraine headache days requiring acute treatment; and Patient Global Impression of Severity (PGI-S). Result(s): The mean change from baseline in monthly migraine headache days over months 1-6 was significantly (p &lt; 0.001) greater for the 120-mg galcanezumab dose (-3.60 days) and the 240-mg galcanezumab dose (-3.36 days) compared with placebo (-0.59 days). Both the 120-mg and 240-mg doses of galcanezumab were superior compared with placebo for each of the key secondary endpoints except for PGI-S (only the 240-mg dose was superior). The most commonly reported treatment-emergent adverse events were local injection-site reactions; erythema, swelling, pruritus, and pain were more commonly reported by patients who were treated with galcanezumab than those treated with placebo. Conclusion(s): The number of monthly migraine headache days was reduced with both doses of galcanezumab, and both doses were safe and well tolerated in Japanese patients with episodic migraine. Copyright © The Author(s) 2020.","archive_location":"2005611510","container-title":"Cephalalgia Reports","DOI":"10.1177/2515816320932573","issue":"no pagination","journalAbbreviation":"Cephalalgia Reports","title":"Efficacy and safety of galcanezumab for prevention of migraine headache in Japanese patients with episodic migraine: A phase 2 randomized controlled clinical trial","URL":"https://uk.sagepub.com/en-gb/eur/cephalalgia-reports/journal203465","volume":"3","author":[{"family":"Sakai","given":"F."},{"family":"Ozeki","given":"A."},{"family":"Skljarevski","given":"V."}],"issued":{"date-parts":[["2020"]]}}}],"schema":"https://github.com/citation-style-language/schema/raw/master/csl-citation.json"} </w:instrText>
      </w:r>
      <w:r>
        <w:fldChar w:fldCharType="separate"/>
      </w:r>
      <w:r w:rsidRPr="006F3388">
        <w:rPr>
          <w:rFonts w:ascii="Calibri" w:hAnsi="Calibri" w:cs="Calibri"/>
        </w:rPr>
        <w:t>(53)</w:t>
      </w:r>
      <w:r>
        <w:fldChar w:fldCharType="end"/>
      </w:r>
      <w:r>
        <w:t>; Skljarevski et al, 2018 a and b</w:t>
      </w:r>
      <w:r>
        <w:fldChar w:fldCharType="begin"/>
      </w:r>
      <w:r>
        <w:instrText xml:space="preserve"> ADDIN ZOTERO_ITEM CSL_CITATION {"citationID":"zCDFjpu2","properties":{"formattedCitation":"(51,52)","plainCitation":"(51,52)","noteIndex":0},"citationItems":[{"id":5842,"uris":["http://zotero.org/users/5131939/items/E6458IHM"],"itemData":{"id":5842,"type":"article-journal","abstract":"Introduction Galcanezumab is a humanized monoclonal antibody binding calcitonin gene-related peptide, used for migraine prevention. Methods A global, double-blind, 6-month study of patients with episodic migraine was undertaken with 915 intent-to-treat patients randomized to monthly galcanezumab 120 mg (n = 231) or 240 mg (n = 223) or placebo (n = 461) subcutaneous injections. Primary endpoint was overall mean change from baseline in monthly migraine headache days. Key secondary endpoints were &gt;=50%, &gt;= 75%, and 100% response rates; monthly migraine headache days with acute migraine medication use; Patient Global Impression of Severity rating; the Role Function-Restrictive score of the Migraine-Specific Quality of Life Questionnaire. Results Mean monthly migraine headache days were reduced by 4.3 and 4.2 days by galcanezumab 120 and 240 mg, respectively, and 2.3 days by placebo. The group differences (95% CIs) versus placebo were 2.0 (-2.6, -1.5) and 1.9 (-2.4, -1.4), respectively. Both doses were superior to placebo for all key secondary endpoints. Injection site pain was the most common treatment-emergent adverse event, reported at similar rates in all treatment groups. Both galcanezumab doses had significantly more injection site reactions and injection site pruritus, and the 240 mg group had significantly more injection site erythema versus placebo. Conclusions Galcanezumab 120 or 240 mg given once monthly was efficacious, safe, and well tolerated. Study identification EVOLVE-2; NCT02614196; https://clinicaltrials.gov/ct2/show/NCT02614196 . Trial Registration NCT02614196.","archive_location":"29848108","container-title":"Cephalalgia","DOI":"10.1177/0333102418779543","issue":"8","journalAbbreviation":"Cephalalgia","page":"1442-1454","title":"Efficacy and safety of galcanezumab for the prevention of episodic migraine: Results of the EVOLVE-2 Phase 3 randomized controlled clinical trial","volume":"38","author":[{"family":"Skljarevski","given":"V."},{"family":"Matharu","given":"M."},{"family":"Millen","given":"B. A."},{"family":"Ossipov","given":"M. H."},{"family":"Kim","given":"B. K."},{"family":"Yang","given":"J. Y."}],"issued":{"date-parts":[["2018"]]}}},{"id":5846,"uris":["http://zotero.org/users/5131939/items/IIC4LR9U"],"itemData":{"id":5846,"type":"article-journal","archive_location":"29255900","container-title":"JAMA Neurology","DOI":"10.1001/jamaneurol.2017.3859","issue":"2","journalAbbreviation":"JAMA Neurology","page":"187-193","title":"Effect of Different Doses of Galcanezumab vs Placebo for Episodic Migraine Prevention: A Randomized Clinical Trial","volume":"75","author":[{"family":"Skljarevski","given":"V."},{"family":"Oakes","given":"T. M."},{"family":"Zhang","given":"Q."},{"family":"Ferguson","given":"M. B."},{"family":"Martinez","given":"J."},{"family":"Camporeale","given":"A."},{"family":"Johnson","given":"K. W."},{"family":"Shan","given":"Q."},{"family":"Carter","given":"J."},{"family":"Schacht","given":"A."},{"family":"Goadsby","given":"P. J."},{"family":"Dodick","given":"D. W."}],"issued":{"date-parts":[["2018"]]}}}],"schema":"https://github.com/citation-style-language/schema/raw/master/csl-citation.json"} </w:instrText>
      </w:r>
      <w:r>
        <w:fldChar w:fldCharType="separate"/>
      </w:r>
      <w:r w:rsidRPr="006F3388">
        <w:rPr>
          <w:rFonts w:ascii="Calibri" w:hAnsi="Calibri" w:cs="Calibri"/>
        </w:rPr>
        <w:t>(51,52)</w:t>
      </w:r>
      <w:r>
        <w:fldChar w:fldCharType="end"/>
      </w:r>
      <w:r>
        <w:t>; Stauffer et al, 2018</w:t>
      </w:r>
      <w:r>
        <w:fldChar w:fldCharType="begin"/>
      </w:r>
      <w:r>
        <w:instrText xml:space="preserve"> ADDIN ZOTERO_ITEM CSL_CITATION {"citationID":"WoUffsln","properties":{"formattedCitation":"(54)","plainCitation":"(54)","noteIndex":0},"citationItems":[{"id":5843,"uris":["http://zotero.org/users/5131939/items/HG38HJXD"],"itemData":{"id":5843,"type":"article-journal","archive_location":"29813147","container-title":"JAMA Neurology","DOI":"10.1001/jamaneurol.2018.1212","issue":"9","journalAbbreviation":"JAMA Neurology","page":"1080-1088","title":"Evaluation of Galcanezumab for the Prevention of Episodic Migraine: The EVOLVE-1 Randomized Clinical Trial","volume":"75","author":[{"family":"Stauffer","given":"V. L."},{"family":"Dodick","given":"D. W."},{"family":"Zhang","given":"Q."},{"family":"Carter","given":"J. N."},{"family":"Ailani","given":"J."},{"family":"Conley","given":"R. R."}],"issued":{"date-parts":[["2018"]]}}}],"schema":"https://github.com/citation-style-language/schema/raw/master/csl-citation.json"} </w:instrText>
      </w:r>
      <w:r>
        <w:fldChar w:fldCharType="separate"/>
      </w:r>
      <w:r w:rsidRPr="006F3388">
        <w:rPr>
          <w:rFonts w:ascii="Calibri" w:hAnsi="Calibri" w:cs="Calibri"/>
        </w:rPr>
        <w:t>(54)</w:t>
      </w:r>
      <w:r>
        <w:fldChar w:fldCharType="end"/>
      </w:r>
      <w:bookmarkEnd w:id="8"/>
      <w:r>
        <w:t xml:space="preserve">. </w:t>
      </w:r>
    </w:p>
    <w:p w14:paraId="2DA4E0FA" w14:textId="77777777" w:rsidR="00B41992" w:rsidRPr="00B20F0C" w:rsidRDefault="00B41992" w:rsidP="00B41992">
      <w:pPr>
        <w:rPr>
          <w:b/>
          <w:bCs/>
          <w:u w:val="single"/>
        </w:rPr>
      </w:pPr>
      <w:r w:rsidRPr="00B20F0C">
        <w:rPr>
          <w:b/>
          <w:bCs/>
          <w:u w:val="single"/>
        </w:rPr>
        <w:t>Migraine Day Reduction</w:t>
      </w:r>
    </w:p>
    <w:p w14:paraId="29579BC2" w14:textId="77777777" w:rsidR="00B41992" w:rsidRDefault="00B41992" w:rsidP="00B41992">
      <w:r>
        <w:rPr>
          <w:noProof/>
        </w:rPr>
        <w:drawing>
          <wp:inline distT="0" distB="0" distL="0" distR="0" wp14:anchorId="61EE9F4E" wp14:editId="1A625B90">
            <wp:extent cx="5856514" cy="2612281"/>
            <wp:effectExtent l="0" t="0" r="0" b="0"/>
            <wp:docPr id="925686776" name="Graphic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6776" name="Graphic 925686776"/>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858095" cy="2612986"/>
                    </a:xfrm>
                    <a:prstGeom prst="rect">
                      <a:avLst/>
                    </a:prstGeom>
                  </pic:spPr>
                </pic:pic>
              </a:graphicData>
            </a:graphic>
          </wp:inline>
        </w:drawing>
      </w:r>
    </w:p>
    <w:p w14:paraId="20FF1927" w14:textId="77777777" w:rsidR="00B41992" w:rsidRPr="00B20F0C" w:rsidRDefault="00B41992" w:rsidP="00B41992">
      <w:pPr>
        <w:rPr>
          <w:b/>
          <w:bCs/>
          <w:noProof/>
          <w:u w:val="single"/>
        </w:rPr>
      </w:pPr>
      <w:r w:rsidRPr="00B20F0C">
        <w:rPr>
          <w:b/>
          <w:bCs/>
          <w:u w:val="single"/>
        </w:rPr>
        <w:t>50% Responder Rat</w:t>
      </w:r>
      <w:r w:rsidRPr="00B20F0C">
        <w:rPr>
          <w:b/>
          <w:bCs/>
          <w:noProof/>
          <w:u w:val="single"/>
        </w:rPr>
        <w:t>e</w:t>
      </w:r>
    </w:p>
    <w:p w14:paraId="75749F11" w14:textId="77777777" w:rsidR="00B41992" w:rsidRDefault="00B41992" w:rsidP="00B41992">
      <w:r>
        <w:rPr>
          <w:noProof/>
        </w:rPr>
        <w:drawing>
          <wp:inline distT="0" distB="0" distL="0" distR="0" wp14:anchorId="4A5F7030" wp14:editId="4A5FC936">
            <wp:extent cx="5943600" cy="3044825"/>
            <wp:effectExtent l="0" t="0" r="0" b="0"/>
            <wp:docPr id="511448799" name="Graphic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48799" name="Graphic 511448799"/>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943600" cy="3044825"/>
                    </a:xfrm>
                    <a:prstGeom prst="rect">
                      <a:avLst/>
                    </a:prstGeom>
                  </pic:spPr>
                </pic:pic>
              </a:graphicData>
            </a:graphic>
          </wp:inline>
        </w:drawing>
      </w:r>
    </w:p>
    <w:p w14:paraId="16074E55" w14:textId="77777777" w:rsidR="00B41992" w:rsidRDefault="00B41992" w:rsidP="00B41992"/>
    <w:p w14:paraId="3154CFCC" w14:textId="77777777" w:rsidR="00B41992" w:rsidRDefault="00B41992" w:rsidP="00B41992"/>
    <w:p w14:paraId="1DB49270" w14:textId="77777777" w:rsidR="00B41992" w:rsidRDefault="00B41992" w:rsidP="00B41992"/>
    <w:p w14:paraId="3362978C" w14:textId="77777777" w:rsidR="00B41992" w:rsidRDefault="00B41992" w:rsidP="00B41992"/>
    <w:p w14:paraId="685CACED" w14:textId="77777777" w:rsidR="00B41992" w:rsidRDefault="00B41992" w:rsidP="00B41992"/>
    <w:p w14:paraId="4662DC7C" w14:textId="77777777" w:rsidR="00B41992" w:rsidRDefault="00B41992" w:rsidP="00B41992"/>
    <w:p w14:paraId="59B15976" w14:textId="77777777" w:rsidR="00B41992" w:rsidRDefault="00B41992" w:rsidP="00B41992"/>
    <w:p w14:paraId="03C1EA99" w14:textId="77777777" w:rsidR="00B41992" w:rsidRPr="00B20F0C" w:rsidRDefault="00B41992" w:rsidP="00B41992">
      <w:pPr>
        <w:rPr>
          <w:b/>
          <w:bCs/>
          <w:u w:val="single"/>
        </w:rPr>
      </w:pPr>
      <w:r w:rsidRPr="00B20F0C">
        <w:rPr>
          <w:b/>
          <w:bCs/>
          <w:u w:val="single"/>
        </w:rPr>
        <w:lastRenderedPageBreak/>
        <w:t>Adverse Events</w:t>
      </w:r>
    </w:p>
    <w:p w14:paraId="4151A42F" w14:textId="77777777" w:rsidR="00B41992" w:rsidRPr="000E6683" w:rsidRDefault="00B41992" w:rsidP="00B41992">
      <w:r>
        <w:rPr>
          <w:noProof/>
        </w:rPr>
        <w:drawing>
          <wp:inline distT="0" distB="0" distL="0" distR="0" wp14:anchorId="57B70C69" wp14:editId="2463F249">
            <wp:extent cx="5943600" cy="3044825"/>
            <wp:effectExtent l="0" t="0" r="0" b="0"/>
            <wp:docPr id="360191619" name="Graphic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191619" name="Graphic 360191619"/>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943600" cy="3044825"/>
                    </a:xfrm>
                    <a:prstGeom prst="rect">
                      <a:avLst/>
                    </a:prstGeom>
                  </pic:spPr>
                </pic:pic>
              </a:graphicData>
            </a:graphic>
          </wp:inline>
        </w:drawing>
      </w:r>
      <w:r w:rsidRPr="00356351">
        <w:rPr>
          <w:b/>
          <w:bCs/>
          <w:sz w:val="28"/>
          <w:szCs w:val="28"/>
          <w:u w:val="single"/>
        </w:rPr>
        <w:t>Summary of findings table</w:t>
      </w:r>
      <w:r>
        <w:rPr>
          <w:b/>
          <w:bCs/>
          <w:sz w:val="28"/>
          <w:szCs w:val="28"/>
          <w:u w:val="single"/>
        </w:rPr>
        <w:t xml:space="preserve"> for Galcanezumab in Episodic Migraine</w:t>
      </w:r>
    </w:p>
    <w:p w14:paraId="7414662E"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Galcanezumab compared to placebo for episodic migraine</w:t>
      </w: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29"/>
        <w:gridCol w:w="862"/>
        <w:gridCol w:w="779"/>
        <w:gridCol w:w="749"/>
        <w:gridCol w:w="909"/>
        <w:gridCol w:w="885"/>
        <w:gridCol w:w="615"/>
        <w:gridCol w:w="623"/>
        <w:gridCol w:w="607"/>
        <w:gridCol w:w="853"/>
        <w:gridCol w:w="761"/>
      </w:tblGrid>
      <w:tr w:rsidR="00B41992" w14:paraId="3B5F5BFC"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DA0DB0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EFED5F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62157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ADED97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24A670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1DB3300B"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458AC0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8CBC44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C35EC2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BB1608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ED0ABC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659D21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EDCD6E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92D382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galcanezumab</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6D0211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992189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4C548C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F857C18"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EF665FC" w14:textId="77777777" w:rsidR="00B41992" w:rsidRDefault="00B41992" w:rsidP="0062262B">
            <w:pPr>
              <w:rPr>
                <w:rFonts w:ascii="Arial Narrow" w:eastAsia="Times New Roman" w:hAnsi="Arial Narrow"/>
                <w:b/>
                <w:bCs/>
                <w:color w:val="FFFFFF"/>
                <w:sz w:val="13"/>
                <w:szCs w:val="13"/>
              </w:rPr>
            </w:pPr>
          </w:p>
        </w:tc>
      </w:tr>
      <w:tr w:rsidR="00B41992" w14:paraId="7DF3A9E2"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7E46D203"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galcanezumab (follow-up: mean 12 weeks; Scale from: -10 to 10)</w:t>
            </w:r>
          </w:p>
        </w:tc>
      </w:tr>
      <w:tr w:rsidR="00B41992" w14:paraId="64D3A65A"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07C9396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5</w:t>
            </w:r>
          </w:p>
        </w:tc>
        <w:tc>
          <w:tcPr>
            <w:tcW w:w="300" w:type="pct"/>
            <w:tcBorders>
              <w:top w:val="single" w:sz="6" w:space="0" w:color="000000"/>
              <w:left w:val="single" w:sz="6" w:space="0" w:color="000000"/>
              <w:bottom w:val="single" w:sz="6" w:space="0" w:color="000000"/>
              <w:right w:val="single" w:sz="6" w:space="0" w:color="000000"/>
            </w:tcBorders>
            <w:hideMark/>
          </w:tcPr>
          <w:p w14:paraId="4DAC6A2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6A71416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5E78B4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ED5E6D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F06E3F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663297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53A3AF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887</w:t>
            </w:r>
          </w:p>
        </w:tc>
        <w:tc>
          <w:tcPr>
            <w:tcW w:w="400" w:type="pct"/>
            <w:tcBorders>
              <w:top w:val="single" w:sz="6" w:space="0" w:color="000000"/>
              <w:left w:val="single" w:sz="6" w:space="0" w:color="000000"/>
              <w:bottom w:val="single" w:sz="6" w:space="0" w:color="000000"/>
              <w:right w:val="single" w:sz="6" w:space="0" w:color="000000"/>
            </w:tcBorders>
            <w:hideMark/>
          </w:tcPr>
          <w:p w14:paraId="25F581FB"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1512</w:t>
            </w:r>
          </w:p>
        </w:tc>
        <w:tc>
          <w:tcPr>
            <w:tcW w:w="400" w:type="pct"/>
            <w:tcBorders>
              <w:top w:val="single" w:sz="6" w:space="0" w:color="000000"/>
              <w:left w:val="single" w:sz="6" w:space="0" w:color="000000"/>
              <w:bottom w:val="single" w:sz="6" w:space="0" w:color="000000"/>
              <w:right w:val="single" w:sz="6" w:space="0" w:color="000000"/>
            </w:tcBorders>
            <w:hideMark/>
          </w:tcPr>
          <w:p w14:paraId="56884902"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4565AEDD"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1.97 days lower</w:t>
            </w:r>
            <w:r>
              <w:rPr>
                <w:rFonts w:ascii="Arial Narrow" w:eastAsia="Times New Roman" w:hAnsi="Arial Narrow"/>
                <w:sz w:val="13"/>
                <w:szCs w:val="13"/>
              </w:rPr>
              <w:br/>
            </w:r>
            <w:r>
              <w:rPr>
                <w:rStyle w:val="cell-value"/>
                <w:rFonts w:ascii="Arial Narrow" w:eastAsia="Times New Roman" w:hAnsi="Arial Narrow"/>
                <w:sz w:val="13"/>
                <w:szCs w:val="13"/>
              </w:rPr>
              <w:t>(2.65 lower to 1.29 lower)</w:t>
            </w:r>
          </w:p>
        </w:tc>
        <w:tc>
          <w:tcPr>
            <w:tcW w:w="750" w:type="dxa"/>
            <w:tcBorders>
              <w:top w:val="single" w:sz="6" w:space="0" w:color="000000"/>
              <w:left w:val="single" w:sz="6" w:space="0" w:color="000000"/>
              <w:bottom w:val="single" w:sz="6" w:space="0" w:color="000000"/>
              <w:right w:val="single" w:sz="6" w:space="0" w:color="000000"/>
            </w:tcBorders>
            <w:hideMark/>
          </w:tcPr>
          <w:p w14:paraId="68F225A8"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2C9B81E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259BC621"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26A1BB50"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68E3158F"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640CA03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5</w:t>
            </w:r>
          </w:p>
        </w:tc>
        <w:tc>
          <w:tcPr>
            <w:tcW w:w="300" w:type="pct"/>
            <w:tcBorders>
              <w:top w:val="single" w:sz="6" w:space="0" w:color="000000"/>
              <w:left w:val="single" w:sz="6" w:space="0" w:color="000000"/>
              <w:bottom w:val="single" w:sz="6" w:space="0" w:color="000000"/>
              <w:right w:val="single" w:sz="6" w:space="0" w:color="000000"/>
            </w:tcBorders>
            <w:hideMark/>
          </w:tcPr>
          <w:p w14:paraId="536AB7E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01E81B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D63576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71C989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F164C5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57B98F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1A93DF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455/886 (51.4%) </w:t>
            </w:r>
          </w:p>
        </w:tc>
        <w:tc>
          <w:tcPr>
            <w:tcW w:w="400" w:type="pct"/>
            <w:tcBorders>
              <w:top w:val="single" w:sz="6" w:space="0" w:color="000000"/>
              <w:left w:val="single" w:sz="6" w:space="0" w:color="000000"/>
              <w:bottom w:val="single" w:sz="6" w:space="0" w:color="000000"/>
              <w:right w:val="single" w:sz="6" w:space="0" w:color="000000"/>
            </w:tcBorders>
            <w:hideMark/>
          </w:tcPr>
          <w:p w14:paraId="54BBD419"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491/1509 (32.5%) </w:t>
            </w:r>
          </w:p>
        </w:tc>
        <w:tc>
          <w:tcPr>
            <w:tcW w:w="400" w:type="pct"/>
            <w:tcBorders>
              <w:top w:val="single" w:sz="6" w:space="0" w:color="000000"/>
              <w:left w:val="single" w:sz="6" w:space="0" w:color="000000"/>
              <w:bottom w:val="single" w:sz="6" w:space="0" w:color="000000"/>
              <w:right w:val="single" w:sz="6" w:space="0" w:color="000000"/>
            </w:tcBorders>
            <w:hideMark/>
          </w:tcPr>
          <w:p w14:paraId="44C49DF9"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2.77</w:t>
            </w:r>
            <w:r>
              <w:rPr>
                <w:rFonts w:ascii="Arial Narrow" w:eastAsia="Times New Roman" w:hAnsi="Arial Narrow"/>
                <w:sz w:val="13"/>
                <w:szCs w:val="13"/>
              </w:rPr>
              <w:br/>
            </w:r>
            <w:r>
              <w:rPr>
                <w:rStyle w:val="cell"/>
                <w:rFonts w:ascii="Arial Narrow" w:eastAsia="Times New Roman" w:hAnsi="Arial Narrow"/>
                <w:sz w:val="13"/>
                <w:szCs w:val="13"/>
              </w:rPr>
              <w:t>(2.30 to 3.33)</w:t>
            </w:r>
          </w:p>
        </w:tc>
        <w:tc>
          <w:tcPr>
            <w:tcW w:w="0" w:type="auto"/>
            <w:tcBorders>
              <w:top w:val="single" w:sz="6" w:space="0" w:color="000000"/>
              <w:left w:val="single" w:sz="6" w:space="0" w:color="000000"/>
              <w:bottom w:val="single" w:sz="6" w:space="0" w:color="000000"/>
              <w:right w:val="single" w:sz="6" w:space="0" w:color="000000"/>
            </w:tcBorders>
            <w:hideMark/>
          </w:tcPr>
          <w:p w14:paraId="45ED250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25 more per 100</w:t>
            </w:r>
            <w:r>
              <w:rPr>
                <w:rFonts w:ascii="Arial Narrow" w:eastAsia="Times New Roman" w:hAnsi="Arial Narrow"/>
                <w:sz w:val="13"/>
                <w:szCs w:val="13"/>
              </w:rPr>
              <w:br/>
              <w:t>(from 20 more to 29 more)</w:t>
            </w:r>
          </w:p>
        </w:tc>
        <w:tc>
          <w:tcPr>
            <w:tcW w:w="750" w:type="dxa"/>
            <w:tcBorders>
              <w:top w:val="single" w:sz="6" w:space="0" w:color="000000"/>
              <w:left w:val="single" w:sz="6" w:space="0" w:color="000000"/>
              <w:bottom w:val="single" w:sz="6" w:space="0" w:color="000000"/>
              <w:right w:val="single" w:sz="6" w:space="0" w:color="000000"/>
            </w:tcBorders>
            <w:hideMark/>
          </w:tcPr>
          <w:p w14:paraId="35B394DB"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4562585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39629A24"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6ABEEBA2"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12 weeks)</w:t>
            </w:r>
          </w:p>
        </w:tc>
      </w:tr>
      <w:tr w:rsidR="00B41992" w14:paraId="65538127"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6C02D5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5</w:t>
            </w:r>
          </w:p>
        </w:tc>
        <w:tc>
          <w:tcPr>
            <w:tcW w:w="300" w:type="pct"/>
            <w:tcBorders>
              <w:top w:val="single" w:sz="6" w:space="0" w:color="000000"/>
              <w:left w:val="single" w:sz="6" w:space="0" w:color="000000"/>
              <w:bottom w:val="single" w:sz="6" w:space="0" w:color="000000"/>
              <w:right w:val="single" w:sz="6" w:space="0" w:color="000000"/>
            </w:tcBorders>
            <w:hideMark/>
          </w:tcPr>
          <w:p w14:paraId="65977F4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7FF999A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587BE7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63A269D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8C3470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689B7C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C5C496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546/878 (62.2%) </w:t>
            </w:r>
          </w:p>
        </w:tc>
        <w:tc>
          <w:tcPr>
            <w:tcW w:w="400" w:type="pct"/>
            <w:tcBorders>
              <w:top w:val="single" w:sz="6" w:space="0" w:color="000000"/>
              <w:left w:val="single" w:sz="6" w:space="0" w:color="000000"/>
              <w:bottom w:val="single" w:sz="6" w:space="0" w:color="000000"/>
              <w:right w:val="single" w:sz="6" w:space="0" w:color="000000"/>
            </w:tcBorders>
            <w:hideMark/>
          </w:tcPr>
          <w:p w14:paraId="4B77B9EC"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879/1519 (57.9%) </w:t>
            </w:r>
          </w:p>
        </w:tc>
        <w:tc>
          <w:tcPr>
            <w:tcW w:w="400" w:type="pct"/>
            <w:tcBorders>
              <w:top w:val="single" w:sz="6" w:space="0" w:color="000000"/>
              <w:left w:val="single" w:sz="6" w:space="0" w:color="000000"/>
              <w:bottom w:val="single" w:sz="6" w:space="0" w:color="000000"/>
              <w:right w:val="single" w:sz="6" w:space="0" w:color="000000"/>
            </w:tcBorders>
            <w:hideMark/>
          </w:tcPr>
          <w:p w14:paraId="4B24689A"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1.37</w:t>
            </w:r>
            <w:r>
              <w:rPr>
                <w:rFonts w:ascii="Arial Narrow" w:eastAsia="Times New Roman" w:hAnsi="Arial Narrow"/>
                <w:sz w:val="13"/>
                <w:szCs w:val="13"/>
              </w:rPr>
              <w:br/>
            </w:r>
            <w:r>
              <w:rPr>
                <w:rStyle w:val="cell"/>
                <w:rFonts w:ascii="Arial Narrow" w:eastAsia="Times New Roman" w:hAnsi="Arial Narrow"/>
                <w:sz w:val="13"/>
                <w:szCs w:val="13"/>
              </w:rPr>
              <w:t>(1.01 to 1.84)</w:t>
            </w:r>
          </w:p>
        </w:tc>
        <w:tc>
          <w:tcPr>
            <w:tcW w:w="0" w:type="auto"/>
            <w:tcBorders>
              <w:top w:val="single" w:sz="6" w:space="0" w:color="000000"/>
              <w:left w:val="single" w:sz="6" w:space="0" w:color="000000"/>
              <w:bottom w:val="single" w:sz="6" w:space="0" w:color="000000"/>
              <w:right w:val="single" w:sz="6" w:space="0" w:color="000000"/>
            </w:tcBorders>
            <w:hideMark/>
          </w:tcPr>
          <w:p w14:paraId="4ECDBBE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7 more per 100</w:t>
            </w:r>
            <w:r>
              <w:rPr>
                <w:rFonts w:ascii="Arial Narrow" w:eastAsia="Times New Roman" w:hAnsi="Arial Narrow"/>
                <w:sz w:val="13"/>
                <w:szCs w:val="13"/>
              </w:rPr>
              <w:br/>
              <w:t>(from 0 fewer to 14 more)</w:t>
            </w:r>
          </w:p>
        </w:tc>
        <w:tc>
          <w:tcPr>
            <w:tcW w:w="750" w:type="dxa"/>
            <w:tcBorders>
              <w:top w:val="single" w:sz="6" w:space="0" w:color="000000"/>
              <w:left w:val="single" w:sz="6" w:space="0" w:color="000000"/>
              <w:bottom w:val="single" w:sz="6" w:space="0" w:color="000000"/>
              <w:right w:val="single" w:sz="6" w:space="0" w:color="000000"/>
            </w:tcBorders>
            <w:hideMark/>
          </w:tcPr>
          <w:p w14:paraId="45AF6716"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751297B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bl>
    <w:p w14:paraId="4F8E9334" w14:textId="77777777" w:rsidR="00B41992" w:rsidRPr="00DC2C2E" w:rsidRDefault="00B41992" w:rsidP="00B41992">
      <w:pPr>
        <w:pStyle w:val="NormalWeb"/>
        <w:rPr>
          <w:rFonts w:ascii="Arial Narrow" w:hAnsi="Arial Narrow"/>
          <w:color w:val="000000"/>
          <w:sz w:val="14"/>
          <w:szCs w:val="14"/>
          <w:lang w:val="en"/>
        </w:rPr>
      </w:pPr>
      <w:r>
        <w:rPr>
          <w:rFonts w:ascii="Arial Narrow" w:hAnsi="Arial Narrow"/>
          <w:color w:val="000000"/>
          <w:lang w:val="en"/>
        </w:rPr>
        <w:t xml:space="preserve">Explanations  </w:t>
      </w:r>
      <w:r>
        <w:rPr>
          <w:rFonts w:ascii="Arial Narrow" w:hAnsi="Arial Narrow"/>
          <w:color w:val="000000"/>
          <w:sz w:val="14"/>
          <w:szCs w:val="14"/>
          <w:lang w:val="en"/>
        </w:rPr>
        <w:t>a. significant p value and high I2, Sakai 2020 and Sklkarevski 2018a studies are outside of other studies</w:t>
      </w:r>
    </w:p>
    <w:p w14:paraId="2BB20A28" w14:textId="77777777" w:rsidR="00B41992" w:rsidRPr="00DC2C2E"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 xml:space="preserve">b. p value significant and sakai 2020 is outlier with more events </w:t>
      </w:r>
    </w:p>
    <w:p w14:paraId="683C7952" w14:textId="77777777" w:rsidR="00B41992" w:rsidRPr="009B1AC2" w:rsidRDefault="00B41992" w:rsidP="00B41992">
      <w:pPr>
        <w:rPr>
          <w:b/>
          <w:bCs/>
          <w:sz w:val="32"/>
          <w:szCs w:val="32"/>
        </w:rPr>
      </w:pPr>
      <w:r w:rsidRPr="009B1AC2">
        <w:rPr>
          <w:b/>
          <w:bCs/>
          <w:sz w:val="32"/>
          <w:szCs w:val="32"/>
        </w:rPr>
        <w:t>3.5.2 Galcanezumab in Chronic Migraine</w:t>
      </w:r>
    </w:p>
    <w:p w14:paraId="730721FE" w14:textId="77777777" w:rsidR="00B41992" w:rsidRPr="00DC2C2E" w:rsidRDefault="00B41992" w:rsidP="00B41992">
      <w:r w:rsidRPr="00DC2C2E">
        <w:t xml:space="preserve">There was a single study found </w:t>
      </w:r>
      <w:r>
        <w:t xml:space="preserve">Detke et al 2018 </w:t>
      </w:r>
      <w:r>
        <w:fldChar w:fldCharType="begin"/>
      </w:r>
      <w:r>
        <w:instrText xml:space="preserve"> ADDIN ZOTERO_ITEM CSL_CITATION {"citationID":"p739foz9","properties":{"formattedCitation":"(55)","plainCitation":"(55)","noteIndex":0},"citationItems":[{"id":5840,"uris":["http://zotero.org/users/5131939/items/TQXMPFFF"],"itemData":{"id":5840,"type":"article-journal","archive_location":"30446596","container-title":"Neurology","DOI":"10.1212/WNL.0000000000006640","issue":"24","journalAbbreviation":"Neurology","page":"e2211-e2221","title":"Galcanezumab in chronic migraine: The randomized, double-blind, placebo-controlled REGAIN study","volume":"91","author":[{"family":"Detke","given":"H. C."},{"family":"Goadsby","given":"P. J."},{"family":"Wang","given":"S."},{"family":"Friedman","given":"D. I."},{"family":"Selzler","given":"K. J."},{"family":"Aurora","given":"S. K."}],"issued":{"date-parts":[["2018"]]}}}],"schema":"https://github.com/citation-style-language/schema/raw/master/csl-citation.json"} </w:instrText>
      </w:r>
      <w:r>
        <w:fldChar w:fldCharType="separate"/>
      </w:r>
      <w:r w:rsidRPr="006F3388">
        <w:rPr>
          <w:rFonts w:ascii="Calibri" w:hAnsi="Calibri" w:cs="Calibri"/>
        </w:rPr>
        <w:t>(55)</w:t>
      </w:r>
      <w:r>
        <w:fldChar w:fldCharType="end"/>
      </w:r>
    </w:p>
    <w:p w14:paraId="73AFF9FE" w14:textId="77777777"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Galcanezumab in Chronic Migraine</w:t>
      </w:r>
    </w:p>
    <w:p w14:paraId="411674B1" w14:textId="77777777" w:rsidR="00B41992" w:rsidRDefault="00B41992" w:rsidP="00B41992">
      <w:pPr>
        <w:rPr>
          <w:rFonts w:ascii="Arial Narrow" w:eastAsia="Times New Roman" w:hAnsi="Arial Narrow"/>
          <w:color w:val="000000"/>
          <w:sz w:val="14"/>
          <w:szCs w:val="14"/>
          <w:lang w:val="en"/>
        </w:rPr>
      </w:pPr>
    </w:p>
    <w:p w14:paraId="1587880A"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Galcanezumab compared to placebo for chronic migraine</w:t>
      </w: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27"/>
        <w:gridCol w:w="862"/>
        <w:gridCol w:w="779"/>
        <w:gridCol w:w="749"/>
        <w:gridCol w:w="910"/>
        <w:gridCol w:w="885"/>
        <w:gridCol w:w="615"/>
        <w:gridCol w:w="623"/>
        <w:gridCol w:w="607"/>
        <w:gridCol w:w="807"/>
        <w:gridCol w:w="808"/>
      </w:tblGrid>
      <w:tr w:rsidR="00B41992" w14:paraId="385737CB" w14:textId="77777777" w:rsidTr="0062262B">
        <w:trPr>
          <w:cantSplit/>
          <w:tblHeader/>
        </w:trPr>
        <w:tc>
          <w:tcPr>
            <w:tcW w:w="2672"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B7AA40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lastRenderedPageBreak/>
              <w:t>Certainty assessment</w:t>
            </w:r>
          </w:p>
        </w:tc>
        <w:tc>
          <w:tcPr>
            <w:tcW w:w="804"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AF3637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659"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63B3AD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432"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94D6B4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432"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A19517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0F786DE6" w14:textId="77777777" w:rsidTr="0062262B">
        <w:trPr>
          <w:cantSplit/>
          <w:tblHeader/>
        </w:trPr>
        <w:tc>
          <w:tcPr>
            <w:tcW w:w="28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504407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34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F28CC6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28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B372CD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4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EC10E1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47B46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40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CE1622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48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D7E967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47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C5ED3C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galcanezumab</w:t>
            </w:r>
          </w:p>
        </w:tc>
        <w:tc>
          <w:tcPr>
            <w:tcW w:w="33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EE775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33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3662C5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32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BFBB4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432" w:type="pct"/>
            <w:vMerge/>
            <w:tcBorders>
              <w:top w:val="single" w:sz="12" w:space="0" w:color="FFFFFF"/>
              <w:left w:val="single" w:sz="12" w:space="0" w:color="FFFFFF"/>
              <w:bottom w:val="single" w:sz="12" w:space="0" w:color="FFFFFF"/>
              <w:right w:val="single" w:sz="12" w:space="0" w:color="FFFFFF"/>
            </w:tcBorders>
            <w:vAlign w:val="center"/>
            <w:hideMark/>
          </w:tcPr>
          <w:p w14:paraId="337F888D" w14:textId="77777777" w:rsidR="00B41992" w:rsidRDefault="00B41992" w:rsidP="0062262B">
            <w:pPr>
              <w:rPr>
                <w:rFonts w:ascii="Arial Narrow" w:eastAsia="Times New Roman" w:hAnsi="Arial Narrow"/>
                <w:b/>
                <w:bCs/>
                <w:color w:val="FFFFFF"/>
                <w:sz w:val="13"/>
                <w:szCs w:val="13"/>
              </w:rPr>
            </w:pPr>
          </w:p>
        </w:tc>
        <w:tc>
          <w:tcPr>
            <w:tcW w:w="432" w:type="pct"/>
            <w:vMerge/>
            <w:tcBorders>
              <w:top w:val="single" w:sz="12" w:space="0" w:color="FFFFFF"/>
              <w:left w:val="single" w:sz="12" w:space="0" w:color="FFFFFF"/>
              <w:bottom w:val="single" w:sz="12" w:space="0" w:color="FFFFFF"/>
              <w:right w:val="single" w:sz="12" w:space="0" w:color="FFFFFF"/>
            </w:tcBorders>
            <w:vAlign w:val="center"/>
            <w:hideMark/>
          </w:tcPr>
          <w:p w14:paraId="3EA65E32" w14:textId="77777777" w:rsidR="00B41992" w:rsidRDefault="00B41992" w:rsidP="0062262B">
            <w:pPr>
              <w:rPr>
                <w:rFonts w:ascii="Arial Narrow" w:eastAsia="Times New Roman" w:hAnsi="Arial Narrow"/>
                <w:b/>
                <w:bCs/>
                <w:color w:val="FFFFFF"/>
                <w:sz w:val="13"/>
                <w:szCs w:val="13"/>
              </w:rPr>
            </w:pPr>
          </w:p>
        </w:tc>
      </w:tr>
      <w:tr w:rsidR="00B41992" w14:paraId="5B124A2A" w14:textId="77777777" w:rsidTr="0062262B">
        <w:trPr>
          <w:cantSplit/>
        </w:trPr>
        <w:tc>
          <w:tcPr>
            <w:tcW w:w="5000" w:type="pct"/>
            <w:gridSpan w:val="13"/>
            <w:shd w:val="clear" w:color="auto" w:fill="FFFFFF"/>
            <w:tcMar>
              <w:top w:w="75" w:type="dxa"/>
              <w:left w:w="38" w:type="dxa"/>
              <w:bottom w:w="38" w:type="dxa"/>
              <w:right w:w="38" w:type="dxa"/>
            </w:tcMar>
            <w:vAlign w:val="center"/>
            <w:hideMark/>
          </w:tcPr>
          <w:p w14:paraId="1A1CB9D8"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w:t>
            </w:r>
          </w:p>
        </w:tc>
      </w:tr>
      <w:tr w:rsidR="00B41992" w14:paraId="6F1D1A7C" w14:textId="77777777" w:rsidTr="0062262B">
        <w:trPr>
          <w:cantSplit/>
        </w:trPr>
        <w:tc>
          <w:tcPr>
            <w:tcW w:w="281" w:type="pct"/>
            <w:tcBorders>
              <w:top w:val="single" w:sz="6" w:space="0" w:color="000000"/>
              <w:left w:val="single" w:sz="6" w:space="0" w:color="000000"/>
              <w:bottom w:val="single" w:sz="6" w:space="0" w:color="000000"/>
              <w:right w:val="single" w:sz="6" w:space="0" w:color="000000"/>
            </w:tcBorders>
            <w:hideMark/>
          </w:tcPr>
          <w:p w14:paraId="67B41E0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40" w:type="pct"/>
            <w:tcBorders>
              <w:top w:val="single" w:sz="6" w:space="0" w:color="000000"/>
              <w:left w:val="single" w:sz="6" w:space="0" w:color="000000"/>
              <w:bottom w:val="single" w:sz="6" w:space="0" w:color="000000"/>
              <w:right w:val="single" w:sz="6" w:space="0" w:color="000000"/>
            </w:tcBorders>
            <w:hideMark/>
          </w:tcPr>
          <w:p w14:paraId="03F0B42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283" w:type="pct"/>
            <w:tcBorders>
              <w:top w:val="single" w:sz="6" w:space="0" w:color="000000"/>
              <w:left w:val="single" w:sz="6" w:space="0" w:color="000000"/>
              <w:bottom w:val="single" w:sz="6" w:space="0" w:color="000000"/>
              <w:right w:val="single" w:sz="6" w:space="0" w:color="000000"/>
            </w:tcBorders>
            <w:hideMark/>
          </w:tcPr>
          <w:p w14:paraId="443D270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62" w:type="pct"/>
            <w:tcBorders>
              <w:top w:val="single" w:sz="6" w:space="0" w:color="000000"/>
              <w:left w:val="single" w:sz="6" w:space="0" w:color="000000"/>
              <w:bottom w:val="single" w:sz="6" w:space="0" w:color="000000"/>
              <w:right w:val="single" w:sz="6" w:space="0" w:color="000000"/>
            </w:tcBorders>
            <w:hideMark/>
          </w:tcPr>
          <w:p w14:paraId="790FC52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17" w:type="pct"/>
            <w:tcBorders>
              <w:top w:val="single" w:sz="6" w:space="0" w:color="000000"/>
              <w:left w:val="single" w:sz="6" w:space="0" w:color="000000"/>
              <w:bottom w:val="single" w:sz="6" w:space="0" w:color="000000"/>
              <w:right w:val="single" w:sz="6" w:space="0" w:color="000000"/>
            </w:tcBorders>
            <w:hideMark/>
          </w:tcPr>
          <w:p w14:paraId="6D0A980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01" w:type="pct"/>
            <w:tcBorders>
              <w:top w:val="single" w:sz="6" w:space="0" w:color="000000"/>
              <w:left w:val="single" w:sz="6" w:space="0" w:color="000000"/>
              <w:bottom w:val="single" w:sz="6" w:space="0" w:color="000000"/>
              <w:right w:val="single" w:sz="6" w:space="0" w:color="000000"/>
            </w:tcBorders>
            <w:hideMark/>
          </w:tcPr>
          <w:p w14:paraId="4A76DC9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87" w:type="pct"/>
            <w:tcBorders>
              <w:top w:val="single" w:sz="6" w:space="0" w:color="000000"/>
              <w:left w:val="single" w:sz="6" w:space="0" w:color="000000"/>
              <w:bottom w:val="single" w:sz="6" w:space="0" w:color="000000"/>
              <w:right w:val="single" w:sz="6" w:space="0" w:color="000000"/>
            </w:tcBorders>
            <w:hideMark/>
          </w:tcPr>
          <w:p w14:paraId="4CF998E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74" w:type="pct"/>
            <w:tcBorders>
              <w:top w:val="single" w:sz="6" w:space="0" w:color="000000"/>
              <w:left w:val="single" w:sz="6" w:space="0" w:color="000000"/>
              <w:bottom w:val="single" w:sz="6" w:space="0" w:color="000000"/>
              <w:right w:val="single" w:sz="6" w:space="0" w:color="000000"/>
            </w:tcBorders>
            <w:hideMark/>
          </w:tcPr>
          <w:p w14:paraId="1E6B75B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273</w:t>
            </w:r>
          </w:p>
        </w:tc>
        <w:tc>
          <w:tcPr>
            <w:tcW w:w="330" w:type="pct"/>
            <w:tcBorders>
              <w:top w:val="single" w:sz="6" w:space="0" w:color="000000"/>
              <w:left w:val="single" w:sz="6" w:space="0" w:color="000000"/>
              <w:bottom w:val="single" w:sz="6" w:space="0" w:color="000000"/>
              <w:right w:val="single" w:sz="6" w:space="0" w:color="000000"/>
            </w:tcBorders>
            <w:hideMark/>
          </w:tcPr>
          <w:p w14:paraId="1B8EBB61"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538</w:t>
            </w:r>
          </w:p>
        </w:tc>
        <w:tc>
          <w:tcPr>
            <w:tcW w:w="334" w:type="pct"/>
            <w:tcBorders>
              <w:top w:val="single" w:sz="6" w:space="0" w:color="000000"/>
              <w:left w:val="single" w:sz="6" w:space="0" w:color="000000"/>
              <w:bottom w:val="single" w:sz="6" w:space="0" w:color="000000"/>
              <w:right w:val="single" w:sz="6" w:space="0" w:color="000000"/>
            </w:tcBorders>
            <w:hideMark/>
          </w:tcPr>
          <w:p w14:paraId="4DB734EE"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325" w:type="pct"/>
            <w:tcBorders>
              <w:top w:val="single" w:sz="6" w:space="0" w:color="000000"/>
              <w:left w:val="single" w:sz="6" w:space="0" w:color="000000"/>
              <w:bottom w:val="single" w:sz="6" w:space="0" w:color="000000"/>
              <w:right w:val="single" w:sz="6" w:space="0" w:color="000000"/>
            </w:tcBorders>
            <w:hideMark/>
          </w:tcPr>
          <w:p w14:paraId="08766D40"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2.1 days lower</w:t>
            </w:r>
            <w:r>
              <w:rPr>
                <w:rFonts w:ascii="Arial Narrow" w:eastAsia="Times New Roman" w:hAnsi="Arial Narrow"/>
                <w:sz w:val="13"/>
                <w:szCs w:val="13"/>
              </w:rPr>
              <w:br/>
            </w:r>
            <w:r>
              <w:rPr>
                <w:rStyle w:val="cell-value"/>
                <w:rFonts w:ascii="Arial Narrow" w:eastAsia="Times New Roman" w:hAnsi="Arial Narrow"/>
                <w:sz w:val="13"/>
                <w:szCs w:val="13"/>
              </w:rPr>
              <w:t>(3.21 lower to 0.99 lower)</w:t>
            </w:r>
          </w:p>
        </w:tc>
        <w:tc>
          <w:tcPr>
            <w:tcW w:w="432" w:type="pct"/>
            <w:tcBorders>
              <w:top w:val="single" w:sz="6" w:space="0" w:color="000000"/>
              <w:left w:val="single" w:sz="6" w:space="0" w:color="000000"/>
              <w:bottom w:val="single" w:sz="6" w:space="0" w:color="000000"/>
              <w:right w:val="single" w:sz="6" w:space="0" w:color="000000"/>
            </w:tcBorders>
            <w:hideMark/>
          </w:tcPr>
          <w:p w14:paraId="4249DB1C"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432" w:type="pct"/>
            <w:tcBorders>
              <w:top w:val="single" w:sz="6" w:space="0" w:color="000000"/>
              <w:left w:val="single" w:sz="6" w:space="0" w:color="000000"/>
              <w:bottom w:val="single" w:sz="6" w:space="0" w:color="000000"/>
              <w:right w:val="single" w:sz="6" w:space="0" w:color="000000"/>
            </w:tcBorders>
            <w:hideMark/>
          </w:tcPr>
          <w:p w14:paraId="2667971E" w14:textId="77777777" w:rsidR="00B41992" w:rsidRDefault="00B41992" w:rsidP="0062262B">
            <w:pPr>
              <w:jc w:val="center"/>
              <w:rPr>
                <w:rFonts w:ascii="Arial Narrow" w:eastAsia="Times New Roman" w:hAnsi="Arial Narrow"/>
                <w:sz w:val="13"/>
                <w:szCs w:val="13"/>
              </w:rPr>
            </w:pPr>
          </w:p>
        </w:tc>
      </w:tr>
      <w:tr w:rsidR="00B41992" w14:paraId="43465031" w14:textId="77777777" w:rsidTr="0062262B">
        <w:trPr>
          <w:cantSplit/>
        </w:trPr>
        <w:tc>
          <w:tcPr>
            <w:tcW w:w="5000" w:type="pct"/>
            <w:gridSpan w:val="13"/>
            <w:shd w:val="clear" w:color="auto" w:fill="FFFFFF"/>
            <w:tcMar>
              <w:top w:w="75" w:type="dxa"/>
              <w:left w:w="38" w:type="dxa"/>
              <w:bottom w:w="38" w:type="dxa"/>
              <w:right w:w="38" w:type="dxa"/>
            </w:tcMar>
            <w:vAlign w:val="center"/>
            <w:hideMark/>
          </w:tcPr>
          <w:p w14:paraId="4A8DF6EA"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RR (follow-up: mean 12 weeks)</w:t>
            </w:r>
          </w:p>
        </w:tc>
      </w:tr>
      <w:tr w:rsidR="00B41992" w14:paraId="738E3062" w14:textId="77777777" w:rsidTr="0062262B">
        <w:trPr>
          <w:cantSplit/>
        </w:trPr>
        <w:tc>
          <w:tcPr>
            <w:tcW w:w="281" w:type="pct"/>
            <w:tcBorders>
              <w:top w:val="single" w:sz="6" w:space="0" w:color="000000"/>
              <w:left w:val="single" w:sz="6" w:space="0" w:color="000000"/>
              <w:bottom w:val="single" w:sz="6" w:space="0" w:color="000000"/>
              <w:right w:val="single" w:sz="6" w:space="0" w:color="000000"/>
            </w:tcBorders>
            <w:hideMark/>
          </w:tcPr>
          <w:p w14:paraId="7B7F31D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40" w:type="pct"/>
            <w:tcBorders>
              <w:top w:val="single" w:sz="6" w:space="0" w:color="000000"/>
              <w:left w:val="single" w:sz="6" w:space="0" w:color="000000"/>
              <w:bottom w:val="single" w:sz="6" w:space="0" w:color="000000"/>
              <w:right w:val="single" w:sz="6" w:space="0" w:color="000000"/>
            </w:tcBorders>
            <w:hideMark/>
          </w:tcPr>
          <w:p w14:paraId="59A77D8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283" w:type="pct"/>
            <w:tcBorders>
              <w:top w:val="single" w:sz="6" w:space="0" w:color="000000"/>
              <w:left w:val="single" w:sz="6" w:space="0" w:color="000000"/>
              <w:bottom w:val="single" w:sz="6" w:space="0" w:color="000000"/>
              <w:right w:val="single" w:sz="6" w:space="0" w:color="000000"/>
            </w:tcBorders>
            <w:hideMark/>
          </w:tcPr>
          <w:p w14:paraId="0987E3C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62" w:type="pct"/>
            <w:tcBorders>
              <w:top w:val="single" w:sz="6" w:space="0" w:color="000000"/>
              <w:left w:val="single" w:sz="6" w:space="0" w:color="000000"/>
              <w:bottom w:val="single" w:sz="6" w:space="0" w:color="000000"/>
              <w:right w:val="single" w:sz="6" w:space="0" w:color="000000"/>
            </w:tcBorders>
            <w:hideMark/>
          </w:tcPr>
          <w:p w14:paraId="3D3A68E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17" w:type="pct"/>
            <w:tcBorders>
              <w:top w:val="single" w:sz="6" w:space="0" w:color="000000"/>
              <w:left w:val="single" w:sz="6" w:space="0" w:color="000000"/>
              <w:bottom w:val="single" w:sz="6" w:space="0" w:color="000000"/>
              <w:right w:val="single" w:sz="6" w:space="0" w:color="000000"/>
            </w:tcBorders>
            <w:hideMark/>
          </w:tcPr>
          <w:p w14:paraId="04D6C8A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01" w:type="pct"/>
            <w:tcBorders>
              <w:top w:val="single" w:sz="6" w:space="0" w:color="000000"/>
              <w:left w:val="single" w:sz="6" w:space="0" w:color="000000"/>
              <w:bottom w:val="single" w:sz="6" w:space="0" w:color="000000"/>
              <w:right w:val="single" w:sz="6" w:space="0" w:color="000000"/>
            </w:tcBorders>
            <w:hideMark/>
          </w:tcPr>
          <w:p w14:paraId="3EDB54C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87" w:type="pct"/>
            <w:tcBorders>
              <w:top w:val="single" w:sz="6" w:space="0" w:color="000000"/>
              <w:left w:val="single" w:sz="6" w:space="0" w:color="000000"/>
              <w:bottom w:val="single" w:sz="6" w:space="0" w:color="000000"/>
              <w:right w:val="single" w:sz="6" w:space="0" w:color="000000"/>
            </w:tcBorders>
          </w:tcPr>
          <w:p w14:paraId="7F50280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74" w:type="pct"/>
            <w:tcBorders>
              <w:top w:val="single" w:sz="6" w:space="0" w:color="000000"/>
              <w:left w:val="single" w:sz="6" w:space="0" w:color="000000"/>
              <w:bottom w:val="single" w:sz="6" w:space="0" w:color="000000"/>
              <w:right w:val="single" w:sz="6" w:space="0" w:color="000000"/>
            </w:tcBorders>
            <w:hideMark/>
          </w:tcPr>
          <w:p w14:paraId="411CE7F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75/273 (27.5%) </w:t>
            </w:r>
          </w:p>
        </w:tc>
        <w:tc>
          <w:tcPr>
            <w:tcW w:w="330" w:type="pct"/>
            <w:tcBorders>
              <w:top w:val="single" w:sz="6" w:space="0" w:color="000000"/>
              <w:left w:val="single" w:sz="6" w:space="0" w:color="000000"/>
              <w:bottom w:val="single" w:sz="6" w:space="0" w:color="000000"/>
              <w:right w:val="single" w:sz="6" w:space="0" w:color="000000"/>
            </w:tcBorders>
            <w:hideMark/>
          </w:tcPr>
          <w:p w14:paraId="0CFCC588"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83/538 (15.4%) </w:t>
            </w:r>
          </w:p>
        </w:tc>
        <w:tc>
          <w:tcPr>
            <w:tcW w:w="334" w:type="pct"/>
            <w:tcBorders>
              <w:top w:val="single" w:sz="6" w:space="0" w:color="000000"/>
              <w:left w:val="single" w:sz="6" w:space="0" w:color="000000"/>
              <w:bottom w:val="single" w:sz="6" w:space="0" w:color="000000"/>
              <w:right w:val="single" w:sz="6" w:space="0" w:color="000000"/>
            </w:tcBorders>
            <w:hideMark/>
          </w:tcPr>
          <w:p w14:paraId="5832A61B"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2.02</w:t>
            </w:r>
            <w:r>
              <w:rPr>
                <w:rFonts w:ascii="Arial Narrow" w:eastAsia="Times New Roman" w:hAnsi="Arial Narrow"/>
                <w:sz w:val="13"/>
                <w:szCs w:val="13"/>
              </w:rPr>
              <w:br/>
            </w:r>
            <w:r>
              <w:rPr>
                <w:rStyle w:val="cell"/>
                <w:rFonts w:ascii="Arial Narrow" w:eastAsia="Times New Roman" w:hAnsi="Arial Narrow"/>
                <w:sz w:val="13"/>
                <w:szCs w:val="13"/>
              </w:rPr>
              <w:t>(1.42 to 2.87)</w:t>
            </w:r>
          </w:p>
        </w:tc>
        <w:tc>
          <w:tcPr>
            <w:tcW w:w="325" w:type="pct"/>
            <w:tcBorders>
              <w:top w:val="single" w:sz="6" w:space="0" w:color="000000"/>
              <w:left w:val="single" w:sz="6" w:space="0" w:color="000000"/>
              <w:bottom w:val="single" w:sz="6" w:space="0" w:color="000000"/>
              <w:right w:val="single" w:sz="6" w:space="0" w:color="000000"/>
            </w:tcBorders>
            <w:hideMark/>
          </w:tcPr>
          <w:p w14:paraId="2A1B406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12 more per 100</w:t>
            </w:r>
            <w:r>
              <w:rPr>
                <w:rFonts w:ascii="Arial Narrow" w:eastAsia="Times New Roman" w:hAnsi="Arial Narrow"/>
                <w:sz w:val="13"/>
                <w:szCs w:val="13"/>
              </w:rPr>
              <w:br/>
              <w:t>(from 5 more to 19 more)</w:t>
            </w:r>
          </w:p>
        </w:tc>
        <w:tc>
          <w:tcPr>
            <w:tcW w:w="432" w:type="pct"/>
            <w:tcBorders>
              <w:top w:val="single" w:sz="6" w:space="0" w:color="000000"/>
              <w:left w:val="single" w:sz="6" w:space="0" w:color="000000"/>
              <w:bottom w:val="single" w:sz="6" w:space="0" w:color="000000"/>
              <w:right w:val="single" w:sz="6" w:space="0" w:color="000000"/>
            </w:tcBorders>
            <w:hideMark/>
          </w:tcPr>
          <w:p w14:paraId="7281E2FD"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432" w:type="pct"/>
            <w:tcBorders>
              <w:top w:val="single" w:sz="6" w:space="0" w:color="000000"/>
              <w:left w:val="single" w:sz="6" w:space="0" w:color="000000"/>
              <w:bottom w:val="single" w:sz="6" w:space="0" w:color="000000"/>
              <w:right w:val="single" w:sz="6" w:space="0" w:color="000000"/>
            </w:tcBorders>
            <w:hideMark/>
          </w:tcPr>
          <w:p w14:paraId="7BEDF99F" w14:textId="77777777" w:rsidR="00B41992" w:rsidRDefault="00B41992" w:rsidP="0062262B">
            <w:pPr>
              <w:jc w:val="center"/>
              <w:rPr>
                <w:rFonts w:ascii="Arial Narrow" w:eastAsia="Times New Roman" w:hAnsi="Arial Narrow"/>
                <w:sz w:val="13"/>
                <w:szCs w:val="13"/>
              </w:rPr>
            </w:pPr>
          </w:p>
        </w:tc>
      </w:tr>
      <w:tr w:rsidR="00B41992" w14:paraId="157E659E" w14:textId="77777777" w:rsidTr="0062262B">
        <w:trPr>
          <w:cantSplit/>
        </w:trPr>
        <w:tc>
          <w:tcPr>
            <w:tcW w:w="5000" w:type="pct"/>
            <w:gridSpan w:val="13"/>
            <w:shd w:val="clear" w:color="auto" w:fill="FFFFFF"/>
            <w:tcMar>
              <w:top w:w="75" w:type="dxa"/>
              <w:left w:w="38" w:type="dxa"/>
              <w:bottom w:w="38" w:type="dxa"/>
              <w:right w:w="38" w:type="dxa"/>
            </w:tcMar>
            <w:vAlign w:val="center"/>
            <w:hideMark/>
          </w:tcPr>
          <w:p w14:paraId="30E327E6"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12 weeks)</w:t>
            </w:r>
          </w:p>
        </w:tc>
      </w:tr>
      <w:tr w:rsidR="00B41992" w14:paraId="0378FA87" w14:textId="77777777" w:rsidTr="0062262B">
        <w:trPr>
          <w:cantSplit/>
        </w:trPr>
        <w:tc>
          <w:tcPr>
            <w:tcW w:w="281" w:type="pct"/>
            <w:tcBorders>
              <w:top w:val="single" w:sz="6" w:space="0" w:color="000000"/>
              <w:left w:val="single" w:sz="6" w:space="0" w:color="000000"/>
              <w:bottom w:val="single" w:sz="6" w:space="0" w:color="000000"/>
              <w:right w:val="single" w:sz="6" w:space="0" w:color="000000"/>
            </w:tcBorders>
            <w:hideMark/>
          </w:tcPr>
          <w:p w14:paraId="2D0D27A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40" w:type="pct"/>
            <w:tcBorders>
              <w:top w:val="single" w:sz="6" w:space="0" w:color="000000"/>
              <w:left w:val="single" w:sz="6" w:space="0" w:color="000000"/>
              <w:bottom w:val="single" w:sz="6" w:space="0" w:color="000000"/>
              <w:right w:val="single" w:sz="6" w:space="0" w:color="000000"/>
            </w:tcBorders>
            <w:hideMark/>
          </w:tcPr>
          <w:p w14:paraId="6CB80A6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283" w:type="pct"/>
            <w:tcBorders>
              <w:top w:val="single" w:sz="6" w:space="0" w:color="000000"/>
              <w:left w:val="single" w:sz="6" w:space="0" w:color="000000"/>
              <w:bottom w:val="single" w:sz="6" w:space="0" w:color="000000"/>
              <w:right w:val="single" w:sz="6" w:space="0" w:color="000000"/>
            </w:tcBorders>
            <w:hideMark/>
          </w:tcPr>
          <w:p w14:paraId="6B7453E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62" w:type="pct"/>
            <w:tcBorders>
              <w:top w:val="single" w:sz="6" w:space="0" w:color="000000"/>
              <w:left w:val="single" w:sz="6" w:space="0" w:color="000000"/>
              <w:bottom w:val="single" w:sz="6" w:space="0" w:color="000000"/>
              <w:right w:val="single" w:sz="6" w:space="0" w:color="000000"/>
            </w:tcBorders>
            <w:hideMark/>
          </w:tcPr>
          <w:p w14:paraId="68C4BFF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17" w:type="pct"/>
            <w:tcBorders>
              <w:top w:val="single" w:sz="6" w:space="0" w:color="000000"/>
              <w:left w:val="single" w:sz="6" w:space="0" w:color="000000"/>
              <w:bottom w:val="single" w:sz="6" w:space="0" w:color="000000"/>
              <w:right w:val="single" w:sz="6" w:space="0" w:color="000000"/>
            </w:tcBorders>
            <w:hideMark/>
          </w:tcPr>
          <w:p w14:paraId="5F05D70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01" w:type="pct"/>
            <w:tcBorders>
              <w:top w:val="single" w:sz="6" w:space="0" w:color="000000"/>
              <w:left w:val="single" w:sz="6" w:space="0" w:color="000000"/>
              <w:bottom w:val="single" w:sz="6" w:space="0" w:color="000000"/>
              <w:right w:val="single" w:sz="6" w:space="0" w:color="000000"/>
            </w:tcBorders>
            <w:hideMark/>
          </w:tcPr>
          <w:p w14:paraId="7E16EF0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87" w:type="pct"/>
            <w:tcBorders>
              <w:top w:val="single" w:sz="6" w:space="0" w:color="000000"/>
              <w:left w:val="single" w:sz="6" w:space="0" w:color="000000"/>
              <w:bottom w:val="single" w:sz="6" w:space="0" w:color="000000"/>
              <w:right w:val="single" w:sz="6" w:space="0" w:color="000000"/>
            </w:tcBorders>
            <w:hideMark/>
          </w:tcPr>
          <w:p w14:paraId="50DC9DF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74" w:type="pct"/>
            <w:tcBorders>
              <w:top w:val="single" w:sz="6" w:space="0" w:color="000000"/>
              <w:left w:val="single" w:sz="6" w:space="0" w:color="000000"/>
              <w:bottom w:val="single" w:sz="6" w:space="0" w:color="000000"/>
              <w:right w:val="single" w:sz="6" w:space="0" w:color="000000"/>
            </w:tcBorders>
            <w:hideMark/>
          </w:tcPr>
          <w:p w14:paraId="3AA4A5A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159/273 (58.2%) </w:t>
            </w:r>
          </w:p>
        </w:tc>
        <w:tc>
          <w:tcPr>
            <w:tcW w:w="330" w:type="pct"/>
            <w:tcBorders>
              <w:top w:val="single" w:sz="6" w:space="0" w:color="000000"/>
              <w:left w:val="single" w:sz="6" w:space="0" w:color="000000"/>
              <w:bottom w:val="single" w:sz="6" w:space="0" w:color="000000"/>
              <w:right w:val="single" w:sz="6" w:space="0" w:color="000000"/>
            </w:tcBorders>
            <w:hideMark/>
          </w:tcPr>
          <w:p w14:paraId="5974F0B5"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279/558 (50.0%) </w:t>
            </w:r>
          </w:p>
        </w:tc>
        <w:tc>
          <w:tcPr>
            <w:tcW w:w="334" w:type="pct"/>
            <w:tcBorders>
              <w:top w:val="single" w:sz="6" w:space="0" w:color="000000"/>
              <w:left w:val="single" w:sz="6" w:space="0" w:color="000000"/>
              <w:bottom w:val="single" w:sz="6" w:space="0" w:color="000000"/>
              <w:right w:val="single" w:sz="6" w:space="0" w:color="000000"/>
            </w:tcBorders>
            <w:hideMark/>
          </w:tcPr>
          <w:p w14:paraId="76432A30"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1.39</w:t>
            </w:r>
            <w:r>
              <w:rPr>
                <w:rFonts w:ascii="Arial Narrow" w:eastAsia="Times New Roman" w:hAnsi="Arial Narrow"/>
                <w:sz w:val="13"/>
                <w:szCs w:val="13"/>
              </w:rPr>
              <w:br/>
            </w:r>
            <w:r>
              <w:rPr>
                <w:rStyle w:val="cell"/>
                <w:rFonts w:ascii="Arial Narrow" w:eastAsia="Times New Roman" w:hAnsi="Arial Narrow"/>
                <w:sz w:val="13"/>
                <w:szCs w:val="13"/>
              </w:rPr>
              <w:t>(1.04 to 1.87)</w:t>
            </w:r>
          </w:p>
        </w:tc>
        <w:tc>
          <w:tcPr>
            <w:tcW w:w="325" w:type="pct"/>
            <w:tcBorders>
              <w:top w:val="single" w:sz="6" w:space="0" w:color="000000"/>
              <w:left w:val="single" w:sz="6" w:space="0" w:color="000000"/>
              <w:bottom w:val="single" w:sz="6" w:space="0" w:color="000000"/>
              <w:right w:val="single" w:sz="6" w:space="0" w:color="000000"/>
            </w:tcBorders>
            <w:hideMark/>
          </w:tcPr>
          <w:p w14:paraId="09B67CD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8 more per 100</w:t>
            </w:r>
            <w:r>
              <w:rPr>
                <w:rFonts w:ascii="Arial Narrow" w:eastAsia="Times New Roman" w:hAnsi="Arial Narrow"/>
                <w:sz w:val="13"/>
                <w:szCs w:val="13"/>
              </w:rPr>
              <w:br/>
              <w:t>(from 1 more to 15 more)</w:t>
            </w:r>
          </w:p>
        </w:tc>
        <w:tc>
          <w:tcPr>
            <w:tcW w:w="432" w:type="pct"/>
            <w:tcBorders>
              <w:top w:val="single" w:sz="6" w:space="0" w:color="000000"/>
              <w:left w:val="single" w:sz="6" w:space="0" w:color="000000"/>
              <w:bottom w:val="single" w:sz="6" w:space="0" w:color="000000"/>
              <w:right w:val="single" w:sz="6" w:space="0" w:color="000000"/>
            </w:tcBorders>
            <w:hideMark/>
          </w:tcPr>
          <w:p w14:paraId="38E0BC7E"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432" w:type="pct"/>
            <w:tcBorders>
              <w:top w:val="single" w:sz="6" w:space="0" w:color="000000"/>
              <w:left w:val="single" w:sz="6" w:space="0" w:color="000000"/>
              <w:bottom w:val="single" w:sz="6" w:space="0" w:color="000000"/>
              <w:right w:val="single" w:sz="6" w:space="0" w:color="000000"/>
            </w:tcBorders>
            <w:hideMark/>
          </w:tcPr>
          <w:p w14:paraId="20AC0CEF" w14:textId="77777777" w:rsidR="00B41992" w:rsidRDefault="00B41992" w:rsidP="0062262B">
            <w:pPr>
              <w:jc w:val="center"/>
              <w:rPr>
                <w:rFonts w:ascii="Arial Narrow" w:eastAsia="Times New Roman" w:hAnsi="Arial Narrow"/>
                <w:sz w:val="13"/>
                <w:szCs w:val="13"/>
              </w:rPr>
            </w:pPr>
          </w:p>
        </w:tc>
      </w:tr>
    </w:tbl>
    <w:p w14:paraId="532FCE61"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6C0D4810" w14:textId="77777777" w:rsidR="00B41992" w:rsidRDefault="00B41992" w:rsidP="00B41992">
      <w:pPr>
        <w:rPr>
          <w:b/>
          <w:bCs/>
          <w:sz w:val="32"/>
          <w:szCs w:val="32"/>
          <w:u w:val="single"/>
        </w:rPr>
      </w:pPr>
    </w:p>
    <w:p w14:paraId="54926C12" w14:textId="77777777" w:rsidR="00B41992" w:rsidRDefault="00B41992" w:rsidP="00B41992">
      <w:pPr>
        <w:rPr>
          <w:b/>
          <w:bCs/>
          <w:sz w:val="32"/>
          <w:szCs w:val="32"/>
          <w:u w:val="single"/>
        </w:rPr>
      </w:pPr>
    </w:p>
    <w:p w14:paraId="1048DBDD" w14:textId="77777777" w:rsidR="00B41992" w:rsidRPr="009B1AC2" w:rsidRDefault="00B41992" w:rsidP="00B41992">
      <w:pPr>
        <w:rPr>
          <w:sz w:val="32"/>
          <w:szCs w:val="32"/>
        </w:rPr>
      </w:pPr>
      <w:r w:rsidRPr="009B1AC2">
        <w:rPr>
          <w:b/>
          <w:bCs/>
          <w:sz w:val="32"/>
          <w:szCs w:val="32"/>
        </w:rPr>
        <w:t>3.6.1 Rimegepant in Episodic Migraine</w:t>
      </w:r>
    </w:p>
    <w:p w14:paraId="56276149" w14:textId="77777777" w:rsidR="00B41992" w:rsidRPr="00CF6223" w:rsidRDefault="00B41992" w:rsidP="00B41992">
      <w:pPr>
        <w:rPr>
          <w:sz w:val="32"/>
          <w:szCs w:val="32"/>
        </w:rPr>
      </w:pPr>
      <w:r w:rsidRPr="00CF6223">
        <w:rPr>
          <w:sz w:val="32"/>
          <w:szCs w:val="32"/>
        </w:rPr>
        <w:t>A single study was found, Croop et al, 2021</w:t>
      </w:r>
      <w:r>
        <w:rPr>
          <w:sz w:val="32"/>
          <w:szCs w:val="32"/>
        </w:rPr>
        <w:fldChar w:fldCharType="begin"/>
      </w:r>
      <w:r>
        <w:rPr>
          <w:sz w:val="32"/>
          <w:szCs w:val="32"/>
        </w:rPr>
        <w:instrText xml:space="preserve"> ADDIN ZOTERO_ITEM CSL_CITATION {"citationID":"Q8giw6G7","properties":{"formattedCitation":"(57)","plainCitation":"(57)","noteIndex":0},"citationItems":[{"id":5828,"uris":["http://zotero.org/users/5131939/items/H8U6ZRVA"],"itemData":{"id":5828,"type":"article-journal","archive_location":"33338437","container-title":"Lancet","DOI":"10.1016/S0140-6736(20)32544-7","issue":"10268","journalAbbreviation":"Lancet","page":"51-60","title":"Oral rimegepant for preventive treatment of migraine: a phase 2/3, randomised, double-blind, placebo-controlled trial","volume":"397","author":[{"family":"Croop","given":"R."},{"family":"Lipton","given":"R. B."},{"family":"Kudrow","given":"D."},{"family":"Stock","given":"D. A."},{"family":"Kamen","given":"L."},{"family":"Conway","given":"C. M."},{"family":"Stock","given":"E. G."},{"family":"Coric","given":"V."},{"family":"Goadsby","given":"P. J."}],"issued":{"date-parts":[["2021"]]}}}],"schema":"https://github.com/citation-style-language/schema/raw/master/csl-citation.json"} </w:instrText>
      </w:r>
      <w:r>
        <w:rPr>
          <w:sz w:val="32"/>
          <w:szCs w:val="32"/>
        </w:rPr>
        <w:fldChar w:fldCharType="separate"/>
      </w:r>
      <w:r w:rsidRPr="006468D7">
        <w:rPr>
          <w:rFonts w:ascii="Calibri" w:hAnsi="Calibri" w:cs="Calibri"/>
          <w:sz w:val="32"/>
        </w:rPr>
        <w:t>(57)</w:t>
      </w:r>
      <w:r>
        <w:rPr>
          <w:sz w:val="32"/>
          <w:szCs w:val="32"/>
        </w:rPr>
        <w:fldChar w:fldCharType="end"/>
      </w:r>
      <w:r w:rsidRPr="00CF6223">
        <w:rPr>
          <w:sz w:val="32"/>
          <w:szCs w:val="32"/>
        </w:rPr>
        <w:t>.</w:t>
      </w:r>
    </w:p>
    <w:p w14:paraId="3FCC099B" w14:textId="77777777"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Rimegepant in Episodic Migraine</w:t>
      </w:r>
    </w:p>
    <w:p w14:paraId="11996238"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Rimegepant compared to placebo for episodic migraine</w:t>
      </w:r>
    </w:p>
    <w:p w14:paraId="4459A8D4"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66"/>
        <w:gridCol w:w="862"/>
        <w:gridCol w:w="779"/>
        <w:gridCol w:w="749"/>
        <w:gridCol w:w="938"/>
        <w:gridCol w:w="725"/>
        <w:gridCol w:w="595"/>
        <w:gridCol w:w="661"/>
        <w:gridCol w:w="607"/>
        <w:gridCol w:w="853"/>
        <w:gridCol w:w="837"/>
      </w:tblGrid>
      <w:tr w:rsidR="00B41992" w14:paraId="416FF338"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EAEA67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D3591E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B2A2C5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BF504D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1C86FA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675179EE"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ED282D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CF311C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3FCFF3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BD8B72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3F8286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232658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26D1C9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EEFC4E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rimegepant</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F62755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F3B674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4F5501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20DE7D6"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A83A4AE" w14:textId="77777777" w:rsidR="00B41992" w:rsidRDefault="00B41992" w:rsidP="0062262B">
            <w:pPr>
              <w:rPr>
                <w:rFonts w:ascii="Arial Narrow" w:eastAsia="Times New Roman" w:hAnsi="Arial Narrow"/>
                <w:b/>
                <w:bCs/>
                <w:color w:val="FFFFFF"/>
                <w:sz w:val="13"/>
                <w:szCs w:val="13"/>
              </w:rPr>
            </w:pPr>
          </w:p>
        </w:tc>
      </w:tr>
      <w:tr w:rsidR="00B41992" w14:paraId="3EAB2D78"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3BBF8DAE"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 Scale from: -10 to 10)</w:t>
            </w:r>
          </w:p>
        </w:tc>
      </w:tr>
      <w:tr w:rsidR="00B41992" w14:paraId="5E7C390A"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47FC259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2F3AF94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047925E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6B0E3D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B219AC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33B9EC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71482ED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93A889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348</w:t>
            </w:r>
          </w:p>
        </w:tc>
        <w:tc>
          <w:tcPr>
            <w:tcW w:w="400" w:type="pct"/>
            <w:tcBorders>
              <w:top w:val="single" w:sz="6" w:space="0" w:color="000000"/>
              <w:left w:val="single" w:sz="6" w:space="0" w:color="000000"/>
              <w:bottom w:val="single" w:sz="6" w:space="0" w:color="000000"/>
              <w:right w:val="single" w:sz="6" w:space="0" w:color="000000"/>
            </w:tcBorders>
            <w:hideMark/>
          </w:tcPr>
          <w:p w14:paraId="5596B43D"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347</w:t>
            </w:r>
          </w:p>
        </w:tc>
        <w:tc>
          <w:tcPr>
            <w:tcW w:w="400" w:type="pct"/>
            <w:tcBorders>
              <w:top w:val="single" w:sz="6" w:space="0" w:color="000000"/>
              <w:left w:val="single" w:sz="6" w:space="0" w:color="000000"/>
              <w:bottom w:val="single" w:sz="6" w:space="0" w:color="000000"/>
              <w:right w:val="single" w:sz="6" w:space="0" w:color="000000"/>
            </w:tcBorders>
            <w:hideMark/>
          </w:tcPr>
          <w:p w14:paraId="118D6899"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78F2604A"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0.8 day lower</w:t>
            </w:r>
            <w:r>
              <w:rPr>
                <w:rFonts w:ascii="Arial Narrow" w:eastAsia="Times New Roman" w:hAnsi="Arial Narrow"/>
                <w:sz w:val="13"/>
                <w:szCs w:val="13"/>
              </w:rPr>
              <w:br/>
            </w:r>
            <w:r>
              <w:rPr>
                <w:rStyle w:val="cell-value"/>
                <w:rFonts w:ascii="Arial Narrow" w:eastAsia="Times New Roman" w:hAnsi="Arial Narrow"/>
                <w:sz w:val="13"/>
                <w:szCs w:val="13"/>
              </w:rPr>
              <w:t>(1.5 lower to 0.2 lower)</w:t>
            </w:r>
          </w:p>
        </w:tc>
        <w:tc>
          <w:tcPr>
            <w:tcW w:w="750" w:type="dxa"/>
            <w:tcBorders>
              <w:top w:val="single" w:sz="6" w:space="0" w:color="000000"/>
              <w:left w:val="single" w:sz="6" w:space="0" w:color="000000"/>
              <w:bottom w:val="single" w:sz="6" w:space="0" w:color="000000"/>
              <w:right w:val="single" w:sz="6" w:space="0" w:color="000000"/>
            </w:tcBorders>
            <w:hideMark/>
          </w:tcPr>
          <w:p w14:paraId="0564E542"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0ABBB78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7EAFF809"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5EA518A9"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39361958"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3FCB800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7CFAA79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6FD188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6A32C3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CE3274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166693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20E04DE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81A9E9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171/348 (49.1%) </w:t>
            </w:r>
          </w:p>
        </w:tc>
        <w:tc>
          <w:tcPr>
            <w:tcW w:w="400" w:type="pct"/>
            <w:tcBorders>
              <w:top w:val="single" w:sz="6" w:space="0" w:color="000000"/>
              <w:left w:val="single" w:sz="6" w:space="0" w:color="000000"/>
              <w:bottom w:val="single" w:sz="6" w:space="0" w:color="000000"/>
              <w:right w:val="single" w:sz="6" w:space="0" w:color="000000"/>
            </w:tcBorders>
            <w:hideMark/>
          </w:tcPr>
          <w:p w14:paraId="10420B3A"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144/347 (41.5%) </w:t>
            </w:r>
          </w:p>
        </w:tc>
        <w:tc>
          <w:tcPr>
            <w:tcW w:w="400" w:type="pct"/>
            <w:tcBorders>
              <w:top w:val="single" w:sz="6" w:space="0" w:color="000000"/>
              <w:left w:val="single" w:sz="6" w:space="0" w:color="000000"/>
              <w:bottom w:val="single" w:sz="6" w:space="0" w:color="000000"/>
              <w:right w:val="single" w:sz="6" w:space="0" w:color="000000"/>
            </w:tcBorders>
            <w:hideMark/>
          </w:tcPr>
          <w:p w14:paraId="50B56EC9"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1.36</w:t>
            </w:r>
            <w:r>
              <w:rPr>
                <w:rFonts w:ascii="Arial Narrow" w:eastAsia="Times New Roman" w:hAnsi="Arial Narrow"/>
                <w:sz w:val="13"/>
                <w:szCs w:val="13"/>
              </w:rPr>
              <w:br/>
            </w:r>
            <w:r>
              <w:rPr>
                <w:rStyle w:val="cell"/>
                <w:rFonts w:ascii="Arial Narrow" w:eastAsia="Times New Roman" w:hAnsi="Arial Narrow"/>
                <w:sz w:val="13"/>
                <w:szCs w:val="13"/>
              </w:rPr>
              <w:t>(1.01 to 1.84)</w:t>
            </w:r>
          </w:p>
        </w:tc>
        <w:tc>
          <w:tcPr>
            <w:tcW w:w="0" w:type="auto"/>
            <w:tcBorders>
              <w:top w:val="single" w:sz="6" w:space="0" w:color="000000"/>
              <w:left w:val="single" w:sz="6" w:space="0" w:color="000000"/>
              <w:bottom w:val="single" w:sz="6" w:space="0" w:color="000000"/>
              <w:right w:val="single" w:sz="6" w:space="0" w:color="000000"/>
            </w:tcBorders>
            <w:hideMark/>
          </w:tcPr>
          <w:p w14:paraId="5B67F02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8 more per 100</w:t>
            </w:r>
            <w:r>
              <w:rPr>
                <w:rFonts w:ascii="Arial Narrow" w:eastAsia="Times New Roman" w:hAnsi="Arial Narrow"/>
                <w:sz w:val="13"/>
                <w:szCs w:val="13"/>
              </w:rPr>
              <w:br/>
              <w:t>(from 0 fewer to 15 more)</w:t>
            </w:r>
          </w:p>
        </w:tc>
        <w:tc>
          <w:tcPr>
            <w:tcW w:w="750" w:type="dxa"/>
            <w:tcBorders>
              <w:top w:val="single" w:sz="6" w:space="0" w:color="000000"/>
              <w:left w:val="single" w:sz="6" w:space="0" w:color="000000"/>
              <w:bottom w:val="single" w:sz="6" w:space="0" w:color="000000"/>
              <w:right w:val="single" w:sz="6" w:space="0" w:color="000000"/>
            </w:tcBorders>
            <w:hideMark/>
          </w:tcPr>
          <w:p w14:paraId="3D741D65"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2A988BC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54501816"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6B772194"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eventa (follow-up: mean 12 weeks)</w:t>
            </w:r>
          </w:p>
        </w:tc>
      </w:tr>
      <w:tr w:rsidR="00B41992" w14:paraId="7AD20A21"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FB8DE6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123A050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56DF493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F097A6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9A8D78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D61D67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D6CC34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08C824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133/370 (35.9%) </w:t>
            </w:r>
          </w:p>
        </w:tc>
        <w:tc>
          <w:tcPr>
            <w:tcW w:w="400" w:type="pct"/>
            <w:tcBorders>
              <w:top w:val="single" w:sz="6" w:space="0" w:color="000000"/>
              <w:left w:val="single" w:sz="6" w:space="0" w:color="000000"/>
              <w:bottom w:val="single" w:sz="6" w:space="0" w:color="000000"/>
              <w:right w:val="single" w:sz="6" w:space="0" w:color="000000"/>
            </w:tcBorders>
            <w:hideMark/>
          </w:tcPr>
          <w:p w14:paraId="096E2DC5"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133/371 (35.8%) </w:t>
            </w:r>
          </w:p>
        </w:tc>
        <w:tc>
          <w:tcPr>
            <w:tcW w:w="400" w:type="pct"/>
            <w:tcBorders>
              <w:top w:val="single" w:sz="6" w:space="0" w:color="000000"/>
              <w:left w:val="single" w:sz="6" w:space="0" w:color="000000"/>
              <w:bottom w:val="single" w:sz="6" w:space="0" w:color="000000"/>
              <w:right w:val="single" w:sz="6" w:space="0" w:color="000000"/>
            </w:tcBorders>
            <w:hideMark/>
          </w:tcPr>
          <w:p w14:paraId="62DE817B"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1.00</w:t>
            </w:r>
            <w:r>
              <w:rPr>
                <w:rFonts w:ascii="Arial Narrow" w:eastAsia="Times New Roman" w:hAnsi="Arial Narrow"/>
                <w:sz w:val="13"/>
                <w:szCs w:val="13"/>
              </w:rPr>
              <w:br/>
            </w:r>
            <w:r>
              <w:rPr>
                <w:rStyle w:val="cell"/>
                <w:rFonts w:ascii="Arial Narrow" w:eastAsia="Times New Roman" w:hAnsi="Arial Narrow"/>
                <w:sz w:val="13"/>
                <w:szCs w:val="13"/>
              </w:rPr>
              <w:t>(0.74 to 1.34)</w:t>
            </w:r>
          </w:p>
        </w:tc>
        <w:tc>
          <w:tcPr>
            <w:tcW w:w="0" w:type="auto"/>
            <w:tcBorders>
              <w:top w:val="single" w:sz="6" w:space="0" w:color="000000"/>
              <w:left w:val="single" w:sz="6" w:space="0" w:color="000000"/>
              <w:bottom w:val="single" w:sz="6" w:space="0" w:color="000000"/>
              <w:right w:val="single" w:sz="6" w:space="0" w:color="000000"/>
            </w:tcBorders>
            <w:hideMark/>
          </w:tcPr>
          <w:p w14:paraId="0D1A3E4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0 fewer per 100</w:t>
            </w:r>
            <w:r>
              <w:rPr>
                <w:rFonts w:ascii="Arial Narrow" w:eastAsia="Times New Roman" w:hAnsi="Arial Narrow"/>
                <w:sz w:val="13"/>
                <w:szCs w:val="13"/>
              </w:rPr>
              <w:br/>
              <w:t>(from 7 fewer to 7 more)</w:t>
            </w:r>
          </w:p>
        </w:tc>
        <w:tc>
          <w:tcPr>
            <w:tcW w:w="750" w:type="dxa"/>
            <w:tcBorders>
              <w:top w:val="single" w:sz="6" w:space="0" w:color="000000"/>
              <w:left w:val="single" w:sz="6" w:space="0" w:color="000000"/>
              <w:bottom w:val="single" w:sz="6" w:space="0" w:color="000000"/>
              <w:right w:val="single" w:sz="6" w:space="0" w:color="000000"/>
            </w:tcBorders>
            <w:hideMark/>
          </w:tcPr>
          <w:p w14:paraId="42D2ECAD"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30CE710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bl>
    <w:p w14:paraId="66DB7ADD"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0D055943"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213E252D" w14:textId="77777777" w:rsidR="00B41992" w:rsidRPr="001D249D" w:rsidRDefault="00B41992" w:rsidP="00B41992">
      <w:pPr>
        <w:pStyle w:val="ListParagraph"/>
        <w:numPr>
          <w:ilvl w:val="0"/>
          <w:numId w:val="25"/>
        </w:numPr>
        <w:spacing w:after="160"/>
        <w:rPr>
          <w:rFonts w:ascii="Arial Narrow" w:eastAsia="Times New Roman" w:hAnsi="Arial Narrow"/>
          <w:color w:val="000000"/>
          <w:sz w:val="14"/>
          <w:szCs w:val="14"/>
          <w:lang w:val="en"/>
        </w:rPr>
      </w:pPr>
      <w:r w:rsidRPr="001D249D">
        <w:rPr>
          <w:rFonts w:ascii="Arial Narrow" w:eastAsia="Times New Roman" w:hAnsi="Arial Narrow"/>
          <w:color w:val="000000"/>
          <w:sz w:val="14"/>
          <w:szCs w:val="14"/>
          <w:lang w:val="en"/>
        </w:rPr>
        <w:t>close to null difference</w:t>
      </w:r>
    </w:p>
    <w:p w14:paraId="6824EDE9" w14:textId="77777777" w:rsidR="00B41992" w:rsidRDefault="00B41992" w:rsidP="00B41992">
      <w:pPr>
        <w:rPr>
          <w:rFonts w:ascii="Arial Narrow" w:eastAsia="Times New Roman" w:hAnsi="Arial Narrow"/>
          <w:color w:val="000000"/>
          <w:sz w:val="14"/>
          <w:szCs w:val="14"/>
          <w:lang w:val="en"/>
        </w:rPr>
      </w:pPr>
    </w:p>
    <w:p w14:paraId="6BC7F72E" w14:textId="77777777" w:rsidR="00B41992" w:rsidRDefault="00B41992" w:rsidP="00B41992">
      <w:pPr>
        <w:rPr>
          <w:rFonts w:ascii="Arial Narrow" w:eastAsia="Times New Roman" w:hAnsi="Arial Narrow"/>
          <w:color w:val="000000"/>
          <w:sz w:val="14"/>
          <w:szCs w:val="14"/>
          <w:lang w:val="en"/>
        </w:rPr>
      </w:pPr>
    </w:p>
    <w:p w14:paraId="7162A35B" w14:textId="77777777" w:rsidR="00B41992" w:rsidRDefault="00B41992" w:rsidP="00B41992">
      <w:pPr>
        <w:rPr>
          <w:rFonts w:ascii="Arial Narrow" w:eastAsia="Times New Roman" w:hAnsi="Arial Narrow"/>
          <w:color w:val="000000"/>
          <w:sz w:val="14"/>
          <w:szCs w:val="14"/>
          <w:lang w:val="en"/>
        </w:rPr>
      </w:pPr>
    </w:p>
    <w:p w14:paraId="7021DFCE" w14:textId="77777777" w:rsidR="00B41992" w:rsidRDefault="00B41992" w:rsidP="00B41992">
      <w:pPr>
        <w:rPr>
          <w:rFonts w:ascii="Arial Narrow" w:eastAsia="Times New Roman" w:hAnsi="Arial Narrow"/>
          <w:color w:val="000000"/>
          <w:sz w:val="14"/>
          <w:szCs w:val="14"/>
          <w:lang w:val="en"/>
        </w:rPr>
      </w:pPr>
    </w:p>
    <w:p w14:paraId="5E93C484" w14:textId="77777777" w:rsidR="00B41992" w:rsidRDefault="00B41992" w:rsidP="00B41992">
      <w:pPr>
        <w:rPr>
          <w:rFonts w:ascii="Arial Narrow" w:eastAsia="Times New Roman" w:hAnsi="Arial Narrow"/>
          <w:color w:val="000000"/>
          <w:sz w:val="14"/>
          <w:szCs w:val="14"/>
          <w:lang w:val="en"/>
        </w:rPr>
      </w:pPr>
    </w:p>
    <w:p w14:paraId="65E6DE55" w14:textId="77777777" w:rsidR="00B41992" w:rsidRDefault="00B41992" w:rsidP="00B41992">
      <w:pPr>
        <w:rPr>
          <w:rFonts w:ascii="Arial Narrow" w:eastAsia="Times New Roman" w:hAnsi="Arial Narrow"/>
          <w:color w:val="000000"/>
          <w:sz w:val="14"/>
          <w:szCs w:val="14"/>
          <w:lang w:val="en"/>
        </w:rPr>
      </w:pPr>
    </w:p>
    <w:p w14:paraId="64EC4FAC" w14:textId="77777777" w:rsidR="00B41992" w:rsidRDefault="00B41992" w:rsidP="00B41992">
      <w:pPr>
        <w:rPr>
          <w:rFonts w:ascii="Arial Narrow" w:eastAsia="Times New Roman" w:hAnsi="Arial Narrow"/>
          <w:color w:val="000000"/>
          <w:sz w:val="14"/>
          <w:szCs w:val="14"/>
          <w:lang w:val="en"/>
        </w:rPr>
      </w:pPr>
    </w:p>
    <w:p w14:paraId="58B96FCC" w14:textId="77777777" w:rsidR="00B41992" w:rsidRDefault="00B41992" w:rsidP="00B41992">
      <w:pPr>
        <w:rPr>
          <w:rFonts w:ascii="Arial Narrow" w:eastAsia="Times New Roman" w:hAnsi="Arial Narrow"/>
          <w:color w:val="000000"/>
          <w:sz w:val="14"/>
          <w:szCs w:val="14"/>
          <w:lang w:val="en"/>
        </w:rPr>
      </w:pPr>
    </w:p>
    <w:p w14:paraId="5D02B7AE" w14:textId="77777777" w:rsidR="00B41992" w:rsidRDefault="00B41992" w:rsidP="00B41992">
      <w:pPr>
        <w:rPr>
          <w:rFonts w:ascii="Arial Narrow" w:eastAsia="Times New Roman" w:hAnsi="Arial Narrow"/>
          <w:color w:val="000000"/>
          <w:sz w:val="14"/>
          <w:szCs w:val="14"/>
          <w:lang w:val="en"/>
        </w:rPr>
      </w:pPr>
    </w:p>
    <w:p w14:paraId="4C4D6E7E" w14:textId="77777777" w:rsidR="00B41992" w:rsidRPr="001D249D" w:rsidRDefault="00B41992" w:rsidP="00B41992">
      <w:pPr>
        <w:rPr>
          <w:rFonts w:ascii="Arial Narrow" w:eastAsia="Times New Roman" w:hAnsi="Arial Narrow"/>
          <w:color w:val="000000"/>
          <w:sz w:val="14"/>
          <w:szCs w:val="14"/>
          <w:lang w:val="en"/>
        </w:rPr>
      </w:pPr>
    </w:p>
    <w:p w14:paraId="5194C146" w14:textId="32BA9395" w:rsidR="00B41992" w:rsidRPr="009B1AC2" w:rsidRDefault="00B41992" w:rsidP="00B41992">
      <w:pPr>
        <w:rPr>
          <w:sz w:val="32"/>
          <w:szCs w:val="32"/>
        </w:rPr>
      </w:pPr>
      <w:r w:rsidRPr="009B1AC2">
        <w:rPr>
          <w:b/>
          <w:bCs/>
          <w:sz w:val="32"/>
          <w:szCs w:val="32"/>
        </w:rPr>
        <w:t>3.7.1 Onabotulinum</w:t>
      </w:r>
      <w:r w:rsidR="005E617E">
        <w:rPr>
          <w:b/>
          <w:bCs/>
          <w:sz w:val="32"/>
          <w:szCs w:val="32"/>
        </w:rPr>
        <w:t>t</w:t>
      </w:r>
      <w:r w:rsidRPr="009B1AC2">
        <w:rPr>
          <w:b/>
          <w:bCs/>
          <w:sz w:val="32"/>
          <w:szCs w:val="32"/>
        </w:rPr>
        <w:t>oxinA in Chronic Migraine</w:t>
      </w:r>
    </w:p>
    <w:p w14:paraId="52C76AAD" w14:textId="77777777" w:rsidR="00B41992" w:rsidRPr="00CF6223" w:rsidRDefault="00B41992" w:rsidP="00B41992">
      <w:pPr>
        <w:rPr>
          <w:sz w:val="32"/>
          <w:szCs w:val="32"/>
        </w:rPr>
      </w:pPr>
      <w:r w:rsidRPr="00CF6223">
        <w:rPr>
          <w:sz w:val="32"/>
          <w:szCs w:val="32"/>
        </w:rPr>
        <w:t>A single study was</w:t>
      </w:r>
      <w:r>
        <w:rPr>
          <w:sz w:val="32"/>
          <w:szCs w:val="32"/>
        </w:rPr>
        <w:t xml:space="preserve"> found</w:t>
      </w:r>
      <w:r w:rsidRPr="00CF6223">
        <w:rPr>
          <w:sz w:val="32"/>
          <w:szCs w:val="32"/>
        </w:rPr>
        <w:t>,</w:t>
      </w:r>
      <w:r>
        <w:rPr>
          <w:sz w:val="32"/>
          <w:szCs w:val="32"/>
        </w:rPr>
        <w:t xml:space="preserve"> Dodick 2010</w:t>
      </w:r>
      <w:r>
        <w:rPr>
          <w:sz w:val="32"/>
          <w:szCs w:val="32"/>
        </w:rPr>
        <w:fldChar w:fldCharType="begin"/>
      </w:r>
      <w:r>
        <w:rPr>
          <w:sz w:val="32"/>
          <w:szCs w:val="32"/>
        </w:rPr>
        <w:instrText xml:space="preserve"> ADDIN ZOTERO_ITEM CSL_CITATION {"citationID":"Kj7qnC2O","properties":{"formattedCitation":"(58)","plainCitation":"(58)","noteIndex":0},"citationItems":[{"id":5861,"uris":["http://zotero.org/users/5131939/items/VYYNP9T3"],"itemData":{"id":5861,"type":"article-journal","archive_location":"20487038","container-title":"Headache","DOI":"10.1111/j.1526-4610.2010.01678.x","issue":"6","journalAbbreviation":"Headache","page":"921-36","title":"OnabotulinumtoxinA for treatment of chronic migraine: pooled results from the double-blind, randomized, placebo-controlled phases of the PREEMPT clinical program","volume":"50","author":[{"family":"Dodick","given":"D. W."},{"family":"Turkel","given":"C. C."},{"family":"DeGryse","given":"R. E."},{"family":"Aurora","given":"S. K."},{"family":"Silberstein","given":"S. D."},{"family":"Lipton","given":"R. B."},{"family":"Diener","given":"H. C."},{"family":"Brin","given":"M. F."}],"issued":{"date-parts":[["2010"]]}}}],"schema":"https://github.com/citation-style-language/schema/raw/master/csl-citation.json"} </w:instrText>
      </w:r>
      <w:r>
        <w:rPr>
          <w:sz w:val="32"/>
          <w:szCs w:val="32"/>
        </w:rPr>
        <w:fldChar w:fldCharType="separate"/>
      </w:r>
      <w:r w:rsidRPr="00212E69">
        <w:rPr>
          <w:rFonts w:ascii="Calibri" w:hAnsi="Calibri" w:cs="Calibri"/>
          <w:sz w:val="32"/>
        </w:rPr>
        <w:t>(58)</w:t>
      </w:r>
      <w:r>
        <w:rPr>
          <w:sz w:val="32"/>
          <w:szCs w:val="32"/>
        </w:rPr>
        <w:fldChar w:fldCharType="end"/>
      </w:r>
      <w:r w:rsidRPr="00CF6223">
        <w:rPr>
          <w:sz w:val="32"/>
          <w:szCs w:val="32"/>
        </w:rPr>
        <w:t>.</w:t>
      </w:r>
    </w:p>
    <w:p w14:paraId="47545D4B" w14:textId="3E35572B"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Onabotulinum</w:t>
      </w:r>
      <w:r w:rsidR="005E617E">
        <w:rPr>
          <w:b/>
          <w:bCs/>
          <w:sz w:val="28"/>
          <w:szCs w:val="28"/>
          <w:u w:val="single"/>
        </w:rPr>
        <w:t>t</w:t>
      </w:r>
      <w:r>
        <w:rPr>
          <w:b/>
          <w:bCs/>
          <w:sz w:val="28"/>
          <w:szCs w:val="28"/>
          <w:u w:val="single"/>
        </w:rPr>
        <w:t>oxin</w:t>
      </w:r>
      <w:r w:rsidR="005E617E">
        <w:rPr>
          <w:b/>
          <w:bCs/>
          <w:sz w:val="28"/>
          <w:szCs w:val="28"/>
          <w:u w:val="single"/>
        </w:rPr>
        <w:t>A</w:t>
      </w:r>
      <w:r>
        <w:rPr>
          <w:b/>
          <w:bCs/>
          <w:sz w:val="28"/>
          <w:szCs w:val="28"/>
          <w:u w:val="single"/>
        </w:rPr>
        <w:t xml:space="preserve"> in Chronic Migraine</w:t>
      </w:r>
    </w:p>
    <w:p w14:paraId="0A8BD60C" w14:textId="58076500"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Onabotulinum</w:t>
      </w:r>
      <w:r w:rsidR="005E617E">
        <w:rPr>
          <w:rFonts w:ascii="Arial Narrow" w:eastAsia="Times New Roman" w:hAnsi="Arial Narrow"/>
          <w:color w:val="000000"/>
          <w:sz w:val="14"/>
          <w:szCs w:val="14"/>
          <w:lang w:val="en"/>
        </w:rPr>
        <w:t>toxinA</w:t>
      </w:r>
      <w:r>
        <w:rPr>
          <w:rFonts w:ascii="Arial Narrow" w:eastAsia="Times New Roman" w:hAnsi="Arial Narrow"/>
          <w:color w:val="000000"/>
          <w:sz w:val="14"/>
          <w:szCs w:val="14"/>
          <w:lang w:val="en"/>
        </w:rPr>
        <w:t xml:space="preserve"> compared to placebo for chronic migraine</w:t>
      </w:r>
    </w:p>
    <w:p w14:paraId="319F4EFF"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Author(s): </w:t>
      </w:r>
    </w:p>
    <w:p w14:paraId="47A64ECC" w14:textId="688E9AE8"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Onabotulinum</w:t>
      </w:r>
      <w:r w:rsidR="005E617E">
        <w:rPr>
          <w:rFonts w:ascii="Arial Narrow" w:eastAsia="Times New Roman" w:hAnsi="Arial Narrow"/>
          <w:color w:val="000000"/>
          <w:sz w:val="14"/>
          <w:szCs w:val="14"/>
          <w:lang w:val="en"/>
        </w:rPr>
        <w:t>t</w:t>
      </w:r>
      <w:r>
        <w:rPr>
          <w:rFonts w:ascii="Arial Narrow" w:eastAsia="Times New Roman" w:hAnsi="Arial Narrow"/>
          <w:color w:val="000000"/>
          <w:sz w:val="14"/>
          <w:szCs w:val="14"/>
          <w:lang w:val="en"/>
        </w:rPr>
        <w:t>oxi</w:t>
      </w:r>
      <w:r w:rsidR="005E617E">
        <w:rPr>
          <w:rFonts w:ascii="Arial Narrow" w:eastAsia="Times New Roman" w:hAnsi="Arial Narrow"/>
          <w:color w:val="000000"/>
          <w:sz w:val="14"/>
          <w:szCs w:val="14"/>
          <w:lang w:val="en"/>
        </w:rPr>
        <w:t>n</w:t>
      </w:r>
      <w:r>
        <w:rPr>
          <w:rFonts w:ascii="Arial Narrow" w:eastAsia="Times New Roman" w:hAnsi="Arial Narrow"/>
          <w:color w:val="000000"/>
          <w:sz w:val="14"/>
          <w:szCs w:val="14"/>
          <w:lang w:val="en"/>
        </w:rPr>
        <w:t xml:space="preserve">A compared to placebo for chronic migraine </w:t>
      </w:r>
    </w:p>
    <w:p w14:paraId="5229D0DC"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Setting: </w:t>
      </w:r>
    </w:p>
    <w:p w14:paraId="293E5F37"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Bibliography: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31"/>
        <w:gridCol w:w="862"/>
        <w:gridCol w:w="779"/>
        <w:gridCol w:w="749"/>
        <w:gridCol w:w="909"/>
        <w:gridCol w:w="873"/>
        <w:gridCol w:w="619"/>
        <w:gridCol w:w="625"/>
        <w:gridCol w:w="607"/>
        <w:gridCol w:w="809"/>
        <w:gridCol w:w="809"/>
      </w:tblGrid>
      <w:tr w:rsidR="00B41992" w14:paraId="37E67F0A"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8D78BE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01F35B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85BD58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61AF95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3DCC7B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1F3AE1E0"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0A4680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E3742E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90FB0B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9FBAA9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6CCF0C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F3CB39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C195E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BA0525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Onabotulinum Toxin A</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08315B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FE4E5F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B5748C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E904439"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F962CA0" w14:textId="77777777" w:rsidR="00B41992" w:rsidRDefault="00B41992" w:rsidP="0062262B">
            <w:pPr>
              <w:rPr>
                <w:rFonts w:ascii="Arial Narrow" w:eastAsia="Times New Roman" w:hAnsi="Arial Narrow"/>
                <w:b/>
                <w:bCs/>
                <w:color w:val="FFFFFF"/>
                <w:sz w:val="13"/>
                <w:szCs w:val="13"/>
              </w:rPr>
            </w:pPr>
          </w:p>
        </w:tc>
      </w:tr>
      <w:tr w:rsidR="00B41992" w14:paraId="36910CAD"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30F8097F"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24 weeks; Scale from: -10 to 10)</w:t>
            </w:r>
          </w:p>
        </w:tc>
      </w:tr>
      <w:tr w:rsidR="00B41992" w14:paraId="466456C2"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75A023E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1B8D898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FE2577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9422C0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A9FBA1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CB220D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8A31CA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48EAA6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688</w:t>
            </w:r>
          </w:p>
        </w:tc>
        <w:tc>
          <w:tcPr>
            <w:tcW w:w="400" w:type="pct"/>
            <w:tcBorders>
              <w:top w:val="single" w:sz="6" w:space="0" w:color="000000"/>
              <w:left w:val="single" w:sz="6" w:space="0" w:color="000000"/>
              <w:bottom w:val="single" w:sz="6" w:space="0" w:color="000000"/>
              <w:right w:val="single" w:sz="6" w:space="0" w:color="000000"/>
            </w:tcBorders>
            <w:hideMark/>
          </w:tcPr>
          <w:p w14:paraId="602CF22F"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696</w:t>
            </w:r>
          </w:p>
        </w:tc>
        <w:tc>
          <w:tcPr>
            <w:tcW w:w="400" w:type="pct"/>
            <w:tcBorders>
              <w:top w:val="single" w:sz="6" w:space="0" w:color="000000"/>
              <w:left w:val="single" w:sz="6" w:space="0" w:color="000000"/>
              <w:bottom w:val="single" w:sz="6" w:space="0" w:color="000000"/>
              <w:right w:val="single" w:sz="6" w:space="0" w:color="000000"/>
            </w:tcBorders>
            <w:hideMark/>
          </w:tcPr>
          <w:p w14:paraId="3753E611"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28ADF0B8"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2 days lower</w:t>
            </w:r>
            <w:r>
              <w:rPr>
                <w:rFonts w:ascii="Arial Narrow" w:eastAsia="Times New Roman" w:hAnsi="Arial Narrow"/>
                <w:sz w:val="13"/>
                <w:szCs w:val="13"/>
              </w:rPr>
              <w:br/>
            </w:r>
            <w:r>
              <w:rPr>
                <w:rStyle w:val="cell-value"/>
                <w:rFonts w:ascii="Arial Narrow" w:eastAsia="Times New Roman" w:hAnsi="Arial Narrow"/>
                <w:sz w:val="13"/>
                <w:szCs w:val="13"/>
              </w:rPr>
              <w:t>(2.67 lower to 1.27 lower)</w:t>
            </w:r>
          </w:p>
        </w:tc>
        <w:tc>
          <w:tcPr>
            <w:tcW w:w="750" w:type="dxa"/>
            <w:tcBorders>
              <w:top w:val="single" w:sz="6" w:space="0" w:color="000000"/>
              <w:left w:val="single" w:sz="6" w:space="0" w:color="000000"/>
              <w:bottom w:val="single" w:sz="6" w:space="0" w:color="000000"/>
              <w:right w:val="single" w:sz="6" w:space="0" w:color="000000"/>
            </w:tcBorders>
            <w:hideMark/>
          </w:tcPr>
          <w:p w14:paraId="33F894D1"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6271E4D3" w14:textId="77777777" w:rsidR="00B41992" w:rsidRDefault="00B41992" w:rsidP="0062262B">
            <w:pPr>
              <w:rPr>
                <w:rFonts w:ascii="Arial Narrow" w:eastAsia="Times New Roman" w:hAnsi="Arial Narrow"/>
                <w:sz w:val="13"/>
                <w:szCs w:val="13"/>
              </w:rPr>
            </w:pPr>
            <w:r>
              <w:rPr>
                <w:rFonts w:ascii="Arial Narrow" w:eastAsia="Times New Roman" w:hAnsi="Arial Narrow"/>
                <w:sz w:val="13"/>
                <w:szCs w:val="13"/>
              </w:rPr>
              <w:t>CRITICAL</w:t>
            </w:r>
          </w:p>
        </w:tc>
      </w:tr>
      <w:tr w:rsidR="00B41992" w14:paraId="32BE4CD3"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12611DBB"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24 weeks)</w:t>
            </w:r>
          </w:p>
        </w:tc>
      </w:tr>
      <w:tr w:rsidR="00B41992" w14:paraId="05C3BAAD"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499615D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1DD0B51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6AC11BD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D55B5B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C28E03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72E29F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10CEB5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7ACE65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324/688 (47.1%) </w:t>
            </w:r>
          </w:p>
        </w:tc>
        <w:tc>
          <w:tcPr>
            <w:tcW w:w="400" w:type="pct"/>
            <w:tcBorders>
              <w:top w:val="single" w:sz="6" w:space="0" w:color="000000"/>
              <w:left w:val="single" w:sz="6" w:space="0" w:color="000000"/>
              <w:bottom w:val="single" w:sz="6" w:space="0" w:color="000000"/>
              <w:right w:val="single" w:sz="6" w:space="0" w:color="000000"/>
            </w:tcBorders>
            <w:hideMark/>
          </w:tcPr>
          <w:p w14:paraId="6F0E2007"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244/696 (35.1%) </w:t>
            </w:r>
          </w:p>
        </w:tc>
        <w:tc>
          <w:tcPr>
            <w:tcW w:w="400" w:type="pct"/>
            <w:tcBorders>
              <w:top w:val="single" w:sz="6" w:space="0" w:color="000000"/>
              <w:left w:val="single" w:sz="6" w:space="0" w:color="000000"/>
              <w:bottom w:val="single" w:sz="6" w:space="0" w:color="000000"/>
              <w:right w:val="single" w:sz="6" w:space="0" w:color="000000"/>
            </w:tcBorders>
            <w:hideMark/>
          </w:tcPr>
          <w:p w14:paraId="0BEF9239"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1.65</w:t>
            </w:r>
            <w:r>
              <w:rPr>
                <w:rFonts w:ascii="Arial Narrow" w:eastAsia="Times New Roman" w:hAnsi="Arial Narrow"/>
                <w:sz w:val="13"/>
                <w:szCs w:val="13"/>
              </w:rPr>
              <w:br/>
            </w:r>
            <w:r>
              <w:rPr>
                <w:rStyle w:val="cell"/>
                <w:rFonts w:ascii="Arial Narrow" w:eastAsia="Times New Roman" w:hAnsi="Arial Narrow"/>
                <w:sz w:val="13"/>
                <w:szCs w:val="13"/>
              </w:rPr>
              <w:t>(1.33 to 2.05)</w:t>
            </w:r>
          </w:p>
        </w:tc>
        <w:tc>
          <w:tcPr>
            <w:tcW w:w="0" w:type="auto"/>
            <w:tcBorders>
              <w:top w:val="single" w:sz="6" w:space="0" w:color="000000"/>
              <w:left w:val="single" w:sz="6" w:space="0" w:color="000000"/>
              <w:bottom w:val="single" w:sz="6" w:space="0" w:color="000000"/>
              <w:right w:val="single" w:sz="6" w:space="0" w:color="000000"/>
            </w:tcBorders>
            <w:hideMark/>
          </w:tcPr>
          <w:p w14:paraId="00C95AE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12 more per 100</w:t>
            </w:r>
            <w:r>
              <w:rPr>
                <w:rFonts w:ascii="Arial Narrow" w:eastAsia="Times New Roman" w:hAnsi="Arial Narrow"/>
                <w:sz w:val="13"/>
                <w:szCs w:val="13"/>
              </w:rPr>
              <w:br/>
              <w:t>(from 7 more to 17 more)</w:t>
            </w:r>
          </w:p>
        </w:tc>
        <w:tc>
          <w:tcPr>
            <w:tcW w:w="750" w:type="dxa"/>
            <w:tcBorders>
              <w:top w:val="single" w:sz="6" w:space="0" w:color="000000"/>
              <w:left w:val="single" w:sz="6" w:space="0" w:color="000000"/>
              <w:bottom w:val="single" w:sz="6" w:space="0" w:color="000000"/>
              <w:right w:val="single" w:sz="6" w:space="0" w:color="000000"/>
            </w:tcBorders>
            <w:hideMark/>
          </w:tcPr>
          <w:p w14:paraId="47B1A46A"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04FD5572" w14:textId="77777777" w:rsidR="00B41992" w:rsidRDefault="00B41992" w:rsidP="0062262B">
            <w:pPr>
              <w:rPr>
                <w:rFonts w:ascii="Arial Narrow" w:eastAsia="Times New Roman" w:hAnsi="Arial Narrow"/>
                <w:sz w:val="13"/>
                <w:szCs w:val="13"/>
              </w:rPr>
            </w:pPr>
            <w:r>
              <w:rPr>
                <w:rFonts w:ascii="Arial Narrow" w:eastAsia="Times New Roman" w:hAnsi="Arial Narrow"/>
                <w:sz w:val="13"/>
                <w:szCs w:val="13"/>
              </w:rPr>
              <w:t>CRITICAL</w:t>
            </w:r>
          </w:p>
        </w:tc>
      </w:tr>
      <w:tr w:rsidR="00B41992" w14:paraId="039AEC67"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40DD4488"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24 weeks)</w:t>
            </w:r>
          </w:p>
        </w:tc>
      </w:tr>
      <w:tr w:rsidR="00B41992" w14:paraId="7405CF7D"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696BDA7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69A9307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AB6382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B94021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821C7E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2FE0F8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7A6938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C7546B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429/687 (62.4%) </w:t>
            </w:r>
          </w:p>
        </w:tc>
        <w:tc>
          <w:tcPr>
            <w:tcW w:w="400" w:type="pct"/>
            <w:tcBorders>
              <w:top w:val="single" w:sz="6" w:space="0" w:color="000000"/>
              <w:left w:val="single" w:sz="6" w:space="0" w:color="000000"/>
              <w:bottom w:val="single" w:sz="6" w:space="0" w:color="000000"/>
              <w:right w:val="single" w:sz="6" w:space="0" w:color="000000"/>
            </w:tcBorders>
            <w:hideMark/>
          </w:tcPr>
          <w:p w14:paraId="5A27345F"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358/692 (51.7%) </w:t>
            </w:r>
          </w:p>
        </w:tc>
        <w:tc>
          <w:tcPr>
            <w:tcW w:w="400" w:type="pct"/>
            <w:tcBorders>
              <w:top w:val="single" w:sz="6" w:space="0" w:color="000000"/>
              <w:left w:val="single" w:sz="6" w:space="0" w:color="000000"/>
              <w:bottom w:val="single" w:sz="6" w:space="0" w:color="000000"/>
              <w:right w:val="single" w:sz="6" w:space="0" w:color="000000"/>
            </w:tcBorders>
            <w:hideMark/>
          </w:tcPr>
          <w:p w14:paraId="2D110272"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1.55</w:t>
            </w:r>
            <w:r>
              <w:rPr>
                <w:rFonts w:ascii="Arial Narrow" w:eastAsia="Times New Roman" w:hAnsi="Arial Narrow"/>
                <w:sz w:val="13"/>
                <w:szCs w:val="13"/>
              </w:rPr>
              <w:br/>
            </w:r>
            <w:r>
              <w:rPr>
                <w:rStyle w:val="cell"/>
                <w:rFonts w:ascii="Arial Narrow" w:eastAsia="Times New Roman" w:hAnsi="Arial Narrow"/>
                <w:sz w:val="13"/>
                <w:szCs w:val="13"/>
              </w:rPr>
              <w:t>(1.25 to 1.92)</w:t>
            </w:r>
          </w:p>
        </w:tc>
        <w:tc>
          <w:tcPr>
            <w:tcW w:w="0" w:type="auto"/>
            <w:tcBorders>
              <w:top w:val="single" w:sz="6" w:space="0" w:color="000000"/>
              <w:left w:val="single" w:sz="6" w:space="0" w:color="000000"/>
              <w:bottom w:val="single" w:sz="6" w:space="0" w:color="000000"/>
              <w:right w:val="single" w:sz="6" w:space="0" w:color="000000"/>
            </w:tcBorders>
            <w:hideMark/>
          </w:tcPr>
          <w:p w14:paraId="0097926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11 more per 100</w:t>
            </w:r>
            <w:r>
              <w:rPr>
                <w:rFonts w:ascii="Arial Narrow" w:eastAsia="Times New Roman" w:hAnsi="Arial Narrow"/>
                <w:sz w:val="13"/>
                <w:szCs w:val="13"/>
              </w:rPr>
              <w:br/>
              <w:t>(from 6 more to 16 more)</w:t>
            </w:r>
          </w:p>
        </w:tc>
        <w:tc>
          <w:tcPr>
            <w:tcW w:w="750" w:type="dxa"/>
            <w:tcBorders>
              <w:top w:val="single" w:sz="6" w:space="0" w:color="000000"/>
              <w:left w:val="single" w:sz="6" w:space="0" w:color="000000"/>
              <w:bottom w:val="single" w:sz="6" w:space="0" w:color="000000"/>
              <w:right w:val="single" w:sz="6" w:space="0" w:color="000000"/>
            </w:tcBorders>
            <w:hideMark/>
          </w:tcPr>
          <w:p w14:paraId="51D83BBB"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6F784541" w14:textId="77777777" w:rsidR="00B41992" w:rsidRDefault="00B41992" w:rsidP="0062262B">
            <w:pPr>
              <w:rPr>
                <w:rFonts w:ascii="Arial Narrow" w:eastAsia="Times New Roman" w:hAnsi="Arial Narrow"/>
                <w:sz w:val="13"/>
                <w:szCs w:val="13"/>
              </w:rPr>
            </w:pPr>
            <w:r>
              <w:rPr>
                <w:rFonts w:ascii="Arial Narrow" w:eastAsia="Times New Roman" w:hAnsi="Arial Narrow"/>
                <w:sz w:val="13"/>
                <w:szCs w:val="13"/>
              </w:rPr>
              <w:t>CRITICAL</w:t>
            </w:r>
          </w:p>
        </w:tc>
      </w:tr>
    </w:tbl>
    <w:p w14:paraId="1DF5D870"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7B7CF50F" w14:textId="77777777" w:rsidR="00B41992" w:rsidRDefault="00B41992" w:rsidP="00B41992"/>
    <w:p w14:paraId="03D23F62" w14:textId="77777777" w:rsidR="00B41992" w:rsidRDefault="00B41992" w:rsidP="00B41992"/>
    <w:p w14:paraId="33D63AB0" w14:textId="77777777" w:rsidR="00B41992" w:rsidRDefault="00B41992" w:rsidP="00B41992"/>
    <w:p w14:paraId="3C965298" w14:textId="77777777" w:rsidR="00B41992" w:rsidRDefault="00B41992" w:rsidP="00B41992"/>
    <w:p w14:paraId="6DEB7732" w14:textId="77777777" w:rsidR="00B41992" w:rsidRDefault="00B41992" w:rsidP="00B41992"/>
    <w:p w14:paraId="7D489B2B" w14:textId="77777777" w:rsidR="00B41992" w:rsidRDefault="00B41992" w:rsidP="00B41992"/>
    <w:p w14:paraId="6575B0F0" w14:textId="77777777" w:rsidR="00B41992" w:rsidRDefault="00B41992" w:rsidP="00B41992"/>
    <w:p w14:paraId="6F11CBD0" w14:textId="77777777" w:rsidR="00B41992" w:rsidRPr="009B1AC2" w:rsidRDefault="00B41992" w:rsidP="00B41992">
      <w:pPr>
        <w:rPr>
          <w:b/>
          <w:bCs/>
          <w:sz w:val="32"/>
          <w:szCs w:val="32"/>
        </w:rPr>
      </w:pPr>
      <w:r w:rsidRPr="009B1AC2">
        <w:rPr>
          <w:b/>
          <w:bCs/>
          <w:sz w:val="32"/>
          <w:szCs w:val="32"/>
        </w:rPr>
        <w:t>3.8.1 Candesartan in Episodic Migraine</w:t>
      </w:r>
    </w:p>
    <w:p w14:paraId="18C4E898" w14:textId="77777777" w:rsidR="00B41992" w:rsidRDefault="00B41992" w:rsidP="00B41992">
      <w:bookmarkStart w:id="9" w:name="_Hlk151731529"/>
      <w:r w:rsidRPr="00697238">
        <w:t xml:space="preserve">We have found a new study </w:t>
      </w:r>
      <w:r>
        <w:t xml:space="preserve">Stovner 2014 et al </w:t>
      </w:r>
      <w:r>
        <w:fldChar w:fldCharType="begin"/>
      </w:r>
      <w:r>
        <w:instrText xml:space="preserve"> ADDIN ZOTERO_ITEM CSL_CITATION {"citationID":"kySuwFm6","properties":{"formattedCitation":"(59)","plainCitation":"(59)","noteIndex":0},"citationItems":[{"id":5856,"uris":["http://zotero.org/users/5131939/items/ZRVPDFDF"],"itemData":{"id":5856,"type":"article-journal","archive_location":"24335848","container-title":"Cephalalgia","DOI":"10.1177/0333102413515348","issue":"7","journalAbbreviation":"Cephalalgia","page":"523-32","title":"A comparative study of candesartan versus propranolol for migraine prophylaxis: A randomised, triple-blind, placebo-controlled, double cross-over study","volume":"34","author":[{"family":"Stovner","given":"L. J."},{"family":"Linde","given":"M."},{"family":"Gravdahl","given":"G. B."},{"family":"Tronvik","given":"E."},{"family":"Aamodt","given":"A. H."},{"family":"Sand","given":"T."},{"family":"Hagen","given":"K."}],"issued":{"date-parts":[["2014"]]}}}],"schema":"https://github.com/citation-style-language/schema/raw/master/csl-citation.json"} </w:instrText>
      </w:r>
      <w:r>
        <w:fldChar w:fldCharType="separate"/>
      </w:r>
      <w:r w:rsidRPr="00212E69">
        <w:rPr>
          <w:rFonts w:ascii="Calibri" w:hAnsi="Calibri" w:cs="Calibri"/>
        </w:rPr>
        <w:t>(59)</w:t>
      </w:r>
      <w:r>
        <w:fldChar w:fldCharType="end"/>
      </w:r>
      <w:r w:rsidRPr="00697238">
        <w:t xml:space="preserve">as outlined in our list, and also included previous study from </w:t>
      </w:r>
      <w:r>
        <w:t xml:space="preserve">Tronvik 2003 et al </w:t>
      </w:r>
      <w:r>
        <w:fldChar w:fldCharType="begin"/>
      </w:r>
      <w:r>
        <w:instrText xml:space="preserve"> ADDIN ZOTERO_ITEM CSL_CITATION {"citationID":"w2Tm9tzU","properties":{"formattedCitation":"(60)","plainCitation":"(60)","noteIndex":0},"citationItems":[{"id":5882,"uris":["http://zotero.org/users/5131939/items/KZCWKZGG"],"itemData":{"id":5882,"type":"article-journal","abstract":"CONTEXT: There is a paucity of effective, well-tolerated drugs available for migraine prophylaxis.\nOBJECTIVE: To determine whether treatment with the angiotensin II receptor blocker candesartan is effective as a migraine-prophylactic drug.\nDESIGN AND SETTING: Randomized, double-blind, placebo-controlled crossover study performed in a Norwegian neurological outpatient clinic from January 2001 to February 2002.\nPATIENTS: Sixty patients aged 18 to 65 years with 2 to 6 migraine attacks per month were recruited mainly from newspaper advertisements.\nINTERVENTIONS: A placebo run-in period of 4 weeks was followed by two 12-week treatment periods separated by 4 weeks of placebo washout. Thirty patients were randomly assigned to receive one 16-mg candesartan cilexetil tablet daily in the first treatment period followed by 1 placebo tablet daily in the second period. The remaining 30 received placebo followed by candesartan.\nMAIN OUTCOME MEASURES: The primary end point was number of days with headache; secondary end points included hours with headache, days with migraine, hours with migraine, headache severity index, level of disability, doses of triptans, doses of analgesics, acceptability of treatment, days of sick leave, and quality-of-life variables on the Short Form 36 questionnaire.\nRESULTS: In a period of 12 weeks, the mean number of days with headache was 18.5 with placebo vs 13.6 with candesartan (P =.001) in the intention-to-treat analysis (n = 57). Some secondary end points also favored candesartan, including hours with headache (139 vs 95; P&lt;.001), days with migraine (12.6 vs 9.0; P&lt;.001), hours with migraine (92.2 vs 59.4; P&lt;.001), headache severity index (293 vs 191; P&lt;.001), level of disability (20.6 vs 14.1; P&lt;.001) and days of sick leave (3.9 vs 1.4; P =.01), although there were no significant differences in health-related quality of life. The number of candesartan responders (reduction of &gt; or =50% compared with placebo) was 18 (31.6%) of 57 for days with headache and 23 (40.4%) of 57 for days with migraine. Adverse events were similar in the 2 periods.\nCONCLUSION: In this study, the angiotensin II receptor blocker candesartan provided effective migraine prophylaxis, with a tolerability profile comparable with that of placebo.","container-title":"JAMA","DOI":"10.1001/jama.289.1.65","ISSN":"0098-7484","issue":"1","journalAbbreviation":"JAMA","language":"eng","note":"PMID: 12503978","page":"65-69","source":"PubMed","title":"Prophylactic treatment of migraine with an angiotensin II receptor blocker: a randomized controlled trial","title-short":"Prophylactic treatment of migraine with an angiotensin II receptor blocker","volume":"289","author":[{"family":"Tronvik","given":"Erling"},{"family":"Stovner","given":"Lars J."},{"family":"Helde","given":"Grethe"},{"family":"Sand","given":"Trond"},{"family":"Bovim","given":"Gunnar"}],"issued":{"date-parts":[["2003",1,1]]}}}],"schema":"https://github.com/citation-style-language/schema/raw/master/csl-citation.json"} </w:instrText>
      </w:r>
      <w:r>
        <w:fldChar w:fldCharType="separate"/>
      </w:r>
      <w:r w:rsidRPr="00212E69">
        <w:rPr>
          <w:rFonts w:ascii="Calibri" w:hAnsi="Calibri" w:cs="Calibri"/>
        </w:rPr>
        <w:t>(60)</w:t>
      </w:r>
      <w:r>
        <w:fldChar w:fldCharType="end"/>
      </w:r>
      <w:r>
        <w:t xml:space="preserve"> included in </w:t>
      </w:r>
      <w:r w:rsidRPr="00697238">
        <w:t>the 2012 CHS guidelines.</w:t>
      </w:r>
    </w:p>
    <w:p w14:paraId="551BD6C6" w14:textId="77777777" w:rsidR="00B41992" w:rsidRDefault="00B41992" w:rsidP="00B41992">
      <w:pPr>
        <w:rPr>
          <w:b/>
          <w:bCs/>
        </w:rPr>
      </w:pPr>
      <w:r w:rsidRPr="00DA1363">
        <w:rPr>
          <w:b/>
          <w:bCs/>
        </w:rPr>
        <w:t>Migraine Day Reduction</w:t>
      </w:r>
    </w:p>
    <w:p w14:paraId="280B55AE" w14:textId="77777777" w:rsidR="00B41992" w:rsidRPr="001D249D" w:rsidRDefault="00B41992" w:rsidP="00B41992">
      <w:pPr>
        <w:rPr>
          <w:b/>
          <w:bCs/>
        </w:rPr>
      </w:pPr>
      <w:r>
        <w:t xml:space="preserve">Data could not be meta-analyzed as we did not have confidence intervals or standard deviations for response in both trials. </w:t>
      </w:r>
    </w:p>
    <w:p w14:paraId="55E2AF54" w14:textId="77777777" w:rsidR="00B41992" w:rsidRDefault="00B41992" w:rsidP="00B41992">
      <w:r>
        <w:t>Stovner et al 2014 MDR vs placebo was 0.58 days, p =0.02</w:t>
      </w:r>
    </w:p>
    <w:p w14:paraId="746D0F6A" w14:textId="77777777" w:rsidR="00B41992" w:rsidRDefault="00B41992" w:rsidP="00B41992">
      <w:r>
        <w:t>10 MDR vs placebo was 1.2 days, p=0.001</w:t>
      </w:r>
    </w:p>
    <w:bookmarkEnd w:id="9"/>
    <w:p w14:paraId="16F556E9" w14:textId="77777777" w:rsidR="00B41992" w:rsidRPr="00DA1363" w:rsidRDefault="00B41992" w:rsidP="00B41992">
      <w:pPr>
        <w:rPr>
          <w:b/>
          <w:bCs/>
          <w:noProof/>
        </w:rPr>
      </w:pPr>
      <w:r w:rsidRPr="00DA1363">
        <w:rPr>
          <w:b/>
          <w:bCs/>
        </w:rPr>
        <w:t>50% Responder Rat</w:t>
      </w:r>
      <w:r w:rsidRPr="00DA1363">
        <w:rPr>
          <w:b/>
          <w:bCs/>
          <w:noProof/>
        </w:rPr>
        <w:t>e</w:t>
      </w:r>
    </w:p>
    <w:p w14:paraId="5D13F6CB" w14:textId="77777777" w:rsidR="00B41992" w:rsidRPr="001D249D" w:rsidRDefault="00B41992" w:rsidP="00B41992">
      <w:r>
        <w:rPr>
          <w:noProof/>
        </w:rPr>
        <w:lastRenderedPageBreak/>
        <w:drawing>
          <wp:inline distT="0" distB="0" distL="0" distR="0" wp14:anchorId="2952A1B4" wp14:editId="62123F4B">
            <wp:extent cx="5943600" cy="1643380"/>
            <wp:effectExtent l="0" t="0" r="0" b="0"/>
            <wp:docPr id="872140628" name="Graphic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40628" name="Graphic 872140628"/>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943600" cy="1643380"/>
                    </a:xfrm>
                    <a:prstGeom prst="rect">
                      <a:avLst/>
                    </a:prstGeom>
                  </pic:spPr>
                </pic:pic>
              </a:graphicData>
            </a:graphic>
          </wp:inline>
        </w:drawing>
      </w:r>
      <w:r w:rsidRPr="00356351">
        <w:rPr>
          <w:b/>
          <w:bCs/>
          <w:sz w:val="28"/>
          <w:szCs w:val="28"/>
          <w:u w:val="single"/>
        </w:rPr>
        <w:t>Summary of findings table</w:t>
      </w:r>
      <w:r>
        <w:rPr>
          <w:b/>
          <w:bCs/>
          <w:sz w:val="28"/>
          <w:szCs w:val="28"/>
          <w:u w:val="single"/>
        </w:rPr>
        <w:t xml:space="preserve"> for Candesartan in Episodic Migraine</w:t>
      </w:r>
    </w:p>
    <w:p w14:paraId="61EFB4E4"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Candesartan compared to placebo for episodic migraine</w:t>
      </w: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46"/>
        <w:gridCol w:w="862"/>
        <w:gridCol w:w="779"/>
        <w:gridCol w:w="749"/>
        <w:gridCol w:w="917"/>
        <w:gridCol w:w="779"/>
        <w:gridCol w:w="641"/>
        <w:gridCol w:w="642"/>
        <w:gridCol w:w="607"/>
        <w:gridCol w:w="853"/>
        <w:gridCol w:w="797"/>
      </w:tblGrid>
      <w:tr w:rsidR="00B41992" w14:paraId="05CB4594" w14:textId="77777777" w:rsidTr="0062262B">
        <w:trPr>
          <w:cantSplit/>
          <w:tblHeader/>
        </w:trPr>
        <w:tc>
          <w:tcPr>
            <w:tcW w:w="2686"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3FB854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761"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335486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669"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E26FC5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457"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8AC8C6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427"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E92EE4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49FB2219" w14:textId="77777777" w:rsidTr="0062262B">
        <w:trPr>
          <w:cantSplit/>
          <w:tblHeader/>
        </w:trPr>
        <w:tc>
          <w:tcPr>
            <w:tcW w:w="28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238EBF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34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CC0910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29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289C6B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4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A9A15C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4425A5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40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08FCC4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49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79C035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73870F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candesartan</w:t>
            </w:r>
          </w:p>
        </w:tc>
        <w:tc>
          <w:tcPr>
            <w:tcW w:w="34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B52066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34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4CC550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32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DE64BE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457" w:type="pct"/>
            <w:vMerge/>
            <w:tcBorders>
              <w:top w:val="single" w:sz="12" w:space="0" w:color="FFFFFF"/>
              <w:left w:val="single" w:sz="12" w:space="0" w:color="FFFFFF"/>
              <w:bottom w:val="single" w:sz="12" w:space="0" w:color="FFFFFF"/>
              <w:right w:val="single" w:sz="12" w:space="0" w:color="FFFFFF"/>
            </w:tcBorders>
            <w:vAlign w:val="center"/>
            <w:hideMark/>
          </w:tcPr>
          <w:p w14:paraId="06FAA168" w14:textId="77777777" w:rsidR="00B41992" w:rsidRDefault="00B41992" w:rsidP="0062262B">
            <w:pPr>
              <w:rPr>
                <w:rFonts w:ascii="Arial Narrow" w:eastAsia="Times New Roman" w:hAnsi="Arial Narrow"/>
                <w:b/>
                <w:bCs/>
                <w:color w:val="FFFFFF"/>
                <w:sz w:val="13"/>
                <w:szCs w:val="13"/>
              </w:rPr>
            </w:pPr>
          </w:p>
        </w:tc>
        <w:tc>
          <w:tcPr>
            <w:tcW w:w="427" w:type="pct"/>
            <w:vMerge/>
            <w:tcBorders>
              <w:top w:val="single" w:sz="12" w:space="0" w:color="FFFFFF"/>
              <w:left w:val="single" w:sz="12" w:space="0" w:color="FFFFFF"/>
              <w:bottom w:val="single" w:sz="12" w:space="0" w:color="FFFFFF"/>
              <w:right w:val="single" w:sz="12" w:space="0" w:color="FFFFFF"/>
            </w:tcBorders>
            <w:vAlign w:val="center"/>
            <w:hideMark/>
          </w:tcPr>
          <w:p w14:paraId="580EC728" w14:textId="77777777" w:rsidR="00B41992" w:rsidRDefault="00B41992" w:rsidP="0062262B">
            <w:pPr>
              <w:rPr>
                <w:rFonts w:ascii="Arial Narrow" w:eastAsia="Times New Roman" w:hAnsi="Arial Narrow"/>
                <w:b/>
                <w:bCs/>
                <w:color w:val="FFFFFF"/>
                <w:sz w:val="13"/>
                <w:szCs w:val="13"/>
              </w:rPr>
            </w:pPr>
          </w:p>
        </w:tc>
      </w:tr>
      <w:tr w:rsidR="00B41992" w14:paraId="41546D53" w14:textId="77777777" w:rsidTr="0062262B">
        <w:trPr>
          <w:cantSplit/>
        </w:trPr>
        <w:tc>
          <w:tcPr>
            <w:tcW w:w="5000" w:type="pct"/>
            <w:gridSpan w:val="13"/>
            <w:shd w:val="clear" w:color="auto" w:fill="FFFFFF"/>
            <w:tcMar>
              <w:top w:w="75" w:type="dxa"/>
              <w:left w:w="38" w:type="dxa"/>
              <w:bottom w:w="38" w:type="dxa"/>
              <w:right w:w="38" w:type="dxa"/>
            </w:tcMar>
            <w:vAlign w:val="center"/>
            <w:hideMark/>
          </w:tcPr>
          <w:p w14:paraId="4257E762"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w:t>
            </w:r>
          </w:p>
        </w:tc>
      </w:tr>
      <w:tr w:rsidR="00B41992" w14:paraId="53113A39" w14:textId="77777777" w:rsidTr="0062262B">
        <w:trPr>
          <w:cantSplit/>
        </w:trPr>
        <w:tc>
          <w:tcPr>
            <w:tcW w:w="281" w:type="pct"/>
            <w:tcBorders>
              <w:top w:val="single" w:sz="6" w:space="0" w:color="000000"/>
              <w:left w:val="single" w:sz="6" w:space="0" w:color="000000"/>
              <w:bottom w:val="single" w:sz="6" w:space="0" w:color="000000"/>
              <w:right w:val="single" w:sz="6" w:space="0" w:color="000000"/>
            </w:tcBorders>
            <w:hideMark/>
          </w:tcPr>
          <w:p w14:paraId="5EF2D10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40" w:type="pct"/>
            <w:tcBorders>
              <w:top w:val="single" w:sz="6" w:space="0" w:color="000000"/>
              <w:left w:val="single" w:sz="6" w:space="0" w:color="000000"/>
              <w:bottom w:val="single" w:sz="6" w:space="0" w:color="000000"/>
              <w:right w:val="single" w:sz="6" w:space="0" w:color="000000"/>
            </w:tcBorders>
            <w:hideMark/>
          </w:tcPr>
          <w:p w14:paraId="24491AF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293" w:type="pct"/>
            <w:tcBorders>
              <w:top w:val="single" w:sz="6" w:space="0" w:color="000000"/>
              <w:left w:val="single" w:sz="6" w:space="0" w:color="000000"/>
              <w:bottom w:val="single" w:sz="6" w:space="0" w:color="000000"/>
              <w:right w:val="single" w:sz="6" w:space="0" w:color="000000"/>
            </w:tcBorders>
            <w:hideMark/>
          </w:tcPr>
          <w:p w14:paraId="239D068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62" w:type="pct"/>
            <w:tcBorders>
              <w:top w:val="single" w:sz="6" w:space="0" w:color="000000"/>
              <w:left w:val="single" w:sz="6" w:space="0" w:color="000000"/>
              <w:bottom w:val="single" w:sz="6" w:space="0" w:color="000000"/>
              <w:right w:val="single" w:sz="6" w:space="0" w:color="000000"/>
            </w:tcBorders>
            <w:hideMark/>
          </w:tcPr>
          <w:p w14:paraId="5A10E9E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17" w:type="pct"/>
            <w:tcBorders>
              <w:top w:val="single" w:sz="6" w:space="0" w:color="000000"/>
              <w:left w:val="single" w:sz="6" w:space="0" w:color="000000"/>
              <w:bottom w:val="single" w:sz="6" w:space="0" w:color="000000"/>
              <w:right w:val="single" w:sz="6" w:space="0" w:color="000000"/>
            </w:tcBorders>
            <w:hideMark/>
          </w:tcPr>
          <w:p w14:paraId="55E9E98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01" w:type="pct"/>
            <w:tcBorders>
              <w:top w:val="single" w:sz="6" w:space="0" w:color="000000"/>
              <w:left w:val="single" w:sz="6" w:space="0" w:color="000000"/>
              <w:bottom w:val="single" w:sz="6" w:space="0" w:color="000000"/>
              <w:right w:val="single" w:sz="6" w:space="0" w:color="000000"/>
            </w:tcBorders>
            <w:hideMark/>
          </w:tcPr>
          <w:p w14:paraId="09AFE89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492" w:type="pct"/>
            <w:tcBorders>
              <w:top w:val="single" w:sz="6" w:space="0" w:color="000000"/>
              <w:left w:val="single" w:sz="6" w:space="0" w:color="000000"/>
              <w:bottom w:val="single" w:sz="6" w:space="0" w:color="000000"/>
              <w:right w:val="single" w:sz="6" w:space="0" w:color="000000"/>
            </w:tcBorders>
            <w:hideMark/>
          </w:tcPr>
          <w:p w14:paraId="3C7B6DF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17" w:type="pct"/>
            <w:tcBorders>
              <w:top w:val="single" w:sz="6" w:space="0" w:color="000000"/>
              <w:left w:val="single" w:sz="6" w:space="0" w:color="000000"/>
              <w:bottom w:val="single" w:sz="6" w:space="0" w:color="000000"/>
              <w:right w:val="single" w:sz="6" w:space="0" w:color="000000"/>
            </w:tcBorders>
            <w:hideMark/>
          </w:tcPr>
          <w:p w14:paraId="663710B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113</w:t>
            </w:r>
          </w:p>
        </w:tc>
        <w:tc>
          <w:tcPr>
            <w:tcW w:w="344" w:type="pct"/>
            <w:tcBorders>
              <w:top w:val="single" w:sz="6" w:space="0" w:color="000000"/>
              <w:left w:val="single" w:sz="6" w:space="0" w:color="000000"/>
              <w:bottom w:val="single" w:sz="6" w:space="0" w:color="000000"/>
              <w:right w:val="single" w:sz="6" w:space="0" w:color="000000"/>
            </w:tcBorders>
            <w:hideMark/>
          </w:tcPr>
          <w:p w14:paraId="698866AF"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117</w:t>
            </w:r>
          </w:p>
        </w:tc>
        <w:tc>
          <w:tcPr>
            <w:tcW w:w="344" w:type="pct"/>
            <w:tcBorders>
              <w:top w:val="single" w:sz="6" w:space="0" w:color="000000"/>
              <w:left w:val="single" w:sz="6" w:space="0" w:color="000000"/>
              <w:bottom w:val="single" w:sz="6" w:space="0" w:color="000000"/>
              <w:right w:val="single" w:sz="6" w:space="0" w:color="000000"/>
            </w:tcBorders>
            <w:hideMark/>
          </w:tcPr>
          <w:p w14:paraId="30D8489A"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325" w:type="pct"/>
            <w:tcBorders>
              <w:top w:val="single" w:sz="6" w:space="0" w:color="000000"/>
              <w:left w:val="single" w:sz="6" w:space="0" w:color="000000"/>
              <w:bottom w:val="single" w:sz="6" w:space="0" w:color="000000"/>
              <w:right w:val="single" w:sz="6" w:space="0" w:color="000000"/>
            </w:tcBorders>
            <w:hideMark/>
          </w:tcPr>
          <w:p w14:paraId="74660D8A"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b/>
                <w:bCs/>
                <w:sz w:val="13"/>
                <w:szCs w:val="13"/>
              </w:rPr>
              <w:t xml:space="preserve">0 </w:t>
            </w:r>
            <w:r>
              <w:rPr>
                <w:rFonts w:ascii="Arial Narrow" w:eastAsia="Times New Roman" w:hAnsi="Arial Narrow"/>
                <w:sz w:val="13"/>
                <w:szCs w:val="13"/>
              </w:rPr>
              <w:br/>
            </w:r>
            <w:r>
              <w:rPr>
                <w:rStyle w:val="cell-value"/>
                <w:rFonts w:ascii="Arial Narrow" w:eastAsia="Times New Roman" w:hAnsi="Arial Narrow"/>
                <w:sz w:val="13"/>
                <w:szCs w:val="13"/>
              </w:rPr>
              <w:t>(0 to 0 )</w:t>
            </w:r>
          </w:p>
        </w:tc>
        <w:tc>
          <w:tcPr>
            <w:tcW w:w="457" w:type="pct"/>
            <w:tcBorders>
              <w:top w:val="single" w:sz="6" w:space="0" w:color="000000"/>
              <w:left w:val="single" w:sz="6" w:space="0" w:color="000000"/>
              <w:bottom w:val="single" w:sz="6" w:space="0" w:color="000000"/>
              <w:right w:val="single" w:sz="6" w:space="0" w:color="000000"/>
            </w:tcBorders>
            <w:hideMark/>
          </w:tcPr>
          <w:p w14:paraId="0A225FEC"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427" w:type="pct"/>
            <w:tcBorders>
              <w:top w:val="single" w:sz="6" w:space="0" w:color="000000"/>
              <w:left w:val="single" w:sz="6" w:space="0" w:color="000000"/>
              <w:bottom w:val="single" w:sz="6" w:space="0" w:color="000000"/>
              <w:right w:val="single" w:sz="6" w:space="0" w:color="000000"/>
            </w:tcBorders>
            <w:hideMark/>
          </w:tcPr>
          <w:p w14:paraId="63C68CB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538AFC61" w14:textId="77777777" w:rsidTr="0062262B">
        <w:trPr>
          <w:cantSplit/>
        </w:trPr>
        <w:tc>
          <w:tcPr>
            <w:tcW w:w="5000" w:type="pct"/>
            <w:gridSpan w:val="13"/>
            <w:shd w:val="clear" w:color="auto" w:fill="FFFFFF"/>
            <w:tcMar>
              <w:top w:w="75" w:type="dxa"/>
              <w:left w:w="38" w:type="dxa"/>
              <w:bottom w:w="38" w:type="dxa"/>
              <w:right w:w="38" w:type="dxa"/>
            </w:tcMar>
            <w:vAlign w:val="center"/>
            <w:hideMark/>
          </w:tcPr>
          <w:p w14:paraId="56F36C34"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2B2AAB6B" w14:textId="77777777" w:rsidTr="0062262B">
        <w:trPr>
          <w:cantSplit/>
        </w:trPr>
        <w:tc>
          <w:tcPr>
            <w:tcW w:w="281" w:type="pct"/>
            <w:tcBorders>
              <w:top w:val="single" w:sz="6" w:space="0" w:color="000000"/>
              <w:left w:val="single" w:sz="6" w:space="0" w:color="000000"/>
              <w:bottom w:val="single" w:sz="6" w:space="0" w:color="000000"/>
              <w:right w:val="single" w:sz="6" w:space="0" w:color="000000"/>
            </w:tcBorders>
            <w:hideMark/>
          </w:tcPr>
          <w:p w14:paraId="1600E7E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40" w:type="pct"/>
            <w:tcBorders>
              <w:top w:val="single" w:sz="6" w:space="0" w:color="000000"/>
              <w:left w:val="single" w:sz="6" w:space="0" w:color="000000"/>
              <w:bottom w:val="single" w:sz="6" w:space="0" w:color="000000"/>
              <w:right w:val="single" w:sz="6" w:space="0" w:color="000000"/>
            </w:tcBorders>
            <w:hideMark/>
          </w:tcPr>
          <w:p w14:paraId="3BCCB05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293" w:type="pct"/>
            <w:tcBorders>
              <w:top w:val="single" w:sz="6" w:space="0" w:color="000000"/>
              <w:left w:val="single" w:sz="6" w:space="0" w:color="000000"/>
              <w:bottom w:val="single" w:sz="6" w:space="0" w:color="000000"/>
              <w:right w:val="single" w:sz="6" w:space="0" w:color="000000"/>
            </w:tcBorders>
            <w:hideMark/>
          </w:tcPr>
          <w:p w14:paraId="3696521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62" w:type="pct"/>
            <w:tcBorders>
              <w:top w:val="single" w:sz="6" w:space="0" w:color="000000"/>
              <w:left w:val="single" w:sz="6" w:space="0" w:color="000000"/>
              <w:bottom w:val="single" w:sz="6" w:space="0" w:color="000000"/>
              <w:right w:val="single" w:sz="6" w:space="0" w:color="000000"/>
            </w:tcBorders>
            <w:hideMark/>
          </w:tcPr>
          <w:p w14:paraId="3FD7738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b</w:t>
            </w:r>
          </w:p>
        </w:tc>
        <w:tc>
          <w:tcPr>
            <w:tcW w:w="417" w:type="pct"/>
            <w:tcBorders>
              <w:top w:val="single" w:sz="6" w:space="0" w:color="000000"/>
              <w:left w:val="single" w:sz="6" w:space="0" w:color="000000"/>
              <w:bottom w:val="single" w:sz="6" w:space="0" w:color="000000"/>
              <w:right w:val="single" w:sz="6" w:space="0" w:color="000000"/>
            </w:tcBorders>
            <w:hideMark/>
          </w:tcPr>
          <w:p w14:paraId="4777C69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01" w:type="pct"/>
            <w:tcBorders>
              <w:top w:val="single" w:sz="6" w:space="0" w:color="000000"/>
              <w:left w:val="single" w:sz="6" w:space="0" w:color="000000"/>
              <w:bottom w:val="single" w:sz="6" w:space="0" w:color="000000"/>
              <w:right w:val="single" w:sz="6" w:space="0" w:color="000000"/>
            </w:tcBorders>
            <w:hideMark/>
          </w:tcPr>
          <w:p w14:paraId="590AE38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92" w:type="pct"/>
            <w:tcBorders>
              <w:top w:val="single" w:sz="6" w:space="0" w:color="000000"/>
              <w:left w:val="single" w:sz="6" w:space="0" w:color="000000"/>
              <w:bottom w:val="single" w:sz="6" w:space="0" w:color="000000"/>
              <w:right w:val="single" w:sz="6" w:space="0" w:color="000000"/>
            </w:tcBorders>
            <w:hideMark/>
          </w:tcPr>
          <w:p w14:paraId="11C6926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17" w:type="pct"/>
            <w:tcBorders>
              <w:top w:val="single" w:sz="6" w:space="0" w:color="000000"/>
              <w:left w:val="single" w:sz="6" w:space="0" w:color="000000"/>
              <w:bottom w:val="single" w:sz="6" w:space="0" w:color="000000"/>
              <w:right w:val="single" w:sz="6" w:space="0" w:color="000000"/>
            </w:tcBorders>
            <w:hideMark/>
          </w:tcPr>
          <w:p w14:paraId="09EA1D6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42/113 (37.2%) </w:t>
            </w:r>
          </w:p>
        </w:tc>
        <w:tc>
          <w:tcPr>
            <w:tcW w:w="344" w:type="pct"/>
            <w:tcBorders>
              <w:top w:val="single" w:sz="6" w:space="0" w:color="000000"/>
              <w:left w:val="single" w:sz="6" w:space="0" w:color="000000"/>
              <w:bottom w:val="single" w:sz="6" w:space="0" w:color="000000"/>
              <w:right w:val="single" w:sz="6" w:space="0" w:color="000000"/>
            </w:tcBorders>
            <w:hideMark/>
          </w:tcPr>
          <w:p w14:paraId="7577D368"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16/117 (13.7%) </w:t>
            </w:r>
          </w:p>
        </w:tc>
        <w:tc>
          <w:tcPr>
            <w:tcW w:w="344" w:type="pct"/>
            <w:tcBorders>
              <w:top w:val="single" w:sz="6" w:space="0" w:color="000000"/>
              <w:left w:val="single" w:sz="6" w:space="0" w:color="000000"/>
              <w:bottom w:val="single" w:sz="6" w:space="0" w:color="000000"/>
              <w:right w:val="single" w:sz="6" w:space="0" w:color="000000"/>
            </w:tcBorders>
            <w:hideMark/>
          </w:tcPr>
          <w:p w14:paraId="10F643CE"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4.00</w:t>
            </w:r>
            <w:r>
              <w:rPr>
                <w:rFonts w:ascii="Arial Narrow" w:eastAsia="Times New Roman" w:hAnsi="Arial Narrow"/>
                <w:sz w:val="13"/>
                <w:szCs w:val="13"/>
              </w:rPr>
              <w:br/>
            </w:r>
            <w:r>
              <w:rPr>
                <w:rStyle w:val="cell"/>
                <w:rFonts w:ascii="Arial Narrow" w:eastAsia="Times New Roman" w:hAnsi="Arial Narrow"/>
                <w:sz w:val="13"/>
                <w:szCs w:val="13"/>
              </w:rPr>
              <w:t>(2.04 to 7.86)</w:t>
            </w:r>
          </w:p>
        </w:tc>
        <w:tc>
          <w:tcPr>
            <w:tcW w:w="325" w:type="pct"/>
            <w:tcBorders>
              <w:top w:val="single" w:sz="6" w:space="0" w:color="000000"/>
              <w:left w:val="single" w:sz="6" w:space="0" w:color="000000"/>
              <w:bottom w:val="single" w:sz="6" w:space="0" w:color="000000"/>
              <w:right w:val="single" w:sz="6" w:space="0" w:color="000000"/>
            </w:tcBorders>
            <w:hideMark/>
          </w:tcPr>
          <w:p w14:paraId="5293F59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25 more per 100</w:t>
            </w:r>
            <w:r>
              <w:rPr>
                <w:rFonts w:ascii="Arial Narrow" w:eastAsia="Times New Roman" w:hAnsi="Arial Narrow"/>
                <w:sz w:val="13"/>
                <w:szCs w:val="13"/>
              </w:rPr>
              <w:br/>
              <w:t>(from 11 more to 42 more)</w:t>
            </w:r>
          </w:p>
        </w:tc>
        <w:tc>
          <w:tcPr>
            <w:tcW w:w="457" w:type="pct"/>
            <w:tcBorders>
              <w:top w:val="single" w:sz="6" w:space="0" w:color="000000"/>
              <w:left w:val="single" w:sz="6" w:space="0" w:color="000000"/>
              <w:bottom w:val="single" w:sz="6" w:space="0" w:color="000000"/>
              <w:right w:val="single" w:sz="6" w:space="0" w:color="000000"/>
            </w:tcBorders>
            <w:hideMark/>
          </w:tcPr>
          <w:p w14:paraId="1141DE87"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427" w:type="pct"/>
            <w:tcBorders>
              <w:top w:val="single" w:sz="6" w:space="0" w:color="000000"/>
              <w:left w:val="single" w:sz="6" w:space="0" w:color="000000"/>
              <w:bottom w:val="single" w:sz="6" w:space="0" w:color="000000"/>
              <w:right w:val="single" w:sz="6" w:space="0" w:color="000000"/>
            </w:tcBorders>
            <w:hideMark/>
          </w:tcPr>
          <w:p w14:paraId="2702A2C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bl>
    <w:p w14:paraId="1EFEF187"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358490B9"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39B0EA64"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a. confidence intervals not provided but given p value is not very small and the values are very close to null difference there is an element of imprecision</w:t>
      </w:r>
    </w:p>
    <w:p w14:paraId="531CC85B" w14:textId="77777777" w:rsidR="00B41992" w:rsidRPr="001D249D"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b. Wide range in effect with p close to significance for inconsistency and two different rates of response</w:t>
      </w:r>
    </w:p>
    <w:p w14:paraId="123F3695" w14:textId="77777777" w:rsidR="00B41992" w:rsidRPr="00A30FB7" w:rsidRDefault="00B41992" w:rsidP="00B41992">
      <w:r w:rsidRPr="00A30FB7">
        <w:rPr>
          <w:b/>
          <w:bCs/>
          <w:sz w:val="32"/>
          <w:szCs w:val="32"/>
        </w:rPr>
        <w:t>3.9.1 Enalapril in Episodic Migraine</w:t>
      </w:r>
    </w:p>
    <w:p w14:paraId="1E1DBEB5" w14:textId="77777777" w:rsidR="00B41992" w:rsidRPr="000D1488" w:rsidRDefault="00B41992" w:rsidP="00B41992">
      <w:bookmarkStart w:id="10" w:name="_Hlk151732133"/>
      <w:r w:rsidRPr="000D1488">
        <w:t xml:space="preserve">We have found a new study from Sonbolestan et al, 2013 </w:t>
      </w:r>
      <w:r w:rsidRPr="000D1488">
        <w:fldChar w:fldCharType="begin"/>
      </w:r>
      <w:r>
        <w:instrText xml:space="preserve"> ADDIN ZOTERO_ITEM CSL_CITATION {"citationID":"q9qRWpjV","properties":{"formattedCitation":"(61)","plainCitation":"(61)","noteIndex":0},"citationItems":[{"id":5871,"uris":["http://zotero.org/users/5131939/items/HX76ZWZ8"],"itemData":{"id":5871,"type":"article-journal","abstract":"Background: Some angiotensin converting enzyme (ACE) inhibitors have previously been shown to be effective in migraine prophylaxis. The aim of this study was to evaluate whether Enalapril is effective in migraine prophylaxis. Method(s): In this randomized, double-blind, placebo-controlled clinical trial, the effects of 10 mg Enalapril given daily were compared with those of matched placebo in 40 migraineurs for 2 months. Response to treatment was assessed at 0, 1, and 2 months after the start of intervention according to headache parameters like frequency, severity, and duration. This trial is registered with Iranian Registry of Clinical Trials (IRCT), number IRCT138711011570N1. Result(s): A significant effect on reducing migraine attack more than 50% at first and second months (P=0.016) occurred in Enalapril group. Indeed, at the first and second months of treatment, the severities (P=0.000 and P=0.000) and duration (P=0.037 and 0.003) in the Enalapril treated group were significantly lower than in the placebo group. Conclusion(s): Enalapril may be effective in migraine prophylaxis according to its effect in decreasing the frequency, severity, and duration of headaches. The results support the previous suggestions on usage of ACE inhibitors in migraine prophylaxis.","archive_location":"368489505","container-title":"International Journal of Preventive Medicine","journalAbbreviation":"International Journal of Preventive Medicine","page":"72-77","title":"Efficacy of enalapril in migraine prophylaxis: A randomized, double-blind, placebo-controlled trial","volume":"4(1)","author":[{"family":"Sonbolestan","given":"S. A."},{"family":"Heshmat","given":"K."},{"family":"Javanmard","given":"S. H."},{"family":"Saadatnia","given":"M."}],"issued":{"date-parts":[["2013"]]}}}],"schema":"https://github.com/citation-style-language/schema/raw/master/csl-citation.json"} </w:instrText>
      </w:r>
      <w:r w:rsidRPr="000D1488">
        <w:fldChar w:fldCharType="separate"/>
      </w:r>
      <w:r w:rsidRPr="00212E69">
        <w:rPr>
          <w:rFonts w:ascii="Calibri" w:hAnsi="Calibri" w:cs="Calibri"/>
        </w:rPr>
        <w:t>(61)</w:t>
      </w:r>
      <w:r w:rsidRPr="000D1488">
        <w:fldChar w:fldCharType="end"/>
      </w:r>
    </w:p>
    <w:bookmarkEnd w:id="10"/>
    <w:p w14:paraId="7629F1A7" w14:textId="77777777" w:rsidR="00B4199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Enalapril in Episodic Migraine</w:t>
      </w:r>
    </w:p>
    <w:p w14:paraId="422893F2"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Enalapril compared to placebo for episodic migraine</w:t>
      </w: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49"/>
        <w:gridCol w:w="862"/>
        <w:gridCol w:w="779"/>
        <w:gridCol w:w="749"/>
        <w:gridCol w:w="921"/>
        <w:gridCol w:w="644"/>
        <w:gridCol w:w="644"/>
        <w:gridCol w:w="644"/>
        <w:gridCol w:w="607"/>
        <w:gridCol w:w="945"/>
        <w:gridCol w:w="828"/>
      </w:tblGrid>
      <w:tr w:rsidR="00B41992" w14:paraId="1BDE692E"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9C0838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983B3D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C97A72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0F4982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27CE15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45D612CA"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E75CC9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837D17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06BBD0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03FF74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0FF60E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035312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3AC21C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D97A88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enalapril</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E2829F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5DEBF2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56F2A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BA81489"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A28AF33" w14:textId="77777777" w:rsidR="00B41992" w:rsidRDefault="00B41992" w:rsidP="0062262B">
            <w:pPr>
              <w:rPr>
                <w:rFonts w:ascii="Arial Narrow" w:eastAsia="Times New Roman" w:hAnsi="Arial Narrow"/>
                <w:b/>
                <w:bCs/>
                <w:color w:val="FFFFFF"/>
                <w:sz w:val="13"/>
                <w:szCs w:val="13"/>
              </w:rPr>
            </w:pPr>
          </w:p>
        </w:tc>
      </w:tr>
      <w:tr w:rsidR="00B41992" w14:paraId="3016719A"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409BB25D"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8 weeks)</w:t>
            </w:r>
          </w:p>
        </w:tc>
      </w:tr>
      <w:tr w:rsidR="00B41992" w14:paraId="5C41818C"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6810F64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6DC54A7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4C6084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C375D6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308518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12C789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21B1CE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52FF6C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21</w:t>
            </w:r>
          </w:p>
        </w:tc>
        <w:tc>
          <w:tcPr>
            <w:tcW w:w="400" w:type="pct"/>
            <w:tcBorders>
              <w:top w:val="single" w:sz="6" w:space="0" w:color="000000"/>
              <w:left w:val="single" w:sz="6" w:space="0" w:color="000000"/>
              <w:bottom w:val="single" w:sz="6" w:space="0" w:color="000000"/>
              <w:right w:val="single" w:sz="6" w:space="0" w:color="000000"/>
            </w:tcBorders>
            <w:hideMark/>
          </w:tcPr>
          <w:p w14:paraId="3C19E5C3"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19</w:t>
            </w:r>
          </w:p>
        </w:tc>
        <w:tc>
          <w:tcPr>
            <w:tcW w:w="400" w:type="pct"/>
            <w:tcBorders>
              <w:top w:val="single" w:sz="6" w:space="0" w:color="000000"/>
              <w:left w:val="single" w:sz="6" w:space="0" w:color="000000"/>
              <w:bottom w:val="single" w:sz="6" w:space="0" w:color="000000"/>
              <w:right w:val="single" w:sz="6" w:space="0" w:color="000000"/>
            </w:tcBorders>
            <w:hideMark/>
          </w:tcPr>
          <w:p w14:paraId="489044A7"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61A69A33"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4.42 days lower</w:t>
            </w:r>
            <w:r>
              <w:rPr>
                <w:rFonts w:ascii="Arial Narrow" w:eastAsia="Times New Roman" w:hAnsi="Arial Narrow"/>
                <w:sz w:val="13"/>
                <w:szCs w:val="13"/>
              </w:rPr>
              <w:br/>
            </w:r>
            <w:r>
              <w:rPr>
                <w:rStyle w:val="cell-value"/>
                <w:rFonts w:ascii="Arial Narrow" w:eastAsia="Times New Roman" w:hAnsi="Arial Narrow"/>
                <w:sz w:val="13"/>
                <w:szCs w:val="13"/>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4F768712"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p>
        </w:tc>
        <w:tc>
          <w:tcPr>
            <w:tcW w:w="500" w:type="pct"/>
            <w:tcBorders>
              <w:top w:val="single" w:sz="6" w:space="0" w:color="000000"/>
              <w:left w:val="single" w:sz="6" w:space="0" w:color="000000"/>
              <w:bottom w:val="single" w:sz="6" w:space="0" w:color="000000"/>
              <w:right w:val="single" w:sz="6" w:space="0" w:color="000000"/>
            </w:tcBorders>
            <w:hideMark/>
          </w:tcPr>
          <w:p w14:paraId="112890A3" w14:textId="77777777" w:rsidR="00B41992" w:rsidRDefault="00B41992" w:rsidP="0062262B">
            <w:pPr>
              <w:rPr>
                <w:rFonts w:ascii="Arial Narrow" w:eastAsia="Times New Roman" w:hAnsi="Arial Narrow"/>
                <w:sz w:val="13"/>
                <w:szCs w:val="13"/>
              </w:rPr>
            </w:pPr>
          </w:p>
        </w:tc>
      </w:tr>
      <w:tr w:rsidR="00B41992" w14:paraId="0A5AC640"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5813CAE0"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8 weeks)</w:t>
            </w:r>
          </w:p>
        </w:tc>
      </w:tr>
      <w:tr w:rsidR="00B41992" w14:paraId="47B9BCB6"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577434A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2015D03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7FE212D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1EF8BC4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75C06C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07CB3F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b</w:t>
            </w:r>
          </w:p>
        </w:tc>
        <w:tc>
          <w:tcPr>
            <w:tcW w:w="550" w:type="pct"/>
            <w:tcBorders>
              <w:top w:val="single" w:sz="6" w:space="0" w:color="000000"/>
              <w:left w:val="single" w:sz="6" w:space="0" w:color="000000"/>
              <w:bottom w:val="single" w:sz="6" w:space="0" w:color="000000"/>
              <w:right w:val="single" w:sz="6" w:space="0" w:color="000000"/>
            </w:tcBorders>
            <w:hideMark/>
          </w:tcPr>
          <w:p w14:paraId="3B11FDD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C44613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10/21 (47.6%) </w:t>
            </w:r>
          </w:p>
        </w:tc>
        <w:tc>
          <w:tcPr>
            <w:tcW w:w="400" w:type="pct"/>
            <w:tcBorders>
              <w:top w:val="single" w:sz="6" w:space="0" w:color="000000"/>
              <w:left w:val="single" w:sz="6" w:space="0" w:color="000000"/>
              <w:bottom w:val="single" w:sz="6" w:space="0" w:color="000000"/>
              <w:right w:val="single" w:sz="6" w:space="0" w:color="000000"/>
            </w:tcBorders>
            <w:hideMark/>
          </w:tcPr>
          <w:p w14:paraId="2652970F"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2/19 (10.5%) </w:t>
            </w:r>
          </w:p>
        </w:tc>
        <w:tc>
          <w:tcPr>
            <w:tcW w:w="400" w:type="pct"/>
            <w:tcBorders>
              <w:top w:val="single" w:sz="6" w:space="0" w:color="000000"/>
              <w:left w:val="single" w:sz="6" w:space="0" w:color="000000"/>
              <w:bottom w:val="single" w:sz="6" w:space="0" w:color="000000"/>
              <w:right w:val="single" w:sz="6" w:space="0" w:color="000000"/>
            </w:tcBorders>
            <w:hideMark/>
          </w:tcPr>
          <w:p w14:paraId="4979DBA3"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7.72</w:t>
            </w:r>
            <w:r>
              <w:rPr>
                <w:rFonts w:ascii="Arial Narrow" w:eastAsia="Times New Roman" w:hAnsi="Arial Narrow"/>
                <w:sz w:val="13"/>
                <w:szCs w:val="13"/>
              </w:rPr>
              <w:br/>
            </w:r>
            <w:r>
              <w:rPr>
                <w:rStyle w:val="cell"/>
                <w:rFonts w:ascii="Arial Narrow" w:eastAsia="Times New Roman" w:hAnsi="Arial Narrow"/>
                <w:sz w:val="13"/>
                <w:szCs w:val="13"/>
              </w:rPr>
              <w:t>(1.41 to 42.17)</w:t>
            </w:r>
          </w:p>
        </w:tc>
        <w:tc>
          <w:tcPr>
            <w:tcW w:w="0" w:type="auto"/>
            <w:tcBorders>
              <w:top w:val="single" w:sz="6" w:space="0" w:color="000000"/>
              <w:left w:val="single" w:sz="6" w:space="0" w:color="000000"/>
              <w:bottom w:val="single" w:sz="6" w:space="0" w:color="000000"/>
              <w:right w:val="single" w:sz="6" w:space="0" w:color="000000"/>
            </w:tcBorders>
            <w:hideMark/>
          </w:tcPr>
          <w:p w14:paraId="62EBD71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37 more per 100</w:t>
            </w:r>
            <w:r>
              <w:rPr>
                <w:rFonts w:ascii="Arial Narrow" w:eastAsia="Times New Roman" w:hAnsi="Arial Narrow"/>
                <w:sz w:val="13"/>
                <w:szCs w:val="13"/>
              </w:rPr>
              <w:br/>
              <w:t>(from 4 more to 73 more)</w:t>
            </w:r>
          </w:p>
        </w:tc>
        <w:tc>
          <w:tcPr>
            <w:tcW w:w="750" w:type="dxa"/>
            <w:tcBorders>
              <w:top w:val="single" w:sz="6" w:space="0" w:color="000000"/>
              <w:left w:val="single" w:sz="6" w:space="0" w:color="000000"/>
              <w:bottom w:val="single" w:sz="6" w:space="0" w:color="000000"/>
              <w:right w:val="single" w:sz="6" w:space="0" w:color="000000"/>
            </w:tcBorders>
            <w:hideMark/>
          </w:tcPr>
          <w:p w14:paraId="0CA7E6F3"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2053BE56" w14:textId="77777777" w:rsidR="00B41992" w:rsidRDefault="00B41992" w:rsidP="0062262B">
            <w:pPr>
              <w:rPr>
                <w:rFonts w:ascii="Arial Narrow" w:eastAsia="Times New Roman" w:hAnsi="Arial Narrow"/>
                <w:sz w:val="13"/>
                <w:szCs w:val="13"/>
              </w:rPr>
            </w:pPr>
          </w:p>
        </w:tc>
      </w:tr>
    </w:tbl>
    <w:p w14:paraId="3B89794B"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23FF10A8" w14:textId="77777777" w:rsidR="00B41992" w:rsidRDefault="00B41992" w:rsidP="00B41992">
      <w:pPr>
        <w:pStyle w:val="Heading4"/>
        <w:rPr>
          <w:rFonts w:ascii="Arial Narrow" w:hAnsi="Arial Narrow"/>
          <w:color w:val="000000"/>
          <w:lang w:val="en"/>
        </w:rPr>
      </w:pPr>
      <w:r>
        <w:rPr>
          <w:rFonts w:ascii="Arial Narrow" w:hAnsi="Arial Narrow"/>
          <w:color w:val="000000"/>
          <w:lang w:val="en"/>
        </w:rPr>
        <w:t>Explanations</w:t>
      </w:r>
    </w:p>
    <w:p w14:paraId="0B2ED1C7" w14:textId="77777777" w:rsidR="00B41992" w:rsidRDefault="00B41992" w:rsidP="00B41992">
      <w:pPr>
        <w:pStyle w:val="ListParagraph"/>
        <w:numPr>
          <w:ilvl w:val="0"/>
          <w:numId w:val="26"/>
        </w:numPr>
        <w:spacing w:after="160"/>
        <w:rPr>
          <w:rFonts w:ascii="Arial Narrow" w:eastAsia="Times New Roman" w:hAnsi="Arial Narrow"/>
          <w:color w:val="000000"/>
          <w:sz w:val="14"/>
          <w:szCs w:val="14"/>
          <w:lang w:val="en"/>
        </w:rPr>
      </w:pPr>
      <w:r w:rsidRPr="001327A1">
        <w:rPr>
          <w:rFonts w:ascii="Arial Narrow" w:eastAsia="Times New Roman" w:hAnsi="Arial Narrow"/>
          <w:color w:val="000000"/>
          <w:sz w:val="14"/>
          <w:szCs w:val="14"/>
          <w:lang w:val="en"/>
        </w:rPr>
        <w:t>baseline group differences and no adequate description of allocation</w:t>
      </w:r>
    </w:p>
    <w:p w14:paraId="1E32837B" w14:textId="77777777" w:rsidR="00B41992" w:rsidRPr="001327A1" w:rsidRDefault="00B41992" w:rsidP="00B41992">
      <w:pPr>
        <w:pStyle w:val="ListParagraph"/>
        <w:numPr>
          <w:ilvl w:val="0"/>
          <w:numId w:val="26"/>
        </w:numPr>
        <w:spacing w:after="160"/>
        <w:rPr>
          <w:rFonts w:ascii="Arial Narrow" w:eastAsia="Times New Roman" w:hAnsi="Arial Narrow"/>
          <w:color w:val="000000"/>
          <w:sz w:val="14"/>
          <w:szCs w:val="14"/>
          <w:lang w:val="en"/>
        </w:rPr>
      </w:pPr>
      <w:r w:rsidRPr="001327A1">
        <w:rPr>
          <w:rFonts w:ascii="Arial Narrow" w:eastAsia="Times New Roman" w:hAnsi="Arial Narrow"/>
          <w:color w:val="000000"/>
          <w:sz w:val="14"/>
          <w:szCs w:val="14"/>
          <w:lang w:val="en"/>
        </w:rPr>
        <w:t>very wide confidence intervals</w:t>
      </w:r>
    </w:p>
    <w:p w14:paraId="12EAC467" w14:textId="77777777" w:rsidR="00B41992" w:rsidRDefault="00B41992" w:rsidP="00B41992">
      <w:pPr>
        <w:rPr>
          <w:rFonts w:ascii="Arial Narrow" w:eastAsia="Times New Roman" w:hAnsi="Arial Narrow"/>
          <w:color w:val="000000"/>
          <w:sz w:val="14"/>
          <w:szCs w:val="14"/>
          <w:lang w:val="en"/>
        </w:rPr>
      </w:pPr>
    </w:p>
    <w:p w14:paraId="537D582B" w14:textId="77777777" w:rsidR="00B41992" w:rsidRDefault="00B41992" w:rsidP="00B41992">
      <w:pPr>
        <w:rPr>
          <w:rFonts w:ascii="Arial Narrow" w:eastAsia="Times New Roman" w:hAnsi="Arial Narrow"/>
          <w:color w:val="000000"/>
          <w:sz w:val="14"/>
          <w:szCs w:val="14"/>
          <w:lang w:val="en"/>
        </w:rPr>
      </w:pPr>
    </w:p>
    <w:p w14:paraId="0AAC3EAB" w14:textId="77777777" w:rsidR="00B41992" w:rsidRDefault="00B41992" w:rsidP="00B41992">
      <w:pPr>
        <w:rPr>
          <w:rFonts w:ascii="Arial Narrow" w:eastAsia="Times New Roman" w:hAnsi="Arial Narrow"/>
          <w:color w:val="000000"/>
          <w:sz w:val="14"/>
          <w:szCs w:val="14"/>
          <w:lang w:val="en"/>
        </w:rPr>
      </w:pPr>
    </w:p>
    <w:p w14:paraId="0CECDFD2" w14:textId="77777777" w:rsidR="00B41992" w:rsidRDefault="00B41992" w:rsidP="00B41992">
      <w:pPr>
        <w:rPr>
          <w:rFonts w:ascii="Arial Narrow" w:eastAsia="Times New Roman" w:hAnsi="Arial Narrow"/>
          <w:color w:val="000000"/>
          <w:sz w:val="14"/>
          <w:szCs w:val="14"/>
          <w:lang w:val="en"/>
        </w:rPr>
      </w:pPr>
    </w:p>
    <w:p w14:paraId="76532984" w14:textId="77777777" w:rsidR="00B41992" w:rsidRDefault="00B41992" w:rsidP="00B41992">
      <w:pPr>
        <w:rPr>
          <w:rFonts w:ascii="Arial Narrow" w:eastAsia="Times New Roman" w:hAnsi="Arial Narrow"/>
          <w:color w:val="000000"/>
          <w:sz w:val="14"/>
          <w:szCs w:val="14"/>
          <w:lang w:val="en"/>
        </w:rPr>
      </w:pPr>
    </w:p>
    <w:p w14:paraId="6F6CAFED" w14:textId="77777777" w:rsidR="00B41992" w:rsidRDefault="00B41992" w:rsidP="00B41992">
      <w:pPr>
        <w:rPr>
          <w:rFonts w:ascii="Arial Narrow" w:eastAsia="Times New Roman" w:hAnsi="Arial Narrow"/>
          <w:color w:val="000000"/>
          <w:sz w:val="14"/>
          <w:szCs w:val="14"/>
          <w:lang w:val="en"/>
        </w:rPr>
      </w:pPr>
    </w:p>
    <w:p w14:paraId="37A6046B" w14:textId="77777777" w:rsidR="00B41992" w:rsidRDefault="00B41992" w:rsidP="00B41992">
      <w:pPr>
        <w:rPr>
          <w:rFonts w:ascii="Arial Narrow" w:eastAsia="Times New Roman" w:hAnsi="Arial Narrow"/>
          <w:color w:val="000000"/>
          <w:sz w:val="14"/>
          <w:szCs w:val="14"/>
          <w:lang w:val="en"/>
        </w:rPr>
      </w:pPr>
    </w:p>
    <w:p w14:paraId="7704574E" w14:textId="77777777" w:rsidR="00B41992" w:rsidRDefault="00B41992" w:rsidP="00B41992">
      <w:pPr>
        <w:rPr>
          <w:rFonts w:ascii="Arial Narrow" w:eastAsia="Times New Roman" w:hAnsi="Arial Narrow"/>
          <w:color w:val="000000"/>
          <w:sz w:val="14"/>
          <w:szCs w:val="14"/>
          <w:lang w:val="en"/>
        </w:rPr>
      </w:pPr>
    </w:p>
    <w:p w14:paraId="7C9654C0" w14:textId="77777777" w:rsidR="00B41992" w:rsidRDefault="00B41992" w:rsidP="00B41992">
      <w:pPr>
        <w:rPr>
          <w:rFonts w:ascii="Arial Narrow" w:eastAsia="Times New Roman" w:hAnsi="Arial Narrow"/>
          <w:color w:val="000000"/>
          <w:sz w:val="14"/>
          <w:szCs w:val="14"/>
          <w:lang w:val="en"/>
        </w:rPr>
      </w:pPr>
    </w:p>
    <w:p w14:paraId="2E3E4F0D" w14:textId="77777777" w:rsidR="00B41992" w:rsidRDefault="00B41992" w:rsidP="00B41992">
      <w:pPr>
        <w:rPr>
          <w:rFonts w:ascii="Arial Narrow" w:eastAsia="Times New Roman" w:hAnsi="Arial Narrow"/>
          <w:color w:val="000000"/>
          <w:sz w:val="14"/>
          <w:szCs w:val="14"/>
          <w:lang w:val="en"/>
        </w:rPr>
      </w:pPr>
    </w:p>
    <w:p w14:paraId="276B5E98" w14:textId="77777777" w:rsidR="00B41992" w:rsidRDefault="00B41992" w:rsidP="00B41992">
      <w:pPr>
        <w:rPr>
          <w:rFonts w:ascii="Arial Narrow" w:eastAsia="Times New Roman" w:hAnsi="Arial Narrow"/>
          <w:color w:val="000000"/>
          <w:sz w:val="14"/>
          <w:szCs w:val="14"/>
          <w:lang w:val="en"/>
        </w:rPr>
      </w:pPr>
    </w:p>
    <w:p w14:paraId="5D18C1E3" w14:textId="77777777" w:rsidR="00B41992" w:rsidRDefault="00B41992" w:rsidP="00B41992">
      <w:pPr>
        <w:rPr>
          <w:rFonts w:ascii="Arial Narrow" w:eastAsia="Times New Roman" w:hAnsi="Arial Narrow"/>
          <w:color w:val="000000"/>
          <w:sz w:val="14"/>
          <w:szCs w:val="14"/>
          <w:lang w:val="en"/>
        </w:rPr>
      </w:pPr>
    </w:p>
    <w:p w14:paraId="19D3050C" w14:textId="77777777" w:rsidR="00B41992" w:rsidRDefault="00B41992" w:rsidP="00B41992">
      <w:pPr>
        <w:rPr>
          <w:rFonts w:ascii="Arial Narrow" w:eastAsia="Times New Roman" w:hAnsi="Arial Narrow"/>
          <w:color w:val="000000"/>
          <w:sz w:val="14"/>
          <w:szCs w:val="14"/>
          <w:lang w:val="en"/>
        </w:rPr>
      </w:pPr>
    </w:p>
    <w:p w14:paraId="4F756032" w14:textId="77777777" w:rsidR="00B41992" w:rsidRDefault="00B41992" w:rsidP="00B41992">
      <w:pPr>
        <w:rPr>
          <w:rFonts w:ascii="Arial Narrow" w:eastAsia="Times New Roman" w:hAnsi="Arial Narrow"/>
          <w:color w:val="000000"/>
          <w:sz w:val="14"/>
          <w:szCs w:val="14"/>
          <w:lang w:val="en"/>
        </w:rPr>
      </w:pPr>
    </w:p>
    <w:p w14:paraId="64F838E6" w14:textId="77777777" w:rsidR="00B41992" w:rsidRPr="000D1488" w:rsidRDefault="00B41992" w:rsidP="00B41992">
      <w:pPr>
        <w:rPr>
          <w:rFonts w:ascii="Arial Narrow" w:eastAsia="Times New Roman" w:hAnsi="Arial Narrow"/>
          <w:color w:val="000000"/>
          <w:sz w:val="14"/>
          <w:szCs w:val="14"/>
          <w:lang w:val="en"/>
        </w:rPr>
      </w:pPr>
    </w:p>
    <w:p w14:paraId="21ABCE7C" w14:textId="77777777" w:rsidR="00B41992" w:rsidRPr="00A30FB7" w:rsidRDefault="00B41992" w:rsidP="00B41992">
      <w:pPr>
        <w:rPr>
          <w:b/>
          <w:bCs/>
          <w:sz w:val="32"/>
          <w:szCs w:val="32"/>
        </w:rPr>
      </w:pPr>
      <w:r w:rsidRPr="00A30FB7">
        <w:rPr>
          <w:b/>
          <w:bCs/>
          <w:sz w:val="32"/>
          <w:szCs w:val="32"/>
        </w:rPr>
        <w:t>3.10.1 Propranolol in Chronic Migraine</w:t>
      </w:r>
    </w:p>
    <w:p w14:paraId="571D3959" w14:textId="77777777" w:rsidR="00B41992" w:rsidRPr="005A16BF" w:rsidRDefault="00B41992" w:rsidP="00B41992">
      <w:bookmarkStart w:id="11" w:name="_Hlk151733006"/>
      <w:r w:rsidRPr="005A16BF">
        <w:t>We found a single study Chowdhudry et al, 2022</w:t>
      </w:r>
      <w:r w:rsidRPr="005A16BF">
        <w:fldChar w:fldCharType="begin"/>
      </w:r>
      <w:r>
        <w:instrText xml:space="preserve"> ADDIN ZOTERO_ITEM CSL_CITATION {"citationID":"9HmuJxjg","properties":{"formattedCitation":"(62)","plainCitation":"(62)","noteIndex":0},"citationItems":[{"id":5822,"uris":["http://zotero.org/users/5131939/items/CNMCW5E5"],"itemData":{"id":5822,"type":"article-journal","archive_location":"34579560","container-title":"Cephalalgia","DOI":"10.1177/03331024211047454","issue":"4-5","journalAbbreviation":"Cephalalgia","page":"396-408","title":"TOP-PRO study: A randomized double-blind controlled trial of topiramate versus propranolol for prevention of chronic migraine","volume":"42","author":[{"family":"Chowdhury","given":"D."},{"family":"Bansal","given":"L."},{"family":"Duggal","given":"A."},{"family":"Datta","given":"D."},{"family":"Mundra","given":"A."},{"family":"Krishnan","given":"A."},{"family":"Koul","given":"A."},{"family":"Gupta","given":"A."}],"issued":{"date-parts":[["2022"]]}}}],"schema":"https://github.com/citation-style-language/schema/raw/master/csl-citation.json"} </w:instrText>
      </w:r>
      <w:r w:rsidRPr="005A16BF">
        <w:fldChar w:fldCharType="separate"/>
      </w:r>
      <w:r w:rsidRPr="00212E69">
        <w:rPr>
          <w:rFonts w:ascii="Calibri" w:hAnsi="Calibri" w:cs="Calibri"/>
        </w:rPr>
        <w:t>(62)</w:t>
      </w:r>
      <w:r w:rsidRPr="005A16BF">
        <w:fldChar w:fldCharType="end"/>
      </w:r>
      <w:r w:rsidRPr="005A16BF">
        <w:t>.</w:t>
      </w:r>
      <w:r>
        <w:t xml:space="preserve"> </w:t>
      </w:r>
      <w:r w:rsidRPr="00C845E5">
        <w:t>Please consider review of table of Topiramate in Chronic Migraine while reviewing this data.</w:t>
      </w:r>
    </w:p>
    <w:bookmarkEnd w:id="11"/>
    <w:p w14:paraId="172DDE0E" w14:textId="77777777"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Propranolol in Chronic Migraine compared to Topiramate</w:t>
      </w:r>
    </w:p>
    <w:p w14:paraId="55AC86F1"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Propranolol compared to topiramate for chronic migraine</w:t>
      </w: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52"/>
        <w:gridCol w:w="862"/>
        <w:gridCol w:w="779"/>
        <w:gridCol w:w="749"/>
        <w:gridCol w:w="924"/>
        <w:gridCol w:w="743"/>
        <w:gridCol w:w="695"/>
        <w:gridCol w:w="599"/>
        <w:gridCol w:w="607"/>
        <w:gridCol w:w="853"/>
        <w:gridCol w:w="809"/>
      </w:tblGrid>
      <w:tr w:rsidR="00B41992" w14:paraId="319B6252"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C1ACC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F0F523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9D12F9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91A9AA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CAADAD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67C816C2"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117BE4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6EC79F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911064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D2B89B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A4F383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C2BECF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C2FBEC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EB62DA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propranolol</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E0278B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topiramate</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FDF14D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2EA98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52AC02A"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41AEB78" w14:textId="77777777" w:rsidR="00B41992" w:rsidRDefault="00B41992" w:rsidP="0062262B">
            <w:pPr>
              <w:rPr>
                <w:rFonts w:ascii="Arial Narrow" w:eastAsia="Times New Roman" w:hAnsi="Arial Narrow"/>
                <w:b/>
                <w:bCs/>
                <w:color w:val="FFFFFF"/>
                <w:sz w:val="13"/>
                <w:szCs w:val="13"/>
              </w:rPr>
            </w:pPr>
          </w:p>
        </w:tc>
      </w:tr>
      <w:tr w:rsidR="00B41992" w14:paraId="55A0DE53"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021E0B37"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24 weeks; Scale from: -10 to 10)</w:t>
            </w:r>
          </w:p>
        </w:tc>
      </w:tr>
      <w:tr w:rsidR="00B41992" w14:paraId="5AE18B6F"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77DE97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5472B73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FEAFD1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4FD165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C4F6C3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0DF7349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p w14:paraId="5FA8C70A" w14:textId="77777777" w:rsidR="00B41992" w:rsidRDefault="00B41992" w:rsidP="0062262B">
            <w:pPr>
              <w:jc w:val="center"/>
              <w:rPr>
                <w:rFonts w:ascii="Arial Narrow" w:eastAsia="Times New Roman" w:hAnsi="Arial Narrow"/>
                <w:sz w:val="13"/>
                <w:szCs w:val="13"/>
              </w:rPr>
            </w:pPr>
          </w:p>
        </w:tc>
        <w:tc>
          <w:tcPr>
            <w:tcW w:w="550" w:type="pct"/>
            <w:tcBorders>
              <w:top w:val="single" w:sz="6" w:space="0" w:color="000000"/>
              <w:left w:val="single" w:sz="6" w:space="0" w:color="000000"/>
              <w:bottom w:val="single" w:sz="6" w:space="0" w:color="000000"/>
              <w:right w:val="single" w:sz="6" w:space="0" w:color="000000"/>
            </w:tcBorders>
            <w:hideMark/>
          </w:tcPr>
          <w:p w14:paraId="68E8AA1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0D21DE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82</w:t>
            </w:r>
          </w:p>
        </w:tc>
        <w:tc>
          <w:tcPr>
            <w:tcW w:w="400" w:type="pct"/>
            <w:tcBorders>
              <w:top w:val="single" w:sz="6" w:space="0" w:color="000000"/>
              <w:left w:val="single" w:sz="6" w:space="0" w:color="000000"/>
              <w:bottom w:val="single" w:sz="6" w:space="0" w:color="000000"/>
              <w:right w:val="single" w:sz="6" w:space="0" w:color="000000"/>
            </w:tcBorders>
            <w:hideMark/>
          </w:tcPr>
          <w:p w14:paraId="57D30AAD"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93</w:t>
            </w:r>
          </w:p>
        </w:tc>
        <w:tc>
          <w:tcPr>
            <w:tcW w:w="400" w:type="pct"/>
            <w:tcBorders>
              <w:top w:val="single" w:sz="6" w:space="0" w:color="000000"/>
              <w:left w:val="single" w:sz="6" w:space="0" w:color="000000"/>
              <w:bottom w:val="single" w:sz="6" w:space="0" w:color="000000"/>
              <w:right w:val="single" w:sz="6" w:space="0" w:color="000000"/>
            </w:tcBorders>
            <w:hideMark/>
          </w:tcPr>
          <w:p w14:paraId="564D792B"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752E5D28"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1.7 days lower</w:t>
            </w:r>
            <w:r>
              <w:rPr>
                <w:rFonts w:ascii="Arial Narrow" w:eastAsia="Times New Roman" w:hAnsi="Arial Narrow"/>
                <w:sz w:val="13"/>
                <w:szCs w:val="13"/>
              </w:rPr>
              <w:br/>
            </w:r>
            <w:r>
              <w:rPr>
                <w:rStyle w:val="cell-value"/>
                <w:rFonts w:ascii="Arial Narrow" w:eastAsia="Times New Roman" w:hAnsi="Arial Narrow"/>
                <w:sz w:val="13"/>
                <w:szCs w:val="13"/>
              </w:rPr>
              <w:t>(3.82 lower to 0.39 higher)</w:t>
            </w:r>
          </w:p>
        </w:tc>
        <w:tc>
          <w:tcPr>
            <w:tcW w:w="750" w:type="dxa"/>
            <w:tcBorders>
              <w:top w:val="single" w:sz="6" w:space="0" w:color="000000"/>
              <w:left w:val="single" w:sz="6" w:space="0" w:color="000000"/>
              <w:bottom w:val="single" w:sz="6" w:space="0" w:color="000000"/>
              <w:right w:val="single" w:sz="6" w:space="0" w:color="000000"/>
            </w:tcBorders>
            <w:hideMark/>
          </w:tcPr>
          <w:p w14:paraId="0EB8AF03"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5E1EB3B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6B02B39D"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19AF0941"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24 weeks)</w:t>
            </w:r>
          </w:p>
        </w:tc>
      </w:tr>
      <w:tr w:rsidR="00B41992" w14:paraId="600B631C"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61B1864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7279D99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79E4B3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EB8DF3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5571C9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9F092C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p w14:paraId="4D3B2EBC" w14:textId="77777777" w:rsidR="00B41992" w:rsidRDefault="00B41992" w:rsidP="0062262B">
            <w:pPr>
              <w:jc w:val="center"/>
              <w:rPr>
                <w:rFonts w:ascii="Arial Narrow" w:eastAsia="Times New Roman" w:hAnsi="Arial Narrow"/>
                <w:sz w:val="13"/>
                <w:szCs w:val="13"/>
              </w:rPr>
            </w:pPr>
          </w:p>
        </w:tc>
        <w:tc>
          <w:tcPr>
            <w:tcW w:w="550" w:type="pct"/>
            <w:tcBorders>
              <w:top w:val="single" w:sz="6" w:space="0" w:color="000000"/>
              <w:left w:val="single" w:sz="6" w:space="0" w:color="000000"/>
              <w:bottom w:val="single" w:sz="6" w:space="0" w:color="000000"/>
              <w:right w:val="single" w:sz="6" w:space="0" w:color="000000"/>
            </w:tcBorders>
            <w:hideMark/>
          </w:tcPr>
          <w:p w14:paraId="727CD1B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986372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18/82 (22.0%) </w:t>
            </w:r>
          </w:p>
        </w:tc>
        <w:tc>
          <w:tcPr>
            <w:tcW w:w="400" w:type="pct"/>
            <w:tcBorders>
              <w:top w:val="single" w:sz="6" w:space="0" w:color="000000"/>
              <w:left w:val="single" w:sz="6" w:space="0" w:color="000000"/>
              <w:bottom w:val="single" w:sz="6" w:space="0" w:color="000000"/>
              <w:right w:val="single" w:sz="6" w:space="0" w:color="000000"/>
            </w:tcBorders>
            <w:hideMark/>
          </w:tcPr>
          <w:p w14:paraId="6CFE3C03"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16/93 (17.2%) </w:t>
            </w:r>
          </w:p>
        </w:tc>
        <w:tc>
          <w:tcPr>
            <w:tcW w:w="400" w:type="pct"/>
            <w:tcBorders>
              <w:top w:val="single" w:sz="6" w:space="0" w:color="000000"/>
              <w:left w:val="single" w:sz="6" w:space="0" w:color="000000"/>
              <w:bottom w:val="single" w:sz="6" w:space="0" w:color="000000"/>
              <w:right w:val="single" w:sz="6" w:space="0" w:color="000000"/>
            </w:tcBorders>
            <w:hideMark/>
          </w:tcPr>
          <w:p w14:paraId="70513A6B"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1.35</w:t>
            </w:r>
            <w:r>
              <w:rPr>
                <w:rFonts w:ascii="Arial Narrow" w:eastAsia="Times New Roman" w:hAnsi="Arial Narrow"/>
                <w:sz w:val="13"/>
                <w:szCs w:val="13"/>
              </w:rPr>
              <w:br/>
            </w:r>
            <w:r>
              <w:rPr>
                <w:rStyle w:val="cell"/>
                <w:rFonts w:ascii="Arial Narrow" w:eastAsia="Times New Roman" w:hAnsi="Arial Narrow"/>
                <w:sz w:val="13"/>
                <w:szCs w:val="13"/>
              </w:rPr>
              <w:t>(0.64 to 2.87)</w:t>
            </w:r>
          </w:p>
        </w:tc>
        <w:tc>
          <w:tcPr>
            <w:tcW w:w="0" w:type="auto"/>
            <w:tcBorders>
              <w:top w:val="single" w:sz="6" w:space="0" w:color="000000"/>
              <w:left w:val="single" w:sz="6" w:space="0" w:color="000000"/>
              <w:bottom w:val="single" w:sz="6" w:space="0" w:color="000000"/>
              <w:right w:val="single" w:sz="6" w:space="0" w:color="000000"/>
            </w:tcBorders>
            <w:hideMark/>
          </w:tcPr>
          <w:p w14:paraId="773B1A7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5 more per 100</w:t>
            </w:r>
            <w:r>
              <w:rPr>
                <w:rFonts w:ascii="Arial Narrow" w:eastAsia="Times New Roman" w:hAnsi="Arial Narrow"/>
                <w:sz w:val="13"/>
                <w:szCs w:val="13"/>
              </w:rPr>
              <w:br/>
              <w:t>(from 5 fewer to 20 more)</w:t>
            </w:r>
          </w:p>
        </w:tc>
        <w:tc>
          <w:tcPr>
            <w:tcW w:w="750" w:type="dxa"/>
            <w:tcBorders>
              <w:top w:val="single" w:sz="6" w:space="0" w:color="000000"/>
              <w:left w:val="single" w:sz="6" w:space="0" w:color="000000"/>
              <w:bottom w:val="single" w:sz="6" w:space="0" w:color="000000"/>
              <w:right w:val="single" w:sz="6" w:space="0" w:color="000000"/>
            </w:tcBorders>
            <w:hideMark/>
          </w:tcPr>
          <w:p w14:paraId="31737AAF"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3636669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r w:rsidR="00B41992" w14:paraId="279B09EB"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2FE60D5A"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12 weeks)</w:t>
            </w:r>
          </w:p>
        </w:tc>
      </w:tr>
      <w:tr w:rsidR="00B41992" w14:paraId="269443E9"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01D8362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5EA1DEA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02E7121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5AD1AD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CECD12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420A48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p w14:paraId="235597D5" w14:textId="77777777" w:rsidR="00B41992" w:rsidRDefault="00B41992" w:rsidP="0062262B">
            <w:pPr>
              <w:jc w:val="center"/>
              <w:rPr>
                <w:rFonts w:ascii="Arial Narrow" w:eastAsia="Times New Roman" w:hAnsi="Arial Narrow"/>
                <w:sz w:val="13"/>
                <w:szCs w:val="13"/>
              </w:rPr>
            </w:pPr>
          </w:p>
        </w:tc>
        <w:tc>
          <w:tcPr>
            <w:tcW w:w="550" w:type="pct"/>
            <w:tcBorders>
              <w:top w:val="single" w:sz="6" w:space="0" w:color="000000"/>
              <w:left w:val="single" w:sz="6" w:space="0" w:color="000000"/>
              <w:bottom w:val="single" w:sz="6" w:space="0" w:color="000000"/>
              <w:right w:val="single" w:sz="6" w:space="0" w:color="000000"/>
            </w:tcBorders>
            <w:hideMark/>
          </w:tcPr>
          <w:p w14:paraId="25AE7B5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1BF15A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30/82 (36.6%) </w:t>
            </w:r>
          </w:p>
        </w:tc>
        <w:tc>
          <w:tcPr>
            <w:tcW w:w="400" w:type="pct"/>
            <w:tcBorders>
              <w:top w:val="single" w:sz="6" w:space="0" w:color="000000"/>
              <w:left w:val="single" w:sz="6" w:space="0" w:color="000000"/>
              <w:bottom w:val="single" w:sz="6" w:space="0" w:color="000000"/>
              <w:right w:val="single" w:sz="6" w:space="0" w:color="000000"/>
            </w:tcBorders>
            <w:hideMark/>
          </w:tcPr>
          <w:p w14:paraId="0AAE2EA4"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32/93 (34.4%) </w:t>
            </w:r>
          </w:p>
        </w:tc>
        <w:tc>
          <w:tcPr>
            <w:tcW w:w="400" w:type="pct"/>
            <w:tcBorders>
              <w:top w:val="single" w:sz="6" w:space="0" w:color="000000"/>
              <w:left w:val="single" w:sz="6" w:space="0" w:color="000000"/>
              <w:bottom w:val="single" w:sz="6" w:space="0" w:color="000000"/>
              <w:right w:val="single" w:sz="6" w:space="0" w:color="000000"/>
            </w:tcBorders>
            <w:hideMark/>
          </w:tcPr>
          <w:p w14:paraId="573FF8EF"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1.10</w:t>
            </w:r>
            <w:r>
              <w:rPr>
                <w:rFonts w:ascii="Arial Narrow" w:eastAsia="Times New Roman" w:hAnsi="Arial Narrow"/>
                <w:sz w:val="13"/>
                <w:szCs w:val="13"/>
              </w:rPr>
              <w:br/>
            </w:r>
            <w:r>
              <w:rPr>
                <w:rStyle w:val="cell"/>
                <w:rFonts w:ascii="Arial Narrow" w:eastAsia="Times New Roman" w:hAnsi="Arial Narrow"/>
                <w:sz w:val="13"/>
                <w:szCs w:val="13"/>
              </w:rPr>
              <w:t>(0.59 to 2.05)</w:t>
            </w:r>
          </w:p>
        </w:tc>
        <w:tc>
          <w:tcPr>
            <w:tcW w:w="0" w:type="auto"/>
            <w:tcBorders>
              <w:top w:val="single" w:sz="6" w:space="0" w:color="000000"/>
              <w:left w:val="single" w:sz="6" w:space="0" w:color="000000"/>
              <w:bottom w:val="single" w:sz="6" w:space="0" w:color="000000"/>
              <w:right w:val="single" w:sz="6" w:space="0" w:color="000000"/>
            </w:tcBorders>
            <w:hideMark/>
          </w:tcPr>
          <w:p w14:paraId="4C3DBAD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2 more per 100</w:t>
            </w:r>
            <w:r>
              <w:rPr>
                <w:rFonts w:ascii="Arial Narrow" w:eastAsia="Times New Roman" w:hAnsi="Arial Narrow"/>
                <w:sz w:val="13"/>
                <w:szCs w:val="13"/>
              </w:rPr>
              <w:br/>
              <w:t>(from 11 fewer to 17 more)</w:t>
            </w:r>
          </w:p>
        </w:tc>
        <w:tc>
          <w:tcPr>
            <w:tcW w:w="750" w:type="dxa"/>
            <w:tcBorders>
              <w:top w:val="single" w:sz="6" w:space="0" w:color="000000"/>
              <w:left w:val="single" w:sz="6" w:space="0" w:color="000000"/>
              <w:bottom w:val="single" w:sz="6" w:space="0" w:color="000000"/>
              <w:right w:val="single" w:sz="6" w:space="0" w:color="000000"/>
            </w:tcBorders>
            <w:hideMark/>
          </w:tcPr>
          <w:p w14:paraId="7736D2E0"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0D44E1B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CRITICAL</w:t>
            </w:r>
          </w:p>
        </w:tc>
      </w:tr>
    </w:tbl>
    <w:p w14:paraId="20FE02FC"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4BC54002"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69356AFC" w14:textId="77777777" w:rsidR="00B41992" w:rsidRPr="000E4B0D" w:rsidRDefault="00B41992" w:rsidP="00B41992">
      <w:pPr>
        <w:pStyle w:val="ListParagraph"/>
        <w:numPr>
          <w:ilvl w:val="0"/>
          <w:numId w:val="27"/>
        </w:numPr>
        <w:spacing w:after="160"/>
        <w:rPr>
          <w:rFonts w:ascii="Arial Narrow" w:eastAsia="Times New Roman" w:hAnsi="Arial Narrow"/>
          <w:color w:val="000000"/>
          <w:sz w:val="14"/>
          <w:szCs w:val="14"/>
          <w:lang w:val="en"/>
        </w:rPr>
      </w:pPr>
      <w:r w:rsidRPr="000E4B0D">
        <w:rPr>
          <w:rFonts w:ascii="Arial Narrow" w:eastAsia="Times New Roman" w:hAnsi="Arial Narrow"/>
          <w:color w:val="000000"/>
          <w:sz w:val="14"/>
          <w:szCs w:val="14"/>
          <w:lang w:val="en"/>
        </w:rPr>
        <w:t>Comparison with topiramate is indirect as no placebo</w:t>
      </w:r>
    </w:p>
    <w:p w14:paraId="415632B8" w14:textId="77777777" w:rsidR="00B41992" w:rsidRPr="000E4B0D" w:rsidRDefault="00B41992" w:rsidP="00B41992">
      <w:pPr>
        <w:pStyle w:val="ListParagraph"/>
        <w:rPr>
          <w:rFonts w:ascii="Arial Narrow" w:eastAsia="Times New Roman" w:hAnsi="Arial Narrow"/>
          <w:color w:val="000000"/>
          <w:sz w:val="14"/>
          <w:szCs w:val="14"/>
          <w:lang w:val="en"/>
        </w:rPr>
      </w:pPr>
    </w:p>
    <w:p w14:paraId="34730065" w14:textId="77777777" w:rsidR="00B41992" w:rsidRDefault="00B41992" w:rsidP="00B41992"/>
    <w:p w14:paraId="3AE304D9" w14:textId="77777777" w:rsidR="00B41992" w:rsidRDefault="00B41992" w:rsidP="00B41992"/>
    <w:p w14:paraId="323DD0B9" w14:textId="77777777" w:rsidR="00B41992" w:rsidRDefault="00B41992" w:rsidP="00B41992"/>
    <w:p w14:paraId="5DBC8070" w14:textId="77777777" w:rsidR="00193727" w:rsidRDefault="00193727" w:rsidP="00B41992"/>
    <w:p w14:paraId="205730DC" w14:textId="77777777" w:rsidR="00193727" w:rsidRDefault="00193727" w:rsidP="00B41992"/>
    <w:p w14:paraId="087D2586" w14:textId="77777777" w:rsidR="00B41992" w:rsidRDefault="00B41992" w:rsidP="00B41992"/>
    <w:p w14:paraId="441530C3" w14:textId="77777777" w:rsidR="00B41992" w:rsidRDefault="00B41992" w:rsidP="00B41992"/>
    <w:p w14:paraId="7BFC93AF" w14:textId="77777777" w:rsidR="00B41992" w:rsidRDefault="00B41992" w:rsidP="00B41992"/>
    <w:p w14:paraId="23BAA187" w14:textId="77777777" w:rsidR="00B41992" w:rsidRDefault="00B41992" w:rsidP="00B41992"/>
    <w:p w14:paraId="49D382BF" w14:textId="77777777" w:rsidR="00B41992" w:rsidRPr="00F2330B" w:rsidRDefault="00B41992" w:rsidP="00B41992"/>
    <w:p w14:paraId="524BB6E5" w14:textId="77777777" w:rsidR="00B41992" w:rsidRPr="00F2330B" w:rsidRDefault="00B41992" w:rsidP="00B41992">
      <w:pPr>
        <w:rPr>
          <w:b/>
          <w:bCs/>
          <w:sz w:val="32"/>
          <w:szCs w:val="32"/>
        </w:rPr>
      </w:pPr>
      <w:r w:rsidRPr="00F2330B">
        <w:rPr>
          <w:b/>
          <w:bCs/>
          <w:sz w:val="32"/>
          <w:szCs w:val="32"/>
        </w:rPr>
        <w:lastRenderedPageBreak/>
        <w:t>3.11.1 Gabapentin in Episodic Migraine</w:t>
      </w:r>
    </w:p>
    <w:p w14:paraId="3DB46368" w14:textId="77777777" w:rsidR="00B41992" w:rsidRDefault="00B41992" w:rsidP="00B41992">
      <w:bookmarkStart w:id="12" w:name="_Hlk151733642"/>
      <w:r>
        <w:t>We identified a new study since the previous guideline, Silberstein et al 2013</w:t>
      </w:r>
      <w:r>
        <w:fldChar w:fldCharType="begin"/>
      </w:r>
      <w:r>
        <w:instrText xml:space="preserve"> ADDIN ZOTERO_ITEM CSL_CITATION {"citationID":"hdTi7dEF","properties":{"formattedCitation":"(63)","plainCitation":"(63)","noteIndex":0},"citationItems":[{"id":1076,"uris":["http://zotero.org/users/5131939/items/36JIMWKY"],"itemData":{"id":1076,"type":"article-journal","abstract":"ObjectiveThe objective of this article is to evaluate the efficacy and safety of gabapentin enacarbil (GEn) for migraine prophylaxis.MethodsIn this randomized, double-blind, parallel-group study, patients with International Headache Society-defined migraine who met criteria suggesting the need for prophylactic therapy were randomized 2:1:2:2:1 to one of the following five groups, designated according to target daily dose of study medication during the 20-week treatment period: placebo, GEn 1200?mg, GEn 1800?mg, GEn 2400?mg, or GEn 3000?mg.ResultsThe intent-to-treat population included 523 patients (n?=?128 placebo, n?=?66 GEn 1200?mg, n?=?134 GEn 1800?mg, n?=?133 GEn 2400?mg, n?=?62 GEn 3000?mg). No statistically significant difference between active treatment (the average of 1800?mg and 2400?mg treatment groups) and placebo was found for change from baseline in the number of migraine headache days during the last four weeks of treatment prior to taper (the primary endpoint). Results of analyses of the primary endpoint using the per protocol population, analyses using imputation methods different from those of the primary analysis, and nonparametric analyses were consistent with the primary analysis in showing no difference between active treatment and placebo. The pattern of results was similar for the secondary efficacy endpoints. Pharmacokinetic data demonstrate that patients had adequate estimated exposure to GEn. The adverse event profile of GEn was consistent with that in previous studies.ConclusionGEn did not significantly differ from placebo for migraine headache prophylaxis. A high placebo effect should be considered when interpreting these results.","container-title":"Cephalalgia","DOI":"10.1177/0333102412466968","ISSN":"0333-1024","issue":"2","journalAbbreviation":"Cephalalgia","page":"101-111","source":"SAGE Journals","title":"Randomized, double-blind, placebo-controlled, phase II trial of gabapentin enacarbil for migraine prophylaxis","volume":"33","author":[{"family":"Silberstein","given":"Stephen"},{"family":"Goode-Sellers","given":"Stacey"},{"family":"Twomey","given":"Colleen"},{"family":"Saiers","given":"Jane"},{"family":"Ascher","given":"John"}],"issued":{"date-parts":[["2013",1,1]]}}}],"schema":"https://github.com/citation-style-language/schema/raw/master/csl-citation.json"} </w:instrText>
      </w:r>
      <w:r>
        <w:fldChar w:fldCharType="separate"/>
      </w:r>
      <w:r w:rsidRPr="00212E69">
        <w:rPr>
          <w:rFonts w:ascii="Calibri" w:hAnsi="Calibri" w:cs="Calibri"/>
        </w:rPr>
        <w:t>(63)</w:t>
      </w:r>
      <w:r>
        <w:fldChar w:fldCharType="end"/>
      </w:r>
      <w:r>
        <w:t>. We were able to do meta-analysis on 50% RR with Mathew et al, 2001</w:t>
      </w:r>
      <w:r>
        <w:fldChar w:fldCharType="begin"/>
      </w:r>
      <w:r>
        <w:instrText xml:space="preserve"> ADDIN ZOTERO_ITEM CSL_CITATION {"citationID":"6QaIDFjs","properties":{"formattedCitation":"(64)","plainCitation":"(64)","noteIndex":0},"citationItems":[{"id":5884,"uris":["http://zotero.org/users/5131939/items/FD3WDE2V"],"itemData":{"id":5884,"type":"article-journal","abstract":"OBJECTIVE: To compare gabapentin with placebo for use as a prophylactic agent in patients with migraine (with or without aura). STUDY DESIGN AND TREATMENT: After  screening, a 4-week, single-blind, placebo baseline period was followed by a  12-week, double-blind, treatment period. The 12-week treatment period consisted  of a 4-week titration phase and an 8-week stable-dosing phase. During the 4-week  titration phase, patients were started on one 300-mg capsule of gabapentin or  matching placebo. Patients were titrated weekly from 900 mg/day (end of week 1)  to 2400 mg/day (end of week 4) and had to be receiving a stable dose of study  medication by the end of the titration period. Study medication was to be given  on a three-times-a-day dosing regimen. METHODS: The study hypothesis was defined  a priori as a lower 4-week migraine rate during the second stabilization period  for the gabapentin-treated patients as compared with the placebo-treated  patients. The analyses were performed with the 4-week migraine rate at baseline  as a covariate and center as a blocking factor. RESULTS: At seven participating  centers, 143 patients with migraine were randomized in a 2:1 ratio and received  either gabapentin (n = 98) or matching placebo (n = 45). Thirty-three patients  (24.1%) discontinued prematurely from the study, including 24 (24.5%) of 98  gabapentin-treated patients and 9 (20.0%) of 45 placebo-treated patients; the  majority of patients discontinued due to adverse events (16 [16.3%] of 98  gabapentin-treated patients; 4 [8.9%] of 45 placebo-treated patients). Patients  included in the analysis were evenly balanced for age, sex, race, weight, and  height. The majority of these patients were white (80 [92.0%] of 87) and women  (72 [82.8%] of 87), with a mean age of approximately 39.4 years and a history of  migraine episodes for a mean of about 21 years. At the end of the 12-week  treatment phase, the median 4-week migraine rate was 2.7 for the  gabapentin-treated patients maintained on a stable dose of 2400 mg/day and 3.5  for the placebo-treated patients (P =.006), compared with 4.2 and 4.1,  respectively, during the baseline period. Additionally, 26 (46.4%) of 56 patients  receiving a stable dose of 2400 mg/day gabapentin and 5 (16.1%) of 31 patients  receiving placebo showed at least a 50% reduction in the 4-week migraine rate (P  =.008). The average number of days per 4 weeks with migraine was also  statistically significant and favored gabapentin (P =.006) during stabilization  period 2. The median change in 4-week headache rate was statistically significant  as well (P =.013). The most frequently reported adverse events for both treatment  groups were asthenia, dizziness, somnolence, and infection. Adverse events  determined by the investigator to be associated with study drug resulted in  patient withdrawal in 13 (13.3%) of 98 gabapentin-treated patients and 3 (6.7%)  of 45 placebo-treated patients. Somnolence and dizziness accounted for many of  the premature withdrawals among those taking gabapentin. CONCLUSION: Gabapentin  is an effective prophylactic agent for patients with migraine. In addition,  gabapentin appears generally well tolerated with mild to moderate somnolence and  dizziness.","container-title":"Headache","DOI":"10.1046/j.1526-4610.2001.111006119.x","ISSN":"0017-8748","issue":"2","journalAbbreviation":"Headache","language":"eng","note":"publisher-place: United States\nPMID: 11251695","page":"119-128","title":"Efficacy of gabapentin in migraine prophylaxis.","volume":"41","author":[{"family":"Mathew","given":"N. T."},{"family":"Rapoport","given":"A."},{"family":"Saper","given":"J."},{"family":"Magnus","given":"L."},{"family":"Klapper","given":"J."},{"family":"Ramadan","given":"N."},{"family":"Stacey","given":"B."},{"family":"Tepper","given":"S."}],"issued":{"date-parts":[["2001",2]]}}}],"schema":"https://github.com/citation-style-language/schema/raw/master/csl-citation.json"} </w:instrText>
      </w:r>
      <w:r>
        <w:fldChar w:fldCharType="separate"/>
      </w:r>
      <w:r w:rsidRPr="00212E69">
        <w:rPr>
          <w:rFonts w:ascii="Calibri" w:hAnsi="Calibri" w:cs="Calibri"/>
        </w:rPr>
        <w:t>(64)</w:t>
      </w:r>
      <w:r>
        <w:fldChar w:fldCharType="end"/>
      </w:r>
      <w:r>
        <w:t xml:space="preserve"> study.</w:t>
      </w:r>
    </w:p>
    <w:p w14:paraId="4C565C0E" w14:textId="77777777" w:rsidR="00B41992" w:rsidRDefault="00B41992" w:rsidP="00B41992">
      <w:r w:rsidRPr="00F27DD9">
        <w:rPr>
          <w:b/>
          <w:bCs/>
          <w:u w:val="single"/>
        </w:rPr>
        <w:t>Migraine Day Reduction</w:t>
      </w:r>
      <w:r>
        <w:t xml:space="preserve"> - Could not do meta-analysis </w:t>
      </w:r>
    </w:p>
    <w:p w14:paraId="281665AC" w14:textId="77777777" w:rsidR="00B41992" w:rsidRPr="00A01AE8" w:rsidRDefault="00B41992" w:rsidP="00B41992">
      <w:pPr>
        <w:rPr>
          <w:u w:val="single"/>
        </w:rPr>
      </w:pPr>
      <w:r>
        <w:t xml:space="preserve">Silberstein et al, 2013 (low ROB) found a 0.3 MDR for gabapentin with a 95% CI of -0.6 to 1.1. This was a large study, well powered. </w:t>
      </w:r>
      <w:r w:rsidRPr="00A01AE8">
        <w:rPr>
          <w:b/>
          <w:bCs/>
          <w:u w:val="single"/>
        </w:rPr>
        <w:t>Likely no effect of gabapentin on migraine day reduction, given this was a negative study.</w:t>
      </w:r>
    </w:p>
    <w:p w14:paraId="7E473020" w14:textId="77777777" w:rsidR="00B41992" w:rsidRDefault="00B41992" w:rsidP="00B41992">
      <w:r>
        <w:t>The older studies were smaller and not as well powered.</w:t>
      </w:r>
    </w:p>
    <w:p w14:paraId="0C0E481E" w14:textId="77777777" w:rsidR="00B41992" w:rsidRDefault="00B41992" w:rsidP="00B41992">
      <w:r>
        <w:t xml:space="preserve">Mathew et al, 2001 </w:t>
      </w:r>
      <w:r>
        <w:fldChar w:fldCharType="begin"/>
      </w:r>
      <w:r>
        <w:instrText xml:space="preserve"> ADDIN ZOTERO_ITEM CSL_CITATION {"citationID":"FMiKJlpJ","properties":{"formattedCitation":"(64)","plainCitation":"(64)","noteIndex":0},"citationItems":[{"id":5884,"uris":["http://zotero.org/users/5131939/items/FD3WDE2V"],"itemData":{"id":5884,"type":"article-journal","abstract":"OBJECTIVE: To compare gabapentin with placebo for use as a prophylactic agent in patients with migraine (with or without aura). STUDY DESIGN AND TREATMENT: After  screening, a 4-week, single-blind, placebo baseline period was followed by a  12-week, double-blind, treatment period. The 12-week treatment period consisted  of a 4-week titration phase and an 8-week stable-dosing phase. During the 4-week  titration phase, patients were started on one 300-mg capsule of gabapentin or  matching placebo. Patients were titrated weekly from 900 mg/day (end of week 1)  to 2400 mg/day (end of week 4) and had to be receiving a stable dose of study  medication by the end of the titration period. Study medication was to be given  on a three-times-a-day dosing regimen. METHODS: The study hypothesis was defined  a priori as a lower 4-week migraine rate during the second stabilization period  for the gabapentin-treated patients as compared with the placebo-treated  patients. The analyses were performed with the 4-week migraine rate at baseline  as a covariate and center as a blocking factor. RESULTS: At seven participating  centers, 143 patients with migraine were randomized in a 2:1 ratio and received  either gabapentin (n = 98) or matching placebo (n = 45). Thirty-three patients  (24.1%) discontinued prematurely from the study, including 24 (24.5%) of 98  gabapentin-treated patients and 9 (20.0%) of 45 placebo-treated patients; the  majority of patients discontinued due to adverse events (16 [16.3%] of 98  gabapentin-treated patients; 4 [8.9%] of 45 placebo-treated patients). Patients  included in the analysis were evenly balanced for age, sex, race, weight, and  height. The majority of these patients were white (80 [92.0%] of 87) and women  (72 [82.8%] of 87), with a mean age of approximately 39.4 years and a history of  migraine episodes for a mean of about 21 years. At the end of the 12-week  treatment phase, the median 4-week migraine rate was 2.7 for the  gabapentin-treated patients maintained on a stable dose of 2400 mg/day and 3.5  for the placebo-treated patients (P =.006), compared with 4.2 and 4.1,  respectively, during the baseline period. Additionally, 26 (46.4%) of 56 patients  receiving a stable dose of 2400 mg/day gabapentin and 5 (16.1%) of 31 patients  receiving placebo showed at least a 50% reduction in the 4-week migraine rate (P  =.008). The average number of days per 4 weeks with migraine was also  statistically significant and favored gabapentin (P =.006) during stabilization  period 2. The median change in 4-week headache rate was statistically significant  as well (P =.013). The most frequently reported adverse events for both treatment  groups were asthenia, dizziness, somnolence, and infection. Adverse events  determined by the investigator to be associated with study drug resulted in  patient withdrawal in 13 (13.3%) of 98 gabapentin-treated patients and 3 (6.7%)  of 45 placebo-treated patients. Somnolence and dizziness accounted for many of  the premature withdrawals among those taking gabapentin. CONCLUSION: Gabapentin  is an effective prophylactic agent for patients with migraine. In addition,  gabapentin appears generally well tolerated with mild to moderate somnolence and  dizziness.","container-title":"Headache","DOI":"10.1046/j.1526-4610.2001.111006119.x","ISSN":"0017-8748","issue":"2","journalAbbreviation":"Headache","language":"eng","note":"publisher-place: United States\nPMID: 11251695","page":"119-128","title":"Efficacy of gabapentin in migraine prophylaxis.","volume":"41","author":[{"family":"Mathew","given":"N. T."},{"family":"Rapoport","given":"A."},{"family":"Saper","given":"J."},{"family":"Magnus","given":"L."},{"family":"Klapper","given":"J."},{"family":"Ramadan","given":"N."},{"family":"Stacey","given":"B."},{"family":"Tepper","given":"S."}],"issued":{"date-parts":[["2001",2]]}}}],"schema":"https://github.com/citation-style-language/schema/raw/master/csl-citation.json"} </w:instrText>
      </w:r>
      <w:r>
        <w:fldChar w:fldCharType="separate"/>
      </w:r>
      <w:r w:rsidRPr="00212E69">
        <w:rPr>
          <w:rFonts w:ascii="Calibri" w:hAnsi="Calibri" w:cs="Calibri"/>
        </w:rPr>
        <w:t>(64)</w:t>
      </w:r>
      <w:r>
        <w:fldChar w:fldCharType="end"/>
      </w:r>
      <w:r>
        <w:t xml:space="preserve"> (high ROB) found a 1.2 MDR for gabapentin</w:t>
      </w:r>
    </w:p>
    <w:p w14:paraId="1AF1708E" w14:textId="77777777" w:rsidR="00B41992" w:rsidRDefault="00B41992" w:rsidP="00B41992">
      <w:r>
        <w:t xml:space="preserve">Di Trapani, 2000 </w:t>
      </w:r>
      <w:r>
        <w:fldChar w:fldCharType="begin"/>
      </w:r>
      <w:r>
        <w:instrText xml:space="preserve"> ADDIN ZOTERO_ITEM CSL_CITATION {"citationID":"76aC1lqK","properties":{"formattedCitation":"(65)","plainCitation":"(65)","noteIndex":0},"citationItems":[{"id":5885,"uris":["http://zotero.org/users/5131939/items/UJ4QPKHD"],"itemData":{"id":5885,"type":"article-journal","abstract":"ObjectiveGabapentin is an antiepileptic drug of new generation that increases brain GABA levels. We report the results of a three-month randomised double-blind placebo-controlled study on the effects of gabapentin in the prophylaxis of patients with migraine meeting the IHS criteria.Patients and methodsWe treated 63 patients suffering from migraine with or without aura. Patients treated their attack at home using symptomatic drugs and clinical assessment was recorded on a diary. After a washout of 8 week from any other prophylactic treatment, all patients were treated with 1200 mg/day of gabapentin; this is our therapeutic plan: 400 mg/day from 1st to 3rd day, 800 mg/day from 4th to 6th day and 1200 mg/day from 7th day.ResultsNo patients withdrew, gabapentin was well tolerated; adverse events (somnolence, dizziness, tremor, fatigue and ataxia) generally were transient and mild to moderate in severity and in 13 patients (27%) only occurred. At the end of treatment, in such case, we reported a significative reduction of frequency and intensity of migraine in 30 patients treated with gabapentin.DiscussionOur observations indicate that gabapentin is well tolerated by patients and that reduces headache frequency and use of symptomatic drugs in both groups. Gabapentin shows to have an effective therapeutic action in the prophylactic treatment of migraine.","container-title":"La Clinica terapeutica","ISSN":"1972-6007","issue":"3","journalAbbreviation":"Clin Ter","language":"eng","note":"PMID: 10958046","page":"145-148","source":"Europe PMC","title":"Gabapentin in the prophylaxis of migraine: a double-blind randomized placebo-controlled study","title-short":"Gabapentin in the prophylaxis of migraine","volume":"151","author":[{"family":"Di Trapani","given":"G"},{"family":"Mei","given":"D"},{"family":"Marra","given":"C"},{"family":"Mazza","given":"S"},{"family":"Capuano","given":"A"}],"issued":{"date-parts":[["2000",5,1]]}}}],"schema":"https://github.com/citation-style-language/schema/raw/master/csl-citation.json"} </w:instrText>
      </w:r>
      <w:r>
        <w:fldChar w:fldCharType="separate"/>
      </w:r>
      <w:r w:rsidRPr="00212E69">
        <w:rPr>
          <w:rFonts w:ascii="Calibri" w:hAnsi="Calibri" w:cs="Calibri"/>
        </w:rPr>
        <w:t>(65)</w:t>
      </w:r>
      <w:r>
        <w:fldChar w:fldCharType="end"/>
      </w:r>
      <w:r>
        <w:t xml:space="preserve"> (some concerns for ROB) found a 1.24 MDR for gabapentin</w:t>
      </w:r>
    </w:p>
    <w:bookmarkEnd w:id="12"/>
    <w:p w14:paraId="3B77C044" w14:textId="77777777" w:rsidR="00B41992" w:rsidRPr="00F27DD9" w:rsidRDefault="00B41992" w:rsidP="00B41992">
      <w:pPr>
        <w:rPr>
          <w:b/>
          <w:bCs/>
          <w:noProof/>
          <w:u w:val="single"/>
        </w:rPr>
      </w:pPr>
      <w:r w:rsidRPr="00F27DD9">
        <w:rPr>
          <w:b/>
          <w:bCs/>
          <w:u w:val="single"/>
        </w:rPr>
        <w:t>50% Responder Rat</w:t>
      </w:r>
      <w:r w:rsidRPr="00F27DD9">
        <w:rPr>
          <w:b/>
          <w:bCs/>
          <w:noProof/>
          <w:u w:val="single"/>
        </w:rPr>
        <w:t>e</w:t>
      </w:r>
    </w:p>
    <w:p w14:paraId="7C17D1E2" w14:textId="77777777" w:rsidR="00B41992" w:rsidRPr="003C3068" w:rsidRDefault="00B41992" w:rsidP="00B41992">
      <w:r>
        <w:rPr>
          <w:noProof/>
        </w:rPr>
        <w:drawing>
          <wp:inline distT="0" distB="0" distL="0" distR="0" wp14:anchorId="71131655" wp14:editId="044C9EEA">
            <wp:extent cx="5943600" cy="1656715"/>
            <wp:effectExtent l="0" t="0" r="0" b="0"/>
            <wp:docPr id="1282414209" name="Graphic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14209" name="Graphic 1282414209"/>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943600" cy="1656715"/>
                    </a:xfrm>
                    <a:prstGeom prst="rect">
                      <a:avLst/>
                    </a:prstGeom>
                  </pic:spPr>
                </pic:pic>
              </a:graphicData>
            </a:graphic>
          </wp:inline>
        </w:drawing>
      </w:r>
    </w:p>
    <w:p w14:paraId="38DBBB7F" w14:textId="77777777" w:rsidR="00B41992" w:rsidRDefault="00B41992" w:rsidP="00B41992">
      <w:pPr>
        <w:rPr>
          <w:b/>
          <w:bCs/>
          <w:sz w:val="28"/>
          <w:szCs w:val="28"/>
          <w:u w:val="single"/>
        </w:rPr>
      </w:pPr>
    </w:p>
    <w:p w14:paraId="60B4BC4B" w14:textId="77777777" w:rsidR="00B41992" w:rsidRDefault="00B41992" w:rsidP="00B41992">
      <w:pPr>
        <w:rPr>
          <w:b/>
          <w:bCs/>
          <w:sz w:val="28"/>
          <w:szCs w:val="28"/>
          <w:u w:val="single"/>
        </w:rPr>
      </w:pPr>
    </w:p>
    <w:p w14:paraId="10A87C30" w14:textId="77777777"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Gabapentin in Episodic Migraine</w:t>
      </w:r>
    </w:p>
    <w:p w14:paraId="2AB10957"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Gabapentin compared to placebo for episodic migraine prevention</w:t>
      </w:r>
    </w:p>
    <w:p w14:paraId="64C02884"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49"/>
        <w:gridCol w:w="862"/>
        <w:gridCol w:w="779"/>
        <w:gridCol w:w="749"/>
        <w:gridCol w:w="921"/>
        <w:gridCol w:w="719"/>
        <w:gridCol w:w="569"/>
        <w:gridCol w:w="644"/>
        <w:gridCol w:w="607"/>
        <w:gridCol w:w="945"/>
        <w:gridCol w:w="828"/>
      </w:tblGrid>
      <w:tr w:rsidR="00B41992" w14:paraId="79C25B88"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ADF4EF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3E4E24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EC9660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F5C092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8D7617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2A20E576"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03E59D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30909B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CC7447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39A7AE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869922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519091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C7F455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99345F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gabapentin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1EED86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2F208C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A473D5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A0A03C8"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D3FF82E" w14:textId="77777777" w:rsidR="00B41992" w:rsidRDefault="00B41992" w:rsidP="0062262B">
            <w:pPr>
              <w:rPr>
                <w:rFonts w:ascii="Arial Narrow" w:eastAsia="Times New Roman" w:hAnsi="Arial Narrow"/>
                <w:b/>
                <w:bCs/>
                <w:color w:val="FFFFFF"/>
                <w:sz w:val="13"/>
                <w:szCs w:val="13"/>
              </w:rPr>
            </w:pPr>
          </w:p>
        </w:tc>
      </w:tr>
      <w:tr w:rsidR="00B41992" w14:paraId="34F26AD3"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4B0FB729"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 Scale from: -10 to 10)</w:t>
            </w:r>
          </w:p>
        </w:tc>
      </w:tr>
      <w:tr w:rsidR="00B41992" w14:paraId="318DAC66"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52F8ECB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3</w:t>
            </w:r>
          </w:p>
        </w:tc>
        <w:tc>
          <w:tcPr>
            <w:tcW w:w="300" w:type="pct"/>
            <w:tcBorders>
              <w:top w:val="single" w:sz="6" w:space="0" w:color="000000"/>
              <w:left w:val="single" w:sz="6" w:space="0" w:color="000000"/>
              <w:bottom w:val="single" w:sz="6" w:space="0" w:color="000000"/>
              <w:right w:val="single" w:sz="6" w:space="0" w:color="000000"/>
            </w:tcBorders>
            <w:hideMark/>
          </w:tcPr>
          <w:p w14:paraId="329D9D3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63A623E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7BCEAC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2586B5A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BF44CF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b</w:t>
            </w:r>
            <w:r>
              <w:rPr>
                <w:rStyle w:val="comma"/>
                <w:rFonts w:ascii="Arial Narrow" w:eastAsia="Times New Roman" w:hAnsi="Arial Narrow"/>
                <w:sz w:val="13"/>
                <w:szCs w:val="13"/>
                <w:vertAlign w:val="superscript"/>
              </w:rPr>
              <w:t>,</w:t>
            </w:r>
            <w:r>
              <w:rPr>
                <w:rFonts w:ascii="Arial Narrow" w:eastAsia="Times New Roman" w:hAnsi="Arial Narrow"/>
                <w:sz w:val="13"/>
                <w:szCs w:val="13"/>
                <w:vertAlign w:val="superscript"/>
              </w:rPr>
              <w:t>c</w:t>
            </w:r>
          </w:p>
        </w:tc>
        <w:tc>
          <w:tcPr>
            <w:tcW w:w="550" w:type="pct"/>
            <w:tcBorders>
              <w:top w:val="single" w:sz="6" w:space="0" w:color="000000"/>
              <w:left w:val="single" w:sz="6" w:space="0" w:color="000000"/>
              <w:bottom w:val="single" w:sz="6" w:space="0" w:color="000000"/>
              <w:right w:val="single" w:sz="6" w:space="0" w:color="000000"/>
            </w:tcBorders>
            <w:hideMark/>
          </w:tcPr>
          <w:p w14:paraId="2638A20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5ABBBC8" w14:textId="77777777" w:rsidR="00B41992" w:rsidRDefault="00B41992" w:rsidP="0062262B">
            <w:pPr>
              <w:jc w:val="center"/>
              <w:rPr>
                <w:rFonts w:ascii="Arial Narrow" w:eastAsia="Times New Roman" w:hAnsi="Arial Narrow"/>
                <w:sz w:val="13"/>
                <w:szCs w:val="13"/>
              </w:rPr>
            </w:pPr>
          </w:p>
        </w:tc>
        <w:tc>
          <w:tcPr>
            <w:tcW w:w="400" w:type="pct"/>
            <w:tcBorders>
              <w:top w:val="single" w:sz="6" w:space="0" w:color="000000"/>
              <w:left w:val="single" w:sz="6" w:space="0" w:color="000000"/>
              <w:bottom w:val="single" w:sz="6" w:space="0" w:color="000000"/>
              <w:right w:val="single" w:sz="6" w:space="0" w:color="000000"/>
            </w:tcBorders>
            <w:hideMark/>
          </w:tcPr>
          <w:p w14:paraId="084FC313" w14:textId="77777777" w:rsidR="00B41992" w:rsidRDefault="00B41992" w:rsidP="0062262B">
            <w:pPr>
              <w:jc w:val="center"/>
              <w:rPr>
                <w:rFonts w:eastAsia="Times New Roman"/>
                <w:sz w:val="20"/>
                <w:szCs w:val="20"/>
              </w:rPr>
            </w:pPr>
          </w:p>
        </w:tc>
        <w:tc>
          <w:tcPr>
            <w:tcW w:w="400" w:type="pct"/>
            <w:tcBorders>
              <w:top w:val="single" w:sz="6" w:space="0" w:color="000000"/>
              <w:left w:val="single" w:sz="6" w:space="0" w:color="000000"/>
              <w:bottom w:val="single" w:sz="6" w:space="0" w:color="000000"/>
              <w:right w:val="single" w:sz="6" w:space="0" w:color="000000"/>
            </w:tcBorders>
            <w:hideMark/>
          </w:tcPr>
          <w:p w14:paraId="76FB5417"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22D5EC4B"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b/>
                <w:bCs/>
                <w:sz w:val="13"/>
                <w:szCs w:val="13"/>
              </w:rPr>
              <w:t xml:space="preserve">0 </w:t>
            </w:r>
            <w:r>
              <w:rPr>
                <w:rFonts w:ascii="Arial Narrow" w:eastAsia="Times New Roman" w:hAnsi="Arial Narrow"/>
                <w:sz w:val="13"/>
                <w:szCs w:val="13"/>
              </w:rPr>
              <w:br/>
            </w:r>
            <w:r>
              <w:rPr>
                <w:rStyle w:val="cell-value"/>
                <w:rFonts w:ascii="Arial Narrow" w:eastAsia="Times New Roman" w:hAnsi="Arial Narrow"/>
                <w:sz w:val="13"/>
                <w:szCs w:val="13"/>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03D6CF7E"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62E2CADF" w14:textId="77777777" w:rsidR="00B41992" w:rsidRDefault="00B41992" w:rsidP="0062262B">
            <w:pPr>
              <w:jc w:val="center"/>
              <w:rPr>
                <w:rFonts w:ascii="Arial Narrow" w:eastAsia="Times New Roman" w:hAnsi="Arial Narrow"/>
                <w:sz w:val="13"/>
                <w:szCs w:val="13"/>
              </w:rPr>
            </w:pPr>
          </w:p>
        </w:tc>
      </w:tr>
      <w:tr w:rsidR="00B41992" w14:paraId="713C1BF2"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231B814D"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342F71D4"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A08FCD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35D97E2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73C89BA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207D2B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312CC01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CD19F4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b</w:t>
            </w:r>
          </w:p>
        </w:tc>
        <w:tc>
          <w:tcPr>
            <w:tcW w:w="550" w:type="pct"/>
            <w:tcBorders>
              <w:top w:val="single" w:sz="6" w:space="0" w:color="000000"/>
              <w:left w:val="single" w:sz="6" w:space="0" w:color="000000"/>
              <w:bottom w:val="single" w:sz="6" w:space="0" w:color="000000"/>
              <w:right w:val="single" w:sz="6" w:space="0" w:color="000000"/>
            </w:tcBorders>
            <w:hideMark/>
          </w:tcPr>
          <w:p w14:paraId="30D727E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9219D1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161/293 (54.9%) </w:t>
            </w:r>
          </w:p>
        </w:tc>
        <w:tc>
          <w:tcPr>
            <w:tcW w:w="400" w:type="pct"/>
            <w:tcBorders>
              <w:top w:val="single" w:sz="6" w:space="0" w:color="000000"/>
              <w:left w:val="single" w:sz="6" w:space="0" w:color="000000"/>
              <w:bottom w:val="single" w:sz="6" w:space="0" w:color="000000"/>
              <w:right w:val="single" w:sz="6" w:space="0" w:color="000000"/>
            </w:tcBorders>
            <w:hideMark/>
          </w:tcPr>
          <w:p w14:paraId="299501C2"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70/151 (46.4%) </w:t>
            </w:r>
          </w:p>
        </w:tc>
        <w:tc>
          <w:tcPr>
            <w:tcW w:w="400" w:type="pct"/>
            <w:tcBorders>
              <w:top w:val="single" w:sz="6" w:space="0" w:color="000000"/>
              <w:left w:val="single" w:sz="6" w:space="0" w:color="000000"/>
              <w:bottom w:val="single" w:sz="6" w:space="0" w:color="000000"/>
              <w:right w:val="single" w:sz="6" w:space="0" w:color="000000"/>
            </w:tcBorders>
            <w:hideMark/>
          </w:tcPr>
          <w:p w14:paraId="547126FF"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1.41</w:t>
            </w:r>
            <w:r>
              <w:rPr>
                <w:rFonts w:ascii="Arial Narrow" w:eastAsia="Times New Roman" w:hAnsi="Arial Narrow"/>
                <w:sz w:val="13"/>
                <w:szCs w:val="13"/>
              </w:rPr>
              <w:br/>
            </w:r>
            <w:r>
              <w:rPr>
                <w:rStyle w:val="cell"/>
                <w:rFonts w:ascii="Arial Narrow" w:eastAsia="Times New Roman" w:hAnsi="Arial Narrow"/>
                <w:sz w:val="13"/>
                <w:szCs w:val="13"/>
              </w:rPr>
              <w:t>(0.94 to 2.10)</w:t>
            </w:r>
          </w:p>
        </w:tc>
        <w:tc>
          <w:tcPr>
            <w:tcW w:w="0" w:type="auto"/>
            <w:tcBorders>
              <w:top w:val="single" w:sz="6" w:space="0" w:color="000000"/>
              <w:left w:val="single" w:sz="6" w:space="0" w:color="000000"/>
              <w:bottom w:val="single" w:sz="6" w:space="0" w:color="000000"/>
              <w:right w:val="single" w:sz="6" w:space="0" w:color="000000"/>
            </w:tcBorders>
            <w:hideMark/>
          </w:tcPr>
          <w:p w14:paraId="13F1F55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9 more per 100</w:t>
            </w:r>
            <w:r>
              <w:rPr>
                <w:rFonts w:ascii="Arial Narrow" w:eastAsia="Times New Roman" w:hAnsi="Arial Narrow"/>
                <w:sz w:val="13"/>
                <w:szCs w:val="13"/>
              </w:rPr>
              <w:br/>
              <w:t>(from 2 fewer to 18 more)</w:t>
            </w:r>
          </w:p>
        </w:tc>
        <w:tc>
          <w:tcPr>
            <w:tcW w:w="750" w:type="dxa"/>
            <w:tcBorders>
              <w:top w:val="single" w:sz="6" w:space="0" w:color="000000"/>
              <w:left w:val="single" w:sz="6" w:space="0" w:color="000000"/>
              <w:bottom w:val="single" w:sz="6" w:space="0" w:color="000000"/>
              <w:right w:val="single" w:sz="6" w:space="0" w:color="000000"/>
            </w:tcBorders>
            <w:hideMark/>
          </w:tcPr>
          <w:p w14:paraId="445D788C"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50E67550" w14:textId="77777777" w:rsidR="00B41992" w:rsidRDefault="00B41992" w:rsidP="0062262B">
            <w:pPr>
              <w:jc w:val="center"/>
              <w:rPr>
                <w:rFonts w:ascii="Arial Narrow" w:eastAsia="Times New Roman" w:hAnsi="Arial Narrow"/>
                <w:sz w:val="13"/>
                <w:szCs w:val="13"/>
              </w:rPr>
            </w:pPr>
          </w:p>
        </w:tc>
      </w:tr>
      <w:tr w:rsidR="00B41992" w14:paraId="666A3A6A"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1B2E9DD8"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12 weeks)</w:t>
            </w:r>
          </w:p>
        </w:tc>
      </w:tr>
      <w:tr w:rsidR="00B41992" w14:paraId="239F3BA9"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144FD14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3</w:t>
            </w:r>
          </w:p>
        </w:tc>
        <w:tc>
          <w:tcPr>
            <w:tcW w:w="300" w:type="pct"/>
            <w:tcBorders>
              <w:top w:val="single" w:sz="6" w:space="0" w:color="000000"/>
              <w:left w:val="single" w:sz="6" w:space="0" w:color="000000"/>
              <w:bottom w:val="single" w:sz="6" w:space="0" w:color="000000"/>
              <w:right w:val="single" w:sz="6" w:space="0" w:color="000000"/>
            </w:tcBorders>
            <w:hideMark/>
          </w:tcPr>
          <w:p w14:paraId="551C18F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1F6677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4ED033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3A263C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7D98AC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FACC4F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20CE9B6" w14:textId="77777777" w:rsidR="00B41992" w:rsidRDefault="00B41992" w:rsidP="0062262B">
            <w:pPr>
              <w:jc w:val="center"/>
              <w:rPr>
                <w:rFonts w:ascii="Arial Narrow" w:eastAsia="Times New Roman" w:hAnsi="Arial Narrow"/>
                <w:sz w:val="13"/>
                <w:szCs w:val="13"/>
              </w:rPr>
            </w:pPr>
          </w:p>
        </w:tc>
        <w:tc>
          <w:tcPr>
            <w:tcW w:w="400" w:type="pct"/>
            <w:tcBorders>
              <w:top w:val="single" w:sz="6" w:space="0" w:color="000000"/>
              <w:left w:val="single" w:sz="6" w:space="0" w:color="000000"/>
              <w:bottom w:val="single" w:sz="6" w:space="0" w:color="000000"/>
              <w:right w:val="single" w:sz="6" w:space="0" w:color="000000"/>
            </w:tcBorders>
            <w:hideMark/>
          </w:tcPr>
          <w:p w14:paraId="446EA483" w14:textId="77777777" w:rsidR="00B41992" w:rsidRDefault="00B41992" w:rsidP="0062262B">
            <w:pPr>
              <w:jc w:val="center"/>
              <w:rPr>
                <w:rFonts w:eastAsia="Times New Roman"/>
                <w:sz w:val="20"/>
                <w:szCs w:val="20"/>
              </w:rPr>
            </w:pPr>
          </w:p>
        </w:tc>
        <w:tc>
          <w:tcPr>
            <w:tcW w:w="400" w:type="pct"/>
            <w:tcBorders>
              <w:top w:val="single" w:sz="6" w:space="0" w:color="000000"/>
              <w:left w:val="single" w:sz="6" w:space="0" w:color="000000"/>
              <w:bottom w:val="single" w:sz="6" w:space="0" w:color="000000"/>
              <w:right w:val="single" w:sz="6" w:space="0" w:color="000000"/>
            </w:tcBorders>
            <w:hideMark/>
          </w:tcPr>
          <w:p w14:paraId="63AA14AD"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0EE80E96" w14:textId="77777777" w:rsidR="00B41992" w:rsidRDefault="00B41992" w:rsidP="0062262B">
            <w:pPr>
              <w:jc w:val="center"/>
              <w:rPr>
                <w:rFonts w:ascii="Arial Narrow" w:eastAsia="Times New Roman" w:hAnsi="Arial Narrow"/>
                <w:sz w:val="13"/>
                <w:szCs w:val="13"/>
              </w:rPr>
            </w:pPr>
          </w:p>
        </w:tc>
        <w:tc>
          <w:tcPr>
            <w:tcW w:w="750" w:type="dxa"/>
            <w:tcBorders>
              <w:top w:val="single" w:sz="6" w:space="0" w:color="000000"/>
              <w:left w:val="single" w:sz="6" w:space="0" w:color="000000"/>
              <w:bottom w:val="single" w:sz="6" w:space="0" w:color="000000"/>
              <w:right w:val="single" w:sz="6" w:space="0" w:color="000000"/>
            </w:tcBorders>
            <w:hideMark/>
          </w:tcPr>
          <w:p w14:paraId="77844CE2"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p>
        </w:tc>
        <w:tc>
          <w:tcPr>
            <w:tcW w:w="500" w:type="pct"/>
            <w:tcBorders>
              <w:top w:val="single" w:sz="6" w:space="0" w:color="000000"/>
              <w:left w:val="single" w:sz="6" w:space="0" w:color="000000"/>
              <w:bottom w:val="single" w:sz="6" w:space="0" w:color="000000"/>
              <w:right w:val="single" w:sz="6" w:space="0" w:color="000000"/>
            </w:tcBorders>
            <w:hideMark/>
          </w:tcPr>
          <w:p w14:paraId="29866361" w14:textId="77777777" w:rsidR="00B41992" w:rsidRDefault="00B41992" w:rsidP="0062262B">
            <w:pPr>
              <w:jc w:val="center"/>
              <w:rPr>
                <w:rFonts w:ascii="Arial Narrow" w:eastAsia="Times New Roman" w:hAnsi="Arial Narrow"/>
                <w:sz w:val="13"/>
                <w:szCs w:val="13"/>
              </w:rPr>
            </w:pPr>
          </w:p>
        </w:tc>
      </w:tr>
    </w:tbl>
    <w:p w14:paraId="2EC07772"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28B31AF8"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7A1E6BAA"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a. 2 of 3 studies were raising some concerns or high for ROB</w:t>
      </w:r>
    </w:p>
    <w:p w14:paraId="7C155536"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 xml:space="preserve">b. 2 found effect of gabapentin but largest trial found no effect </w:t>
      </w:r>
    </w:p>
    <w:p w14:paraId="5972ED94"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c. older studies had high imprecision with large CIs</w:t>
      </w:r>
    </w:p>
    <w:p w14:paraId="29113570"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d. one study found an effect of gabapentin and the other study found no effect</w:t>
      </w:r>
    </w:p>
    <w:p w14:paraId="143BC808" w14:textId="77777777" w:rsidR="00B41992" w:rsidRDefault="00B41992" w:rsidP="00B41992"/>
    <w:p w14:paraId="5475932D" w14:textId="77777777" w:rsidR="00B41992" w:rsidRPr="00F2330B" w:rsidRDefault="00B41992" w:rsidP="00B41992">
      <w:pPr>
        <w:rPr>
          <w:sz w:val="32"/>
          <w:szCs w:val="32"/>
        </w:rPr>
      </w:pPr>
      <w:r w:rsidRPr="00F2330B">
        <w:rPr>
          <w:b/>
          <w:bCs/>
          <w:sz w:val="32"/>
          <w:szCs w:val="32"/>
        </w:rPr>
        <w:lastRenderedPageBreak/>
        <w:t>3.12.1 Levetiracetam in Episodic Migraine</w:t>
      </w:r>
    </w:p>
    <w:p w14:paraId="3D9C0EFF" w14:textId="77777777" w:rsidR="00B41992" w:rsidRPr="00EE04B1" w:rsidRDefault="00B41992" w:rsidP="00B41992">
      <w:bookmarkStart w:id="13" w:name="_Hlk151734173"/>
      <w:r w:rsidRPr="00EE04B1">
        <w:t>We found two studies Verma et al, 2013</w:t>
      </w:r>
      <w:r w:rsidRPr="00EE04B1">
        <w:fldChar w:fldCharType="begin"/>
      </w:r>
      <w:r>
        <w:instrText xml:space="preserve"> ADDIN ZOTERO_ITEM CSL_CITATION {"citationID":"YHaXx2Et","properties":{"formattedCitation":"(66)","plainCitation":"(66)","noteIndex":0},"citationItems":[{"id":5857,"uris":["http://zotero.org/users/5131939/items/C4VYDT8P"],"itemData":{"id":5857,"type":"article-journal","archive_location":"24201237","container-title":"Clinical Neuropharmacology","DOI":"10.1097/WNF.0000000000000005","issue":"6","journalAbbreviation":"Clinical Neuropharmacology","page":"193-7","title":"Levetiracetam in migraine prophylaxis: a randomized placebo-controlled study in a rural medical institute in northern India","volume":"36","author":[{"family":"Verma","given":"A."},{"family":"Srivastava","given":"D."},{"family":"Kumar","given":"A."},{"family":"Singh","given":"V."}],"issued":{"date-parts":[["2013"]]}}}],"schema":"https://github.com/citation-style-language/schema/raw/master/csl-citation.json"} </w:instrText>
      </w:r>
      <w:r w:rsidRPr="00EE04B1">
        <w:fldChar w:fldCharType="separate"/>
      </w:r>
      <w:r w:rsidRPr="00212E69">
        <w:rPr>
          <w:rFonts w:ascii="Calibri" w:hAnsi="Calibri" w:cs="Calibri"/>
        </w:rPr>
        <w:t>(66)</w:t>
      </w:r>
      <w:r w:rsidRPr="00EE04B1">
        <w:fldChar w:fldCharType="end"/>
      </w:r>
      <w:r w:rsidRPr="00EE04B1">
        <w:t xml:space="preserve"> and Sadeghian et al, 2015</w:t>
      </w:r>
      <w:r w:rsidRPr="00EE04B1">
        <w:fldChar w:fldCharType="begin"/>
      </w:r>
      <w:r>
        <w:instrText xml:space="preserve"> ADDIN ZOTERO_ITEM CSL_CITATION {"citationID":"0ElFsbIz","properties":{"formattedCitation":"(67)","plainCitation":"(67)","noteIndex":0},"citationItems":[{"id":5886,"uris":["http://zotero.org/users/5131939/items/QR85QKIB"],"itemData":{"id":5886,"type":"article-journal","abstract":"BACKGROUND: Migraine is a chronic and disabling disorder. Treatment of migraine often comprises of symptomatic (abortive) and preventive (prophylactic) treatment. The current drugs used in migraine prophylaxis include antidepressant drugs (Serotonin Reuptake Inhibitors, Tricyclic antidepressants), and anti-epileptic drugs (valproate, gabapentin, etc).\nOBJECTIVE: The objective of our study was to assess the efficacy and tolerability of levetiracetam in adult migraine prophylaxis, compared to valproate and placebo.\nMATERIALS AND METHODS: We conducted a prospective, randomized, placebo-controlled study. A total of 85 patients were randomized to receive levetiracetam 500 mg/d (n = 27), valproate 500 mg/d (n = 32) or placebo (n = 26). The patients were evaluated for treatment efficacy after 6 months. Efficacy was assessed as a more than 50% decrease in headache frequency.\nRESULTS: In levetiracetam group, 17 (63.0%) patients experienced a more than 50% decrease in headache frequency, while this efficacy number was 21 (65.6%) for valproate group and 4 (15.4%) for placebo group. The difference was not statistically significant between levetiracetam and valproate, while it was significant when comparing either levetiracetam or valproate to placebo.\nCONCLUSION: Compared to placebo, levetiracetam offers improvement in headache frequency in patients with migraine. The efficacy of levetiracetam in migraine prophylaxis is comparable to currently used drugs such as valproate.","container-title":"Annals of Indian Academy of Neurology","DOI":"10.4103/0972-2327.144290","ISSN":"0972-2327","issue":"1","journalAbbreviation":"Ann Indian Acad Neurol","language":"eng","note":"PMID: 25745310\nPMCID: PMC4350213","page":"45-48","source":"PubMed","title":"Comparison of Levetiracetam and sodium Valproate in migraine prophylaxis: A randomized placebo-controlled study","title-short":"Comparison of Levetiracetam and sodium Valproate in migraine prophylaxis","volume":"18","author":[{"family":"Sadeghian","given":"Homa"},{"family":"Motiei-Langroudi","given":"Rouzbeh"}],"issued":{"date-parts":[["2015"]]}}}],"schema":"https://github.com/citation-style-language/schema/raw/master/csl-citation.json"} </w:instrText>
      </w:r>
      <w:r w:rsidRPr="00EE04B1">
        <w:fldChar w:fldCharType="separate"/>
      </w:r>
      <w:r w:rsidRPr="00212E69">
        <w:rPr>
          <w:rFonts w:ascii="Calibri" w:hAnsi="Calibri" w:cs="Calibri"/>
        </w:rPr>
        <w:t>(67)</w:t>
      </w:r>
      <w:r w:rsidRPr="00EE04B1">
        <w:fldChar w:fldCharType="end"/>
      </w:r>
      <w:r w:rsidRPr="00EE04B1">
        <w:t xml:space="preserve"> which had a comparison against placebo. Another study by Kashipaz</w:t>
      </w:r>
      <w:r>
        <w:t>h</w:t>
      </w:r>
      <w:r w:rsidRPr="00EE04B1">
        <w:t>a et al, 201</w:t>
      </w:r>
      <w:r>
        <w:t>7</w:t>
      </w:r>
      <w:r w:rsidRPr="00EE04B1">
        <w:t xml:space="preserve"> was </w:t>
      </w:r>
      <w:r>
        <w:t xml:space="preserve">comparison </w:t>
      </w:r>
      <w:r w:rsidRPr="00EE04B1">
        <w:t>against valproate</w:t>
      </w:r>
      <w:r>
        <w:fldChar w:fldCharType="begin"/>
      </w:r>
      <w:r>
        <w:instrText xml:space="preserve"> ADDIN ZOTERO_ITEM CSL_CITATION {"citationID":"G70C1Ywb","properties":{"formattedCitation":"(68)","plainCitation":"(68)","noteIndex":0},"citationItems":[{"id":5850,"uris":["http://zotero.org/users/5131939/items/729MK6WS"],"itemData":{"id":5850,"type":"article-journal","archive_location":"28356053","container-title":"Current Clinical Pharmacology","DOI":"10.2174/1574884712666170329094419","issue":"1","journalAbbreviation":"Current Clinical Pharmacology","page":"55-59","title":"Levetiracetam in Compare to Sodium Valproate for Prophylaxis in Chronic Migraine Headache: A Randomized Double-Blind Clinical Trial","volume":"12","author":[{"family":"Kashipazha","given":"D."},{"family":"Ghadikolaei","given":"H. S."},{"family":"Siavashi","given":"M."}],"issued":{"date-parts":[["2017"]]}}}],"schema":"https://github.com/citation-style-language/schema/raw/master/csl-citation.json"} </w:instrText>
      </w:r>
      <w:r>
        <w:fldChar w:fldCharType="separate"/>
      </w:r>
      <w:r w:rsidRPr="00212E69">
        <w:rPr>
          <w:rFonts w:ascii="Calibri" w:hAnsi="Calibri" w:cs="Calibri"/>
        </w:rPr>
        <w:t>(68)</w:t>
      </w:r>
      <w:r>
        <w:fldChar w:fldCharType="end"/>
      </w:r>
      <w:r w:rsidRPr="00EE04B1">
        <w:t>.</w:t>
      </w:r>
    </w:p>
    <w:p w14:paraId="26F82AD3" w14:textId="77777777" w:rsidR="00B41992" w:rsidRDefault="00B41992" w:rsidP="00B41992">
      <w:r w:rsidRPr="00D635FB">
        <w:rPr>
          <w:b/>
          <w:bCs/>
          <w:u w:val="single"/>
        </w:rPr>
        <w:t>Migraine Day Reduction</w:t>
      </w:r>
      <w:r w:rsidRPr="003A3CAC">
        <w:rPr>
          <w:b/>
          <w:bCs/>
        </w:rPr>
        <w:t xml:space="preserve"> </w:t>
      </w:r>
      <w:r>
        <w:t>– could not undertake a meta-analysis</w:t>
      </w:r>
    </w:p>
    <w:p w14:paraId="198FA07E" w14:textId="77777777" w:rsidR="00B41992" w:rsidRDefault="00B41992" w:rsidP="00B41992">
      <w:r>
        <w:t>Verma et al 2013 (High ROB), MDR of 2.25 versus placebo</w:t>
      </w:r>
    </w:p>
    <w:p w14:paraId="360CD253" w14:textId="77777777" w:rsidR="00B41992" w:rsidRDefault="00B41992" w:rsidP="00B41992">
      <w:r>
        <w:t>Sadeghian et al, 2015 (High ROB) MDR of 4 versus placebo</w:t>
      </w:r>
    </w:p>
    <w:p w14:paraId="24ED77BF" w14:textId="77777777" w:rsidR="00B41992" w:rsidRPr="00D635FB" w:rsidRDefault="00B41992" w:rsidP="00B41992">
      <w:r>
        <w:t>Kashipazha et al, 2017 (Some Concerns for ROB) found a MDR 6.7+/-2.7 in intervention group, but significantly less than 14.4 +/- 5.3 in control group. This study suggests that levetiracetam is less effective than valproate.</w:t>
      </w:r>
    </w:p>
    <w:bookmarkEnd w:id="13"/>
    <w:p w14:paraId="451799B3" w14:textId="77777777" w:rsidR="00B41992" w:rsidRPr="00D635FB" w:rsidRDefault="00B41992" w:rsidP="00B41992">
      <w:pPr>
        <w:rPr>
          <w:b/>
          <w:bCs/>
          <w:noProof/>
          <w:u w:val="single"/>
        </w:rPr>
      </w:pPr>
      <w:r w:rsidRPr="00D635FB">
        <w:rPr>
          <w:b/>
          <w:bCs/>
          <w:u w:val="single"/>
        </w:rPr>
        <w:t>50% Responder Rat</w:t>
      </w:r>
      <w:r w:rsidRPr="00D635FB">
        <w:rPr>
          <w:b/>
          <w:bCs/>
          <w:noProof/>
          <w:u w:val="single"/>
        </w:rPr>
        <w:t>e</w:t>
      </w:r>
    </w:p>
    <w:p w14:paraId="35705486" w14:textId="77777777" w:rsidR="00B41992" w:rsidRPr="0093008D" w:rsidRDefault="00B41992" w:rsidP="00B41992">
      <w:pPr>
        <w:rPr>
          <w:b/>
          <w:bCs/>
          <w:noProof/>
        </w:rPr>
      </w:pPr>
      <w:r>
        <w:rPr>
          <w:b/>
          <w:bCs/>
          <w:noProof/>
        </w:rPr>
        <w:drawing>
          <wp:inline distT="0" distB="0" distL="0" distR="0" wp14:anchorId="0A791701" wp14:editId="62744A57">
            <wp:extent cx="5943600" cy="1595755"/>
            <wp:effectExtent l="0" t="0" r="0" b="0"/>
            <wp:docPr id="1501377154" name="Graphic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154" name="Graphic 1501377154"/>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943600" cy="1595755"/>
                    </a:xfrm>
                    <a:prstGeom prst="rect">
                      <a:avLst/>
                    </a:prstGeom>
                  </pic:spPr>
                </pic:pic>
              </a:graphicData>
            </a:graphic>
          </wp:inline>
        </w:drawing>
      </w:r>
    </w:p>
    <w:p w14:paraId="3167731F" w14:textId="77777777"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Levetiracetam in Episodic Migraine</w:t>
      </w:r>
    </w:p>
    <w:p w14:paraId="68B828F4"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Levetiracetam compared to placebo for migraine prevention</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37"/>
        <w:gridCol w:w="862"/>
        <w:gridCol w:w="779"/>
        <w:gridCol w:w="749"/>
        <w:gridCol w:w="910"/>
        <w:gridCol w:w="832"/>
        <w:gridCol w:w="632"/>
        <w:gridCol w:w="632"/>
        <w:gridCol w:w="607"/>
        <w:gridCol w:w="899"/>
        <w:gridCol w:w="733"/>
      </w:tblGrid>
      <w:tr w:rsidR="00B41992" w14:paraId="3BC104C7"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C07F76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8ABE1D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5030B3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0D2BD6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FB8487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0E27B3CC"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6E1105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33C055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0A49AB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5D0315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F021F7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F7ED76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01B425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0CD0A5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levetiracetam</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512029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EFB59E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BB453B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FFDB102"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27C85D9" w14:textId="77777777" w:rsidR="00B41992" w:rsidRDefault="00B41992" w:rsidP="0062262B">
            <w:pPr>
              <w:rPr>
                <w:rFonts w:ascii="Arial Narrow" w:eastAsia="Times New Roman" w:hAnsi="Arial Narrow"/>
                <w:b/>
                <w:bCs/>
                <w:color w:val="FFFFFF"/>
                <w:sz w:val="13"/>
                <w:szCs w:val="13"/>
              </w:rPr>
            </w:pPr>
          </w:p>
        </w:tc>
      </w:tr>
      <w:tr w:rsidR="00B41992" w14:paraId="5E2436E8"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2429440C"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w:t>
            </w:r>
          </w:p>
        </w:tc>
      </w:tr>
      <w:tr w:rsidR="00B41992" w14:paraId="468257BB"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E5B451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7E77336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DFC471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1240389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4C8B12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241285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8B67A0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B73931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52</w:t>
            </w:r>
          </w:p>
        </w:tc>
        <w:tc>
          <w:tcPr>
            <w:tcW w:w="400" w:type="pct"/>
            <w:tcBorders>
              <w:top w:val="single" w:sz="6" w:space="0" w:color="000000"/>
              <w:left w:val="single" w:sz="6" w:space="0" w:color="000000"/>
              <w:bottom w:val="single" w:sz="6" w:space="0" w:color="000000"/>
              <w:right w:val="single" w:sz="6" w:space="0" w:color="000000"/>
            </w:tcBorders>
            <w:hideMark/>
          </w:tcPr>
          <w:p w14:paraId="6BDEB6A4"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53</w:t>
            </w:r>
          </w:p>
        </w:tc>
        <w:tc>
          <w:tcPr>
            <w:tcW w:w="400" w:type="pct"/>
            <w:tcBorders>
              <w:top w:val="single" w:sz="6" w:space="0" w:color="000000"/>
              <w:left w:val="single" w:sz="6" w:space="0" w:color="000000"/>
              <w:bottom w:val="single" w:sz="6" w:space="0" w:color="000000"/>
              <w:right w:val="single" w:sz="6" w:space="0" w:color="000000"/>
            </w:tcBorders>
            <w:hideMark/>
          </w:tcPr>
          <w:p w14:paraId="5A1190E3"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6EF03019"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b/>
                <w:bCs/>
                <w:sz w:val="13"/>
                <w:szCs w:val="13"/>
              </w:rPr>
              <w:t xml:space="preserve">0 </w:t>
            </w:r>
            <w:r>
              <w:rPr>
                <w:rFonts w:ascii="Arial Narrow" w:eastAsia="Times New Roman" w:hAnsi="Arial Narrow"/>
                <w:sz w:val="13"/>
                <w:szCs w:val="13"/>
              </w:rPr>
              <w:br/>
            </w:r>
            <w:r>
              <w:rPr>
                <w:rStyle w:val="cell-value"/>
                <w:rFonts w:ascii="Arial Narrow" w:eastAsia="Times New Roman" w:hAnsi="Arial Narrow"/>
                <w:sz w:val="13"/>
                <w:szCs w:val="13"/>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0F7234E8"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p>
        </w:tc>
        <w:tc>
          <w:tcPr>
            <w:tcW w:w="500" w:type="pct"/>
            <w:tcBorders>
              <w:top w:val="single" w:sz="6" w:space="0" w:color="000000"/>
              <w:left w:val="single" w:sz="6" w:space="0" w:color="000000"/>
              <w:bottom w:val="single" w:sz="6" w:space="0" w:color="000000"/>
              <w:right w:val="single" w:sz="6" w:space="0" w:color="000000"/>
            </w:tcBorders>
            <w:hideMark/>
          </w:tcPr>
          <w:p w14:paraId="2B646BA5" w14:textId="77777777" w:rsidR="00B41992" w:rsidRDefault="00B41992" w:rsidP="0062262B">
            <w:pPr>
              <w:jc w:val="center"/>
              <w:rPr>
                <w:rFonts w:ascii="Arial Narrow" w:eastAsia="Times New Roman" w:hAnsi="Arial Narrow"/>
                <w:sz w:val="13"/>
                <w:szCs w:val="13"/>
              </w:rPr>
            </w:pPr>
          </w:p>
        </w:tc>
      </w:tr>
      <w:tr w:rsidR="00B41992" w14:paraId="0AEB0161"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116C8305"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w:t>
            </w:r>
          </w:p>
        </w:tc>
      </w:tr>
      <w:tr w:rsidR="00B41992" w14:paraId="5DDFEC7B"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74A0A04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5132C7C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2426BF1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D7D85C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3814A5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20E47A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8E0575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182A35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33/52 (63.5%) </w:t>
            </w:r>
          </w:p>
        </w:tc>
        <w:tc>
          <w:tcPr>
            <w:tcW w:w="400" w:type="pct"/>
            <w:tcBorders>
              <w:top w:val="single" w:sz="6" w:space="0" w:color="000000"/>
              <w:left w:val="single" w:sz="6" w:space="0" w:color="000000"/>
              <w:bottom w:val="single" w:sz="6" w:space="0" w:color="000000"/>
              <w:right w:val="single" w:sz="6" w:space="0" w:color="000000"/>
            </w:tcBorders>
            <w:hideMark/>
          </w:tcPr>
          <w:p w14:paraId="3BC1A73C"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10/53 (18.9%) </w:t>
            </w:r>
          </w:p>
        </w:tc>
        <w:tc>
          <w:tcPr>
            <w:tcW w:w="400" w:type="pct"/>
            <w:tcBorders>
              <w:top w:val="single" w:sz="6" w:space="0" w:color="000000"/>
              <w:left w:val="single" w:sz="6" w:space="0" w:color="000000"/>
              <w:bottom w:val="single" w:sz="6" w:space="0" w:color="000000"/>
              <w:right w:val="single" w:sz="6" w:space="0" w:color="000000"/>
            </w:tcBorders>
            <w:hideMark/>
          </w:tcPr>
          <w:p w14:paraId="0F39863C"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7.51</w:t>
            </w:r>
            <w:r>
              <w:rPr>
                <w:rFonts w:ascii="Arial Narrow" w:eastAsia="Times New Roman" w:hAnsi="Arial Narrow"/>
                <w:sz w:val="13"/>
                <w:szCs w:val="13"/>
              </w:rPr>
              <w:br/>
            </w:r>
            <w:r>
              <w:rPr>
                <w:rStyle w:val="cell"/>
                <w:rFonts w:ascii="Arial Narrow" w:eastAsia="Times New Roman" w:hAnsi="Arial Narrow"/>
                <w:sz w:val="13"/>
                <w:szCs w:val="13"/>
              </w:rPr>
              <w:t>(3.06 to 18.40)</w:t>
            </w:r>
          </w:p>
        </w:tc>
        <w:tc>
          <w:tcPr>
            <w:tcW w:w="0" w:type="auto"/>
            <w:tcBorders>
              <w:top w:val="single" w:sz="6" w:space="0" w:color="000000"/>
              <w:left w:val="single" w:sz="6" w:space="0" w:color="000000"/>
              <w:bottom w:val="single" w:sz="6" w:space="0" w:color="000000"/>
              <w:right w:val="single" w:sz="6" w:space="0" w:color="000000"/>
            </w:tcBorders>
            <w:hideMark/>
          </w:tcPr>
          <w:p w14:paraId="2CDF72A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45 more per 100</w:t>
            </w:r>
            <w:r>
              <w:rPr>
                <w:rFonts w:ascii="Arial Narrow" w:eastAsia="Times New Roman" w:hAnsi="Arial Narrow"/>
                <w:sz w:val="13"/>
                <w:szCs w:val="13"/>
              </w:rPr>
              <w:br/>
              <w:t>(from 23 more to 62 more)</w:t>
            </w:r>
          </w:p>
        </w:tc>
        <w:tc>
          <w:tcPr>
            <w:tcW w:w="750" w:type="dxa"/>
            <w:tcBorders>
              <w:top w:val="single" w:sz="6" w:space="0" w:color="000000"/>
              <w:left w:val="single" w:sz="6" w:space="0" w:color="000000"/>
              <w:bottom w:val="single" w:sz="6" w:space="0" w:color="000000"/>
              <w:right w:val="single" w:sz="6" w:space="0" w:color="000000"/>
            </w:tcBorders>
            <w:hideMark/>
          </w:tcPr>
          <w:p w14:paraId="133F509C"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p>
        </w:tc>
        <w:tc>
          <w:tcPr>
            <w:tcW w:w="500" w:type="pct"/>
            <w:tcBorders>
              <w:top w:val="single" w:sz="6" w:space="0" w:color="000000"/>
              <w:left w:val="single" w:sz="6" w:space="0" w:color="000000"/>
              <w:bottom w:val="single" w:sz="6" w:space="0" w:color="000000"/>
              <w:right w:val="single" w:sz="6" w:space="0" w:color="000000"/>
            </w:tcBorders>
            <w:hideMark/>
          </w:tcPr>
          <w:p w14:paraId="7F042A83" w14:textId="77777777" w:rsidR="00B41992" w:rsidRDefault="00B41992" w:rsidP="0062262B">
            <w:pPr>
              <w:jc w:val="center"/>
              <w:rPr>
                <w:rFonts w:ascii="Arial Narrow" w:eastAsia="Times New Roman" w:hAnsi="Arial Narrow"/>
                <w:sz w:val="13"/>
                <w:szCs w:val="13"/>
              </w:rPr>
            </w:pPr>
          </w:p>
        </w:tc>
      </w:tr>
    </w:tbl>
    <w:p w14:paraId="7280257D"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392B2173"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46AF0820" w14:textId="77777777" w:rsidR="00B41992" w:rsidRPr="00D20CB6"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a. both trials had high ROB</w:t>
      </w:r>
    </w:p>
    <w:p w14:paraId="43D79B2D" w14:textId="77777777" w:rsidR="00B41992" w:rsidRPr="00765B6C" w:rsidRDefault="00B41992" w:rsidP="00B41992">
      <w:pPr>
        <w:rPr>
          <w:b/>
          <w:bCs/>
          <w:sz w:val="32"/>
          <w:szCs w:val="32"/>
        </w:rPr>
      </w:pPr>
      <w:r w:rsidRPr="00765B6C">
        <w:rPr>
          <w:b/>
          <w:bCs/>
          <w:sz w:val="32"/>
          <w:szCs w:val="32"/>
        </w:rPr>
        <w:t>3.13.1 Topiramate in Chronic Migraine</w:t>
      </w:r>
    </w:p>
    <w:p w14:paraId="4168E83C" w14:textId="77777777" w:rsidR="00B41992" w:rsidRDefault="00B41992" w:rsidP="00B41992">
      <w:bookmarkStart w:id="14" w:name="_Hlk151734518"/>
      <w:r>
        <w:t xml:space="preserve">We found three publications including two studies, Diener et al, 2007 </w:t>
      </w:r>
      <w:r>
        <w:fldChar w:fldCharType="begin"/>
      </w:r>
      <w:r>
        <w:instrText xml:space="preserve"> ADDIN ZOTERO_ITEM CSL_CITATION {"citationID":"r7jsbOrY","properties":{"formattedCitation":"(71)","plainCitation":"(71)","noteIndex":0},"citationItems":[{"id":146,"uris":["http://zotero.org/users/5131939/items/QDS3IF2J"],"itemData":{"id":146,"type":"article-journal","abstract":"The aim of this study was to evaluate the efficacy and tolerability of topiramate for the prevention of chronic migraine in a randomized, double-blind, placebo-controlled trial. Chronic migraine is a common form of disabling headache presenting in headache subspecialty practice. Preventive treatments are essential for chronic migraine management, although there are few or no controlled empirical trial data on their use in this patient population. Topiramate is approved for the prophylaxis of migraine headache in adults. Patients (18-65 years) who experienced chronic migraine (defined as &gt; or =15 monthly migraine days) for &gt; or =3 months prior to trial entry and had &gt; or =12 migraine days during the 4-week (28-day) baseline phase were randomized to topiramate or placebo for a 16-week, double-blind trial. Topiramate was titrated (25 mg weekly) to a target dose of 100 mg/day, allowing dosing flexibility from 50 to 200 mg/day, according to patient need. Existing migraine preventive treatments, except for antiepileptic drugs, were continued throughout the trial. The primary efficacy measure was the change in number of migraine days from the 28-day baseline phase to the last 28 days of the double-blind phase in the intent-to-treat population, which consisted of all patients who received at least one dose of study medication and had one outcome assessment during the double-blind phase. Health-related quality of life was evaluated with the Migraine Specific Quality of Life Questionnaire (MSQ, Version 2.1), the Headache Impact Test (HIT-6) and the Migraine Disability Assessment (MIDAS) questionnaires, and tolerability was assessed by adverse event (AE) reports and early trial discontinuations. Eighty-two patients were screened. Thirty-two patients in the intent-to-treat population (mean age 46 years; 75% female) received topiramate (mean modal dose +/- SD = 100 +/- 17 mg/day) and 27 patients received placebo. Mean (+/-SD) baseline number of migraine days per 4 weeks was 15.5 +/- 4.6 in the topiramate group and 16.4 +/- 4.4 in the placebo group. Most patients (78%) met the definition for acute medication overuse at baseline. The mean duration of treatment was 100 and 92 days for topiramate- and placebo-treated patients, respectively. Study completion rates for topiramate- and placebo-treated patients were 75% and 52%, respectively. Topiramate significantly reduced the mean number of monthly migraine days (+/-SD) by 3.5 +/- 6.3, compared with placebo (-0.2 +/- 4.7, P &lt; 0.05). No significant intergroup differences were found for MSQ and HIT-6. MIDAS showed improvement with the topiramate treatment group (P = 0.042 vs. placebo). Treatment emergent adverse events were reported by 75% of topiramate-treated patients (37%, placebo). The most common AEs, paraesthesia, nausea, dizziness, dyspepsia, fatigue, anorexia and disturbance in attention, were reported by 53%, 9%, 6%, 6%, 6%, 6% and 6% of topiramate-treated patients, respectively, vs. 7%, 0%, 0%, 0%, 0%, 4% and 4% of placebo-treated patients. This randomized, double-blind, placebo-controlled trial demonstrates that topiramate is effective and reasonably well tolerated when used for the preventive treatment of chronic migraine, even in the presence of medication overuse.","container-title":"Cephalalgia: An International Journal of Headache","DOI":"10.1111/j.1468-2982.2007.01326.x","ISSN":"0333-1024","issue":"7","journalAbbreviation":"Cephalalgia","language":"eng","page":"814-823","source":"PubMed","title":"Topiramate reduces headache days in chronic migraine: a randomized, double-blind, placebo-controlled study","title-short":"Topiramate reduces headache days in chronic migraine","volume":"27","author":[{"family":"Diener","given":"H.-C."},{"family":"Bussone","given":"G."},{"family":"Van Oene","given":"J. C."},{"family":"Lahaye","given":"M."},{"family":"Schwalen","given":"S."},{"family":"Goadsby","given":"P. J."},{"literal":"TOPMAT-MIG-201(TOP-CHROME) Study Group"}],"issued":{"date-parts":[["2007",7]]}}}],"schema":"https://github.com/citation-style-language/schema/raw/master/csl-citation.json"} </w:instrText>
      </w:r>
      <w:r>
        <w:fldChar w:fldCharType="separate"/>
      </w:r>
      <w:r w:rsidRPr="008B19FB">
        <w:rPr>
          <w:rFonts w:ascii="Calibri" w:hAnsi="Calibri" w:cs="Calibri"/>
        </w:rPr>
        <w:t>(71)</w:t>
      </w:r>
      <w:r>
        <w:fldChar w:fldCharType="end"/>
      </w:r>
      <w:r>
        <w:t>, and the Silberstein et al, 2007</w:t>
      </w:r>
      <w:r>
        <w:fldChar w:fldCharType="begin"/>
      </w:r>
      <w:r>
        <w:instrText xml:space="preserve"> ADDIN ZOTERO_ITEM CSL_CITATION {"citationID":"4WtCFlPA","properties":{"formattedCitation":"(72)","plainCitation":"(72)","noteIndex":0},"citationItems":[{"id":15,"uris":["http://zotero.org/users/5131939/items/Z382Q4D3"],"itemData":{"id":15,"type":"article-journal","container-title":"Headache: The Journal of Head and Face Pain","issue":"2","page":"170-180","title":"Efficacy and safety of topiramate for the treatment of chronic migraine: A randomized, double‐blind, placebo‐controlled trial","volume":"47","author":[{"family":"Silberstein","given":"Stephen D."},{"family":"Lipton","given":"Richard B."},{"family":"Dodick","given":"David W."},{"family":"Freitag","given":"Frederick G."},{"family":"Ramadan","given":"Nabih"},{"family":"Mathew","given":"Ninan"},{"family":"Brandes","given":"Jan L."},{"family":"Bigal","given":"Marcelo"},{"family":"Saper","given":"Joel"},{"family":"Ascher","given":"Steven"}],"issued":{"date-parts":[["2007"]]}}}],"schema":"https://github.com/citation-style-language/schema/raw/master/csl-citation.json"} </w:instrText>
      </w:r>
      <w:r>
        <w:fldChar w:fldCharType="separate"/>
      </w:r>
      <w:r w:rsidRPr="008B19FB">
        <w:rPr>
          <w:rFonts w:ascii="Calibri" w:hAnsi="Calibri" w:cs="Calibri"/>
        </w:rPr>
        <w:t>(72)</w:t>
      </w:r>
      <w:r>
        <w:fldChar w:fldCharType="end"/>
      </w:r>
      <w:r>
        <w:t xml:space="preserve"> and 2009 </w:t>
      </w:r>
      <w:r>
        <w:fldChar w:fldCharType="begin"/>
      </w:r>
      <w:r>
        <w:instrText xml:space="preserve"> ADDIN ZOTERO_ITEM CSL_CITATION {"citationID":"re2sHzsV","properties":{"formattedCitation":"(73)","plainCitation":"(73)","noteIndex":0},"citationItems":[{"id":5863,"uris":["http://zotero.org/users/5131939/items/6U9HWX5W"],"itemData":{"id":5863,"type":"article-journal","archive_location":"19719543","container-title":"Headache","DOI":"10.1111/j.1526-4610.2009.01508.x","issue":"8","journalAbbreviation":"Headache","page":"1153-62","title":"Topiramate treatment of chronic migraine: a randomized, placebo-controlled trial of quality of life and other efficacy measures","volume":"49","author":[{"family":"Silberstein","given":"S."},{"family":"Lipton","given":"R."},{"family":"Dodick","given":"D."},{"family":"Freitag","given":"F."},{"family":"Mathew","given":"N."},{"family":"Brandes","given":"J."},{"family":"Bigal","given":"M."},{"family":"Ascher","given":"S."},{"family":"Morein","given":"J."},{"family":"Wright","given":"P."},{"family":"Greenberg","given":"S."},{"family":"Hulihan","given":"J."}],"issued":{"date-parts":[["2009"]]}}}],"schema":"https://github.com/citation-style-language/schema/raw/master/csl-citation.json"} </w:instrText>
      </w:r>
      <w:r>
        <w:fldChar w:fldCharType="separate"/>
      </w:r>
      <w:r w:rsidRPr="008B19FB">
        <w:rPr>
          <w:rFonts w:ascii="Calibri" w:hAnsi="Calibri" w:cs="Calibri"/>
        </w:rPr>
        <w:t>(73)</w:t>
      </w:r>
      <w:r>
        <w:fldChar w:fldCharType="end"/>
      </w:r>
      <w:r>
        <w:t>publications of the same study.</w:t>
      </w:r>
    </w:p>
    <w:bookmarkEnd w:id="14"/>
    <w:p w14:paraId="70A22C4C" w14:textId="77777777" w:rsidR="00B41992" w:rsidRPr="00D20CB6" w:rsidRDefault="00B41992" w:rsidP="00B41992">
      <w:pPr>
        <w:rPr>
          <w:b/>
          <w:bCs/>
          <w:u w:val="single"/>
        </w:rPr>
      </w:pPr>
      <w:r w:rsidRPr="00D20CB6">
        <w:rPr>
          <w:b/>
          <w:bCs/>
          <w:u w:val="single"/>
        </w:rPr>
        <w:t>Migraine Day Reduction</w:t>
      </w:r>
    </w:p>
    <w:p w14:paraId="188A4C09" w14:textId="77777777" w:rsidR="00B41992" w:rsidRDefault="00B41992" w:rsidP="00B41992">
      <w:r>
        <w:rPr>
          <w:noProof/>
        </w:rPr>
        <w:lastRenderedPageBreak/>
        <w:drawing>
          <wp:inline distT="0" distB="0" distL="0" distR="0" wp14:anchorId="2254E8AA" wp14:editId="2E6E7B4E">
            <wp:extent cx="5943600" cy="1351915"/>
            <wp:effectExtent l="0" t="0" r="0" b="0"/>
            <wp:docPr id="363886075" name="Graphic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86075" name="Graphic 363886075"/>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943600" cy="1351915"/>
                    </a:xfrm>
                    <a:prstGeom prst="rect">
                      <a:avLst/>
                    </a:prstGeom>
                  </pic:spPr>
                </pic:pic>
              </a:graphicData>
            </a:graphic>
          </wp:inline>
        </w:drawing>
      </w:r>
    </w:p>
    <w:p w14:paraId="0C93A274" w14:textId="77777777" w:rsidR="00B41992" w:rsidRPr="00D20CB6" w:rsidRDefault="00B41992" w:rsidP="00B41992">
      <w:pPr>
        <w:rPr>
          <w:b/>
          <w:bCs/>
          <w:noProof/>
          <w:u w:val="single"/>
        </w:rPr>
      </w:pPr>
      <w:r w:rsidRPr="00D20CB6">
        <w:rPr>
          <w:b/>
          <w:bCs/>
          <w:u w:val="single"/>
        </w:rPr>
        <w:t>50% Responder Rat</w:t>
      </w:r>
      <w:r w:rsidRPr="00D20CB6">
        <w:rPr>
          <w:b/>
          <w:bCs/>
          <w:noProof/>
          <w:u w:val="single"/>
        </w:rPr>
        <w:t>e</w:t>
      </w:r>
    </w:p>
    <w:p w14:paraId="16CC03ED" w14:textId="77777777" w:rsidR="00B41992" w:rsidRDefault="00B41992" w:rsidP="00B41992">
      <w:r>
        <w:rPr>
          <w:noProof/>
        </w:rPr>
        <w:drawing>
          <wp:inline distT="0" distB="0" distL="0" distR="0" wp14:anchorId="5F7D25FE" wp14:editId="5F276620">
            <wp:extent cx="5943600" cy="1656715"/>
            <wp:effectExtent l="0" t="0" r="0" b="0"/>
            <wp:docPr id="1883627862" name="Graphic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27862" name="Graphic 1883627862"/>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943600" cy="1656715"/>
                    </a:xfrm>
                    <a:prstGeom prst="rect">
                      <a:avLst/>
                    </a:prstGeom>
                  </pic:spPr>
                </pic:pic>
              </a:graphicData>
            </a:graphic>
          </wp:inline>
        </w:drawing>
      </w:r>
    </w:p>
    <w:p w14:paraId="2BBF4F06" w14:textId="77777777" w:rsidR="00B41992" w:rsidRPr="00D20CB6" w:rsidRDefault="00B41992" w:rsidP="00B41992">
      <w:pPr>
        <w:rPr>
          <w:b/>
          <w:bCs/>
          <w:u w:val="single"/>
        </w:rPr>
      </w:pPr>
      <w:r w:rsidRPr="00D20CB6">
        <w:rPr>
          <w:b/>
          <w:bCs/>
          <w:u w:val="single"/>
        </w:rPr>
        <w:t>Adverse Events</w:t>
      </w:r>
    </w:p>
    <w:p w14:paraId="65476E4C" w14:textId="77777777" w:rsidR="00B41992" w:rsidRPr="003C3068" w:rsidRDefault="00B41992" w:rsidP="00B41992">
      <w:r>
        <w:rPr>
          <w:noProof/>
        </w:rPr>
        <w:drawing>
          <wp:inline distT="0" distB="0" distL="0" distR="0" wp14:anchorId="0585C633" wp14:editId="78114D91">
            <wp:extent cx="5943600" cy="1694180"/>
            <wp:effectExtent l="0" t="0" r="0" b="0"/>
            <wp:docPr id="643408742" name="Graphic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08742" name="Graphic 643408742"/>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943600" cy="1694180"/>
                    </a:xfrm>
                    <a:prstGeom prst="rect">
                      <a:avLst/>
                    </a:prstGeom>
                  </pic:spPr>
                </pic:pic>
              </a:graphicData>
            </a:graphic>
          </wp:inline>
        </w:drawing>
      </w:r>
    </w:p>
    <w:p w14:paraId="005F40A4" w14:textId="77777777" w:rsidR="00B41992" w:rsidRDefault="00B41992" w:rsidP="00B41992">
      <w:pPr>
        <w:rPr>
          <w:b/>
          <w:bCs/>
          <w:sz w:val="28"/>
          <w:szCs w:val="28"/>
          <w:u w:val="single"/>
        </w:rPr>
      </w:pPr>
    </w:p>
    <w:p w14:paraId="613F7DB0" w14:textId="77777777" w:rsidR="00B41992" w:rsidRDefault="00B41992" w:rsidP="00B41992">
      <w:pPr>
        <w:rPr>
          <w:b/>
          <w:bCs/>
          <w:sz w:val="28"/>
          <w:szCs w:val="28"/>
          <w:u w:val="single"/>
        </w:rPr>
      </w:pPr>
    </w:p>
    <w:p w14:paraId="5BC5A5EC" w14:textId="77777777" w:rsidR="00B41992" w:rsidRDefault="00B41992" w:rsidP="00B41992">
      <w:pPr>
        <w:rPr>
          <w:b/>
          <w:bCs/>
          <w:sz w:val="28"/>
          <w:szCs w:val="28"/>
          <w:u w:val="single"/>
        </w:rPr>
      </w:pPr>
    </w:p>
    <w:p w14:paraId="487B46EB" w14:textId="77777777" w:rsidR="00B41992" w:rsidRDefault="00B41992" w:rsidP="00B41992">
      <w:pPr>
        <w:rPr>
          <w:b/>
          <w:bCs/>
          <w:sz w:val="28"/>
          <w:szCs w:val="28"/>
          <w:u w:val="single"/>
        </w:rPr>
      </w:pPr>
    </w:p>
    <w:p w14:paraId="3C5C8CB3" w14:textId="77777777"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Topiramate in Chronic Migraine</w:t>
      </w:r>
    </w:p>
    <w:p w14:paraId="458E7503"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Topiramate compared to placebo for chronic migraine</w:t>
      </w:r>
    </w:p>
    <w:p w14:paraId="052BC098"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Setting: </w:t>
      </w:r>
    </w:p>
    <w:p w14:paraId="7A884C26"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Bibliography: </w:t>
      </w:r>
    </w:p>
    <w:tbl>
      <w:tblPr>
        <w:tblW w:w="5000" w:type="pct"/>
        <w:tblCellMar>
          <w:top w:w="75" w:type="dxa"/>
          <w:left w:w="75" w:type="dxa"/>
          <w:bottom w:w="75" w:type="dxa"/>
          <w:right w:w="75" w:type="dxa"/>
        </w:tblCellMar>
        <w:tblLook w:val="04A0" w:firstRow="1" w:lastRow="0" w:firstColumn="1" w:lastColumn="0" w:noHBand="0" w:noVBand="1"/>
      </w:tblPr>
      <w:tblGrid>
        <w:gridCol w:w="524"/>
        <w:gridCol w:w="708"/>
        <w:gridCol w:w="531"/>
        <w:gridCol w:w="862"/>
        <w:gridCol w:w="779"/>
        <w:gridCol w:w="749"/>
        <w:gridCol w:w="909"/>
        <w:gridCol w:w="695"/>
        <w:gridCol w:w="553"/>
        <w:gridCol w:w="591"/>
        <w:gridCol w:w="607"/>
        <w:gridCol w:w="1019"/>
        <w:gridCol w:w="803"/>
      </w:tblGrid>
      <w:tr w:rsidR="00B41992" w14:paraId="35CF1EFD"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9DE523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1046D3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1DF503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F1446E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7F0393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7FBFF162"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5E491F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CC1C56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0BF754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C033C1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324747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8954DE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2D9773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BC082C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topiramate</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366E74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DC3BC2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7916F05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00E822A"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7A428D9" w14:textId="77777777" w:rsidR="00B41992" w:rsidRDefault="00B41992" w:rsidP="0062262B">
            <w:pPr>
              <w:rPr>
                <w:rFonts w:ascii="Arial Narrow" w:eastAsia="Times New Roman" w:hAnsi="Arial Narrow"/>
                <w:b/>
                <w:bCs/>
                <w:color w:val="FFFFFF"/>
                <w:sz w:val="13"/>
                <w:szCs w:val="13"/>
              </w:rPr>
            </w:pPr>
          </w:p>
        </w:tc>
      </w:tr>
      <w:tr w:rsidR="00B41992" w14:paraId="6281F4D2" w14:textId="77777777" w:rsidTr="0062262B">
        <w:trPr>
          <w:cantSplit/>
        </w:trPr>
        <w:tc>
          <w:tcPr>
            <w:tcW w:w="0" w:type="auto"/>
            <w:gridSpan w:val="13"/>
            <w:shd w:val="clear" w:color="auto" w:fill="FFFFFF"/>
            <w:vAlign w:val="center"/>
            <w:hideMark/>
          </w:tcPr>
          <w:p w14:paraId="019C414E"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(follow-up: mean 12 weeks; Scale from: -10 to 10)</w:t>
            </w:r>
          </w:p>
        </w:tc>
      </w:tr>
      <w:tr w:rsidR="00B41992" w14:paraId="10ED09B4"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E9A11E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67AE9D2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0CF6B6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05956B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E61939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066BB4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b</w:t>
            </w:r>
          </w:p>
        </w:tc>
        <w:tc>
          <w:tcPr>
            <w:tcW w:w="550" w:type="pct"/>
            <w:tcBorders>
              <w:top w:val="single" w:sz="6" w:space="0" w:color="000000"/>
              <w:left w:val="single" w:sz="6" w:space="0" w:color="000000"/>
              <w:bottom w:val="single" w:sz="6" w:space="0" w:color="000000"/>
              <w:right w:val="single" w:sz="6" w:space="0" w:color="000000"/>
            </w:tcBorders>
            <w:hideMark/>
          </w:tcPr>
          <w:p w14:paraId="202C577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023FF3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185</w:t>
            </w:r>
          </w:p>
        </w:tc>
        <w:tc>
          <w:tcPr>
            <w:tcW w:w="400" w:type="pct"/>
            <w:tcBorders>
              <w:top w:val="single" w:sz="6" w:space="0" w:color="000000"/>
              <w:left w:val="single" w:sz="6" w:space="0" w:color="000000"/>
              <w:bottom w:val="single" w:sz="6" w:space="0" w:color="000000"/>
              <w:right w:val="single" w:sz="6" w:space="0" w:color="000000"/>
            </w:tcBorders>
            <w:hideMark/>
          </w:tcPr>
          <w:p w14:paraId="6002C768"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180</w:t>
            </w:r>
          </w:p>
        </w:tc>
        <w:tc>
          <w:tcPr>
            <w:tcW w:w="400" w:type="pct"/>
            <w:tcBorders>
              <w:top w:val="single" w:sz="6" w:space="0" w:color="000000"/>
              <w:left w:val="single" w:sz="6" w:space="0" w:color="000000"/>
              <w:bottom w:val="single" w:sz="6" w:space="0" w:color="000000"/>
              <w:right w:val="single" w:sz="6" w:space="0" w:color="000000"/>
            </w:tcBorders>
            <w:hideMark/>
          </w:tcPr>
          <w:p w14:paraId="65A8C63B"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16C9C364"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2.3 days lower</w:t>
            </w:r>
            <w:r>
              <w:rPr>
                <w:rFonts w:ascii="Arial Narrow" w:eastAsia="Times New Roman" w:hAnsi="Arial Narrow"/>
                <w:sz w:val="13"/>
                <w:szCs w:val="13"/>
              </w:rPr>
              <w:br/>
            </w:r>
            <w:r>
              <w:rPr>
                <w:rStyle w:val="cell-value"/>
                <w:rFonts w:ascii="Arial Narrow" w:eastAsia="Times New Roman" w:hAnsi="Arial Narrow"/>
                <w:sz w:val="13"/>
                <w:szCs w:val="13"/>
              </w:rPr>
              <w:t>(4.1 lower to 0.5 lower)</w:t>
            </w:r>
          </w:p>
        </w:tc>
        <w:tc>
          <w:tcPr>
            <w:tcW w:w="750" w:type="dxa"/>
            <w:tcBorders>
              <w:top w:val="single" w:sz="6" w:space="0" w:color="000000"/>
              <w:left w:val="single" w:sz="6" w:space="0" w:color="000000"/>
              <w:bottom w:val="single" w:sz="6" w:space="0" w:color="000000"/>
              <w:right w:val="single" w:sz="6" w:space="0" w:color="000000"/>
            </w:tcBorders>
            <w:hideMark/>
          </w:tcPr>
          <w:p w14:paraId="555993C4"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6886A822" w14:textId="77777777" w:rsidR="00B41992" w:rsidRDefault="00B41992" w:rsidP="0062262B">
            <w:pPr>
              <w:jc w:val="center"/>
              <w:rPr>
                <w:rFonts w:ascii="Arial Narrow" w:eastAsia="Times New Roman" w:hAnsi="Arial Narrow"/>
                <w:sz w:val="13"/>
                <w:szCs w:val="13"/>
              </w:rPr>
            </w:pPr>
          </w:p>
        </w:tc>
      </w:tr>
      <w:tr w:rsidR="00B41992" w14:paraId="5F19C9B6" w14:textId="77777777" w:rsidTr="0062262B">
        <w:trPr>
          <w:cantSplit/>
        </w:trPr>
        <w:tc>
          <w:tcPr>
            <w:tcW w:w="0" w:type="auto"/>
            <w:gridSpan w:val="13"/>
            <w:shd w:val="clear" w:color="auto" w:fill="FFFFFF"/>
            <w:vAlign w:val="center"/>
            <w:hideMark/>
          </w:tcPr>
          <w:p w14:paraId="709A00B3"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Reduction Rate (follow-up: mean 12 weeks)</w:t>
            </w:r>
          </w:p>
        </w:tc>
      </w:tr>
      <w:tr w:rsidR="00B41992" w14:paraId="63BAE2EC"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7B5C408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lastRenderedPageBreak/>
              <w:t>2</w:t>
            </w:r>
          </w:p>
        </w:tc>
        <w:tc>
          <w:tcPr>
            <w:tcW w:w="300" w:type="pct"/>
            <w:tcBorders>
              <w:top w:val="single" w:sz="6" w:space="0" w:color="000000"/>
              <w:left w:val="single" w:sz="6" w:space="0" w:color="000000"/>
              <w:bottom w:val="single" w:sz="6" w:space="0" w:color="000000"/>
              <w:right w:val="single" w:sz="6" w:space="0" w:color="000000"/>
            </w:tcBorders>
            <w:hideMark/>
          </w:tcPr>
          <w:p w14:paraId="1D246D1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979AA2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B8166BE" w14:textId="77777777" w:rsidR="00B41992" w:rsidRDefault="00B41992" w:rsidP="0062262B">
            <w:pPr>
              <w:rPr>
                <w:rFonts w:ascii="Arial Narrow" w:eastAsia="Times New Roman" w:hAnsi="Arial Narrow"/>
                <w:sz w:val="13"/>
                <w:szCs w:val="13"/>
              </w:rPr>
            </w:pPr>
            <w:r>
              <w:rPr>
                <w:rFonts w:ascii="Arial Narrow" w:eastAsia="Times New Roman" w:hAnsi="Arial Narrow"/>
                <w:sz w:val="13"/>
                <w:szCs w:val="13"/>
              </w:rPr>
              <w:t xml:space="preserve"> not serious</w:t>
            </w:r>
          </w:p>
        </w:tc>
        <w:tc>
          <w:tcPr>
            <w:tcW w:w="350" w:type="pct"/>
            <w:tcBorders>
              <w:top w:val="single" w:sz="6" w:space="0" w:color="000000"/>
              <w:left w:val="single" w:sz="6" w:space="0" w:color="000000"/>
              <w:bottom w:val="single" w:sz="6" w:space="0" w:color="000000"/>
              <w:right w:val="single" w:sz="6" w:space="0" w:color="000000"/>
            </w:tcBorders>
            <w:hideMark/>
          </w:tcPr>
          <w:p w14:paraId="5E4F794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9ECE5E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c</w:t>
            </w:r>
          </w:p>
        </w:tc>
        <w:tc>
          <w:tcPr>
            <w:tcW w:w="550" w:type="pct"/>
            <w:tcBorders>
              <w:top w:val="single" w:sz="6" w:space="0" w:color="000000"/>
              <w:left w:val="single" w:sz="6" w:space="0" w:color="000000"/>
              <w:bottom w:val="single" w:sz="6" w:space="0" w:color="000000"/>
              <w:right w:val="single" w:sz="6" w:space="0" w:color="000000"/>
            </w:tcBorders>
            <w:hideMark/>
          </w:tcPr>
          <w:p w14:paraId="003B7BA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50253E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64/185 (34.6%) </w:t>
            </w:r>
          </w:p>
        </w:tc>
        <w:tc>
          <w:tcPr>
            <w:tcW w:w="400" w:type="pct"/>
            <w:tcBorders>
              <w:top w:val="single" w:sz="6" w:space="0" w:color="000000"/>
              <w:left w:val="single" w:sz="6" w:space="0" w:color="000000"/>
              <w:bottom w:val="single" w:sz="6" w:space="0" w:color="000000"/>
              <w:right w:val="single" w:sz="6" w:space="0" w:color="000000"/>
            </w:tcBorders>
            <w:hideMark/>
          </w:tcPr>
          <w:p w14:paraId="4559E09F"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44/180 (24.4%) </w:t>
            </w:r>
          </w:p>
        </w:tc>
        <w:tc>
          <w:tcPr>
            <w:tcW w:w="400" w:type="pct"/>
            <w:tcBorders>
              <w:top w:val="single" w:sz="6" w:space="0" w:color="000000"/>
              <w:left w:val="single" w:sz="6" w:space="0" w:color="000000"/>
              <w:bottom w:val="single" w:sz="6" w:space="0" w:color="000000"/>
              <w:right w:val="single" w:sz="6" w:space="0" w:color="000000"/>
            </w:tcBorders>
            <w:hideMark/>
          </w:tcPr>
          <w:p w14:paraId="240B06D8"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1.69</w:t>
            </w:r>
            <w:r>
              <w:rPr>
                <w:rFonts w:ascii="Arial Narrow" w:eastAsia="Times New Roman" w:hAnsi="Arial Narrow"/>
                <w:sz w:val="13"/>
                <w:szCs w:val="13"/>
              </w:rPr>
              <w:br/>
            </w:r>
            <w:r>
              <w:rPr>
                <w:rStyle w:val="cell"/>
                <w:rFonts w:ascii="Arial Narrow" w:eastAsia="Times New Roman" w:hAnsi="Arial Narrow"/>
                <w:sz w:val="13"/>
                <w:szCs w:val="13"/>
              </w:rPr>
              <w:t>(1.07 to 2.68)</w:t>
            </w:r>
          </w:p>
        </w:tc>
        <w:tc>
          <w:tcPr>
            <w:tcW w:w="0" w:type="auto"/>
            <w:tcBorders>
              <w:top w:val="single" w:sz="6" w:space="0" w:color="000000"/>
              <w:left w:val="single" w:sz="6" w:space="0" w:color="000000"/>
              <w:bottom w:val="single" w:sz="6" w:space="0" w:color="000000"/>
              <w:right w:val="single" w:sz="6" w:space="0" w:color="000000"/>
            </w:tcBorders>
            <w:hideMark/>
          </w:tcPr>
          <w:p w14:paraId="5612605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11 more per 100</w:t>
            </w:r>
            <w:r>
              <w:rPr>
                <w:rFonts w:ascii="Arial Narrow" w:eastAsia="Times New Roman" w:hAnsi="Arial Narrow"/>
                <w:sz w:val="13"/>
                <w:szCs w:val="13"/>
              </w:rPr>
              <w:br/>
              <w:t>(from 1 more to 22 more)</w:t>
            </w:r>
          </w:p>
        </w:tc>
        <w:tc>
          <w:tcPr>
            <w:tcW w:w="750" w:type="dxa"/>
            <w:tcBorders>
              <w:top w:val="single" w:sz="6" w:space="0" w:color="000000"/>
              <w:left w:val="single" w:sz="6" w:space="0" w:color="000000"/>
              <w:bottom w:val="single" w:sz="6" w:space="0" w:color="000000"/>
              <w:right w:val="single" w:sz="6" w:space="0" w:color="000000"/>
            </w:tcBorders>
            <w:hideMark/>
          </w:tcPr>
          <w:p w14:paraId="1A05C0B8"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69BF1CA5" w14:textId="77777777" w:rsidR="00B41992" w:rsidRDefault="00B41992" w:rsidP="0062262B">
            <w:pPr>
              <w:jc w:val="center"/>
              <w:rPr>
                <w:rFonts w:ascii="Arial Narrow" w:eastAsia="Times New Roman" w:hAnsi="Arial Narrow"/>
                <w:sz w:val="13"/>
                <w:szCs w:val="13"/>
              </w:rPr>
            </w:pPr>
          </w:p>
        </w:tc>
      </w:tr>
      <w:tr w:rsidR="00B41992" w14:paraId="0843C7A1" w14:textId="77777777" w:rsidTr="0062262B">
        <w:trPr>
          <w:cantSplit/>
        </w:trPr>
        <w:tc>
          <w:tcPr>
            <w:tcW w:w="0" w:type="auto"/>
            <w:gridSpan w:val="13"/>
            <w:shd w:val="clear" w:color="auto" w:fill="FFFFFF"/>
            <w:vAlign w:val="center"/>
            <w:hideMark/>
          </w:tcPr>
          <w:p w14:paraId="13A050AD"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(follow-up: mean 12 weeks)</w:t>
            </w:r>
          </w:p>
        </w:tc>
      </w:tr>
      <w:tr w:rsidR="00B41992" w14:paraId="08D12BB3"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B4E299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709EE90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B5EF44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4CE4B4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92B4D9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D4D8A4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2BEA48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6B9B31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156/185 (84.3%) </w:t>
            </w:r>
          </w:p>
        </w:tc>
        <w:tc>
          <w:tcPr>
            <w:tcW w:w="400" w:type="pct"/>
            <w:tcBorders>
              <w:top w:val="single" w:sz="6" w:space="0" w:color="000000"/>
              <w:left w:val="single" w:sz="6" w:space="0" w:color="000000"/>
              <w:bottom w:val="single" w:sz="6" w:space="0" w:color="000000"/>
              <w:right w:val="single" w:sz="6" w:space="0" w:color="000000"/>
            </w:tcBorders>
            <w:hideMark/>
          </w:tcPr>
          <w:p w14:paraId="0D195FF7"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123/180 (68.3%) </w:t>
            </w:r>
          </w:p>
        </w:tc>
        <w:tc>
          <w:tcPr>
            <w:tcW w:w="400" w:type="pct"/>
            <w:tcBorders>
              <w:top w:val="single" w:sz="6" w:space="0" w:color="000000"/>
              <w:left w:val="single" w:sz="6" w:space="0" w:color="000000"/>
              <w:bottom w:val="single" w:sz="6" w:space="0" w:color="000000"/>
              <w:right w:val="single" w:sz="6" w:space="0" w:color="000000"/>
            </w:tcBorders>
            <w:hideMark/>
          </w:tcPr>
          <w:p w14:paraId="218346F2"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2.65</w:t>
            </w:r>
            <w:r>
              <w:rPr>
                <w:rFonts w:ascii="Arial Narrow" w:eastAsia="Times New Roman" w:hAnsi="Arial Narrow"/>
                <w:sz w:val="13"/>
                <w:szCs w:val="13"/>
              </w:rPr>
              <w:br/>
            </w:r>
            <w:r>
              <w:rPr>
                <w:rStyle w:val="cell"/>
                <w:rFonts w:ascii="Arial Narrow" w:eastAsia="Times New Roman" w:hAnsi="Arial Narrow"/>
                <w:sz w:val="13"/>
                <w:szCs w:val="13"/>
              </w:rPr>
              <w:t>(1.58 to 4.44)</w:t>
            </w:r>
          </w:p>
        </w:tc>
        <w:tc>
          <w:tcPr>
            <w:tcW w:w="0" w:type="auto"/>
            <w:tcBorders>
              <w:top w:val="single" w:sz="6" w:space="0" w:color="000000"/>
              <w:left w:val="single" w:sz="6" w:space="0" w:color="000000"/>
              <w:bottom w:val="single" w:sz="6" w:space="0" w:color="000000"/>
              <w:right w:val="single" w:sz="6" w:space="0" w:color="000000"/>
            </w:tcBorders>
            <w:hideMark/>
          </w:tcPr>
          <w:p w14:paraId="44457EF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17 more per 100</w:t>
            </w:r>
            <w:r>
              <w:rPr>
                <w:rFonts w:ascii="Arial Narrow" w:eastAsia="Times New Roman" w:hAnsi="Arial Narrow"/>
                <w:sz w:val="13"/>
                <w:szCs w:val="13"/>
              </w:rPr>
              <w:br/>
              <w:t>(from 9 more to 22 more)</w:t>
            </w:r>
          </w:p>
        </w:tc>
        <w:tc>
          <w:tcPr>
            <w:tcW w:w="750" w:type="dxa"/>
            <w:tcBorders>
              <w:top w:val="single" w:sz="6" w:space="0" w:color="000000"/>
              <w:left w:val="single" w:sz="6" w:space="0" w:color="000000"/>
              <w:bottom w:val="single" w:sz="6" w:space="0" w:color="000000"/>
              <w:right w:val="single" w:sz="6" w:space="0" w:color="000000"/>
            </w:tcBorders>
            <w:hideMark/>
          </w:tcPr>
          <w:p w14:paraId="3923B2E7"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p>
        </w:tc>
        <w:tc>
          <w:tcPr>
            <w:tcW w:w="500" w:type="pct"/>
            <w:tcBorders>
              <w:top w:val="single" w:sz="6" w:space="0" w:color="000000"/>
              <w:left w:val="single" w:sz="6" w:space="0" w:color="000000"/>
              <w:bottom w:val="single" w:sz="6" w:space="0" w:color="000000"/>
              <w:right w:val="single" w:sz="6" w:space="0" w:color="000000"/>
            </w:tcBorders>
            <w:hideMark/>
          </w:tcPr>
          <w:p w14:paraId="2993091B" w14:textId="77777777" w:rsidR="00B41992" w:rsidRDefault="00B41992" w:rsidP="0062262B">
            <w:pPr>
              <w:jc w:val="center"/>
              <w:rPr>
                <w:rFonts w:ascii="Arial Narrow" w:eastAsia="Times New Roman" w:hAnsi="Arial Narrow"/>
                <w:sz w:val="13"/>
                <w:szCs w:val="13"/>
              </w:rPr>
            </w:pPr>
          </w:p>
        </w:tc>
      </w:tr>
    </w:tbl>
    <w:p w14:paraId="5B86322A" w14:textId="77777777" w:rsidR="00B41992" w:rsidRDefault="00B41992" w:rsidP="00B41992">
      <w:pPr>
        <w:pStyle w:val="NormalWeb"/>
        <w:rPr>
          <w:rFonts w:ascii="Arial Narrow" w:eastAsiaTheme="minorEastAsia"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463F61AE"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089323AF"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a. two studies with high ROB</w:t>
      </w:r>
    </w:p>
    <w:p w14:paraId="0FCCB164"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b. At or close to 0.5 with confidence interval or MDR</w:t>
      </w:r>
    </w:p>
    <w:p w14:paraId="3ABE0160"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c.. OR 95% confidence interval at 1.07 close to null</w:t>
      </w:r>
    </w:p>
    <w:p w14:paraId="2647949F" w14:textId="77777777" w:rsidR="00B41992" w:rsidRDefault="00B41992" w:rsidP="00B41992"/>
    <w:p w14:paraId="231D5BF3" w14:textId="77777777" w:rsidR="00B41992" w:rsidRPr="005C5EF8" w:rsidRDefault="00B41992" w:rsidP="00B41992">
      <w:pPr>
        <w:rPr>
          <w:b/>
          <w:bCs/>
          <w:sz w:val="32"/>
          <w:szCs w:val="32"/>
        </w:rPr>
      </w:pPr>
      <w:r w:rsidRPr="005C5EF8">
        <w:rPr>
          <w:b/>
          <w:bCs/>
          <w:sz w:val="28"/>
          <w:szCs w:val="28"/>
        </w:rPr>
        <w:t xml:space="preserve">3.14.1 </w:t>
      </w:r>
      <w:r w:rsidRPr="005C5EF8">
        <w:rPr>
          <w:b/>
          <w:bCs/>
          <w:sz w:val="32"/>
          <w:szCs w:val="32"/>
        </w:rPr>
        <w:t>Topiramate in Migraine</w:t>
      </w:r>
    </w:p>
    <w:p w14:paraId="385D37FE" w14:textId="77777777" w:rsidR="00B41992" w:rsidRPr="00AA4CD2" w:rsidRDefault="00B41992" w:rsidP="00B41992">
      <w:pPr>
        <w:rPr>
          <w:b/>
          <w:bCs/>
          <w:u w:val="single"/>
        </w:rPr>
      </w:pPr>
      <w:r w:rsidRPr="00AA4CD2">
        <w:rPr>
          <w:b/>
          <w:bCs/>
          <w:u w:val="single"/>
        </w:rPr>
        <w:t xml:space="preserve">Migraine Day Reduction Topiramate Compared to Erenumab </w:t>
      </w:r>
    </w:p>
    <w:p w14:paraId="6B39E662" w14:textId="77777777" w:rsidR="00B41992" w:rsidRDefault="00B41992" w:rsidP="00B41992">
      <w:r>
        <w:t>Compared to erenumab in Reuter et al 2022 study</w:t>
      </w:r>
      <w:r>
        <w:fldChar w:fldCharType="begin"/>
      </w:r>
      <w:r>
        <w:instrText xml:space="preserve"> ADDIN ZOTERO_ITEM CSL_CITATION {"citationID":"jfz2w7jc","properties":{"formattedCitation":"(69)","plainCitation":"(69)","noteIndex":0},"citationItems":[{"id":5821,"uris":["http://zotero.org/users/5131939/items/SNTYSAA6"],"itemData":{"id":5821,"type":"article-journal","archive_location":"34743579","container-title":"Cephalalgia","DOI":"10.1177/03331024211053571","issue":"2","journalAbbreviation":"Cephalalgia","page":"108-118","title":"Erenumab versus topiramate for the prevention of migraine - a randomised, double-blind, active-controlled phase 4 trial","volume":"42","author":[{"family":"Reuter","given":"U."},{"family":"Ehrlich","given":"M."},{"family":"Gendolla","given":"A."},{"family":"Heinze","given":"A."},{"family":"Klatt","given":"J."},{"family":"Wen","given":"S."},{"family":"Hours-Zesiger","given":"P."},{"family":"Nickisch","given":"J."},{"family":"Sieder","given":"C."},{"family":"Hentschke","given":"C."},{"family":"Maier-Peuschel","given":"M."}],"issued":{"date-parts":[["2022"]]}}}],"schema":"https://github.com/citation-style-language/schema/raw/master/csl-citation.json"} </w:instrText>
      </w:r>
      <w:r>
        <w:fldChar w:fldCharType="separate"/>
      </w:r>
      <w:r w:rsidRPr="008B19FB">
        <w:rPr>
          <w:rFonts w:ascii="Calibri" w:hAnsi="Calibri" w:cs="Calibri"/>
        </w:rPr>
        <w:t>(69)</w:t>
      </w:r>
      <w:r>
        <w:fldChar w:fldCharType="end"/>
      </w:r>
      <w:r>
        <w:t>, migraine day reduction was less for topiramate.</w:t>
      </w:r>
    </w:p>
    <w:p w14:paraId="27483903" w14:textId="77777777" w:rsidR="00B41992" w:rsidRPr="00AA4CD2" w:rsidRDefault="00B41992" w:rsidP="00B41992">
      <w:bookmarkStart w:id="15" w:name="_Hlk151735199"/>
      <w:r>
        <w:t>MDR was 5.86 for erenumab and 4.02 for topiramate. The difference was 1.84 more headaches days with topiramate when compared to erenumab (95%CI 2.43 to 1.25).</w:t>
      </w:r>
    </w:p>
    <w:p w14:paraId="18BFE1DD" w14:textId="77777777" w:rsidR="00B41992" w:rsidRPr="00AA4CD2" w:rsidRDefault="00B41992" w:rsidP="00B41992">
      <w:pPr>
        <w:rPr>
          <w:u w:val="single"/>
        </w:rPr>
      </w:pPr>
      <w:r w:rsidRPr="00AA4CD2">
        <w:rPr>
          <w:u w:val="single"/>
        </w:rPr>
        <w:t>50% Responder Rate Topiramate Compared to Erenumab and Amitriptyline</w:t>
      </w:r>
    </w:p>
    <w:p w14:paraId="1448907D" w14:textId="77777777" w:rsidR="00B41992" w:rsidRDefault="00B41992" w:rsidP="00B41992">
      <w:r>
        <w:t>215/388 (55.4%) individuals responded to erenumab, versus 121/388  (31.2%)individuals responded to topiramate. This was an OR of 2.76 (2.06 to 3.71)</w:t>
      </w:r>
    </w:p>
    <w:p w14:paraId="3EDBBD8A" w14:textId="77777777" w:rsidR="00B41992" w:rsidRPr="00AA4CD2" w:rsidRDefault="00B41992" w:rsidP="00B41992">
      <w:pPr>
        <w:rPr>
          <w:u w:val="single"/>
        </w:rPr>
      </w:pPr>
      <w:r w:rsidRPr="00AA4CD2">
        <w:rPr>
          <w:u w:val="single"/>
        </w:rPr>
        <w:t xml:space="preserve">Adverse Events Topiramate Compared to Erenumab </w:t>
      </w:r>
    </w:p>
    <w:p w14:paraId="0F031E78" w14:textId="77777777" w:rsidR="00B41992" w:rsidRDefault="00B41992" w:rsidP="00B41992">
      <w:r>
        <w:t xml:space="preserve">315/388 (81.2%) individuals had side effects on topiramate, compared to 215/388 (55.4%) who started erenumab. This was an OR of 3.47 (2.51 to 4.80) of having side effects if on topiramate compared to erenumab. </w:t>
      </w:r>
    </w:p>
    <w:p w14:paraId="05B49214" w14:textId="77777777" w:rsidR="00B41992" w:rsidRDefault="00B41992" w:rsidP="00B41992">
      <w:r>
        <w:t xml:space="preserve">It is also noted in study by Rodriguez-Leyva 2010 et al </w:t>
      </w:r>
      <w:r>
        <w:fldChar w:fldCharType="begin"/>
      </w:r>
      <w:r>
        <w:instrText xml:space="preserve"> ADDIN ZOTERO_ITEM CSL_CITATION {"citationID":"hdEz7vrY","properties":{"formattedCitation":"(70)","plainCitation":"(70)","noteIndex":0},"citationItems":[{"id":5874,"uris":["http://zotero.org/users/5131939/items/UDJKXW4U"],"itemData":{"id":5874,"type":"article-journal","abstract":"Background: Migraine-related headache is a frequent problem in medical practice. Its treatment begins by identifying and avoiding triggering agents. The next step is acute headache management and the third step is choosing the best prophylactic treatment for each patient. Objective(s): To compare the efficacy and cost of Topiramate vs. Amytriptiline as prophylactic treatment for migraine. Material(s) and Method(s): Randomized clinical trial comparing the frequency and severity of migranous headache between Topirmate vs. Amitryptiline as measured by the Migraine Disability Assessment (MIDAS). These measurements were taken before and after the prophylactic treatment in both groups for 4 months. Their adverse effects were also compared as well as each group response to Ketorolac for acute headache management. Result(s): Thirty six patients were included in the study, eighteen patients in each group. We found a statistically significant reduction of the frequency and intensity of the migranous pain in both groups (p&lt;0.007), without any significant difference between them. The number of side effects was greater for the Topiramate group (69) than for the Amitriptyline group (43) (p &lt;0.001). The Amtriptilyne group showed weight gain while the Topiramate group showed weight loss being this their main side effect. Conclusion(s): Topiramate and Amitriptyline are both effective prophylactic treatments for migraine. Drug election must be made according to the patient's characteristics and economic possibilities. © Copyright Indice Mexicano de Revistas Biomedicas Latinoamericanas 1998 - 2011.","archive_location":"361519534","container-title":"Revista Mexicana de Neurociencia","journalAbbreviation":"Revista Mexicana de Neurociencia","page":"338-342","title":"Topiramate vs. Amitriptyline in prophylactic treatment of migraine: A controlled clinical trial","volume":"11(5)","author":[{"family":"Rodriguez-Leyva","given":"I."},{"family":"Sanchez Aguilar","given":"M. C. J. M."},{"family":"Hernandez-Sierra","given":"J. F."},{"family":"Mandeville","given":"P. B."},{"family":"Rodriguez Leyva","given":"M. D. R."},{"family":"Shiguetomi-Medina","given":"J. M."},{"family":"Tapia-Perez","given":"J. H."}],"issued":{"date-parts":[["2010"]]}}}],"schema":"https://github.com/citation-style-language/schema/raw/master/csl-citation.json"} </w:instrText>
      </w:r>
      <w:r>
        <w:fldChar w:fldCharType="separate"/>
      </w:r>
      <w:r w:rsidRPr="008B19FB">
        <w:rPr>
          <w:rFonts w:ascii="Calibri" w:hAnsi="Calibri" w:cs="Calibri"/>
        </w:rPr>
        <w:t>(70)</w:t>
      </w:r>
      <w:r>
        <w:fldChar w:fldCharType="end"/>
      </w:r>
      <w:r>
        <w:t xml:space="preserve"> that topiramate is significantly more likely to cause side effects when compared to amitriptyline.</w:t>
      </w:r>
    </w:p>
    <w:bookmarkEnd w:id="15"/>
    <w:p w14:paraId="7B54AA61" w14:textId="77777777" w:rsidR="00B41992" w:rsidRPr="003C3068" w:rsidRDefault="00B41992" w:rsidP="00B41992"/>
    <w:p w14:paraId="7A195660" w14:textId="77777777" w:rsidR="00B4199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Topiramate in Migraine compared to CGRP modulation</w:t>
      </w:r>
    </w:p>
    <w:p w14:paraId="3913ACEB"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Topiramate compared to other active for migraine</w:t>
      </w: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66"/>
        <w:gridCol w:w="862"/>
        <w:gridCol w:w="779"/>
        <w:gridCol w:w="749"/>
        <w:gridCol w:w="938"/>
        <w:gridCol w:w="695"/>
        <w:gridCol w:w="625"/>
        <w:gridCol w:w="661"/>
        <w:gridCol w:w="607"/>
        <w:gridCol w:w="853"/>
        <w:gridCol w:w="837"/>
      </w:tblGrid>
      <w:tr w:rsidR="00B41992" w14:paraId="103C9E41"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2DD799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58E042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442EAE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63B188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428E74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027E5CBE"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08FDDD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A3E136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A7AA31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DCFA4C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1F21CD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048FD2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B23CE7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7B40E7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topiramate</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19B81E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active</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5D4891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59BF41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7AF12F16"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1A85981" w14:textId="77777777" w:rsidR="00B41992" w:rsidRDefault="00B41992" w:rsidP="0062262B">
            <w:pPr>
              <w:rPr>
                <w:rFonts w:ascii="Arial Narrow" w:eastAsia="Times New Roman" w:hAnsi="Arial Narrow"/>
                <w:b/>
                <w:bCs/>
                <w:color w:val="FFFFFF"/>
                <w:sz w:val="13"/>
                <w:szCs w:val="13"/>
              </w:rPr>
            </w:pPr>
          </w:p>
        </w:tc>
      </w:tr>
      <w:tr w:rsidR="00B41992" w14:paraId="7AAAC20E"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44B8A550"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 compared to erenumab, amitriptyline (follow-up: mean 12 weeks)</w:t>
            </w:r>
          </w:p>
        </w:tc>
      </w:tr>
      <w:tr w:rsidR="00B41992" w14:paraId="048845EB"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03E39BA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4DD8412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7C48079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2586CA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54CDDB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0E2A55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1EE287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8923A1D" w14:textId="77777777" w:rsidR="00B41992" w:rsidRDefault="00B41992" w:rsidP="0062262B">
            <w:pPr>
              <w:jc w:val="center"/>
              <w:rPr>
                <w:rFonts w:ascii="Arial Narrow" w:eastAsia="Times New Roman" w:hAnsi="Arial Narrow"/>
                <w:sz w:val="13"/>
                <w:szCs w:val="13"/>
              </w:rPr>
            </w:pPr>
          </w:p>
        </w:tc>
        <w:tc>
          <w:tcPr>
            <w:tcW w:w="400" w:type="pct"/>
            <w:tcBorders>
              <w:top w:val="single" w:sz="6" w:space="0" w:color="000000"/>
              <w:left w:val="single" w:sz="6" w:space="0" w:color="000000"/>
              <w:bottom w:val="single" w:sz="6" w:space="0" w:color="000000"/>
              <w:right w:val="single" w:sz="6" w:space="0" w:color="000000"/>
            </w:tcBorders>
            <w:hideMark/>
          </w:tcPr>
          <w:p w14:paraId="0CCC33D2" w14:textId="77777777" w:rsidR="00B41992" w:rsidRDefault="00B41992" w:rsidP="0062262B">
            <w:pPr>
              <w:jc w:val="center"/>
              <w:rPr>
                <w:rFonts w:eastAsia="Times New Roman"/>
                <w:sz w:val="20"/>
                <w:szCs w:val="20"/>
              </w:rPr>
            </w:pPr>
          </w:p>
        </w:tc>
        <w:tc>
          <w:tcPr>
            <w:tcW w:w="400" w:type="pct"/>
            <w:tcBorders>
              <w:top w:val="single" w:sz="6" w:space="0" w:color="000000"/>
              <w:left w:val="single" w:sz="6" w:space="0" w:color="000000"/>
              <w:bottom w:val="single" w:sz="6" w:space="0" w:color="000000"/>
              <w:right w:val="single" w:sz="6" w:space="0" w:color="000000"/>
            </w:tcBorders>
            <w:hideMark/>
          </w:tcPr>
          <w:p w14:paraId="10ECBC22"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64FA2AB5" w14:textId="77777777" w:rsidR="00B41992" w:rsidRDefault="00B41992" w:rsidP="0062262B">
            <w:pPr>
              <w:jc w:val="center"/>
              <w:rPr>
                <w:rFonts w:ascii="Arial Narrow" w:eastAsia="Times New Roman" w:hAnsi="Arial Narrow"/>
                <w:sz w:val="13"/>
                <w:szCs w:val="13"/>
              </w:rPr>
            </w:pPr>
          </w:p>
        </w:tc>
        <w:tc>
          <w:tcPr>
            <w:tcW w:w="750" w:type="dxa"/>
            <w:tcBorders>
              <w:top w:val="single" w:sz="6" w:space="0" w:color="000000"/>
              <w:left w:val="single" w:sz="6" w:space="0" w:color="000000"/>
              <w:bottom w:val="single" w:sz="6" w:space="0" w:color="000000"/>
              <w:right w:val="single" w:sz="6" w:space="0" w:color="000000"/>
            </w:tcBorders>
            <w:hideMark/>
          </w:tcPr>
          <w:p w14:paraId="6C455118"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3A4502C6" w14:textId="77777777" w:rsidR="00B41992" w:rsidRDefault="00B41992" w:rsidP="0062262B">
            <w:pPr>
              <w:jc w:val="center"/>
              <w:rPr>
                <w:rFonts w:ascii="Arial Narrow" w:eastAsia="Times New Roman" w:hAnsi="Arial Narrow"/>
                <w:sz w:val="13"/>
                <w:szCs w:val="13"/>
              </w:rPr>
            </w:pPr>
          </w:p>
        </w:tc>
      </w:tr>
      <w:tr w:rsidR="00B41992" w14:paraId="3B6BFA96"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7AEEEFA1"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 compared to erenumab</w:t>
            </w:r>
          </w:p>
        </w:tc>
      </w:tr>
      <w:tr w:rsidR="00B41992" w14:paraId="6946254D"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3879132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lastRenderedPageBreak/>
              <w:t>1</w:t>
            </w:r>
          </w:p>
        </w:tc>
        <w:tc>
          <w:tcPr>
            <w:tcW w:w="300" w:type="pct"/>
            <w:tcBorders>
              <w:top w:val="single" w:sz="6" w:space="0" w:color="000000"/>
              <w:left w:val="single" w:sz="6" w:space="0" w:color="000000"/>
              <w:bottom w:val="single" w:sz="6" w:space="0" w:color="000000"/>
              <w:right w:val="single" w:sz="6" w:space="0" w:color="000000"/>
            </w:tcBorders>
            <w:hideMark/>
          </w:tcPr>
          <w:p w14:paraId="17E07DA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A41829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E3C2F5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5F16EA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A2DF5A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035AF0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687A11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388</w:t>
            </w:r>
          </w:p>
        </w:tc>
        <w:tc>
          <w:tcPr>
            <w:tcW w:w="400" w:type="pct"/>
            <w:tcBorders>
              <w:top w:val="single" w:sz="6" w:space="0" w:color="000000"/>
              <w:left w:val="single" w:sz="6" w:space="0" w:color="000000"/>
              <w:bottom w:val="single" w:sz="6" w:space="0" w:color="000000"/>
              <w:right w:val="single" w:sz="6" w:space="0" w:color="000000"/>
            </w:tcBorders>
            <w:hideMark/>
          </w:tcPr>
          <w:p w14:paraId="6C3ACBA3"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388</w:t>
            </w:r>
          </w:p>
        </w:tc>
        <w:tc>
          <w:tcPr>
            <w:tcW w:w="400" w:type="pct"/>
            <w:tcBorders>
              <w:top w:val="single" w:sz="6" w:space="0" w:color="000000"/>
              <w:left w:val="single" w:sz="6" w:space="0" w:color="000000"/>
              <w:bottom w:val="single" w:sz="6" w:space="0" w:color="000000"/>
              <w:right w:val="single" w:sz="6" w:space="0" w:color="000000"/>
            </w:tcBorders>
            <w:hideMark/>
          </w:tcPr>
          <w:p w14:paraId="26A30A7A"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57D5B147"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1.84 days higher</w:t>
            </w:r>
            <w:r>
              <w:rPr>
                <w:rFonts w:ascii="Arial Narrow" w:eastAsia="Times New Roman" w:hAnsi="Arial Narrow"/>
                <w:sz w:val="13"/>
                <w:szCs w:val="13"/>
              </w:rPr>
              <w:br/>
            </w:r>
            <w:r>
              <w:rPr>
                <w:rStyle w:val="cell-value"/>
                <w:rFonts w:ascii="Arial Narrow" w:eastAsia="Times New Roman" w:hAnsi="Arial Narrow"/>
                <w:sz w:val="13"/>
                <w:szCs w:val="13"/>
              </w:rPr>
              <w:t>(2.43 higher to 1.25 higher)</w:t>
            </w:r>
          </w:p>
        </w:tc>
        <w:tc>
          <w:tcPr>
            <w:tcW w:w="750" w:type="dxa"/>
            <w:tcBorders>
              <w:top w:val="single" w:sz="6" w:space="0" w:color="000000"/>
              <w:left w:val="single" w:sz="6" w:space="0" w:color="000000"/>
              <w:bottom w:val="single" w:sz="6" w:space="0" w:color="000000"/>
              <w:right w:val="single" w:sz="6" w:space="0" w:color="000000"/>
            </w:tcBorders>
            <w:hideMark/>
          </w:tcPr>
          <w:p w14:paraId="3BFECB28"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38C4999E" w14:textId="77777777" w:rsidR="00B41992" w:rsidRDefault="00B41992" w:rsidP="0062262B">
            <w:pPr>
              <w:jc w:val="center"/>
              <w:rPr>
                <w:rFonts w:ascii="Arial Narrow" w:eastAsia="Times New Roman" w:hAnsi="Arial Narrow"/>
                <w:sz w:val="13"/>
                <w:szCs w:val="13"/>
              </w:rPr>
            </w:pPr>
          </w:p>
        </w:tc>
      </w:tr>
      <w:tr w:rsidR="00B41992" w14:paraId="2284CE8A"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4311F22F"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compared to erenumab</w:t>
            </w:r>
          </w:p>
        </w:tc>
      </w:tr>
      <w:tr w:rsidR="00B41992" w14:paraId="6164A8E4"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5BF4595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4813B32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36CC852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F1D2CE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D500D1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3139C5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260FBF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p w14:paraId="7DAFD899" w14:textId="77777777" w:rsidR="00B41992" w:rsidRDefault="00B41992" w:rsidP="0062262B">
            <w:pPr>
              <w:jc w:val="center"/>
              <w:rPr>
                <w:rFonts w:ascii="Arial Narrow" w:eastAsia="Times New Roman" w:hAnsi="Arial Narrow"/>
                <w:sz w:val="13"/>
                <w:szCs w:val="13"/>
              </w:rPr>
            </w:pPr>
          </w:p>
        </w:tc>
        <w:tc>
          <w:tcPr>
            <w:tcW w:w="400" w:type="pct"/>
            <w:tcBorders>
              <w:top w:val="single" w:sz="6" w:space="0" w:color="000000"/>
              <w:left w:val="single" w:sz="6" w:space="0" w:color="000000"/>
              <w:bottom w:val="single" w:sz="6" w:space="0" w:color="000000"/>
              <w:right w:val="single" w:sz="6" w:space="0" w:color="000000"/>
            </w:tcBorders>
            <w:hideMark/>
          </w:tcPr>
          <w:p w14:paraId="5E15658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121/388 (31.2%) </w:t>
            </w:r>
          </w:p>
        </w:tc>
        <w:tc>
          <w:tcPr>
            <w:tcW w:w="400" w:type="pct"/>
            <w:tcBorders>
              <w:top w:val="single" w:sz="6" w:space="0" w:color="000000"/>
              <w:left w:val="single" w:sz="6" w:space="0" w:color="000000"/>
              <w:bottom w:val="single" w:sz="6" w:space="0" w:color="000000"/>
              <w:right w:val="single" w:sz="6" w:space="0" w:color="000000"/>
            </w:tcBorders>
            <w:hideMark/>
          </w:tcPr>
          <w:p w14:paraId="75E60214"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215/388 (55.4%) </w:t>
            </w:r>
          </w:p>
        </w:tc>
        <w:tc>
          <w:tcPr>
            <w:tcW w:w="400" w:type="pct"/>
            <w:tcBorders>
              <w:top w:val="single" w:sz="6" w:space="0" w:color="000000"/>
              <w:left w:val="single" w:sz="6" w:space="0" w:color="000000"/>
              <w:bottom w:val="single" w:sz="6" w:space="0" w:color="000000"/>
              <w:right w:val="single" w:sz="6" w:space="0" w:color="000000"/>
            </w:tcBorders>
            <w:hideMark/>
          </w:tcPr>
          <w:p w14:paraId="13EA9F05"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0.36</w:t>
            </w:r>
            <w:r>
              <w:rPr>
                <w:rFonts w:ascii="Arial Narrow" w:eastAsia="Times New Roman" w:hAnsi="Arial Narrow"/>
                <w:sz w:val="13"/>
                <w:szCs w:val="13"/>
              </w:rPr>
              <w:br/>
            </w:r>
            <w:r>
              <w:rPr>
                <w:rStyle w:val="cell"/>
                <w:rFonts w:ascii="Arial Narrow" w:eastAsia="Times New Roman" w:hAnsi="Arial Narrow"/>
                <w:sz w:val="13"/>
                <w:szCs w:val="13"/>
              </w:rPr>
              <w:t>(0.27 to 0.49)</w:t>
            </w:r>
          </w:p>
        </w:tc>
        <w:tc>
          <w:tcPr>
            <w:tcW w:w="0" w:type="auto"/>
            <w:tcBorders>
              <w:top w:val="single" w:sz="6" w:space="0" w:color="000000"/>
              <w:left w:val="single" w:sz="6" w:space="0" w:color="000000"/>
              <w:bottom w:val="single" w:sz="6" w:space="0" w:color="000000"/>
              <w:right w:val="single" w:sz="6" w:space="0" w:color="000000"/>
            </w:tcBorders>
            <w:hideMark/>
          </w:tcPr>
          <w:p w14:paraId="2AE3501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25 fewer per 100</w:t>
            </w:r>
            <w:r>
              <w:rPr>
                <w:rFonts w:ascii="Arial Narrow" w:eastAsia="Times New Roman" w:hAnsi="Arial Narrow"/>
                <w:sz w:val="13"/>
                <w:szCs w:val="13"/>
              </w:rPr>
              <w:br/>
              <w:t>(from 30 fewer to 18 fewer)</w:t>
            </w:r>
          </w:p>
        </w:tc>
        <w:tc>
          <w:tcPr>
            <w:tcW w:w="750" w:type="dxa"/>
            <w:tcBorders>
              <w:top w:val="single" w:sz="6" w:space="0" w:color="000000"/>
              <w:left w:val="single" w:sz="6" w:space="0" w:color="000000"/>
              <w:bottom w:val="single" w:sz="6" w:space="0" w:color="000000"/>
              <w:right w:val="single" w:sz="6" w:space="0" w:color="000000"/>
            </w:tcBorders>
            <w:hideMark/>
          </w:tcPr>
          <w:p w14:paraId="6D83806D"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68E2D726" w14:textId="77777777" w:rsidR="00B41992" w:rsidRDefault="00B41992" w:rsidP="0062262B">
            <w:pPr>
              <w:jc w:val="center"/>
              <w:rPr>
                <w:rFonts w:ascii="Arial Narrow" w:eastAsia="Times New Roman" w:hAnsi="Arial Narrow"/>
                <w:sz w:val="13"/>
                <w:szCs w:val="13"/>
              </w:rPr>
            </w:pPr>
          </w:p>
        </w:tc>
      </w:tr>
    </w:tbl>
    <w:p w14:paraId="6DB015BB"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173E9E26"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5845CAFB"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a. one of two studies had high ROB</w:t>
      </w:r>
    </w:p>
    <w:p w14:paraId="0888DB59" w14:textId="77777777" w:rsidR="00B41992" w:rsidRPr="00A45F02" w:rsidRDefault="00B41992" w:rsidP="00B41992">
      <w:pPr>
        <w:rPr>
          <w:b/>
          <w:bCs/>
          <w:sz w:val="28"/>
          <w:szCs w:val="28"/>
          <w:u w:val="single"/>
        </w:rPr>
      </w:pPr>
    </w:p>
    <w:p w14:paraId="0553A8D9" w14:textId="77777777" w:rsidR="00B41992" w:rsidRDefault="00B41992" w:rsidP="00B41992"/>
    <w:p w14:paraId="75813331" w14:textId="77777777" w:rsidR="00B41992" w:rsidRDefault="00B41992" w:rsidP="00B41992"/>
    <w:p w14:paraId="7895DF00" w14:textId="77777777" w:rsidR="00B41992" w:rsidRDefault="00B41992" w:rsidP="00B41992"/>
    <w:p w14:paraId="2898FB1D" w14:textId="77777777" w:rsidR="00B41992" w:rsidRPr="005C5EF8" w:rsidRDefault="00B41992" w:rsidP="00B41992">
      <w:pPr>
        <w:rPr>
          <w:b/>
          <w:bCs/>
          <w:sz w:val="32"/>
          <w:szCs w:val="32"/>
        </w:rPr>
      </w:pPr>
      <w:r w:rsidRPr="005C5EF8">
        <w:rPr>
          <w:b/>
          <w:bCs/>
          <w:sz w:val="32"/>
          <w:szCs w:val="32"/>
        </w:rPr>
        <w:t>3.15.1 Ginger in Episodic Migraine</w:t>
      </w:r>
    </w:p>
    <w:p w14:paraId="0FE6419C" w14:textId="77777777" w:rsidR="00B41992" w:rsidRPr="00511D30" w:rsidRDefault="00B41992" w:rsidP="00B41992">
      <w:bookmarkStart w:id="16" w:name="_Hlk151735569"/>
      <w:r w:rsidRPr="00511D30">
        <w:t xml:space="preserve">A single study was found Martins et al, 2020 </w:t>
      </w:r>
      <w:r w:rsidRPr="00511D30">
        <w:fldChar w:fldCharType="begin"/>
      </w:r>
      <w:r>
        <w:instrText xml:space="preserve"> ADDIN ZOTERO_ITEM CSL_CITATION {"citationID":"jnthNMAD","properties":{"formattedCitation":"(74)","plainCitation":"(74)","noteIndex":0},"citationItems":[{"id":5836,"uris":["http://zotero.org/users/5131939/items/AJA5ZE3H"],"itemData":{"id":5836,"type":"article-journal","archive_location":"31398997","container-title":"Cephalalgia","DOI":"10.1177/0333102419869319","issue":"1","journalAbbreviation":"Cephalalgia","page":"88-95","title":"Double-blind placebo-controlled randomized clinical trial of ginger (Zingiber officinale Rosc.) in the prophylactic treatment of migraine","volume":"40","author":[{"family":"Martins","given":"L. B."},{"family":"Rodrigues","given":"Amds"},{"family":"Monteze","given":"N. M."},{"family":"Tibaes","given":"J. R. B."},{"family":"Amaral","given":"M. H. A."},{"family":"Gomez","given":"R. S."},{"family":"Teixeira","given":"A. L."},{"family":"Ferreira","given":"A. V. M."}],"issued":{"date-parts":[["2020"]]}}}],"schema":"https://github.com/citation-style-language/schema/raw/master/csl-citation.json"} </w:instrText>
      </w:r>
      <w:r w:rsidRPr="00511D30">
        <w:fldChar w:fldCharType="separate"/>
      </w:r>
      <w:r w:rsidRPr="008B19FB">
        <w:rPr>
          <w:rFonts w:ascii="Calibri" w:hAnsi="Calibri" w:cs="Calibri"/>
        </w:rPr>
        <w:t>(74)</w:t>
      </w:r>
      <w:r w:rsidRPr="00511D30">
        <w:fldChar w:fldCharType="end"/>
      </w:r>
      <w:r w:rsidRPr="00511D30">
        <w:t>.</w:t>
      </w:r>
    </w:p>
    <w:bookmarkEnd w:id="16"/>
    <w:p w14:paraId="0F6FA862" w14:textId="77777777" w:rsidR="00B41992" w:rsidRPr="00B71CAA" w:rsidRDefault="00B41992" w:rsidP="00B41992">
      <w:pPr>
        <w:rPr>
          <w:b/>
          <w:bCs/>
          <w:u w:val="single"/>
        </w:rPr>
      </w:pPr>
      <w:r w:rsidRPr="00B71CAA">
        <w:rPr>
          <w:b/>
          <w:bCs/>
          <w:u w:val="single"/>
        </w:rPr>
        <w:t>Migraine Day Reduction</w:t>
      </w:r>
    </w:p>
    <w:p w14:paraId="499B7F9B" w14:textId="77777777" w:rsidR="00B41992" w:rsidRDefault="00B41992" w:rsidP="00B41992">
      <w:r>
        <w:t>Was not significantly different as per study, figure but no numbers given.</w:t>
      </w:r>
    </w:p>
    <w:p w14:paraId="6D7B4C80" w14:textId="77777777" w:rsidR="00B41992" w:rsidRPr="00B71CAA" w:rsidRDefault="00B41992" w:rsidP="00B41992">
      <w:pPr>
        <w:rPr>
          <w:b/>
          <w:bCs/>
          <w:noProof/>
          <w:u w:val="single"/>
        </w:rPr>
      </w:pPr>
      <w:r w:rsidRPr="00B71CAA">
        <w:rPr>
          <w:b/>
          <w:bCs/>
          <w:u w:val="single"/>
        </w:rPr>
        <w:t>50% Responder Rat</w:t>
      </w:r>
      <w:r w:rsidRPr="00B71CAA">
        <w:rPr>
          <w:b/>
          <w:bCs/>
          <w:noProof/>
          <w:u w:val="single"/>
        </w:rPr>
        <w:t>e</w:t>
      </w:r>
    </w:p>
    <w:p w14:paraId="2E32B99F" w14:textId="77777777" w:rsidR="00B41992" w:rsidRDefault="00B41992" w:rsidP="00B41992">
      <w:r>
        <w:rPr>
          <w:noProof/>
        </w:rPr>
        <w:drawing>
          <wp:inline distT="0" distB="0" distL="0" distR="0" wp14:anchorId="4AD9B8F9" wp14:editId="1D9A07B1">
            <wp:extent cx="5943600" cy="1553210"/>
            <wp:effectExtent l="0" t="0" r="0" b="0"/>
            <wp:docPr id="1234268885" name="Graphic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68885" name="Graphic 1234268885"/>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943600" cy="1553210"/>
                    </a:xfrm>
                    <a:prstGeom prst="rect">
                      <a:avLst/>
                    </a:prstGeom>
                  </pic:spPr>
                </pic:pic>
              </a:graphicData>
            </a:graphic>
          </wp:inline>
        </w:drawing>
      </w:r>
    </w:p>
    <w:p w14:paraId="6B07CA9F" w14:textId="77777777"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Ginger in Episodic Migraine</w:t>
      </w:r>
    </w:p>
    <w:p w14:paraId="24F52901"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Ginger compared to placebo for migraine prevention</w:t>
      </w: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64"/>
        <w:gridCol w:w="862"/>
        <w:gridCol w:w="779"/>
        <w:gridCol w:w="749"/>
        <w:gridCol w:w="939"/>
        <w:gridCol w:w="661"/>
        <w:gridCol w:w="661"/>
        <w:gridCol w:w="661"/>
        <w:gridCol w:w="608"/>
        <w:gridCol w:w="845"/>
        <w:gridCol w:w="843"/>
      </w:tblGrid>
      <w:tr w:rsidR="00B41992" w14:paraId="3996B2C1" w14:textId="77777777" w:rsidTr="0062262B">
        <w:trPr>
          <w:cantSplit/>
          <w:tblHeader/>
        </w:trPr>
        <w:tc>
          <w:tcPr>
            <w:tcW w:w="2707"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C32CCE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707"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3EC777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680"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1AFE24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453"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38893B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453"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9987A4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72AFC912" w14:textId="77777777" w:rsidTr="0062262B">
        <w:trPr>
          <w:cantSplit/>
          <w:tblHeader/>
        </w:trPr>
        <w:tc>
          <w:tcPr>
            <w:tcW w:w="28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554773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34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46E88C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30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81B6D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46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E506F2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41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EC63B7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401"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5E2F79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50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F41A67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35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49BDCB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ginger</w:t>
            </w:r>
          </w:p>
        </w:tc>
        <w:tc>
          <w:tcPr>
            <w:tcW w:w="35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A6EA52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35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1C2B91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32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444F3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453" w:type="pct"/>
            <w:vMerge/>
            <w:tcBorders>
              <w:top w:val="single" w:sz="12" w:space="0" w:color="FFFFFF"/>
              <w:left w:val="single" w:sz="12" w:space="0" w:color="FFFFFF"/>
              <w:bottom w:val="single" w:sz="12" w:space="0" w:color="FFFFFF"/>
              <w:right w:val="single" w:sz="12" w:space="0" w:color="FFFFFF"/>
            </w:tcBorders>
            <w:vAlign w:val="center"/>
            <w:hideMark/>
          </w:tcPr>
          <w:p w14:paraId="15A10945" w14:textId="77777777" w:rsidR="00B41992" w:rsidRDefault="00B41992" w:rsidP="0062262B">
            <w:pPr>
              <w:rPr>
                <w:rFonts w:ascii="Arial Narrow" w:eastAsia="Times New Roman" w:hAnsi="Arial Narrow"/>
                <w:b/>
                <w:bCs/>
                <w:color w:val="FFFFFF"/>
                <w:sz w:val="13"/>
                <w:szCs w:val="13"/>
              </w:rPr>
            </w:pPr>
          </w:p>
        </w:tc>
        <w:tc>
          <w:tcPr>
            <w:tcW w:w="453" w:type="pct"/>
            <w:vMerge/>
            <w:tcBorders>
              <w:top w:val="single" w:sz="12" w:space="0" w:color="FFFFFF"/>
              <w:left w:val="single" w:sz="12" w:space="0" w:color="FFFFFF"/>
              <w:bottom w:val="single" w:sz="12" w:space="0" w:color="FFFFFF"/>
              <w:right w:val="single" w:sz="12" w:space="0" w:color="FFFFFF"/>
            </w:tcBorders>
            <w:vAlign w:val="center"/>
            <w:hideMark/>
          </w:tcPr>
          <w:p w14:paraId="5DED4653" w14:textId="77777777" w:rsidR="00B41992" w:rsidRDefault="00B41992" w:rsidP="0062262B">
            <w:pPr>
              <w:rPr>
                <w:rFonts w:ascii="Arial Narrow" w:eastAsia="Times New Roman" w:hAnsi="Arial Narrow"/>
                <w:b/>
                <w:bCs/>
                <w:color w:val="FFFFFF"/>
                <w:sz w:val="13"/>
                <w:szCs w:val="13"/>
              </w:rPr>
            </w:pPr>
          </w:p>
        </w:tc>
      </w:tr>
      <w:tr w:rsidR="00B41992" w14:paraId="0FDAD887" w14:textId="77777777" w:rsidTr="0062262B">
        <w:trPr>
          <w:cantSplit/>
        </w:trPr>
        <w:tc>
          <w:tcPr>
            <w:tcW w:w="5000" w:type="pct"/>
            <w:gridSpan w:val="13"/>
            <w:shd w:val="clear" w:color="auto" w:fill="FFFFFF"/>
            <w:tcMar>
              <w:top w:w="75" w:type="dxa"/>
              <w:left w:w="38" w:type="dxa"/>
              <w:bottom w:w="38" w:type="dxa"/>
              <w:right w:w="38" w:type="dxa"/>
            </w:tcMar>
            <w:vAlign w:val="center"/>
            <w:hideMark/>
          </w:tcPr>
          <w:p w14:paraId="5CC1BF75"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MDR</w:t>
            </w:r>
          </w:p>
        </w:tc>
      </w:tr>
      <w:tr w:rsidR="00B41992" w14:paraId="232DC8BB" w14:textId="77777777" w:rsidTr="0062262B">
        <w:trPr>
          <w:cantSplit/>
        </w:trPr>
        <w:tc>
          <w:tcPr>
            <w:tcW w:w="281" w:type="pct"/>
            <w:tcBorders>
              <w:top w:val="single" w:sz="6" w:space="0" w:color="000000"/>
              <w:left w:val="single" w:sz="6" w:space="0" w:color="000000"/>
              <w:bottom w:val="single" w:sz="6" w:space="0" w:color="000000"/>
              <w:right w:val="single" w:sz="6" w:space="0" w:color="000000"/>
            </w:tcBorders>
            <w:hideMark/>
          </w:tcPr>
          <w:p w14:paraId="59B1718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40" w:type="pct"/>
            <w:tcBorders>
              <w:top w:val="single" w:sz="6" w:space="0" w:color="000000"/>
              <w:left w:val="single" w:sz="6" w:space="0" w:color="000000"/>
              <w:bottom w:val="single" w:sz="6" w:space="0" w:color="000000"/>
              <w:right w:val="single" w:sz="6" w:space="0" w:color="000000"/>
            </w:tcBorders>
            <w:hideMark/>
          </w:tcPr>
          <w:p w14:paraId="075D5AF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03" w:type="pct"/>
            <w:tcBorders>
              <w:top w:val="single" w:sz="6" w:space="0" w:color="000000"/>
              <w:left w:val="single" w:sz="6" w:space="0" w:color="000000"/>
              <w:bottom w:val="single" w:sz="6" w:space="0" w:color="000000"/>
              <w:right w:val="single" w:sz="6" w:space="0" w:color="000000"/>
            </w:tcBorders>
            <w:hideMark/>
          </w:tcPr>
          <w:p w14:paraId="23780A3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62" w:type="pct"/>
            <w:tcBorders>
              <w:top w:val="single" w:sz="6" w:space="0" w:color="000000"/>
              <w:left w:val="single" w:sz="6" w:space="0" w:color="000000"/>
              <w:bottom w:val="single" w:sz="6" w:space="0" w:color="000000"/>
              <w:right w:val="single" w:sz="6" w:space="0" w:color="000000"/>
            </w:tcBorders>
            <w:hideMark/>
          </w:tcPr>
          <w:p w14:paraId="4F2D320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17" w:type="pct"/>
            <w:tcBorders>
              <w:top w:val="single" w:sz="6" w:space="0" w:color="000000"/>
              <w:left w:val="single" w:sz="6" w:space="0" w:color="000000"/>
              <w:bottom w:val="single" w:sz="6" w:space="0" w:color="000000"/>
              <w:right w:val="single" w:sz="6" w:space="0" w:color="000000"/>
            </w:tcBorders>
            <w:hideMark/>
          </w:tcPr>
          <w:p w14:paraId="13E42F8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01" w:type="pct"/>
            <w:tcBorders>
              <w:top w:val="single" w:sz="6" w:space="0" w:color="000000"/>
              <w:left w:val="single" w:sz="6" w:space="0" w:color="000000"/>
              <w:bottom w:val="single" w:sz="6" w:space="0" w:color="000000"/>
              <w:right w:val="single" w:sz="6" w:space="0" w:color="000000"/>
            </w:tcBorders>
            <w:hideMark/>
          </w:tcPr>
          <w:p w14:paraId="33FFF56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03" w:type="pct"/>
            <w:tcBorders>
              <w:top w:val="single" w:sz="6" w:space="0" w:color="000000"/>
              <w:left w:val="single" w:sz="6" w:space="0" w:color="000000"/>
              <w:bottom w:val="single" w:sz="6" w:space="0" w:color="000000"/>
              <w:right w:val="single" w:sz="6" w:space="0" w:color="000000"/>
            </w:tcBorders>
            <w:hideMark/>
          </w:tcPr>
          <w:p w14:paraId="7D7571F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354" w:type="pct"/>
            <w:tcBorders>
              <w:top w:val="single" w:sz="6" w:space="0" w:color="000000"/>
              <w:left w:val="single" w:sz="6" w:space="0" w:color="000000"/>
              <w:bottom w:val="single" w:sz="6" w:space="0" w:color="000000"/>
              <w:right w:val="single" w:sz="6" w:space="0" w:color="000000"/>
            </w:tcBorders>
            <w:hideMark/>
          </w:tcPr>
          <w:p w14:paraId="1DA0ED04" w14:textId="77777777" w:rsidR="00B41992" w:rsidRDefault="00B41992" w:rsidP="0062262B">
            <w:pPr>
              <w:jc w:val="center"/>
              <w:rPr>
                <w:rFonts w:ascii="Arial Narrow" w:eastAsia="Times New Roman" w:hAnsi="Arial Narrow"/>
                <w:sz w:val="13"/>
                <w:szCs w:val="13"/>
              </w:rPr>
            </w:pPr>
          </w:p>
        </w:tc>
        <w:tc>
          <w:tcPr>
            <w:tcW w:w="354" w:type="pct"/>
            <w:tcBorders>
              <w:top w:val="single" w:sz="6" w:space="0" w:color="000000"/>
              <w:left w:val="single" w:sz="6" w:space="0" w:color="000000"/>
              <w:bottom w:val="single" w:sz="6" w:space="0" w:color="000000"/>
              <w:right w:val="single" w:sz="6" w:space="0" w:color="000000"/>
            </w:tcBorders>
            <w:hideMark/>
          </w:tcPr>
          <w:p w14:paraId="41B16A6D" w14:textId="77777777" w:rsidR="00B41992" w:rsidRDefault="00B41992" w:rsidP="0062262B">
            <w:pPr>
              <w:jc w:val="center"/>
              <w:rPr>
                <w:rFonts w:eastAsia="Times New Roman"/>
                <w:sz w:val="20"/>
                <w:szCs w:val="20"/>
              </w:rPr>
            </w:pPr>
          </w:p>
        </w:tc>
        <w:tc>
          <w:tcPr>
            <w:tcW w:w="354" w:type="pct"/>
            <w:tcBorders>
              <w:top w:val="single" w:sz="6" w:space="0" w:color="000000"/>
              <w:left w:val="single" w:sz="6" w:space="0" w:color="000000"/>
              <w:bottom w:val="single" w:sz="6" w:space="0" w:color="000000"/>
              <w:right w:val="single" w:sz="6" w:space="0" w:color="000000"/>
            </w:tcBorders>
            <w:hideMark/>
          </w:tcPr>
          <w:p w14:paraId="4E4CA55F"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not estimable</w:t>
            </w:r>
          </w:p>
        </w:tc>
        <w:tc>
          <w:tcPr>
            <w:tcW w:w="325" w:type="pct"/>
            <w:tcBorders>
              <w:top w:val="single" w:sz="6" w:space="0" w:color="000000"/>
              <w:left w:val="single" w:sz="6" w:space="0" w:color="000000"/>
              <w:bottom w:val="single" w:sz="6" w:space="0" w:color="000000"/>
              <w:right w:val="single" w:sz="6" w:space="0" w:color="000000"/>
            </w:tcBorders>
            <w:hideMark/>
          </w:tcPr>
          <w:p w14:paraId="6D711C2E" w14:textId="77777777" w:rsidR="00B41992" w:rsidRDefault="00B41992" w:rsidP="0062262B">
            <w:pPr>
              <w:jc w:val="center"/>
              <w:rPr>
                <w:rFonts w:ascii="Arial Narrow" w:eastAsia="Times New Roman" w:hAnsi="Arial Narrow"/>
                <w:sz w:val="13"/>
                <w:szCs w:val="13"/>
              </w:rPr>
            </w:pPr>
          </w:p>
        </w:tc>
        <w:tc>
          <w:tcPr>
            <w:tcW w:w="453" w:type="pct"/>
            <w:tcBorders>
              <w:top w:val="single" w:sz="6" w:space="0" w:color="000000"/>
              <w:left w:val="single" w:sz="6" w:space="0" w:color="000000"/>
              <w:bottom w:val="single" w:sz="6" w:space="0" w:color="000000"/>
              <w:right w:val="single" w:sz="6" w:space="0" w:color="000000"/>
            </w:tcBorders>
            <w:hideMark/>
          </w:tcPr>
          <w:p w14:paraId="2752F56B"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453" w:type="pct"/>
            <w:tcBorders>
              <w:top w:val="single" w:sz="6" w:space="0" w:color="000000"/>
              <w:left w:val="single" w:sz="6" w:space="0" w:color="000000"/>
              <w:bottom w:val="single" w:sz="6" w:space="0" w:color="000000"/>
              <w:right w:val="single" w:sz="6" w:space="0" w:color="000000"/>
            </w:tcBorders>
            <w:hideMark/>
          </w:tcPr>
          <w:p w14:paraId="349DC225" w14:textId="77777777" w:rsidR="00B41992" w:rsidRDefault="00B41992" w:rsidP="0062262B">
            <w:pPr>
              <w:jc w:val="center"/>
              <w:rPr>
                <w:rFonts w:ascii="Arial Narrow" w:eastAsia="Times New Roman" w:hAnsi="Arial Narrow"/>
                <w:sz w:val="13"/>
                <w:szCs w:val="13"/>
              </w:rPr>
            </w:pPr>
          </w:p>
        </w:tc>
      </w:tr>
      <w:tr w:rsidR="00B41992" w14:paraId="289E8351" w14:textId="77777777" w:rsidTr="0062262B">
        <w:trPr>
          <w:cantSplit/>
        </w:trPr>
        <w:tc>
          <w:tcPr>
            <w:tcW w:w="5000" w:type="pct"/>
            <w:gridSpan w:val="13"/>
            <w:shd w:val="clear" w:color="auto" w:fill="FFFFFF"/>
            <w:tcMar>
              <w:top w:w="75" w:type="dxa"/>
              <w:left w:w="38" w:type="dxa"/>
              <w:bottom w:w="38" w:type="dxa"/>
              <w:right w:w="38" w:type="dxa"/>
            </w:tcMar>
            <w:vAlign w:val="center"/>
            <w:hideMark/>
          </w:tcPr>
          <w:p w14:paraId="2E7A65C2"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RR</w:t>
            </w:r>
          </w:p>
        </w:tc>
      </w:tr>
      <w:tr w:rsidR="00B41992" w14:paraId="777CDB0D" w14:textId="77777777" w:rsidTr="0062262B">
        <w:trPr>
          <w:cantSplit/>
        </w:trPr>
        <w:tc>
          <w:tcPr>
            <w:tcW w:w="281" w:type="pct"/>
            <w:tcBorders>
              <w:top w:val="single" w:sz="6" w:space="0" w:color="000000"/>
              <w:left w:val="single" w:sz="6" w:space="0" w:color="000000"/>
              <w:bottom w:val="single" w:sz="6" w:space="0" w:color="000000"/>
              <w:right w:val="single" w:sz="6" w:space="0" w:color="000000"/>
            </w:tcBorders>
            <w:hideMark/>
          </w:tcPr>
          <w:p w14:paraId="64208AF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40" w:type="pct"/>
            <w:tcBorders>
              <w:top w:val="single" w:sz="6" w:space="0" w:color="000000"/>
              <w:left w:val="single" w:sz="6" w:space="0" w:color="000000"/>
              <w:bottom w:val="single" w:sz="6" w:space="0" w:color="000000"/>
              <w:right w:val="single" w:sz="6" w:space="0" w:color="000000"/>
            </w:tcBorders>
            <w:hideMark/>
          </w:tcPr>
          <w:p w14:paraId="4F80566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03" w:type="pct"/>
            <w:tcBorders>
              <w:top w:val="single" w:sz="6" w:space="0" w:color="000000"/>
              <w:left w:val="single" w:sz="6" w:space="0" w:color="000000"/>
              <w:bottom w:val="single" w:sz="6" w:space="0" w:color="000000"/>
              <w:right w:val="single" w:sz="6" w:space="0" w:color="000000"/>
            </w:tcBorders>
            <w:hideMark/>
          </w:tcPr>
          <w:p w14:paraId="097FDFD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62" w:type="pct"/>
            <w:tcBorders>
              <w:top w:val="single" w:sz="6" w:space="0" w:color="000000"/>
              <w:left w:val="single" w:sz="6" w:space="0" w:color="000000"/>
              <w:bottom w:val="single" w:sz="6" w:space="0" w:color="000000"/>
              <w:right w:val="single" w:sz="6" w:space="0" w:color="000000"/>
            </w:tcBorders>
            <w:hideMark/>
          </w:tcPr>
          <w:p w14:paraId="09BA67C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17" w:type="pct"/>
            <w:tcBorders>
              <w:top w:val="single" w:sz="6" w:space="0" w:color="000000"/>
              <w:left w:val="single" w:sz="6" w:space="0" w:color="000000"/>
              <w:bottom w:val="single" w:sz="6" w:space="0" w:color="000000"/>
              <w:right w:val="single" w:sz="6" w:space="0" w:color="000000"/>
            </w:tcBorders>
            <w:hideMark/>
          </w:tcPr>
          <w:p w14:paraId="4F2C647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401" w:type="pct"/>
            <w:tcBorders>
              <w:top w:val="single" w:sz="6" w:space="0" w:color="000000"/>
              <w:left w:val="single" w:sz="6" w:space="0" w:color="000000"/>
              <w:bottom w:val="single" w:sz="6" w:space="0" w:color="000000"/>
              <w:right w:val="single" w:sz="6" w:space="0" w:color="000000"/>
            </w:tcBorders>
            <w:hideMark/>
          </w:tcPr>
          <w:p w14:paraId="7516BF8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03" w:type="pct"/>
            <w:tcBorders>
              <w:top w:val="single" w:sz="6" w:space="0" w:color="000000"/>
              <w:left w:val="single" w:sz="6" w:space="0" w:color="000000"/>
              <w:bottom w:val="single" w:sz="6" w:space="0" w:color="000000"/>
              <w:right w:val="single" w:sz="6" w:space="0" w:color="000000"/>
            </w:tcBorders>
            <w:hideMark/>
          </w:tcPr>
          <w:p w14:paraId="04BFAFB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354" w:type="pct"/>
            <w:tcBorders>
              <w:top w:val="single" w:sz="6" w:space="0" w:color="000000"/>
              <w:left w:val="single" w:sz="6" w:space="0" w:color="000000"/>
              <w:bottom w:val="single" w:sz="6" w:space="0" w:color="000000"/>
              <w:right w:val="single" w:sz="6" w:space="0" w:color="000000"/>
            </w:tcBorders>
            <w:hideMark/>
          </w:tcPr>
          <w:p w14:paraId="48C59098" w14:textId="77777777" w:rsidR="00B41992" w:rsidRDefault="00B41992" w:rsidP="0062262B">
            <w:pPr>
              <w:jc w:val="center"/>
              <w:rPr>
                <w:rFonts w:ascii="Arial Narrow" w:eastAsia="Times New Roman" w:hAnsi="Arial Narrow"/>
                <w:sz w:val="13"/>
                <w:szCs w:val="13"/>
              </w:rPr>
            </w:pPr>
          </w:p>
        </w:tc>
        <w:tc>
          <w:tcPr>
            <w:tcW w:w="354" w:type="pct"/>
            <w:tcBorders>
              <w:top w:val="single" w:sz="6" w:space="0" w:color="000000"/>
              <w:left w:val="single" w:sz="6" w:space="0" w:color="000000"/>
              <w:bottom w:val="single" w:sz="6" w:space="0" w:color="000000"/>
              <w:right w:val="single" w:sz="6" w:space="0" w:color="000000"/>
            </w:tcBorders>
            <w:hideMark/>
          </w:tcPr>
          <w:p w14:paraId="5E48F421" w14:textId="77777777" w:rsidR="00B41992" w:rsidRDefault="00B41992" w:rsidP="0062262B">
            <w:pPr>
              <w:jc w:val="center"/>
              <w:rPr>
                <w:rFonts w:eastAsia="Times New Roman"/>
                <w:sz w:val="20"/>
                <w:szCs w:val="20"/>
              </w:rPr>
            </w:pPr>
          </w:p>
        </w:tc>
        <w:tc>
          <w:tcPr>
            <w:tcW w:w="354" w:type="pct"/>
            <w:tcBorders>
              <w:top w:val="single" w:sz="6" w:space="0" w:color="000000"/>
              <w:left w:val="single" w:sz="6" w:space="0" w:color="000000"/>
              <w:bottom w:val="single" w:sz="6" w:space="0" w:color="000000"/>
              <w:right w:val="single" w:sz="6" w:space="0" w:color="000000"/>
            </w:tcBorders>
            <w:hideMark/>
          </w:tcPr>
          <w:p w14:paraId="2FCA78D2"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not estimable</w:t>
            </w:r>
          </w:p>
        </w:tc>
        <w:tc>
          <w:tcPr>
            <w:tcW w:w="325" w:type="pct"/>
            <w:tcBorders>
              <w:top w:val="single" w:sz="6" w:space="0" w:color="000000"/>
              <w:left w:val="single" w:sz="6" w:space="0" w:color="000000"/>
              <w:bottom w:val="single" w:sz="6" w:space="0" w:color="000000"/>
              <w:right w:val="single" w:sz="6" w:space="0" w:color="000000"/>
            </w:tcBorders>
            <w:hideMark/>
          </w:tcPr>
          <w:p w14:paraId="0589DA2C" w14:textId="77777777" w:rsidR="00B41992" w:rsidRDefault="00B41992" w:rsidP="0062262B">
            <w:pPr>
              <w:jc w:val="center"/>
              <w:rPr>
                <w:rFonts w:ascii="Arial Narrow" w:eastAsia="Times New Roman" w:hAnsi="Arial Narrow"/>
                <w:sz w:val="13"/>
                <w:szCs w:val="13"/>
              </w:rPr>
            </w:pPr>
          </w:p>
        </w:tc>
        <w:tc>
          <w:tcPr>
            <w:tcW w:w="453" w:type="pct"/>
            <w:tcBorders>
              <w:top w:val="single" w:sz="6" w:space="0" w:color="000000"/>
              <w:left w:val="single" w:sz="6" w:space="0" w:color="000000"/>
              <w:bottom w:val="single" w:sz="6" w:space="0" w:color="000000"/>
              <w:right w:val="single" w:sz="6" w:space="0" w:color="000000"/>
            </w:tcBorders>
            <w:hideMark/>
          </w:tcPr>
          <w:p w14:paraId="14838136"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High</w:t>
            </w:r>
          </w:p>
        </w:tc>
        <w:tc>
          <w:tcPr>
            <w:tcW w:w="453" w:type="pct"/>
            <w:tcBorders>
              <w:top w:val="single" w:sz="6" w:space="0" w:color="000000"/>
              <w:left w:val="single" w:sz="6" w:space="0" w:color="000000"/>
              <w:bottom w:val="single" w:sz="6" w:space="0" w:color="000000"/>
              <w:right w:val="single" w:sz="6" w:space="0" w:color="000000"/>
            </w:tcBorders>
            <w:hideMark/>
          </w:tcPr>
          <w:p w14:paraId="1400A313" w14:textId="77777777" w:rsidR="00B41992" w:rsidRDefault="00B41992" w:rsidP="0062262B">
            <w:pPr>
              <w:jc w:val="center"/>
              <w:rPr>
                <w:rFonts w:ascii="Arial Narrow" w:eastAsia="Times New Roman" w:hAnsi="Arial Narrow"/>
                <w:sz w:val="13"/>
                <w:szCs w:val="13"/>
              </w:rPr>
            </w:pPr>
          </w:p>
        </w:tc>
      </w:tr>
    </w:tbl>
    <w:p w14:paraId="0BEC890C"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I:</w:t>
      </w:r>
      <w:r>
        <w:rPr>
          <w:rFonts w:ascii="Arial Narrow" w:hAnsi="Arial Narrow"/>
          <w:color w:val="000000"/>
          <w:sz w:val="14"/>
          <w:szCs w:val="14"/>
          <w:lang w:val="en"/>
        </w:rPr>
        <w:t xml:space="preserve"> confidence interval</w:t>
      </w:r>
    </w:p>
    <w:p w14:paraId="0C5246A3" w14:textId="77777777" w:rsidR="00B41992" w:rsidRDefault="00B41992" w:rsidP="00B41992"/>
    <w:p w14:paraId="4B6C944F" w14:textId="77777777" w:rsidR="00B41992" w:rsidRDefault="00B41992" w:rsidP="00B41992"/>
    <w:p w14:paraId="1F828447" w14:textId="77777777" w:rsidR="00B41992" w:rsidRDefault="00B41992" w:rsidP="00B41992"/>
    <w:p w14:paraId="6D1948A5" w14:textId="77777777" w:rsidR="00B41992" w:rsidRDefault="00B41992" w:rsidP="00B41992"/>
    <w:p w14:paraId="7E04CC43" w14:textId="77777777" w:rsidR="00B41992" w:rsidRDefault="00B41992" w:rsidP="00B41992"/>
    <w:p w14:paraId="191D1CF4" w14:textId="77777777" w:rsidR="00B41992" w:rsidRDefault="00B41992" w:rsidP="00B41992"/>
    <w:p w14:paraId="0CEC84CD" w14:textId="77777777" w:rsidR="00B41992" w:rsidRDefault="00B41992" w:rsidP="00B41992"/>
    <w:p w14:paraId="68AF5CE0" w14:textId="77777777" w:rsidR="00B41992" w:rsidRPr="005C5EF8" w:rsidRDefault="00B41992" w:rsidP="00B41992">
      <w:pPr>
        <w:rPr>
          <w:b/>
          <w:bCs/>
          <w:sz w:val="32"/>
          <w:szCs w:val="32"/>
        </w:rPr>
      </w:pPr>
      <w:r w:rsidRPr="005C5EF8">
        <w:rPr>
          <w:b/>
          <w:bCs/>
          <w:sz w:val="32"/>
          <w:szCs w:val="32"/>
        </w:rPr>
        <w:t>3.16.1 Melatonin in Episodic Migraine</w:t>
      </w:r>
    </w:p>
    <w:p w14:paraId="2A8AE441" w14:textId="77777777" w:rsidR="00B41992" w:rsidRPr="00372904" w:rsidRDefault="00B41992" w:rsidP="00B41992">
      <w:bookmarkStart w:id="17" w:name="_Hlk151735693"/>
      <w:r w:rsidRPr="00372904">
        <w:t xml:space="preserve">Two studies </w:t>
      </w:r>
      <w:r>
        <w:t xml:space="preserve">against placebo </w:t>
      </w:r>
      <w:r w:rsidRPr="00372904">
        <w:t>were found, Alstadhaug et al 2010</w:t>
      </w:r>
      <w:r>
        <w:t xml:space="preserve"> </w:t>
      </w:r>
      <w:r>
        <w:fldChar w:fldCharType="begin"/>
      </w:r>
      <w:r>
        <w:instrText xml:space="preserve"> ADDIN ZOTERO_ITEM CSL_CITATION {"citationID":"kCzthXvK","properties":{"formattedCitation":"(75)","plainCitation":"(75)","noteIndex":0},"citationItems":[{"id":5760,"uris":["http://zotero.org/users/5131939/items/8MMHJHTD"],"itemData":{"id":5760,"type":"article-journal","abstract":"A previous open-label study of melatonin, a key substance in the circadian system, has shown effects on migraine that warrant a placebo-controlled study.\nA randomized, double-blind, placebo-controlled crossover study was carried out in 2 centers. Men and women, aged 18-65 years, with migraine but otherwise healthy, experiencing 2-7 attacks per month, were recruited from the general population. After a 4-week run-in phase, 48 subjects were randomized to receive either placebo or extended-release melatonin (Circadin®, Neurim Pharmaceuticals Ltd., Tel Aviv, Israel) at a dose of 2 mg 1 hour before bedtime for 8 weeks. After a 6-week washout treatment was switched. The primary outcome was migraine attack frequency (AF). A secondary endpoint was sleep quality assessed by the Pittsburgh Sleep Quality Index (PSQI).\nForty-six subjects completed the study (96%). During the run-in phase, the average AF was 4.2 (±1.2) per month and during melatonin treatment the AF was 2.8 (±1.6). However, the reduction in AF during placebo was almost equal (p = 0.497). Absolute risk reduction was 3% (95% confidence interval -15 to 21, number needed to treat = 33). A highly significant time effect was found. The mean global PSQI score did not improve during treatment (p = 0.09).\nThis study provides Class I evidence that prolonged-release melatonin (2 mg 1 hour before bedtime) does not provide any significant effect over placebo as migraine prophylaxis.\nThis study provides Class I evidence that 2 mg of prolonged release melatonin given 1 hour before bedtime for a duration of 8 weeks did not result in a reduction in migraine frequency compared with placebo (p = 0.497).","container-title":"Neurology","DOI":"10.1212/WNL.0b013e3181f9618c","journalAbbreviation":"Neurology","page":"1527-32","source":"ResearchGate","title":"Prophylaxis of migraine with melatonin: A randomized controlled trial","title-short":"Prophylaxis of migraine with melatonin","volume":"75","author":[{"family":"Alstadhaug","given":"Karl"},{"family":"Odeh","given":"Francis"},{"family":"Salvesen","given":"Rolf"},{"family":"Bekkelund","given":"Svein"}],"issued":{"date-parts":[["2010",10,1]]}}}],"schema":"https://github.com/citation-style-language/schema/raw/master/csl-citation.json"} </w:instrText>
      </w:r>
      <w:r>
        <w:fldChar w:fldCharType="separate"/>
      </w:r>
      <w:r w:rsidRPr="008B19FB">
        <w:rPr>
          <w:rFonts w:ascii="Calibri" w:hAnsi="Calibri" w:cs="Calibri"/>
        </w:rPr>
        <w:t>(75)</w:t>
      </w:r>
      <w:r>
        <w:fldChar w:fldCharType="end"/>
      </w:r>
      <w:r w:rsidRPr="00372904">
        <w:t xml:space="preserve"> </w:t>
      </w:r>
      <w:r>
        <w:t xml:space="preserve">(low ROB) </w:t>
      </w:r>
      <w:r w:rsidRPr="00372904">
        <w:t xml:space="preserve">used 2 mg melatonin, Goncalves et al </w:t>
      </w:r>
      <w:r>
        <w:t xml:space="preserve">2016 </w:t>
      </w:r>
      <w:r>
        <w:fldChar w:fldCharType="begin"/>
      </w:r>
      <w:r>
        <w:instrText xml:space="preserve"> ADDIN ZOTERO_ITEM CSL_CITATION {"citationID":"xHhHEE84","properties":{"formattedCitation":"(76)","plainCitation":"(76)","noteIndex":0},"citationItems":[{"id":5852,"uris":["http://zotero.org/users/5131939/items/3FQAXAND"],"itemData":{"id":5852,"type":"article-journal","archive_location":"27165014","container-title":"Journal of Neurology, Neurosurgery and Psychiatry","DOI":"10.1136/jnnp-2016-313458","issue":"10","journalAbbreviation":"Journal of Neurology, Neurosurgery and Psychiatry","page":"1127-32","title":"Randomised clinical trial comparing melatonin 3 mg, amitriptyline 25 mg and placebo for migraine prevention","volume":"87","author":[{"family":"Goncalves","given":"A. L."},{"family":"Martini Ferreira","given":"A."},{"family":"Ribeiro","given":"R. T."},{"family":"Zukerman","given":"E."},{"family":"Cipolla-Neto","given":"J."},{"family":"Peres","given":"M. F."}],"issued":{"date-parts":[["2016"]]}}}],"schema":"https://github.com/citation-style-language/schema/raw/master/csl-citation.json"} </w:instrText>
      </w:r>
      <w:r>
        <w:fldChar w:fldCharType="separate"/>
      </w:r>
      <w:r w:rsidRPr="008B19FB">
        <w:rPr>
          <w:rFonts w:ascii="Calibri" w:hAnsi="Calibri" w:cs="Calibri"/>
        </w:rPr>
        <w:t>(76)</w:t>
      </w:r>
      <w:r>
        <w:fldChar w:fldCharType="end"/>
      </w:r>
      <w:r>
        <w:t xml:space="preserve"> (high ROB) </w:t>
      </w:r>
      <w:r w:rsidRPr="00372904">
        <w:t>used 3 mg melatonin.</w:t>
      </w:r>
      <w:r>
        <w:t xml:space="preserve"> </w:t>
      </w:r>
    </w:p>
    <w:bookmarkEnd w:id="17"/>
    <w:p w14:paraId="2D635427" w14:textId="77777777" w:rsidR="00B41992" w:rsidRPr="006230F1" w:rsidRDefault="00B41992" w:rsidP="00B41992">
      <w:pPr>
        <w:rPr>
          <w:b/>
          <w:bCs/>
          <w:u w:val="single"/>
        </w:rPr>
      </w:pPr>
      <w:r w:rsidRPr="006230F1">
        <w:rPr>
          <w:b/>
          <w:bCs/>
          <w:u w:val="single"/>
        </w:rPr>
        <w:t>Migraine Day Reduction</w:t>
      </w:r>
    </w:p>
    <w:p w14:paraId="56A01B08" w14:textId="77777777" w:rsidR="00B41992" w:rsidRDefault="00B41992" w:rsidP="00B41992">
      <w:r>
        <w:rPr>
          <w:noProof/>
        </w:rPr>
        <w:drawing>
          <wp:inline distT="0" distB="0" distL="0" distR="0" wp14:anchorId="3925E5F8" wp14:editId="7DF43EAC">
            <wp:extent cx="5943600" cy="1351915"/>
            <wp:effectExtent l="0" t="0" r="0" b="0"/>
            <wp:docPr id="1757133187" name="Graphic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33187" name="Graphic 1757133187"/>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943600" cy="1351915"/>
                    </a:xfrm>
                    <a:prstGeom prst="rect">
                      <a:avLst/>
                    </a:prstGeom>
                  </pic:spPr>
                </pic:pic>
              </a:graphicData>
            </a:graphic>
          </wp:inline>
        </w:drawing>
      </w:r>
    </w:p>
    <w:p w14:paraId="5739EAF4" w14:textId="77777777" w:rsidR="00B41992" w:rsidRDefault="00B41992" w:rsidP="00B41992">
      <w:pPr>
        <w:rPr>
          <w:noProof/>
        </w:rPr>
      </w:pPr>
      <w:r>
        <w:t>50% Responder Rat</w:t>
      </w:r>
      <w:r>
        <w:rPr>
          <w:noProof/>
        </w:rPr>
        <w:t>e</w:t>
      </w:r>
    </w:p>
    <w:p w14:paraId="63F785CE" w14:textId="77777777" w:rsidR="00B41992" w:rsidRDefault="00B41992" w:rsidP="00B41992">
      <w:r>
        <w:rPr>
          <w:noProof/>
        </w:rPr>
        <w:drawing>
          <wp:inline distT="0" distB="0" distL="0" distR="0" wp14:anchorId="1E1535B0" wp14:editId="2EB95550">
            <wp:extent cx="5943600" cy="1656715"/>
            <wp:effectExtent l="0" t="0" r="0" b="0"/>
            <wp:docPr id="1072666153" name="Graphic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66153" name="Graphic 1072666153"/>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943600" cy="1656715"/>
                    </a:xfrm>
                    <a:prstGeom prst="rect">
                      <a:avLst/>
                    </a:prstGeom>
                  </pic:spPr>
                </pic:pic>
              </a:graphicData>
            </a:graphic>
          </wp:inline>
        </w:drawing>
      </w:r>
    </w:p>
    <w:p w14:paraId="29D510A5" w14:textId="77777777" w:rsidR="00B41992" w:rsidRDefault="00B41992" w:rsidP="00B41992">
      <w:r>
        <w:t>Adverse Events</w:t>
      </w:r>
    </w:p>
    <w:p w14:paraId="6DEC577D" w14:textId="77777777" w:rsidR="00B41992" w:rsidRPr="003C3068" w:rsidRDefault="00B41992" w:rsidP="00B41992">
      <w:r>
        <w:rPr>
          <w:noProof/>
        </w:rPr>
        <w:drawing>
          <wp:inline distT="0" distB="0" distL="0" distR="0" wp14:anchorId="170AB6A1" wp14:editId="110D0CCB">
            <wp:extent cx="5943600" cy="1694180"/>
            <wp:effectExtent l="0" t="0" r="0" b="0"/>
            <wp:docPr id="1222350579" name="Graphic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50579" name="Graphic 1222350579"/>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943600" cy="1694180"/>
                    </a:xfrm>
                    <a:prstGeom prst="rect">
                      <a:avLst/>
                    </a:prstGeom>
                  </pic:spPr>
                </pic:pic>
              </a:graphicData>
            </a:graphic>
          </wp:inline>
        </w:drawing>
      </w:r>
    </w:p>
    <w:p w14:paraId="1EE5568A" w14:textId="77777777" w:rsidR="00B41992" w:rsidRDefault="00B41992" w:rsidP="00B41992">
      <w:pPr>
        <w:rPr>
          <w:b/>
          <w:bCs/>
          <w:sz w:val="28"/>
          <w:szCs w:val="28"/>
          <w:u w:val="single"/>
        </w:rPr>
      </w:pPr>
    </w:p>
    <w:p w14:paraId="5F35B6FC" w14:textId="77777777" w:rsidR="00B41992" w:rsidRDefault="00B41992" w:rsidP="00B41992">
      <w:pPr>
        <w:rPr>
          <w:b/>
          <w:bCs/>
          <w:sz w:val="28"/>
          <w:szCs w:val="28"/>
          <w:u w:val="single"/>
        </w:rPr>
      </w:pPr>
    </w:p>
    <w:p w14:paraId="2AB9CCFF" w14:textId="77777777" w:rsidR="00B41992" w:rsidRDefault="00B41992" w:rsidP="00B41992">
      <w:pPr>
        <w:rPr>
          <w:b/>
          <w:bCs/>
          <w:sz w:val="28"/>
          <w:szCs w:val="28"/>
          <w:u w:val="single"/>
        </w:rPr>
      </w:pPr>
    </w:p>
    <w:p w14:paraId="34FA183F" w14:textId="77777777" w:rsidR="00B41992" w:rsidRDefault="00B41992" w:rsidP="00B41992">
      <w:pPr>
        <w:rPr>
          <w:b/>
          <w:bCs/>
          <w:sz w:val="28"/>
          <w:szCs w:val="28"/>
          <w:u w:val="single"/>
        </w:rPr>
      </w:pPr>
    </w:p>
    <w:p w14:paraId="7980F8E8" w14:textId="77777777" w:rsidR="00B41992" w:rsidRDefault="00B41992" w:rsidP="00B41992">
      <w:pPr>
        <w:rPr>
          <w:b/>
          <w:bCs/>
          <w:sz w:val="28"/>
          <w:szCs w:val="28"/>
          <w:u w:val="single"/>
        </w:rPr>
      </w:pPr>
    </w:p>
    <w:p w14:paraId="63D9DC2F" w14:textId="77777777" w:rsidR="00B41992" w:rsidRPr="00A45F02" w:rsidRDefault="00B41992" w:rsidP="00B41992">
      <w:pPr>
        <w:rPr>
          <w:b/>
          <w:bCs/>
          <w:sz w:val="28"/>
          <w:szCs w:val="28"/>
          <w:u w:val="single"/>
        </w:rPr>
      </w:pPr>
      <w:r w:rsidRPr="00356351">
        <w:rPr>
          <w:b/>
          <w:bCs/>
          <w:sz w:val="28"/>
          <w:szCs w:val="28"/>
          <w:u w:val="single"/>
        </w:rPr>
        <w:lastRenderedPageBreak/>
        <w:t>Summary of findings table</w:t>
      </w:r>
      <w:r>
        <w:rPr>
          <w:b/>
          <w:bCs/>
          <w:sz w:val="28"/>
          <w:szCs w:val="28"/>
          <w:u w:val="single"/>
        </w:rPr>
        <w:t xml:space="preserve"> for Melatonin in Episodic Migraine</w:t>
      </w:r>
    </w:p>
    <w:p w14:paraId="37E0D350"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Melatonin compared to placebo for migriane prevention</w:t>
      </w:r>
    </w:p>
    <w:p w14:paraId="47176E8B" w14:textId="77777777" w:rsidR="00B41992" w:rsidRDefault="00B41992" w:rsidP="00B41992">
      <w:pPr>
        <w:rPr>
          <w:rFonts w:ascii="Arial Narrow" w:eastAsia="Times New Roman" w:hAnsi="Arial Narrow"/>
          <w:color w:val="000000"/>
          <w:sz w:val="14"/>
          <w:szCs w:val="14"/>
          <w:lang w:val="en"/>
        </w:rPr>
      </w:pP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49"/>
        <w:gridCol w:w="862"/>
        <w:gridCol w:w="779"/>
        <w:gridCol w:w="749"/>
        <w:gridCol w:w="921"/>
        <w:gridCol w:w="654"/>
        <w:gridCol w:w="634"/>
        <w:gridCol w:w="644"/>
        <w:gridCol w:w="607"/>
        <w:gridCol w:w="945"/>
        <w:gridCol w:w="828"/>
      </w:tblGrid>
      <w:tr w:rsidR="00B41992" w14:paraId="20CF2425"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8F8931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33026A9"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947EF8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7BD92A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EAF940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235B032C"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5AA511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1F6D62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582390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D1ED5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38A5CB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E1306C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AF90D7D"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F87498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melatonin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41CA71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A422E0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7EC063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24B7B072"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5F8C2EE" w14:textId="77777777" w:rsidR="00B41992" w:rsidRDefault="00B41992" w:rsidP="0062262B">
            <w:pPr>
              <w:rPr>
                <w:rFonts w:ascii="Arial Narrow" w:eastAsia="Times New Roman" w:hAnsi="Arial Narrow"/>
                <w:b/>
                <w:bCs/>
                <w:color w:val="FFFFFF"/>
                <w:sz w:val="13"/>
                <w:szCs w:val="13"/>
              </w:rPr>
            </w:pPr>
          </w:p>
        </w:tc>
      </w:tr>
      <w:tr w:rsidR="00B41992" w14:paraId="0258F33A"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7595793C"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w:t>
            </w:r>
          </w:p>
        </w:tc>
      </w:tr>
      <w:tr w:rsidR="00B41992" w14:paraId="0367890C"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2977B86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70EB554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0F33D5F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2A5508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2B0E5FE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181B7C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c</w:t>
            </w:r>
          </w:p>
        </w:tc>
        <w:tc>
          <w:tcPr>
            <w:tcW w:w="550" w:type="pct"/>
            <w:tcBorders>
              <w:top w:val="single" w:sz="6" w:space="0" w:color="000000"/>
              <w:left w:val="single" w:sz="6" w:space="0" w:color="000000"/>
              <w:bottom w:val="single" w:sz="6" w:space="0" w:color="000000"/>
              <w:right w:val="single" w:sz="6" w:space="0" w:color="000000"/>
            </w:tcBorders>
            <w:hideMark/>
          </w:tcPr>
          <w:p w14:paraId="4873E9C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1DBDEF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106</w:t>
            </w:r>
          </w:p>
        </w:tc>
        <w:tc>
          <w:tcPr>
            <w:tcW w:w="400" w:type="pct"/>
            <w:tcBorders>
              <w:top w:val="single" w:sz="6" w:space="0" w:color="000000"/>
              <w:left w:val="single" w:sz="6" w:space="0" w:color="000000"/>
              <w:bottom w:val="single" w:sz="6" w:space="0" w:color="000000"/>
              <w:right w:val="single" w:sz="6" w:space="0" w:color="000000"/>
            </w:tcBorders>
            <w:hideMark/>
          </w:tcPr>
          <w:p w14:paraId="0B049C1F"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105</w:t>
            </w:r>
          </w:p>
        </w:tc>
        <w:tc>
          <w:tcPr>
            <w:tcW w:w="400" w:type="pct"/>
            <w:tcBorders>
              <w:top w:val="single" w:sz="6" w:space="0" w:color="000000"/>
              <w:left w:val="single" w:sz="6" w:space="0" w:color="000000"/>
              <w:bottom w:val="single" w:sz="6" w:space="0" w:color="000000"/>
              <w:right w:val="single" w:sz="6" w:space="0" w:color="000000"/>
            </w:tcBorders>
            <w:hideMark/>
          </w:tcPr>
          <w:p w14:paraId="4AE5F933"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7395EC3F"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0.8 days lower</w:t>
            </w:r>
            <w:r>
              <w:rPr>
                <w:rFonts w:ascii="Arial Narrow" w:eastAsia="Times New Roman" w:hAnsi="Arial Narrow"/>
                <w:sz w:val="13"/>
                <w:szCs w:val="13"/>
              </w:rPr>
              <w:br/>
            </w:r>
            <w:r>
              <w:rPr>
                <w:rStyle w:val="cell-value"/>
                <w:rFonts w:ascii="Arial Narrow" w:eastAsia="Times New Roman" w:hAnsi="Arial Narrow"/>
                <w:sz w:val="13"/>
                <w:szCs w:val="13"/>
              </w:rPr>
              <w:t>(2.27 lower to 0.66 higher)</w:t>
            </w:r>
          </w:p>
        </w:tc>
        <w:tc>
          <w:tcPr>
            <w:tcW w:w="750" w:type="dxa"/>
            <w:tcBorders>
              <w:top w:val="single" w:sz="6" w:space="0" w:color="000000"/>
              <w:left w:val="single" w:sz="6" w:space="0" w:color="000000"/>
              <w:bottom w:val="single" w:sz="6" w:space="0" w:color="000000"/>
              <w:right w:val="single" w:sz="6" w:space="0" w:color="000000"/>
            </w:tcBorders>
            <w:hideMark/>
          </w:tcPr>
          <w:p w14:paraId="59951B1B"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483DBC24" w14:textId="77777777" w:rsidR="00B41992" w:rsidRDefault="00B41992" w:rsidP="0062262B">
            <w:pPr>
              <w:jc w:val="center"/>
              <w:rPr>
                <w:rFonts w:ascii="Arial Narrow" w:eastAsia="Times New Roman" w:hAnsi="Arial Narrow"/>
                <w:sz w:val="13"/>
                <w:szCs w:val="13"/>
              </w:rPr>
            </w:pPr>
          </w:p>
        </w:tc>
      </w:tr>
      <w:tr w:rsidR="00B41992" w14:paraId="6B24C71E"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36014E47"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 (follow-up: mean 12 weeks)</w:t>
            </w:r>
          </w:p>
        </w:tc>
      </w:tr>
      <w:tr w:rsidR="00B41992" w14:paraId="7857AB4B"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7CF7B51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45EC3D6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2FC7BD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B280F1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4AD7EEB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8ED20E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c</w:t>
            </w:r>
          </w:p>
        </w:tc>
        <w:tc>
          <w:tcPr>
            <w:tcW w:w="550" w:type="pct"/>
            <w:tcBorders>
              <w:top w:val="single" w:sz="6" w:space="0" w:color="000000"/>
              <w:left w:val="single" w:sz="6" w:space="0" w:color="000000"/>
              <w:bottom w:val="single" w:sz="6" w:space="0" w:color="000000"/>
              <w:right w:val="single" w:sz="6" w:space="0" w:color="000000"/>
            </w:tcBorders>
            <w:hideMark/>
          </w:tcPr>
          <w:p w14:paraId="1C14B3A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13E120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48/106 (45.3%) </w:t>
            </w:r>
          </w:p>
        </w:tc>
        <w:tc>
          <w:tcPr>
            <w:tcW w:w="400" w:type="pct"/>
            <w:tcBorders>
              <w:top w:val="single" w:sz="6" w:space="0" w:color="000000"/>
              <w:left w:val="single" w:sz="6" w:space="0" w:color="000000"/>
              <w:bottom w:val="single" w:sz="6" w:space="0" w:color="000000"/>
              <w:right w:val="single" w:sz="6" w:space="0" w:color="000000"/>
            </w:tcBorders>
            <w:hideMark/>
          </w:tcPr>
          <w:p w14:paraId="254634AB"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26/105 (24.8%) </w:t>
            </w:r>
          </w:p>
        </w:tc>
        <w:tc>
          <w:tcPr>
            <w:tcW w:w="400" w:type="pct"/>
            <w:tcBorders>
              <w:top w:val="single" w:sz="6" w:space="0" w:color="000000"/>
              <w:left w:val="single" w:sz="6" w:space="0" w:color="000000"/>
              <w:bottom w:val="single" w:sz="6" w:space="0" w:color="000000"/>
              <w:right w:val="single" w:sz="6" w:space="0" w:color="000000"/>
            </w:tcBorders>
            <w:hideMark/>
          </w:tcPr>
          <w:p w14:paraId="115F3859"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2.32</w:t>
            </w:r>
            <w:r>
              <w:rPr>
                <w:rFonts w:ascii="Arial Narrow" w:eastAsia="Times New Roman" w:hAnsi="Arial Narrow"/>
                <w:sz w:val="13"/>
                <w:szCs w:val="13"/>
              </w:rPr>
              <w:br/>
            </w:r>
            <w:r>
              <w:rPr>
                <w:rStyle w:val="cell"/>
                <w:rFonts w:ascii="Arial Narrow" w:eastAsia="Times New Roman" w:hAnsi="Arial Narrow"/>
                <w:sz w:val="13"/>
                <w:szCs w:val="13"/>
              </w:rPr>
              <w:t>(0.55 to 9.77)</w:t>
            </w:r>
          </w:p>
        </w:tc>
        <w:tc>
          <w:tcPr>
            <w:tcW w:w="0" w:type="auto"/>
            <w:tcBorders>
              <w:top w:val="single" w:sz="6" w:space="0" w:color="000000"/>
              <w:left w:val="single" w:sz="6" w:space="0" w:color="000000"/>
              <w:bottom w:val="single" w:sz="6" w:space="0" w:color="000000"/>
              <w:right w:val="single" w:sz="6" w:space="0" w:color="000000"/>
            </w:tcBorders>
            <w:hideMark/>
          </w:tcPr>
          <w:p w14:paraId="0D0178F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19 more per 100</w:t>
            </w:r>
            <w:r>
              <w:rPr>
                <w:rFonts w:ascii="Arial Narrow" w:eastAsia="Times New Roman" w:hAnsi="Arial Narrow"/>
                <w:sz w:val="13"/>
                <w:szCs w:val="13"/>
              </w:rPr>
              <w:br/>
              <w:t>(from 9 fewer to 52 more)</w:t>
            </w:r>
          </w:p>
        </w:tc>
        <w:tc>
          <w:tcPr>
            <w:tcW w:w="750" w:type="dxa"/>
            <w:tcBorders>
              <w:top w:val="single" w:sz="6" w:space="0" w:color="000000"/>
              <w:left w:val="single" w:sz="6" w:space="0" w:color="000000"/>
              <w:bottom w:val="single" w:sz="6" w:space="0" w:color="000000"/>
              <w:right w:val="single" w:sz="6" w:space="0" w:color="000000"/>
            </w:tcBorders>
            <w:hideMark/>
          </w:tcPr>
          <w:p w14:paraId="0C8A4BEA"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308EFB9E" w14:textId="77777777" w:rsidR="00B41992" w:rsidRDefault="00B41992" w:rsidP="0062262B">
            <w:pPr>
              <w:jc w:val="center"/>
              <w:rPr>
                <w:rFonts w:ascii="Arial Narrow" w:eastAsia="Times New Roman" w:hAnsi="Arial Narrow"/>
                <w:sz w:val="13"/>
                <w:szCs w:val="13"/>
              </w:rPr>
            </w:pPr>
          </w:p>
        </w:tc>
      </w:tr>
      <w:tr w:rsidR="00B41992" w14:paraId="589847BB"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565366B6"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w:t>
            </w:r>
          </w:p>
        </w:tc>
      </w:tr>
      <w:tr w:rsidR="00B41992" w14:paraId="39F0FD3D"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6504B53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00A7CDA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0884F2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4850CDA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EEE601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9E9968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140345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7241D0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19/106 (17.9%) </w:t>
            </w:r>
          </w:p>
        </w:tc>
        <w:tc>
          <w:tcPr>
            <w:tcW w:w="400" w:type="pct"/>
            <w:tcBorders>
              <w:top w:val="single" w:sz="6" w:space="0" w:color="000000"/>
              <w:left w:val="single" w:sz="6" w:space="0" w:color="000000"/>
              <w:bottom w:val="single" w:sz="6" w:space="0" w:color="000000"/>
              <w:right w:val="single" w:sz="6" w:space="0" w:color="000000"/>
            </w:tcBorders>
            <w:hideMark/>
          </w:tcPr>
          <w:p w14:paraId="6F7B982C"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22/105 (21.0%) </w:t>
            </w:r>
          </w:p>
        </w:tc>
        <w:tc>
          <w:tcPr>
            <w:tcW w:w="400" w:type="pct"/>
            <w:tcBorders>
              <w:top w:val="single" w:sz="6" w:space="0" w:color="000000"/>
              <w:left w:val="single" w:sz="6" w:space="0" w:color="000000"/>
              <w:bottom w:val="single" w:sz="6" w:space="0" w:color="000000"/>
              <w:right w:val="single" w:sz="6" w:space="0" w:color="000000"/>
            </w:tcBorders>
            <w:hideMark/>
          </w:tcPr>
          <w:p w14:paraId="7389B403"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0.81</w:t>
            </w:r>
            <w:r>
              <w:rPr>
                <w:rFonts w:ascii="Arial Narrow" w:eastAsia="Times New Roman" w:hAnsi="Arial Narrow"/>
                <w:sz w:val="13"/>
                <w:szCs w:val="13"/>
              </w:rPr>
              <w:br/>
            </w:r>
            <w:r>
              <w:rPr>
                <w:rStyle w:val="cell"/>
                <w:rFonts w:ascii="Arial Narrow" w:eastAsia="Times New Roman" w:hAnsi="Arial Narrow"/>
                <w:sz w:val="13"/>
                <w:szCs w:val="13"/>
              </w:rPr>
              <w:t>(0.40 to 1.64)</w:t>
            </w:r>
          </w:p>
        </w:tc>
        <w:tc>
          <w:tcPr>
            <w:tcW w:w="0" w:type="auto"/>
            <w:tcBorders>
              <w:top w:val="single" w:sz="6" w:space="0" w:color="000000"/>
              <w:left w:val="single" w:sz="6" w:space="0" w:color="000000"/>
              <w:bottom w:val="single" w:sz="6" w:space="0" w:color="000000"/>
              <w:right w:val="single" w:sz="6" w:space="0" w:color="000000"/>
            </w:tcBorders>
            <w:hideMark/>
          </w:tcPr>
          <w:p w14:paraId="04CBC3D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3 fewer per 100</w:t>
            </w:r>
            <w:r>
              <w:rPr>
                <w:rFonts w:ascii="Arial Narrow" w:eastAsia="Times New Roman" w:hAnsi="Arial Narrow"/>
                <w:sz w:val="13"/>
                <w:szCs w:val="13"/>
              </w:rPr>
              <w:br/>
              <w:t>(from 11 fewer to 9 more)</w:t>
            </w:r>
          </w:p>
        </w:tc>
        <w:tc>
          <w:tcPr>
            <w:tcW w:w="750" w:type="dxa"/>
            <w:tcBorders>
              <w:top w:val="single" w:sz="6" w:space="0" w:color="000000"/>
              <w:left w:val="single" w:sz="6" w:space="0" w:color="000000"/>
              <w:bottom w:val="single" w:sz="6" w:space="0" w:color="000000"/>
              <w:right w:val="single" w:sz="6" w:space="0" w:color="000000"/>
            </w:tcBorders>
            <w:hideMark/>
          </w:tcPr>
          <w:p w14:paraId="1823CB9F"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30474A0F" w14:textId="77777777" w:rsidR="00B41992" w:rsidRDefault="00B41992" w:rsidP="0062262B">
            <w:pPr>
              <w:jc w:val="center"/>
              <w:rPr>
                <w:rFonts w:ascii="Arial Narrow" w:eastAsia="Times New Roman" w:hAnsi="Arial Narrow"/>
                <w:sz w:val="13"/>
                <w:szCs w:val="13"/>
              </w:rPr>
            </w:pPr>
          </w:p>
        </w:tc>
      </w:tr>
    </w:tbl>
    <w:p w14:paraId="6D2FD431"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5EEC3D22"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27F21965"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a. 1/2 studies high ROB, other study low</w:t>
      </w:r>
    </w:p>
    <w:p w14:paraId="0DC4FB94"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b. P=0.02 for heterogeneity and I2 &gt;=80%</w:t>
      </w:r>
    </w:p>
    <w:p w14:paraId="58F425F8"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c. OR through null and wide confidence intervals</w:t>
      </w:r>
    </w:p>
    <w:p w14:paraId="296186B1" w14:textId="77777777" w:rsidR="00B41992" w:rsidRDefault="00B41992" w:rsidP="00B41992"/>
    <w:p w14:paraId="1D7907D9" w14:textId="77777777" w:rsidR="00B41992" w:rsidRDefault="00B41992" w:rsidP="00B41992"/>
    <w:p w14:paraId="472ED79D" w14:textId="77777777" w:rsidR="00B41992" w:rsidRDefault="00B41992" w:rsidP="00B41992"/>
    <w:p w14:paraId="6B127C52" w14:textId="77777777" w:rsidR="00B41992" w:rsidRDefault="00B41992" w:rsidP="00B41992"/>
    <w:p w14:paraId="3F385145" w14:textId="77777777" w:rsidR="00B41992" w:rsidRPr="00C63BDD" w:rsidRDefault="00B41992" w:rsidP="00B41992">
      <w:pPr>
        <w:rPr>
          <w:b/>
          <w:bCs/>
          <w:sz w:val="32"/>
          <w:szCs w:val="32"/>
        </w:rPr>
      </w:pPr>
      <w:r w:rsidRPr="00C63BDD">
        <w:rPr>
          <w:b/>
          <w:bCs/>
          <w:sz w:val="32"/>
          <w:szCs w:val="32"/>
        </w:rPr>
        <w:t xml:space="preserve">3.17.1 Memantine in Episodic Migraine </w:t>
      </w:r>
    </w:p>
    <w:p w14:paraId="6E92AB17" w14:textId="77777777" w:rsidR="00B41992" w:rsidRDefault="00B41992" w:rsidP="00B41992">
      <w:bookmarkStart w:id="18" w:name="_Hlk151737074"/>
      <w:r>
        <w:t>There were two studies looking at this question.</w:t>
      </w:r>
    </w:p>
    <w:p w14:paraId="0BBA8832" w14:textId="77777777" w:rsidR="00B41992" w:rsidRDefault="00B41992" w:rsidP="00B41992">
      <w:r>
        <w:t xml:space="preserve">Noruzzadeh et al, 2016 </w:t>
      </w:r>
      <w:r>
        <w:fldChar w:fldCharType="begin"/>
      </w:r>
      <w:r>
        <w:instrText xml:space="preserve"> ADDIN ZOTERO_ITEM CSL_CITATION {"citationID":"9HXy5U4K","properties":{"formattedCitation":"(77)","plainCitation":"(77)","noteIndex":0},"citationItems":[{"id":5854,"uris":["http://zotero.org/users/5131939/items/HW757CVK"],"itemData":{"id":5854,"type":"article-journal","archive_location":"26638119","container-title":"Headache","DOI":"10.1111/head.12732","issue":"1","journalAbbreviation":"Headache","page":"95-103","title":"Memantine for Prophylactic Treatment of Migraine Without Aura: A Randomized Double-Blind Placebo-Controlled Study","volume":"56","author":[{"family":"Noruzzadeh","given":"R."},{"family":"Modabbernia","given":"A."},{"family":"Aghamollaii","given":"V."},{"family":"Ghaffarpour","given":"M."},{"family":"Harirchian","given":"M. H."},{"family":"Salahi","given":"S."},{"family":"Nikbakht","given":"N."},{"family":"Noruzi","given":"N."},{"family":"Tafakhori","given":"A."}],"issued":{"date-parts":[["2016"]]}}}],"schema":"https://github.com/citation-style-language/schema/raw/master/csl-citation.json"} </w:instrText>
      </w:r>
      <w:r>
        <w:fldChar w:fldCharType="separate"/>
      </w:r>
      <w:r w:rsidRPr="008B19FB">
        <w:rPr>
          <w:rFonts w:ascii="Calibri" w:hAnsi="Calibri" w:cs="Calibri"/>
        </w:rPr>
        <w:t>(77)</w:t>
      </w:r>
      <w:r>
        <w:fldChar w:fldCharType="end"/>
      </w:r>
      <w:r>
        <w:t xml:space="preserve"> (low ROB)</w:t>
      </w:r>
    </w:p>
    <w:p w14:paraId="0E079CF1" w14:textId="77777777" w:rsidR="00B41992" w:rsidRDefault="00B41992" w:rsidP="00B41992">
      <w:r>
        <w:t xml:space="preserve">Sahmugam et al, 2019 </w:t>
      </w:r>
      <w:r>
        <w:fldChar w:fldCharType="begin"/>
      </w:r>
      <w:r>
        <w:instrText xml:space="preserve"> ADDIN ZOTERO_ITEM CSL_CITATION {"citationID":"VtetDi8a","properties":{"formattedCitation":"(78)","plainCitation":"(78)","noteIndex":0},"citationItems":[{"id":5881,"uris":["http://zotero.org/users/5131939/items/AQEQ9JSR"],"itemData":{"id":5881,"type":"article-journal","container-title":"Annals of Indian Academy of Neurology","issue":"3","journalAbbreviation":"Annals of Indian Academy of Neurology","note":"publisher: Wolters Kluwer--Medknow Publications","page":"286","title":"Memantine ameliorates migraine headache","volume":"22","author":[{"family":"Shanmugam","given":"Sundar"},{"family":"Karunaikadal","given":"Kranthi"},{"family":"Varadarajan","given":"Sathyanarayanan"},{"family":"Krishnan","given":"Muthuraj"}],"issued":{"date-parts":[["2019"]]}}}],"schema":"https://github.com/citation-style-language/schema/raw/master/csl-citation.json"} </w:instrText>
      </w:r>
      <w:r>
        <w:fldChar w:fldCharType="separate"/>
      </w:r>
      <w:r w:rsidRPr="008B19FB">
        <w:rPr>
          <w:rFonts w:ascii="Calibri" w:hAnsi="Calibri" w:cs="Calibri"/>
        </w:rPr>
        <w:t>(78)</w:t>
      </w:r>
      <w:r>
        <w:fldChar w:fldCharType="end"/>
      </w:r>
      <w:r>
        <w:t xml:space="preserve"> (low ROB)</w:t>
      </w:r>
    </w:p>
    <w:bookmarkEnd w:id="18"/>
    <w:p w14:paraId="551C748F" w14:textId="77777777" w:rsidR="00B41992" w:rsidRPr="00E0578C" w:rsidRDefault="00B41992" w:rsidP="00B41992">
      <w:pPr>
        <w:rPr>
          <w:b/>
          <w:bCs/>
          <w:u w:val="single"/>
        </w:rPr>
      </w:pPr>
      <w:r w:rsidRPr="00E0578C">
        <w:rPr>
          <w:b/>
          <w:bCs/>
          <w:u w:val="single"/>
        </w:rPr>
        <w:t>Migraine Day Reduction</w:t>
      </w:r>
    </w:p>
    <w:p w14:paraId="3FB075D4" w14:textId="77777777" w:rsidR="00B41992" w:rsidRDefault="00B41992" w:rsidP="00B41992">
      <w:r>
        <w:rPr>
          <w:noProof/>
        </w:rPr>
        <w:drawing>
          <wp:inline distT="0" distB="0" distL="0" distR="0" wp14:anchorId="3CB0741B" wp14:editId="5862F7AA">
            <wp:extent cx="5943600" cy="1364615"/>
            <wp:effectExtent l="0" t="0" r="0" b="0"/>
            <wp:docPr id="168560716" name="Graphic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0716" name="Graphic 168560716"/>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943600" cy="1364615"/>
                    </a:xfrm>
                    <a:prstGeom prst="rect">
                      <a:avLst/>
                    </a:prstGeom>
                  </pic:spPr>
                </pic:pic>
              </a:graphicData>
            </a:graphic>
          </wp:inline>
        </w:drawing>
      </w:r>
    </w:p>
    <w:p w14:paraId="6FA524B9" w14:textId="77777777" w:rsidR="00B41992" w:rsidRDefault="00B41992" w:rsidP="00B41992"/>
    <w:p w14:paraId="2D7EBDD3" w14:textId="77777777" w:rsidR="00B41992" w:rsidRDefault="00B41992" w:rsidP="00B41992"/>
    <w:p w14:paraId="724521CA" w14:textId="77777777" w:rsidR="00B41992" w:rsidRDefault="00B41992" w:rsidP="00B41992"/>
    <w:p w14:paraId="612E2FED" w14:textId="77777777" w:rsidR="00B41992" w:rsidRDefault="00B41992" w:rsidP="00B41992"/>
    <w:p w14:paraId="43F18684" w14:textId="77777777" w:rsidR="00B41992" w:rsidRDefault="00B41992" w:rsidP="00B41992"/>
    <w:p w14:paraId="23C2539E" w14:textId="77777777" w:rsidR="00B41992" w:rsidRPr="00E0578C" w:rsidRDefault="00B41992" w:rsidP="00B41992">
      <w:pPr>
        <w:rPr>
          <w:b/>
          <w:bCs/>
          <w:noProof/>
          <w:u w:val="single"/>
        </w:rPr>
      </w:pPr>
      <w:r w:rsidRPr="00E0578C">
        <w:rPr>
          <w:b/>
          <w:bCs/>
          <w:u w:val="single"/>
        </w:rPr>
        <w:lastRenderedPageBreak/>
        <w:t>50% Responder Rat</w:t>
      </w:r>
      <w:r w:rsidRPr="00E0578C">
        <w:rPr>
          <w:b/>
          <w:bCs/>
          <w:noProof/>
          <w:u w:val="single"/>
        </w:rPr>
        <w:t>e</w:t>
      </w:r>
    </w:p>
    <w:p w14:paraId="710E89D2" w14:textId="77777777" w:rsidR="00B41992" w:rsidRDefault="00B41992" w:rsidP="00B41992">
      <w:r>
        <w:rPr>
          <w:noProof/>
        </w:rPr>
        <w:drawing>
          <wp:inline distT="0" distB="0" distL="0" distR="0" wp14:anchorId="67C41603" wp14:editId="688D6873">
            <wp:extent cx="5943600" cy="1518920"/>
            <wp:effectExtent l="0" t="0" r="0" b="0"/>
            <wp:docPr id="502004432" name="Graphic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04432" name="Graphic 502004432"/>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943600" cy="1518920"/>
                    </a:xfrm>
                    <a:prstGeom prst="rect">
                      <a:avLst/>
                    </a:prstGeom>
                  </pic:spPr>
                </pic:pic>
              </a:graphicData>
            </a:graphic>
          </wp:inline>
        </w:drawing>
      </w:r>
    </w:p>
    <w:p w14:paraId="55CA2AAF" w14:textId="77777777" w:rsidR="00B41992" w:rsidRDefault="00B41992" w:rsidP="00B41992">
      <w:pPr>
        <w:rPr>
          <w:b/>
          <w:bCs/>
          <w:u w:val="single"/>
        </w:rPr>
      </w:pPr>
    </w:p>
    <w:p w14:paraId="47D45CE8" w14:textId="77777777" w:rsidR="00B41992" w:rsidRDefault="00B41992" w:rsidP="00B41992">
      <w:pPr>
        <w:rPr>
          <w:b/>
          <w:bCs/>
          <w:u w:val="single"/>
        </w:rPr>
      </w:pPr>
      <w:r w:rsidRPr="00E0578C">
        <w:rPr>
          <w:b/>
          <w:bCs/>
          <w:u w:val="single"/>
        </w:rPr>
        <w:t>Adverse</w:t>
      </w:r>
      <w:r>
        <w:rPr>
          <w:b/>
          <w:bCs/>
          <w:u w:val="single"/>
        </w:rPr>
        <w:t xml:space="preserve"> Events</w:t>
      </w:r>
    </w:p>
    <w:p w14:paraId="38FD083F" w14:textId="77777777" w:rsidR="00B41992" w:rsidRDefault="00B41992" w:rsidP="00B41992">
      <w:r>
        <w:rPr>
          <w:noProof/>
        </w:rPr>
        <w:drawing>
          <wp:inline distT="0" distB="0" distL="0" distR="0" wp14:anchorId="13ECEB2E" wp14:editId="030710AB">
            <wp:extent cx="5943600" cy="1694180"/>
            <wp:effectExtent l="0" t="0" r="0" b="0"/>
            <wp:docPr id="911341921" name="Graphic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41921" name="Graphic 91134192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943600" cy="1694180"/>
                    </a:xfrm>
                    <a:prstGeom prst="rect">
                      <a:avLst/>
                    </a:prstGeom>
                  </pic:spPr>
                </pic:pic>
              </a:graphicData>
            </a:graphic>
          </wp:inline>
        </w:drawing>
      </w:r>
    </w:p>
    <w:p w14:paraId="5E323C2A" w14:textId="77777777" w:rsidR="00B41992" w:rsidRDefault="00B41992" w:rsidP="00B41992"/>
    <w:p w14:paraId="483B0AF2" w14:textId="77777777" w:rsidR="00B41992" w:rsidRDefault="00B41992" w:rsidP="00B41992"/>
    <w:p w14:paraId="1C1FD124" w14:textId="77777777" w:rsidR="00B41992" w:rsidRDefault="00B41992" w:rsidP="00B41992"/>
    <w:p w14:paraId="0BA702C9" w14:textId="77777777" w:rsidR="00B41992" w:rsidRPr="003C3068" w:rsidRDefault="00B41992" w:rsidP="00B41992"/>
    <w:p w14:paraId="21228F0C" w14:textId="77777777" w:rsidR="00B41992" w:rsidRPr="00E0578C"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Memantine in Episodic Migraine</w:t>
      </w:r>
    </w:p>
    <w:p w14:paraId="45D67169"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Mementine compared to placebo for episodic migraine</w:t>
      </w: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66"/>
        <w:gridCol w:w="862"/>
        <w:gridCol w:w="779"/>
        <w:gridCol w:w="749"/>
        <w:gridCol w:w="938"/>
        <w:gridCol w:w="713"/>
        <w:gridCol w:w="607"/>
        <w:gridCol w:w="661"/>
        <w:gridCol w:w="607"/>
        <w:gridCol w:w="853"/>
        <w:gridCol w:w="837"/>
      </w:tblGrid>
      <w:tr w:rsidR="00B41992" w14:paraId="49B5DC36"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EC9AFDF"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A6CD8F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CCCB5E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46C2D6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51675E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6DDEF6D7"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0CDCD6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24E7ED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8654A2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0D9EB7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32C254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F9DF85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A4D179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A8FE57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mementine</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D62AA4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D2B011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5D4C78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EF6BA5D"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A587074" w14:textId="77777777" w:rsidR="00B41992" w:rsidRDefault="00B41992" w:rsidP="0062262B">
            <w:pPr>
              <w:rPr>
                <w:rFonts w:ascii="Arial Narrow" w:eastAsia="Times New Roman" w:hAnsi="Arial Narrow"/>
                <w:b/>
                <w:bCs/>
                <w:color w:val="FFFFFF"/>
                <w:sz w:val="13"/>
                <w:szCs w:val="13"/>
              </w:rPr>
            </w:pPr>
          </w:p>
        </w:tc>
      </w:tr>
      <w:tr w:rsidR="00B41992" w14:paraId="1B3B1E2C"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1DB09B1B"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w:t>
            </w:r>
          </w:p>
        </w:tc>
      </w:tr>
      <w:tr w:rsidR="00B41992" w14:paraId="22C5EEE1"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46013CC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38855A0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6EDAF60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11CB18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4D332D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551BDF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550" w:type="pct"/>
            <w:tcBorders>
              <w:top w:val="single" w:sz="6" w:space="0" w:color="000000"/>
              <w:left w:val="single" w:sz="6" w:space="0" w:color="000000"/>
              <w:bottom w:val="single" w:sz="6" w:space="0" w:color="000000"/>
              <w:right w:val="single" w:sz="6" w:space="0" w:color="000000"/>
            </w:tcBorders>
            <w:hideMark/>
          </w:tcPr>
          <w:p w14:paraId="3BF27DF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0D7F5A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58</w:t>
            </w:r>
          </w:p>
        </w:tc>
        <w:tc>
          <w:tcPr>
            <w:tcW w:w="400" w:type="pct"/>
            <w:tcBorders>
              <w:top w:val="single" w:sz="6" w:space="0" w:color="000000"/>
              <w:left w:val="single" w:sz="6" w:space="0" w:color="000000"/>
              <w:bottom w:val="single" w:sz="6" w:space="0" w:color="000000"/>
              <w:right w:val="single" w:sz="6" w:space="0" w:color="000000"/>
            </w:tcBorders>
            <w:hideMark/>
          </w:tcPr>
          <w:p w14:paraId="57F8D27A"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59</w:t>
            </w:r>
          </w:p>
        </w:tc>
        <w:tc>
          <w:tcPr>
            <w:tcW w:w="400" w:type="pct"/>
            <w:tcBorders>
              <w:top w:val="single" w:sz="6" w:space="0" w:color="000000"/>
              <w:left w:val="single" w:sz="6" w:space="0" w:color="000000"/>
              <w:bottom w:val="single" w:sz="6" w:space="0" w:color="000000"/>
              <w:right w:val="single" w:sz="6" w:space="0" w:color="000000"/>
            </w:tcBorders>
            <w:hideMark/>
          </w:tcPr>
          <w:p w14:paraId="7FAF69FC"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0781D652"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3.47 days lower</w:t>
            </w:r>
            <w:r>
              <w:rPr>
                <w:rFonts w:ascii="Arial Narrow" w:eastAsia="Times New Roman" w:hAnsi="Arial Narrow"/>
                <w:sz w:val="13"/>
                <w:szCs w:val="13"/>
              </w:rPr>
              <w:br/>
            </w:r>
            <w:r>
              <w:rPr>
                <w:rStyle w:val="cell-value"/>
                <w:rFonts w:ascii="Arial Narrow" w:eastAsia="Times New Roman" w:hAnsi="Arial Narrow"/>
                <w:sz w:val="13"/>
                <w:szCs w:val="13"/>
              </w:rPr>
              <w:t>(5.25 lower to 1.7 lower)</w:t>
            </w:r>
          </w:p>
        </w:tc>
        <w:tc>
          <w:tcPr>
            <w:tcW w:w="750" w:type="dxa"/>
            <w:tcBorders>
              <w:top w:val="single" w:sz="6" w:space="0" w:color="000000"/>
              <w:left w:val="single" w:sz="6" w:space="0" w:color="000000"/>
              <w:bottom w:val="single" w:sz="6" w:space="0" w:color="000000"/>
              <w:right w:val="single" w:sz="6" w:space="0" w:color="000000"/>
            </w:tcBorders>
            <w:hideMark/>
          </w:tcPr>
          <w:p w14:paraId="1B07BF50" w14:textId="77777777" w:rsidR="00B41992" w:rsidRPr="00A3560A" w:rsidRDefault="00B41992" w:rsidP="0062262B">
            <w:pPr>
              <w:jc w:val="center"/>
              <w:rPr>
                <w:rFonts w:ascii="Arial Narrow" w:eastAsia="Times New Roman" w:hAnsi="Arial Narrow"/>
                <w:sz w:val="13"/>
                <w:szCs w:val="13"/>
              </w:rPr>
            </w:pPr>
            <w:r w:rsidRPr="00A3560A">
              <w:rPr>
                <w:rFonts w:ascii="Cambria Math" w:eastAsia="Times New Roman" w:hAnsi="Cambria Math" w:cs="Cambria Math"/>
                <w:sz w:val="13"/>
                <w:szCs w:val="13"/>
              </w:rPr>
              <w:t>⨁⨁⨁⨁</w:t>
            </w:r>
          </w:p>
          <w:p w14:paraId="13432A65" w14:textId="77777777" w:rsidR="00B41992" w:rsidRDefault="00B41992" w:rsidP="0062262B">
            <w:pPr>
              <w:jc w:val="center"/>
              <w:rPr>
                <w:rFonts w:ascii="Arial Narrow" w:eastAsia="Times New Roman" w:hAnsi="Arial Narrow"/>
                <w:sz w:val="13"/>
                <w:szCs w:val="13"/>
              </w:rPr>
            </w:pPr>
            <w:r w:rsidRPr="00A3560A">
              <w:rPr>
                <w:rFonts w:ascii="Arial Narrow" w:eastAsia="Times New Roman" w:hAnsi="Arial Narrow"/>
                <w:sz w:val="13"/>
                <w:szCs w:val="13"/>
              </w:rPr>
              <w:t>High</w:t>
            </w:r>
          </w:p>
        </w:tc>
        <w:tc>
          <w:tcPr>
            <w:tcW w:w="500" w:type="pct"/>
            <w:tcBorders>
              <w:top w:val="single" w:sz="6" w:space="0" w:color="000000"/>
              <w:left w:val="single" w:sz="6" w:space="0" w:color="000000"/>
              <w:bottom w:val="single" w:sz="6" w:space="0" w:color="000000"/>
              <w:right w:val="single" w:sz="6" w:space="0" w:color="000000"/>
            </w:tcBorders>
            <w:hideMark/>
          </w:tcPr>
          <w:p w14:paraId="12BE1F5D" w14:textId="77777777" w:rsidR="00B41992" w:rsidRDefault="00B41992" w:rsidP="0062262B">
            <w:pPr>
              <w:rPr>
                <w:rFonts w:ascii="Arial Narrow" w:eastAsia="Times New Roman" w:hAnsi="Arial Narrow"/>
                <w:sz w:val="13"/>
                <w:szCs w:val="13"/>
              </w:rPr>
            </w:pPr>
          </w:p>
        </w:tc>
      </w:tr>
      <w:tr w:rsidR="00B41992" w14:paraId="62D45FE7"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1E69FB24"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w:t>
            </w:r>
          </w:p>
        </w:tc>
      </w:tr>
      <w:tr w:rsidR="00B41992" w14:paraId="30EC1482"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08701A3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4FAAFFD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6E25634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B5E468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AC56C0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2CF574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4755661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239510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24/28 (85.7%) </w:t>
            </w:r>
          </w:p>
        </w:tc>
        <w:tc>
          <w:tcPr>
            <w:tcW w:w="400" w:type="pct"/>
            <w:tcBorders>
              <w:top w:val="single" w:sz="6" w:space="0" w:color="000000"/>
              <w:left w:val="single" w:sz="6" w:space="0" w:color="000000"/>
              <w:bottom w:val="single" w:sz="6" w:space="0" w:color="000000"/>
              <w:right w:val="single" w:sz="6" w:space="0" w:color="000000"/>
            </w:tcBorders>
            <w:hideMark/>
          </w:tcPr>
          <w:p w14:paraId="5BE62B85"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15/29 (51.7%) </w:t>
            </w:r>
          </w:p>
        </w:tc>
        <w:tc>
          <w:tcPr>
            <w:tcW w:w="400" w:type="pct"/>
            <w:tcBorders>
              <w:top w:val="single" w:sz="6" w:space="0" w:color="000000"/>
              <w:left w:val="single" w:sz="6" w:space="0" w:color="000000"/>
              <w:bottom w:val="single" w:sz="6" w:space="0" w:color="000000"/>
              <w:right w:val="single" w:sz="6" w:space="0" w:color="000000"/>
            </w:tcBorders>
            <w:hideMark/>
          </w:tcPr>
          <w:p w14:paraId="28206D14"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5.60</w:t>
            </w:r>
            <w:r>
              <w:rPr>
                <w:rFonts w:ascii="Arial Narrow" w:eastAsia="Times New Roman" w:hAnsi="Arial Narrow"/>
                <w:sz w:val="13"/>
                <w:szCs w:val="13"/>
              </w:rPr>
              <w:br/>
            </w:r>
            <w:r>
              <w:rPr>
                <w:rStyle w:val="cell"/>
                <w:rFonts w:ascii="Arial Narrow" w:eastAsia="Times New Roman" w:hAnsi="Arial Narrow"/>
                <w:sz w:val="13"/>
                <w:szCs w:val="13"/>
              </w:rPr>
              <w:t>(1.55 to 20.24)</w:t>
            </w:r>
          </w:p>
        </w:tc>
        <w:tc>
          <w:tcPr>
            <w:tcW w:w="0" w:type="auto"/>
            <w:tcBorders>
              <w:top w:val="single" w:sz="6" w:space="0" w:color="000000"/>
              <w:left w:val="single" w:sz="6" w:space="0" w:color="000000"/>
              <w:bottom w:val="single" w:sz="6" w:space="0" w:color="000000"/>
              <w:right w:val="single" w:sz="6" w:space="0" w:color="000000"/>
            </w:tcBorders>
            <w:hideMark/>
          </w:tcPr>
          <w:p w14:paraId="7F0550F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34 more per 100</w:t>
            </w:r>
            <w:r>
              <w:rPr>
                <w:rFonts w:ascii="Arial Narrow" w:eastAsia="Times New Roman" w:hAnsi="Arial Narrow"/>
                <w:sz w:val="13"/>
                <w:szCs w:val="13"/>
              </w:rPr>
              <w:br/>
              <w:t>(from 11 more to 44 more)</w:t>
            </w:r>
          </w:p>
        </w:tc>
        <w:tc>
          <w:tcPr>
            <w:tcW w:w="750" w:type="dxa"/>
            <w:tcBorders>
              <w:top w:val="single" w:sz="6" w:space="0" w:color="000000"/>
              <w:left w:val="single" w:sz="6" w:space="0" w:color="000000"/>
              <w:bottom w:val="single" w:sz="6" w:space="0" w:color="000000"/>
              <w:right w:val="single" w:sz="6" w:space="0" w:color="000000"/>
            </w:tcBorders>
            <w:hideMark/>
          </w:tcPr>
          <w:p w14:paraId="0A00C0A5"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59EB3F66" w14:textId="77777777" w:rsidR="00B41992" w:rsidRDefault="00B41992" w:rsidP="0062262B">
            <w:pPr>
              <w:rPr>
                <w:rFonts w:ascii="Arial Narrow" w:eastAsia="Times New Roman" w:hAnsi="Arial Narrow"/>
                <w:sz w:val="13"/>
                <w:szCs w:val="13"/>
              </w:rPr>
            </w:pPr>
          </w:p>
        </w:tc>
      </w:tr>
      <w:tr w:rsidR="00B41992" w14:paraId="5DFCE75A"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6BDB7AA4"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w:t>
            </w:r>
          </w:p>
        </w:tc>
      </w:tr>
      <w:tr w:rsidR="00B41992" w14:paraId="585C3757"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4A44589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3B084E9C"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8BC8CC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47109BB"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F8F0C31"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DD3BC0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2EE0EE5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624A0B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 xml:space="preserve">8/58 (13.8%) </w:t>
            </w:r>
          </w:p>
        </w:tc>
        <w:tc>
          <w:tcPr>
            <w:tcW w:w="400" w:type="pct"/>
            <w:tcBorders>
              <w:top w:val="single" w:sz="6" w:space="0" w:color="000000"/>
              <w:left w:val="single" w:sz="6" w:space="0" w:color="000000"/>
              <w:bottom w:val="single" w:sz="6" w:space="0" w:color="000000"/>
              <w:right w:val="single" w:sz="6" w:space="0" w:color="000000"/>
            </w:tcBorders>
            <w:hideMark/>
          </w:tcPr>
          <w:p w14:paraId="4635E119"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6/59 (10.2%) </w:t>
            </w:r>
          </w:p>
        </w:tc>
        <w:tc>
          <w:tcPr>
            <w:tcW w:w="400" w:type="pct"/>
            <w:tcBorders>
              <w:top w:val="single" w:sz="6" w:space="0" w:color="000000"/>
              <w:left w:val="single" w:sz="6" w:space="0" w:color="000000"/>
              <w:bottom w:val="single" w:sz="6" w:space="0" w:color="000000"/>
              <w:right w:val="single" w:sz="6" w:space="0" w:color="000000"/>
            </w:tcBorders>
            <w:hideMark/>
          </w:tcPr>
          <w:p w14:paraId="1C094F68" w14:textId="77777777" w:rsidR="00B41992" w:rsidRDefault="00B41992" w:rsidP="0062262B">
            <w:pPr>
              <w:jc w:val="center"/>
              <w:rPr>
                <w:rFonts w:ascii="Arial Narrow" w:eastAsia="Times New Roman" w:hAnsi="Arial Narrow"/>
                <w:sz w:val="13"/>
                <w:szCs w:val="13"/>
              </w:rPr>
            </w:pPr>
            <w:r>
              <w:rPr>
                <w:rStyle w:val="block"/>
                <w:rFonts w:ascii="Arial Narrow" w:eastAsia="Times New Roman" w:hAnsi="Arial Narrow"/>
                <w:b/>
                <w:bCs/>
                <w:sz w:val="13"/>
                <w:szCs w:val="13"/>
              </w:rPr>
              <w:t>OR 1.44</w:t>
            </w:r>
            <w:r>
              <w:rPr>
                <w:rFonts w:ascii="Arial Narrow" w:eastAsia="Times New Roman" w:hAnsi="Arial Narrow"/>
                <w:sz w:val="13"/>
                <w:szCs w:val="13"/>
              </w:rPr>
              <w:br/>
            </w:r>
            <w:r>
              <w:rPr>
                <w:rStyle w:val="cell"/>
                <w:rFonts w:ascii="Arial Narrow" w:eastAsia="Times New Roman" w:hAnsi="Arial Narrow"/>
                <w:sz w:val="13"/>
                <w:szCs w:val="13"/>
              </w:rPr>
              <w:t>(0.46 to 4.53)</w:t>
            </w:r>
          </w:p>
        </w:tc>
        <w:tc>
          <w:tcPr>
            <w:tcW w:w="0" w:type="auto"/>
            <w:tcBorders>
              <w:top w:val="single" w:sz="6" w:space="0" w:color="000000"/>
              <w:left w:val="single" w:sz="6" w:space="0" w:color="000000"/>
              <w:bottom w:val="single" w:sz="6" w:space="0" w:color="000000"/>
              <w:right w:val="single" w:sz="6" w:space="0" w:color="000000"/>
            </w:tcBorders>
            <w:hideMark/>
          </w:tcPr>
          <w:p w14:paraId="2C37FBA9"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b/>
                <w:bCs/>
                <w:sz w:val="13"/>
                <w:szCs w:val="13"/>
              </w:rPr>
              <w:t>4 more per 100</w:t>
            </w:r>
            <w:r>
              <w:rPr>
                <w:rFonts w:ascii="Arial Narrow" w:eastAsia="Times New Roman" w:hAnsi="Arial Narrow"/>
                <w:sz w:val="13"/>
                <w:szCs w:val="13"/>
              </w:rPr>
              <w:br/>
              <w:t>(from 5 fewer to 24 more)</w:t>
            </w:r>
          </w:p>
        </w:tc>
        <w:tc>
          <w:tcPr>
            <w:tcW w:w="750" w:type="dxa"/>
            <w:tcBorders>
              <w:top w:val="single" w:sz="6" w:space="0" w:color="000000"/>
              <w:left w:val="single" w:sz="6" w:space="0" w:color="000000"/>
              <w:bottom w:val="single" w:sz="6" w:space="0" w:color="000000"/>
              <w:right w:val="single" w:sz="6" w:space="0" w:color="000000"/>
            </w:tcBorders>
            <w:hideMark/>
          </w:tcPr>
          <w:p w14:paraId="7ABE42AE"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70110791" w14:textId="77777777" w:rsidR="00B41992" w:rsidRDefault="00B41992" w:rsidP="0062262B">
            <w:pPr>
              <w:rPr>
                <w:rFonts w:ascii="Arial Narrow" w:eastAsia="Times New Roman" w:hAnsi="Arial Narrow"/>
                <w:sz w:val="13"/>
                <w:szCs w:val="13"/>
              </w:rPr>
            </w:pPr>
          </w:p>
        </w:tc>
      </w:tr>
    </w:tbl>
    <w:p w14:paraId="64C3F393"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4C64289E" w14:textId="77777777" w:rsidR="00B41992" w:rsidRDefault="00B41992" w:rsidP="00B41992">
      <w:pPr>
        <w:pStyle w:val="Heading4"/>
        <w:rPr>
          <w:rFonts w:ascii="Arial Narrow" w:hAnsi="Arial Narrow"/>
          <w:color w:val="000000"/>
          <w:lang w:val="en"/>
        </w:rPr>
      </w:pPr>
      <w:r>
        <w:rPr>
          <w:rFonts w:ascii="Arial Narrow" w:hAnsi="Arial Narrow"/>
          <w:color w:val="000000"/>
          <w:lang w:val="en"/>
        </w:rPr>
        <w:t>Explanations</w:t>
      </w:r>
    </w:p>
    <w:p w14:paraId="3977038D"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lastRenderedPageBreak/>
        <w:t>a. small study size</w:t>
      </w:r>
    </w:p>
    <w:p w14:paraId="25CFFD02" w14:textId="77777777" w:rsidR="00B41992" w:rsidRDefault="00B41992" w:rsidP="00B41992">
      <w:pPr>
        <w:rPr>
          <w:b/>
          <w:bCs/>
          <w:sz w:val="32"/>
          <w:szCs w:val="32"/>
        </w:rPr>
      </w:pPr>
    </w:p>
    <w:p w14:paraId="372A05D3" w14:textId="77777777" w:rsidR="00B41992" w:rsidRPr="00C63BDD" w:rsidRDefault="00B41992" w:rsidP="00B41992">
      <w:pPr>
        <w:rPr>
          <w:b/>
          <w:bCs/>
          <w:sz w:val="32"/>
          <w:szCs w:val="32"/>
        </w:rPr>
      </w:pPr>
      <w:r w:rsidRPr="00C63BDD">
        <w:rPr>
          <w:b/>
          <w:bCs/>
          <w:sz w:val="32"/>
          <w:szCs w:val="32"/>
        </w:rPr>
        <w:t>3.18.1 Statin Add On (with other active) For Prevention in Episodic Migraine</w:t>
      </w:r>
      <w:bookmarkStart w:id="19" w:name="_Hlk151736288"/>
    </w:p>
    <w:p w14:paraId="622E5029" w14:textId="77777777" w:rsidR="00B41992" w:rsidRDefault="00B41992" w:rsidP="00B41992">
      <w:r>
        <w:t>We identified two studies with statin add on for prevention of migraine</w:t>
      </w:r>
    </w:p>
    <w:p w14:paraId="25C60CF0" w14:textId="77777777" w:rsidR="00B41992" w:rsidRDefault="00B41992" w:rsidP="00B41992">
      <w:pPr>
        <w:pStyle w:val="ListParagraph"/>
        <w:numPr>
          <w:ilvl w:val="0"/>
          <w:numId w:val="23"/>
        </w:numPr>
        <w:spacing w:after="160"/>
      </w:pPr>
      <w:r>
        <w:t xml:space="preserve">Ganji et al, 2021 </w:t>
      </w:r>
      <w:r>
        <w:fldChar w:fldCharType="begin"/>
      </w:r>
      <w:r>
        <w:instrText xml:space="preserve"> ADDIN ZOTERO_ITEM CSL_CITATION {"citationID":"Uw0dlUKr","properties":{"formattedCitation":"(79)","plainCitation":"(79)","noteIndex":0},"citationItems":[{"id":5866,"uris":["http://zotero.org/users/5131939/items/6GX33W7F"],"itemData":{"id":5866,"type":"article-journal","abstract":"Background: Migraine is a painful and disabling nervous disorder which negatively affects the quality of life. Migraineurs may suffer from a generalized vasomotor dysfunction. Statins improve vasomotor and vascular function, with their pleiotropic effects. We aimed to assess efficacy and safety of adding Atorvastatin to prophylactic regimen in better control of migraine with aura. Method(s): This triple-blind controlled clinical trial was on 68 patients with migraine with aura. An interval of at least 1 month was given to evaluate vitamin D3 level and eligibility. In patients with vitamin D3 deficiency, the correction with vitamin D supplementation was provided. The patients were randomly assigned to receive atorvastatin 20 mg plus sodium valproate 500 mg or placebo plus sodium valproate 500 mg once a day for 2 months. The patients were evaluated based for the number of attacks and pain severity based on Visual Analogue Scale. Result(s): There was a significant (p = 0.0001) improvement in severity of pain and number of migraine attacks by adding Atorvastin to the prophylactic regimen of patients with migraine with aura. After controlling for variable parameters, the differences between two arms of the study was yet statistically significant (p = 0.0001). A significant number of participants in intervention group were satisfied by their treatment (p = 0.001) with no remarkable side effects (P = 0.315). Conclusion(s): Adding atorvastatin to migraine with aura preventive regimen may help reduce the number of acute attacks and pain severity without causing considerable side effects and led to a better patient satisfaction. Trial registration: IRCT20180106038242N1. Registered: 7 February 2018. Copyright © 2021, The Author(s).","archive_location":"2011030726","container-title":"Journal of Pharmaceutical Health Care and Sciences","DOI":"10.1186/s40780-021-00198-8","journalAbbreviation":"Journal of Pharmaceutical Health Care and Sciences","title":"Does atorvastatin have augmentative effects with sodium valproate in prevention of migraine with aura attacks? A triple-blind controlled clinical trial","URL":"http://www.jphcs.net/","volume":"7(1) (no pagination)","author":[{"family":"Ganji","given":"R."},{"family":"Majdinasab","given":"N."},{"family":"Hesam","given":"S."},{"family":"Rostami","given":"N."},{"family":"Sayyah","given":"M."},{"family":"Sahebnasagh","given":"A."}],"issued":{"date-parts":[["2021"]]}}}],"schema":"https://github.com/citation-style-language/schema/raw/master/csl-citation.json"} </w:instrText>
      </w:r>
      <w:r>
        <w:fldChar w:fldCharType="separate"/>
      </w:r>
      <w:r w:rsidRPr="008B19FB">
        <w:rPr>
          <w:rFonts w:ascii="Calibri" w:hAnsi="Calibri" w:cs="Calibri"/>
        </w:rPr>
        <w:t>(79)</w:t>
      </w:r>
      <w:r>
        <w:fldChar w:fldCharType="end"/>
      </w:r>
      <w:r>
        <w:t xml:space="preserve"> where atorvastatin or placebo was added to valproate</w:t>
      </w:r>
    </w:p>
    <w:p w14:paraId="39EB1713" w14:textId="77777777" w:rsidR="00B41992" w:rsidRDefault="00B41992" w:rsidP="00B41992">
      <w:pPr>
        <w:pStyle w:val="ListParagraph"/>
        <w:numPr>
          <w:ilvl w:val="0"/>
          <w:numId w:val="23"/>
        </w:numPr>
        <w:spacing w:after="160"/>
      </w:pPr>
      <w:r>
        <w:t xml:space="preserve">Mazdeh et al, 2020 </w:t>
      </w:r>
      <w:r>
        <w:fldChar w:fldCharType="begin"/>
      </w:r>
      <w:r>
        <w:instrText xml:space="preserve"> ADDIN ZOTERO_ITEM CSL_CITATION {"citationID":"sraguhE9","properties":{"formattedCitation":"(80)","plainCitation":"(80)","noteIndex":0},"citationItems":[{"id":5868,"uris":["http://zotero.org/users/5131939/items/T23ZC4ZV"],"itemData":{"id":5868,"type":"article-journal","abstract":"Aim: To investigate the effect of rosuvastatin in combination with propranolol in reducing migraine attacks. Patients &amp; methods: In a clinical trial study with census method, 120 patients with migraine headache were included. Patients were randomly assigned (using block randomization) to either propranolol (10 mg twice a day) with rosuvastatin (10 mg daily; intervention group [n = 60]) or propranolol (10 mg twice a day) with placebo (control [n = 60]). Result(s): The numbers of attacks were significantly decreased in the intervention group at the end of second, third and fourth weeks from the beginning of the intervention (p &lt; 0.05). Conclusion(s): In patients with migraine, concomitant administration of propranolol (10 mg twice a day) and rosuvastatin (10 mg daily) is effective in reducing migraine attacks. Copyright © 2020 © 2020 Mohammad Taheri.","archive_location":"631942422","container-title":"Future Neurology","DOI":"10.2217/fnl-2019-0029","journalAbbreviation":"Future Neurology","title":"Effect of propranolol with and without rosuvastatin on migraine attacks: A triple blind randomized clinical trial","URL":"http://www.futuremedicine.com/loi/fnl","volume":"15(2) (no pagination)","author":[{"family":"Mazdeh","given":"M."},{"family":"Mahmudian","given":"R."},{"family":"Vafaei","given":"S. Y."},{"family":"Taheri","given":"M."},{"family":"Ghafouri-Fard","given":"S."}],"issued":{"date-parts":[["2020"]]}}}],"schema":"https://github.com/citation-style-language/schema/raw/master/csl-citation.json"} </w:instrText>
      </w:r>
      <w:r>
        <w:fldChar w:fldCharType="separate"/>
      </w:r>
      <w:r w:rsidRPr="008B19FB">
        <w:rPr>
          <w:rFonts w:ascii="Calibri" w:hAnsi="Calibri" w:cs="Calibri"/>
        </w:rPr>
        <w:t>(80)</w:t>
      </w:r>
      <w:r>
        <w:fldChar w:fldCharType="end"/>
      </w:r>
      <w:r>
        <w:t>where rosuvastatin or placebo was added to propranolol</w:t>
      </w:r>
    </w:p>
    <w:bookmarkEnd w:id="19"/>
    <w:p w14:paraId="0AE0FD1C" w14:textId="77777777" w:rsidR="00B41992" w:rsidRPr="00DF7387" w:rsidRDefault="00B41992" w:rsidP="00B41992">
      <w:pPr>
        <w:rPr>
          <w:b/>
          <w:bCs/>
        </w:rPr>
      </w:pPr>
      <w:r w:rsidRPr="00DF7387">
        <w:rPr>
          <w:b/>
          <w:bCs/>
        </w:rPr>
        <w:t>Migraine Day Reduction</w:t>
      </w:r>
    </w:p>
    <w:p w14:paraId="745AE067" w14:textId="77777777" w:rsidR="00B41992" w:rsidRDefault="00B41992" w:rsidP="00B41992">
      <w:r>
        <w:rPr>
          <w:noProof/>
        </w:rPr>
        <w:drawing>
          <wp:inline distT="0" distB="0" distL="0" distR="0" wp14:anchorId="41171224" wp14:editId="2D1FB464">
            <wp:extent cx="5943600" cy="1303655"/>
            <wp:effectExtent l="0" t="0" r="0" b="0"/>
            <wp:docPr id="476842459" name="Graphic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42459" name="Graphic 476842459"/>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943600" cy="1303655"/>
                    </a:xfrm>
                    <a:prstGeom prst="rect">
                      <a:avLst/>
                    </a:prstGeom>
                  </pic:spPr>
                </pic:pic>
              </a:graphicData>
            </a:graphic>
          </wp:inline>
        </w:drawing>
      </w:r>
    </w:p>
    <w:p w14:paraId="5D5FC953" w14:textId="77777777" w:rsidR="00B41992" w:rsidRPr="0066729B" w:rsidRDefault="00B41992" w:rsidP="00B41992">
      <w:pPr>
        <w:rPr>
          <w:b/>
          <w:bCs/>
          <w:noProof/>
        </w:rPr>
      </w:pPr>
      <w:r w:rsidRPr="00DF7387">
        <w:rPr>
          <w:b/>
          <w:bCs/>
        </w:rPr>
        <w:t>50% Responder Rat</w:t>
      </w:r>
      <w:r w:rsidRPr="00DF7387">
        <w:rPr>
          <w:b/>
          <w:bCs/>
          <w:noProof/>
        </w:rPr>
        <w:t>e</w:t>
      </w:r>
      <w:r>
        <w:rPr>
          <w:b/>
          <w:bCs/>
          <w:noProof/>
        </w:rPr>
        <w:t xml:space="preserve"> and </w:t>
      </w:r>
      <w:r w:rsidRPr="0066729B">
        <w:rPr>
          <w:b/>
          <w:bCs/>
        </w:rPr>
        <w:t>Adverse Events</w:t>
      </w:r>
      <w:r>
        <w:rPr>
          <w:b/>
          <w:bCs/>
        </w:rPr>
        <w:t xml:space="preserve"> were not reported in these studies.</w:t>
      </w:r>
    </w:p>
    <w:p w14:paraId="3EBB635F" w14:textId="77777777" w:rsidR="00B41992" w:rsidRPr="00EE790A"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Add on Statin (atorvastatin or rosuvastatin) in Episodic Migraine</w:t>
      </w:r>
    </w:p>
    <w:p w14:paraId="35E014C5"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Add on statin compared to monotherapy for migraine prevention</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38"/>
        <w:gridCol w:w="862"/>
        <w:gridCol w:w="779"/>
        <w:gridCol w:w="749"/>
        <w:gridCol w:w="911"/>
        <w:gridCol w:w="633"/>
        <w:gridCol w:w="826"/>
        <w:gridCol w:w="633"/>
        <w:gridCol w:w="607"/>
        <w:gridCol w:w="899"/>
        <w:gridCol w:w="735"/>
      </w:tblGrid>
      <w:tr w:rsidR="00B41992" w14:paraId="3A5B8511"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0899A9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9FB6DB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ACD26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A11B4B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44E493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1485BC64"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40CBEF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806986A"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0120B6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F4D242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71821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69807C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6FB80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5F3069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add on statin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7506483"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monotherapy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22CC77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AEDCE5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011C7D4"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52C0341" w14:textId="77777777" w:rsidR="00B41992" w:rsidRDefault="00B41992" w:rsidP="0062262B">
            <w:pPr>
              <w:rPr>
                <w:rFonts w:ascii="Arial Narrow" w:eastAsia="Times New Roman" w:hAnsi="Arial Narrow"/>
                <w:b/>
                <w:bCs/>
                <w:color w:val="FFFFFF"/>
                <w:sz w:val="13"/>
                <w:szCs w:val="13"/>
              </w:rPr>
            </w:pPr>
          </w:p>
        </w:tc>
      </w:tr>
      <w:tr w:rsidR="00B41992" w14:paraId="304B199E"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699911C1"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w:t>
            </w:r>
          </w:p>
        </w:tc>
      </w:tr>
      <w:tr w:rsidR="00B41992" w14:paraId="0F1591BD"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4C22899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6404E20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2A6042F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9F6EE4D"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very 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120EC9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72251C7"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AA7F3B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83E9F8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93</w:t>
            </w:r>
          </w:p>
        </w:tc>
        <w:tc>
          <w:tcPr>
            <w:tcW w:w="400" w:type="pct"/>
            <w:tcBorders>
              <w:top w:val="single" w:sz="6" w:space="0" w:color="000000"/>
              <w:left w:val="single" w:sz="6" w:space="0" w:color="000000"/>
              <w:bottom w:val="single" w:sz="6" w:space="0" w:color="000000"/>
              <w:right w:val="single" w:sz="6" w:space="0" w:color="000000"/>
            </w:tcBorders>
            <w:hideMark/>
          </w:tcPr>
          <w:p w14:paraId="057BFB22"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sz w:val="13"/>
                <w:szCs w:val="13"/>
              </w:rPr>
              <w:t>91</w:t>
            </w:r>
          </w:p>
        </w:tc>
        <w:tc>
          <w:tcPr>
            <w:tcW w:w="400" w:type="pct"/>
            <w:tcBorders>
              <w:top w:val="single" w:sz="6" w:space="0" w:color="000000"/>
              <w:left w:val="single" w:sz="6" w:space="0" w:color="000000"/>
              <w:bottom w:val="single" w:sz="6" w:space="0" w:color="000000"/>
              <w:right w:val="single" w:sz="6" w:space="0" w:color="000000"/>
            </w:tcBorders>
            <w:hideMark/>
          </w:tcPr>
          <w:p w14:paraId="005DF417"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2F69B454"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b/>
                <w:bCs/>
                <w:sz w:val="13"/>
                <w:szCs w:val="13"/>
              </w:rPr>
              <w:t xml:space="preserve">0 </w:t>
            </w:r>
            <w:r>
              <w:rPr>
                <w:rFonts w:ascii="Arial Narrow" w:eastAsia="Times New Roman" w:hAnsi="Arial Narrow"/>
                <w:sz w:val="13"/>
                <w:szCs w:val="13"/>
              </w:rPr>
              <w:br/>
            </w:r>
            <w:r>
              <w:rPr>
                <w:rStyle w:val="cell-value"/>
                <w:rFonts w:ascii="Arial Narrow" w:eastAsia="Times New Roman" w:hAnsi="Arial Narrow"/>
                <w:sz w:val="13"/>
                <w:szCs w:val="13"/>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0537C72C"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p>
        </w:tc>
        <w:tc>
          <w:tcPr>
            <w:tcW w:w="500" w:type="pct"/>
            <w:tcBorders>
              <w:top w:val="single" w:sz="6" w:space="0" w:color="000000"/>
              <w:left w:val="single" w:sz="6" w:space="0" w:color="000000"/>
              <w:bottom w:val="single" w:sz="6" w:space="0" w:color="000000"/>
              <w:right w:val="single" w:sz="6" w:space="0" w:color="000000"/>
            </w:tcBorders>
            <w:hideMark/>
          </w:tcPr>
          <w:p w14:paraId="47E09DE1" w14:textId="77777777" w:rsidR="00B41992" w:rsidRDefault="00B41992" w:rsidP="0062262B">
            <w:pPr>
              <w:jc w:val="center"/>
              <w:rPr>
                <w:rFonts w:ascii="Arial Narrow" w:eastAsia="Times New Roman" w:hAnsi="Arial Narrow"/>
                <w:sz w:val="13"/>
                <w:szCs w:val="13"/>
              </w:rPr>
            </w:pPr>
          </w:p>
        </w:tc>
      </w:tr>
    </w:tbl>
    <w:p w14:paraId="4984C0B3"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w:t>
      </w:r>
    </w:p>
    <w:p w14:paraId="04E15FFC"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552BE890"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a. I2&gt;80% and P=0.01</w:t>
      </w:r>
    </w:p>
    <w:p w14:paraId="1085C7FD" w14:textId="77777777" w:rsidR="00B41992" w:rsidRDefault="00B41992" w:rsidP="00B41992"/>
    <w:p w14:paraId="7755E90F" w14:textId="77777777" w:rsidR="00B41992" w:rsidRPr="00C63BDD" w:rsidRDefault="00B41992" w:rsidP="00B41992">
      <w:pPr>
        <w:rPr>
          <w:b/>
          <w:bCs/>
          <w:sz w:val="32"/>
          <w:szCs w:val="32"/>
        </w:rPr>
      </w:pPr>
      <w:r w:rsidRPr="00C63BDD">
        <w:rPr>
          <w:b/>
          <w:bCs/>
          <w:sz w:val="32"/>
          <w:szCs w:val="32"/>
        </w:rPr>
        <w:t xml:space="preserve">3.19.2 Statin (Atorvastatin or Simvastatin) in Episodic Migraine </w:t>
      </w:r>
    </w:p>
    <w:p w14:paraId="35DACE79" w14:textId="77777777" w:rsidR="00B41992" w:rsidRDefault="00B41992" w:rsidP="00B41992">
      <w:bookmarkStart w:id="20" w:name="_Hlk151736334"/>
      <w:r>
        <w:t>There were two studies looking at this question.</w:t>
      </w:r>
    </w:p>
    <w:p w14:paraId="262FD2B2" w14:textId="77777777" w:rsidR="00B41992" w:rsidRDefault="00B41992" w:rsidP="00B41992">
      <w:r>
        <w:t xml:space="preserve">Hesami et al 2018 </w:t>
      </w:r>
      <w:r>
        <w:fldChar w:fldCharType="begin"/>
      </w:r>
      <w:r>
        <w:instrText xml:space="preserve"> ADDIN ZOTERO_ITEM CSL_CITATION {"citationID":"rXTcpDmR","properties":{"formattedCitation":"(82)","plainCitation":"(82)","noteIndex":0},"citationItems":[{"id":5869,"uris":["http://zotero.org/users/5131939/items/QWY93KW6"],"itemData":{"id":5869,"type":"article-journal","abstract":"Objectives To evaluate the prophylactic effects of atorvastatin on frequency, intensity, and duration of migraine attacks compared with sodium valproate. Methods In this randomized, double-blind, single-center controlled trial, patients with 6 to 15 migraine attacks per month, which were candidates of preventive treatment, were recruited. The patients were randomly allocated into 2 groups. The first group (A) received atorvastatin 40 mg daily, and the second group (B) received sodium valproate 500 mg daily. All patients were visited each month and followed up for 3 months. The characteristics of migraine headaches including frequency, intensity, and duration of attacks were recorded, as well as the number of analgesics taken per each attack and probable adverse effects. Results From 100 patients enrolled in the study, 18 cases were excluded owing to adverse effects (2 cases) or lost to follow-up (16 cases). From 82 patients who completed the trial, 46 and 36 were in group A (atorvastatin) and group B (sodium valproate), respectively. Mean age of the patients was not significantly different in the 2 arms of the study (33.56 +/- 8.51 in group A and 33.25 +/- 9.91 years in group B, P = 0.877). Number, duration, and intensity of attacks and number of analgesics taken during attacks decreased significantly in both groups in monthly follow-ups. However, there was no statistically significant difference between 2 arms of the study in terms of attenuation in the characteristics of migraine attacks. On the other hand, patients in group A suffered fewer adverse effects compared with group B. Conclusions This study indicates that atorvastatin could be an alternative for sodium valproate in migraine prophylaxis with comparable efficacy and fewer adverse effects. Multicenter studies with larger sample size are recommended. Copyright © Wolters Kluwer Health, Inc. All rights reserved.","archive_location":"622342633","container-title":"Clinical Neuropharmacology","DOI":"10.1097/WNF.0000000000000280","journalAbbreviation":"Clinical Neuropharmacology","page":"94-97","title":"Comparing the Effects of Atorvastatin with Sodium Valproate (Divalproex) on Frequency and Intensity of Frequent Migraine Headaches: A Double-blind Randomized Controlled Study","volume":"41(3)","author":[{"family":"Hesami","given":"O."},{"family":"Sistanizad","given":"M."},{"family":"Asadollahzade","given":"E."},{"family":"Johari","given":"M. S."},{"family":"Beladi-Moghadam","given":"N."},{"family":"Mazhabdar-Ghashghai","given":"H."}],"issued":{"date-parts":[["2018"]]}}}],"schema":"https://github.com/citation-style-language/schema/raw/master/csl-citation.json"} </w:instrText>
      </w:r>
      <w:r>
        <w:fldChar w:fldCharType="separate"/>
      </w:r>
      <w:r w:rsidRPr="008B19FB">
        <w:rPr>
          <w:rFonts w:ascii="Calibri" w:hAnsi="Calibri" w:cs="Calibri"/>
        </w:rPr>
        <w:t>(82)</w:t>
      </w:r>
      <w:r>
        <w:fldChar w:fldCharType="end"/>
      </w:r>
      <w:r>
        <w:t xml:space="preserve"> (high ROB) compared atorvastatin 40 mg with valproate 500 mg oral.</w:t>
      </w:r>
    </w:p>
    <w:p w14:paraId="13B2CF3B" w14:textId="77777777" w:rsidR="00B41992" w:rsidRDefault="00B41992" w:rsidP="00B41992">
      <w:r>
        <w:t xml:space="preserve">Buettner et al 2015 </w:t>
      </w:r>
      <w:r>
        <w:fldChar w:fldCharType="begin"/>
      </w:r>
      <w:r>
        <w:instrText xml:space="preserve"> ADDIN ZOTERO_ITEM CSL_CITATION {"citationID":"NJyIpCAu","properties":{"formattedCitation":"(81)","plainCitation":"(81)","noteIndex":0},"citationItems":[{"id":5870,"uris":["http://zotero.org/users/5131939/items/VGSNBTEI"],"itemData":{"id":5870,"type":"article-journal","abstract":"Objective The aim of this work was to assess efficacy and tolerability of simvastatin plus vitamin D for migraine prevention in adults with episodic migraine. Methods We performed a randomized, double-blind, placebo-controlled trial with a 12-week baseline period and 24-week intervention period in 57 adults with episodic migraine. Participants were randomly assigned to simvastatin 20 mg tablets twice-daily plus vitamin D3 1,000 international units capsules twice-daily or matching placebo tablets and capsules. Results Compared to placebo, participants using simvastatin plus vitamin D3 demonstrated a greater decrease in number of migraine days from the baseline period to intervention weeks 1 to 12: a change of -8.0 (interquartile range [IQR]: -15.0 to -2.0) days in the active treatment group versus +1.0 (IQR: -1.0 to + 6.0) days in the placebo group, p &lt; 0.001; and to intervention weeks 13 to 24: a change of -9.0 (IQR: -13 to -5) days in the active group versus +3.0 (IQR: -1.0 to + 5.0) days in the placebo group, p &lt; 0.001. In the active treatment group, 8 patients (25%) experienced 50% reduction in the number of migraine days at 12 weeks and 9 (29%) at 24 weeks postrandomization. In comparison, only 1 patient (3%) in the placebo group (p = 0.03) experienced such a reduction. Adverse events were similar in both active treatment and placebo groups. Interpretation The results demonstrate that simvastatin plus vitamin D is effective for prevention of headache in adults with episodic migraine. Given statins' ability to repair endothelial dysfunction, this economical approach may also reduce the increased risk for vascular diseases among migraineurs. Copyright © 2015 The Authors.","archive_location":"607795886","container-title":"Annals of Neurology","DOI":"10.1002/ana.24534","journalAbbreviation":"Annals of Neurology","page":"970-981","title":"Simvastatin and Vitamin D for migraine prevention: A randomized, controlled trial","volume":"78(6)","author":[{"family":"Buettner","given":"C."},{"family":"Nir","given":"R. R."},{"family":"Bertisch","given":"S. M."},{"family":"Bernstein","given":"C."},{"family":"Schain","given":"A."},{"family":"Mittleman","given":"M. A."},{"family":"Burstein","given":"R."}],"issued":{"date-parts":[["2015"]]}}}],"schema":"https://github.com/citation-style-language/schema/raw/master/csl-citation.json"} </w:instrText>
      </w:r>
      <w:r>
        <w:fldChar w:fldCharType="separate"/>
      </w:r>
      <w:r w:rsidRPr="008B19FB">
        <w:rPr>
          <w:rFonts w:ascii="Calibri" w:hAnsi="Calibri" w:cs="Calibri"/>
        </w:rPr>
        <w:t>(81)</w:t>
      </w:r>
      <w:r>
        <w:fldChar w:fldCharType="end"/>
      </w:r>
      <w:r>
        <w:t xml:space="preserve"> (low ROB) compared simvastatin 20 mg BID  with placebo. </w:t>
      </w:r>
    </w:p>
    <w:bookmarkEnd w:id="20"/>
    <w:p w14:paraId="4DC4D8BC" w14:textId="77777777" w:rsidR="00B41992" w:rsidRPr="001249F3" w:rsidRDefault="00B41992" w:rsidP="00B41992">
      <w:pPr>
        <w:rPr>
          <w:b/>
          <w:bCs/>
          <w:u w:val="single"/>
        </w:rPr>
      </w:pPr>
      <w:r w:rsidRPr="001249F3">
        <w:rPr>
          <w:b/>
          <w:bCs/>
          <w:u w:val="single"/>
        </w:rPr>
        <w:t>Migraine Day Reduction</w:t>
      </w:r>
    </w:p>
    <w:p w14:paraId="13BB7705" w14:textId="77777777" w:rsidR="00B41992" w:rsidRDefault="00B41992" w:rsidP="00B41992">
      <w:r>
        <w:t>Buettner et al, 2015 showed reduction of 2.67/mo in simvastatin as compared to increase 0.33/mo for placebo, for a 3 day difference in MDR.</w:t>
      </w:r>
    </w:p>
    <w:p w14:paraId="19D1C2AD" w14:textId="77777777" w:rsidR="00B41992" w:rsidRPr="001249F3" w:rsidRDefault="00B41992" w:rsidP="00B41992">
      <w:pPr>
        <w:rPr>
          <w:b/>
          <w:bCs/>
          <w:noProof/>
          <w:u w:val="single"/>
        </w:rPr>
      </w:pPr>
      <w:r w:rsidRPr="001249F3">
        <w:rPr>
          <w:b/>
          <w:bCs/>
          <w:u w:val="single"/>
        </w:rPr>
        <w:t>50% Responder Rat</w:t>
      </w:r>
      <w:r w:rsidRPr="001249F3">
        <w:rPr>
          <w:b/>
          <w:bCs/>
          <w:noProof/>
          <w:u w:val="single"/>
        </w:rPr>
        <w:t>e</w:t>
      </w:r>
    </w:p>
    <w:p w14:paraId="1F2621BE" w14:textId="77777777" w:rsidR="00B41992" w:rsidRDefault="00B41992" w:rsidP="00B41992">
      <w:pPr>
        <w:rPr>
          <w:noProof/>
        </w:rPr>
      </w:pPr>
      <w:r>
        <w:t xml:space="preserve">Buettner et al, 2015 showed that 8/28 (29%) in simvastatin group responded, and 1/29 (3%) were responders in placebo group. </w:t>
      </w:r>
    </w:p>
    <w:p w14:paraId="14E94706" w14:textId="77777777" w:rsidR="00B41992" w:rsidRDefault="00B41992" w:rsidP="00B41992">
      <w:r>
        <w:t>Hesami et al, 2018 showed 30/46 (65%) responded to atorvastatin at 3 mo, and 26/36 responded to valproate at 3mo. There was no difference between groups, p=0.49</w:t>
      </w:r>
    </w:p>
    <w:p w14:paraId="54567237" w14:textId="77777777" w:rsidR="00B41992" w:rsidRPr="008140C2" w:rsidRDefault="00B41992" w:rsidP="00B41992">
      <w:pPr>
        <w:rPr>
          <w:b/>
          <w:bCs/>
          <w:u w:val="single"/>
        </w:rPr>
      </w:pPr>
      <w:r w:rsidRPr="008140C2">
        <w:rPr>
          <w:b/>
          <w:bCs/>
          <w:u w:val="single"/>
        </w:rPr>
        <w:t>Adverse Events</w:t>
      </w:r>
    </w:p>
    <w:p w14:paraId="13689B4C" w14:textId="77777777" w:rsidR="00B41992" w:rsidRPr="003C3068" w:rsidRDefault="00B41992" w:rsidP="00B41992">
      <w:r>
        <w:lastRenderedPageBreak/>
        <w:t>Beuttner et al, 2015 had 2/28 (7%) with side effects in treatment group, less than 6/29 (21%) in placebo group.</w:t>
      </w:r>
    </w:p>
    <w:p w14:paraId="2F1A7AFE" w14:textId="77777777" w:rsidR="00B41992" w:rsidRPr="00A45F02" w:rsidRDefault="00B41992" w:rsidP="00B41992">
      <w:pPr>
        <w:rPr>
          <w:b/>
          <w:bCs/>
          <w:sz w:val="28"/>
          <w:szCs w:val="28"/>
          <w:u w:val="single"/>
        </w:rPr>
      </w:pPr>
      <w:r w:rsidRPr="00356351">
        <w:rPr>
          <w:b/>
          <w:bCs/>
          <w:sz w:val="28"/>
          <w:szCs w:val="28"/>
          <w:u w:val="single"/>
        </w:rPr>
        <w:t>Summary of findings table</w:t>
      </w:r>
      <w:r>
        <w:rPr>
          <w:b/>
          <w:bCs/>
          <w:sz w:val="28"/>
          <w:szCs w:val="28"/>
          <w:u w:val="single"/>
        </w:rPr>
        <w:t xml:space="preserve"> for Statin in Episodic Migraine</w:t>
      </w:r>
    </w:p>
    <w:p w14:paraId="25ED2796"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Question: </w:t>
      </w:r>
      <w:r>
        <w:rPr>
          <w:rFonts w:ascii="Arial Narrow" w:eastAsia="Times New Roman" w:hAnsi="Arial Narrow"/>
          <w:color w:val="000000"/>
          <w:sz w:val="14"/>
          <w:szCs w:val="14"/>
          <w:lang w:val="en"/>
        </w:rPr>
        <w:t>Statin compared to placebo/active for migraine prevention</w:t>
      </w:r>
    </w:p>
    <w:p w14:paraId="161459A5"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b/>
          <w:bCs/>
          <w:color w:val="000000"/>
          <w:sz w:val="14"/>
          <w:szCs w:val="14"/>
          <w:lang w:val="en"/>
        </w:rPr>
        <w:t xml:space="preserve"> </w:t>
      </w:r>
    </w:p>
    <w:tbl>
      <w:tblPr>
        <w:tblW w:w="5000" w:type="pct"/>
        <w:tblCellMar>
          <w:top w:w="38" w:type="dxa"/>
          <w:left w:w="38" w:type="dxa"/>
          <w:bottom w:w="38" w:type="dxa"/>
          <w:right w:w="38" w:type="dxa"/>
        </w:tblCellMar>
        <w:tblLook w:val="04A0" w:firstRow="1" w:lastRow="0" w:firstColumn="1" w:lastColumn="0" w:noHBand="0" w:noVBand="1"/>
      </w:tblPr>
      <w:tblGrid>
        <w:gridCol w:w="524"/>
        <w:gridCol w:w="634"/>
        <w:gridCol w:w="549"/>
        <w:gridCol w:w="862"/>
        <w:gridCol w:w="779"/>
        <w:gridCol w:w="749"/>
        <w:gridCol w:w="921"/>
        <w:gridCol w:w="644"/>
        <w:gridCol w:w="644"/>
        <w:gridCol w:w="644"/>
        <w:gridCol w:w="607"/>
        <w:gridCol w:w="945"/>
        <w:gridCol w:w="828"/>
      </w:tblGrid>
      <w:tr w:rsidR="00B41992" w14:paraId="08ABF9EF" w14:textId="77777777" w:rsidTr="0062262B">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5BFD29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AFF389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C2B8A4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644B7C"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BB0CCC2"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B41992" w14:paraId="5AA9DF5B" w14:textId="77777777" w:rsidTr="0062262B">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89FF5E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BAA7677"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58F8641"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E1E28FB"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616F5F5"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9E68A8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C5C29D0"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6BCFE2E"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statin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B702106"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7AFB5D4"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ADF46E8" w14:textId="77777777" w:rsidR="00B41992" w:rsidRDefault="00B41992" w:rsidP="0062262B">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2AFF14D" w14:textId="77777777" w:rsidR="00B41992" w:rsidRDefault="00B41992" w:rsidP="0062262B">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2C8C13C" w14:textId="77777777" w:rsidR="00B41992" w:rsidRDefault="00B41992" w:rsidP="0062262B">
            <w:pPr>
              <w:rPr>
                <w:rFonts w:ascii="Arial Narrow" w:eastAsia="Times New Roman" w:hAnsi="Arial Narrow"/>
                <w:b/>
                <w:bCs/>
                <w:color w:val="FFFFFF"/>
                <w:sz w:val="13"/>
                <w:szCs w:val="13"/>
              </w:rPr>
            </w:pPr>
          </w:p>
        </w:tc>
      </w:tr>
      <w:tr w:rsidR="00B41992" w14:paraId="60D3F734"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41EA9E9E"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Migraine day reduction</w:t>
            </w:r>
          </w:p>
        </w:tc>
      </w:tr>
      <w:tr w:rsidR="00B41992" w14:paraId="6C03D73C"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3EBF5DA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4E77DE3A"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679530C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17C6C9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7D5E250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FBF97B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c</w:t>
            </w:r>
          </w:p>
        </w:tc>
        <w:tc>
          <w:tcPr>
            <w:tcW w:w="550" w:type="pct"/>
            <w:tcBorders>
              <w:top w:val="single" w:sz="6" w:space="0" w:color="000000"/>
              <w:left w:val="single" w:sz="6" w:space="0" w:color="000000"/>
              <w:bottom w:val="single" w:sz="6" w:space="0" w:color="000000"/>
              <w:right w:val="single" w:sz="6" w:space="0" w:color="000000"/>
            </w:tcBorders>
            <w:hideMark/>
          </w:tcPr>
          <w:p w14:paraId="142D4D56"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8FC92A4" w14:textId="77777777" w:rsidR="00B41992" w:rsidRDefault="00B41992" w:rsidP="0062262B">
            <w:pPr>
              <w:jc w:val="center"/>
              <w:rPr>
                <w:rFonts w:ascii="Arial Narrow" w:eastAsia="Times New Roman" w:hAnsi="Arial Narrow"/>
                <w:sz w:val="13"/>
                <w:szCs w:val="13"/>
              </w:rPr>
            </w:pPr>
          </w:p>
        </w:tc>
        <w:tc>
          <w:tcPr>
            <w:tcW w:w="400" w:type="pct"/>
            <w:tcBorders>
              <w:top w:val="single" w:sz="6" w:space="0" w:color="000000"/>
              <w:left w:val="single" w:sz="6" w:space="0" w:color="000000"/>
              <w:bottom w:val="single" w:sz="6" w:space="0" w:color="000000"/>
              <w:right w:val="single" w:sz="6" w:space="0" w:color="000000"/>
            </w:tcBorders>
            <w:hideMark/>
          </w:tcPr>
          <w:p w14:paraId="7C927278" w14:textId="77777777" w:rsidR="00B41992" w:rsidRDefault="00B41992" w:rsidP="0062262B">
            <w:pPr>
              <w:jc w:val="center"/>
              <w:rPr>
                <w:rFonts w:eastAsia="Times New Roman"/>
                <w:sz w:val="20"/>
                <w:szCs w:val="20"/>
              </w:rPr>
            </w:pPr>
          </w:p>
        </w:tc>
        <w:tc>
          <w:tcPr>
            <w:tcW w:w="400" w:type="pct"/>
            <w:tcBorders>
              <w:top w:val="single" w:sz="6" w:space="0" w:color="000000"/>
              <w:left w:val="single" w:sz="6" w:space="0" w:color="000000"/>
              <w:bottom w:val="single" w:sz="6" w:space="0" w:color="000000"/>
              <w:right w:val="single" w:sz="6" w:space="0" w:color="000000"/>
            </w:tcBorders>
            <w:hideMark/>
          </w:tcPr>
          <w:p w14:paraId="193E5E15"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w:t>
            </w:r>
          </w:p>
        </w:tc>
        <w:tc>
          <w:tcPr>
            <w:tcW w:w="0" w:type="auto"/>
            <w:tcBorders>
              <w:top w:val="single" w:sz="6" w:space="0" w:color="000000"/>
              <w:left w:val="single" w:sz="6" w:space="0" w:color="000000"/>
              <w:bottom w:val="single" w:sz="6" w:space="0" w:color="000000"/>
              <w:right w:val="single" w:sz="6" w:space="0" w:color="000000"/>
            </w:tcBorders>
            <w:hideMark/>
          </w:tcPr>
          <w:p w14:paraId="08AC021B" w14:textId="77777777" w:rsidR="00B41992" w:rsidRDefault="00B41992" w:rsidP="0062262B">
            <w:pPr>
              <w:jc w:val="center"/>
              <w:rPr>
                <w:rFonts w:ascii="Arial Narrow" w:eastAsia="Times New Roman" w:hAnsi="Arial Narrow"/>
                <w:sz w:val="13"/>
                <w:szCs w:val="13"/>
              </w:rPr>
            </w:pPr>
            <w:r>
              <w:rPr>
                <w:rStyle w:val="cell-value"/>
                <w:rFonts w:ascii="Arial Narrow" w:eastAsia="Times New Roman" w:hAnsi="Arial Narrow"/>
                <w:b/>
                <w:bCs/>
                <w:sz w:val="13"/>
                <w:szCs w:val="13"/>
              </w:rPr>
              <w:t xml:space="preserve">0 </w:t>
            </w:r>
            <w:r>
              <w:rPr>
                <w:rFonts w:ascii="Arial Narrow" w:eastAsia="Times New Roman" w:hAnsi="Arial Narrow"/>
                <w:sz w:val="13"/>
                <w:szCs w:val="13"/>
              </w:rPr>
              <w:br/>
            </w:r>
            <w:r>
              <w:rPr>
                <w:rStyle w:val="cell-value"/>
                <w:rFonts w:ascii="Arial Narrow" w:eastAsia="Times New Roman" w:hAnsi="Arial Narrow"/>
                <w:sz w:val="13"/>
                <w:szCs w:val="13"/>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49D97B4F"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375C53B3" w14:textId="77777777" w:rsidR="00B41992" w:rsidRDefault="00B41992" w:rsidP="0062262B">
            <w:pPr>
              <w:jc w:val="center"/>
              <w:rPr>
                <w:rFonts w:ascii="Arial Narrow" w:eastAsia="Times New Roman" w:hAnsi="Arial Narrow"/>
                <w:sz w:val="13"/>
                <w:szCs w:val="13"/>
              </w:rPr>
            </w:pPr>
          </w:p>
        </w:tc>
      </w:tr>
      <w:tr w:rsidR="00B41992" w14:paraId="43436955"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6A651780"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50% responder rate</w:t>
            </w:r>
          </w:p>
        </w:tc>
      </w:tr>
      <w:tr w:rsidR="00B41992" w14:paraId="06281FC0"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0C2CC7E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2</w:t>
            </w:r>
          </w:p>
        </w:tc>
        <w:tc>
          <w:tcPr>
            <w:tcW w:w="300" w:type="pct"/>
            <w:tcBorders>
              <w:top w:val="single" w:sz="6" w:space="0" w:color="000000"/>
              <w:left w:val="single" w:sz="6" w:space="0" w:color="000000"/>
              <w:bottom w:val="single" w:sz="6" w:space="0" w:color="000000"/>
              <w:right w:val="single" w:sz="6" w:space="0" w:color="000000"/>
            </w:tcBorders>
            <w:hideMark/>
          </w:tcPr>
          <w:p w14:paraId="2CFEDE7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8A8348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7F3B73E"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5BC9B910"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4CD783F"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c</w:t>
            </w:r>
          </w:p>
        </w:tc>
        <w:tc>
          <w:tcPr>
            <w:tcW w:w="550" w:type="pct"/>
            <w:tcBorders>
              <w:top w:val="single" w:sz="6" w:space="0" w:color="000000"/>
              <w:left w:val="single" w:sz="6" w:space="0" w:color="000000"/>
              <w:bottom w:val="single" w:sz="6" w:space="0" w:color="000000"/>
              <w:right w:val="single" w:sz="6" w:space="0" w:color="000000"/>
            </w:tcBorders>
            <w:hideMark/>
          </w:tcPr>
          <w:p w14:paraId="398AF62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31149C0" w14:textId="77777777" w:rsidR="00B41992" w:rsidRDefault="00B41992" w:rsidP="0062262B">
            <w:pPr>
              <w:jc w:val="center"/>
              <w:rPr>
                <w:rFonts w:ascii="Arial Narrow" w:eastAsia="Times New Roman" w:hAnsi="Arial Narrow"/>
                <w:sz w:val="13"/>
                <w:szCs w:val="13"/>
              </w:rPr>
            </w:pPr>
          </w:p>
        </w:tc>
        <w:tc>
          <w:tcPr>
            <w:tcW w:w="400" w:type="pct"/>
            <w:tcBorders>
              <w:top w:val="single" w:sz="6" w:space="0" w:color="000000"/>
              <w:left w:val="single" w:sz="6" w:space="0" w:color="000000"/>
              <w:bottom w:val="single" w:sz="6" w:space="0" w:color="000000"/>
              <w:right w:val="single" w:sz="6" w:space="0" w:color="000000"/>
            </w:tcBorders>
            <w:hideMark/>
          </w:tcPr>
          <w:p w14:paraId="69470498" w14:textId="77777777" w:rsidR="00B41992" w:rsidRDefault="00B41992" w:rsidP="0062262B">
            <w:pPr>
              <w:jc w:val="center"/>
              <w:rPr>
                <w:rFonts w:eastAsia="Times New Roman"/>
                <w:sz w:val="20"/>
                <w:szCs w:val="20"/>
              </w:rPr>
            </w:pPr>
          </w:p>
        </w:tc>
        <w:tc>
          <w:tcPr>
            <w:tcW w:w="400" w:type="pct"/>
            <w:tcBorders>
              <w:top w:val="single" w:sz="6" w:space="0" w:color="000000"/>
              <w:left w:val="single" w:sz="6" w:space="0" w:color="000000"/>
              <w:bottom w:val="single" w:sz="6" w:space="0" w:color="000000"/>
              <w:right w:val="single" w:sz="6" w:space="0" w:color="000000"/>
            </w:tcBorders>
            <w:hideMark/>
          </w:tcPr>
          <w:p w14:paraId="64881DBF"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54EA231E" w14:textId="77777777" w:rsidR="00B41992" w:rsidRDefault="00B41992" w:rsidP="0062262B">
            <w:pPr>
              <w:jc w:val="center"/>
              <w:rPr>
                <w:rFonts w:ascii="Arial Narrow" w:eastAsia="Times New Roman" w:hAnsi="Arial Narrow"/>
                <w:sz w:val="13"/>
                <w:szCs w:val="13"/>
              </w:rPr>
            </w:pPr>
          </w:p>
        </w:tc>
        <w:tc>
          <w:tcPr>
            <w:tcW w:w="750" w:type="dxa"/>
            <w:tcBorders>
              <w:top w:val="single" w:sz="6" w:space="0" w:color="000000"/>
              <w:left w:val="single" w:sz="6" w:space="0" w:color="000000"/>
              <w:bottom w:val="single" w:sz="6" w:space="0" w:color="000000"/>
              <w:right w:val="single" w:sz="6" w:space="0" w:color="000000"/>
            </w:tcBorders>
            <w:hideMark/>
          </w:tcPr>
          <w:p w14:paraId="355223F8"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p>
        </w:tc>
        <w:tc>
          <w:tcPr>
            <w:tcW w:w="500" w:type="pct"/>
            <w:tcBorders>
              <w:top w:val="single" w:sz="6" w:space="0" w:color="000000"/>
              <w:left w:val="single" w:sz="6" w:space="0" w:color="000000"/>
              <w:bottom w:val="single" w:sz="6" w:space="0" w:color="000000"/>
              <w:right w:val="single" w:sz="6" w:space="0" w:color="000000"/>
            </w:tcBorders>
            <w:hideMark/>
          </w:tcPr>
          <w:p w14:paraId="2B3AB46A" w14:textId="77777777" w:rsidR="00B41992" w:rsidRDefault="00B41992" w:rsidP="0062262B">
            <w:pPr>
              <w:jc w:val="center"/>
              <w:rPr>
                <w:rFonts w:ascii="Arial Narrow" w:eastAsia="Times New Roman" w:hAnsi="Arial Narrow"/>
                <w:sz w:val="13"/>
                <w:szCs w:val="13"/>
              </w:rPr>
            </w:pPr>
          </w:p>
        </w:tc>
      </w:tr>
      <w:tr w:rsidR="00B41992" w14:paraId="386B58A1" w14:textId="77777777" w:rsidTr="0062262B">
        <w:trPr>
          <w:cantSplit/>
        </w:trPr>
        <w:tc>
          <w:tcPr>
            <w:tcW w:w="0" w:type="auto"/>
            <w:gridSpan w:val="13"/>
            <w:shd w:val="clear" w:color="auto" w:fill="FFFFFF"/>
            <w:tcMar>
              <w:top w:w="75" w:type="dxa"/>
              <w:left w:w="38" w:type="dxa"/>
              <w:bottom w:w="38" w:type="dxa"/>
              <w:right w:w="38" w:type="dxa"/>
            </w:tcMar>
            <w:vAlign w:val="center"/>
            <w:hideMark/>
          </w:tcPr>
          <w:p w14:paraId="4C56C90A" w14:textId="77777777" w:rsidR="00B41992" w:rsidRDefault="00B41992" w:rsidP="0062262B">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Adverse Events</w:t>
            </w:r>
          </w:p>
        </w:tc>
      </w:tr>
      <w:tr w:rsidR="00B41992" w14:paraId="05E0322D" w14:textId="77777777" w:rsidTr="0062262B">
        <w:trPr>
          <w:cantSplit/>
        </w:trPr>
        <w:tc>
          <w:tcPr>
            <w:tcW w:w="250" w:type="pct"/>
            <w:tcBorders>
              <w:top w:val="single" w:sz="6" w:space="0" w:color="000000"/>
              <w:left w:val="single" w:sz="6" w:space="0" w:color="000000"/>
              <w:bottom w:val="single" w:sz="6" w:space="0" w:color="000000"/>
              <w:right w:val="single" w:sz="6" w:space="0" w:color="000000"/>
            </w:tcBorders>
            <w:hideMark/>
          </w:tcPr>
          <w:p w14:paraId="0933E3B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1</w:t>
            </w:r>
          </w:p>
        </w:tc>
        <w:tc>
          <w:tcPr>
            <w:tcW w:w="300" w:type="pct"/>
            <w:tcBorders>
              <w:top w:val="single" w:sz="6" w:space="0" w:color="000000"/>
              <w:left w:val="single" w:sz="6" w:space="0" w:color="000000"/>
              <w:bottom w:val="single" w:sz="6" w:space="0" w:color="000000"/>
              <w:right w:val="single" w:sz="6" w:space="0" w:color="000000"/>
            </w:tcBorders>
            <w:hideMark/>
          </w:tcPr>
          <w:p w14:paraId="26B3CB68"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5A8F2C25"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19D7FB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238E452"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B9C0603"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serious</w:t>
            </w:r>
            <w:r>
              <w:rPr>
                <w:rFonts w:ascii="Arial Narrow" w:eastAsia="Times New Roman" w:hAnsi="Arial Narrow"/>
                <w:sz w:val="13"/>
                <w:szCs w:val="13"/>
                <w:vertAlign w:val="superscript"/>
              </w:rPr>
              <w:t>c</w:t>
            </w:r>
          </w:p>
        </w:tc>
        <w:tc>
          <w:tcPr>
            <w:tcW w:w="550" w:type="pct"/>
            <w:tcBorders>
              <w:top w:val="single" w:sz="6" w:space="0" w:color="000000"/>
              <w:left w:val="single" w:sz="6" w:space="0" w:color="000000"/>
              <w:bottom w:val="single" w:sz="6" w:space="0" w:color="000000"/>
              <w:right w:val="single" w:sz="6" w:space="0" w:color="000000"/>
            </w:tcBorders>
            <w:hideMark/>
          </w:tcPr>
          <w:p w14:paraId="5B9F9454" w14:textId="77777777" w:rsidR="00B41992" w:rsidRDefault="00B41992" w:rsidP="0062262B">
            <w:pPr>
              <w:jc w:val="center"/>
              <w:rPr>
                <w:rFonts w:ascii="Arial Narrow" w:eastAsia="Times New Roman" w:hAnsi="Arial Narrow"/>
                <w:sz w:val="13"/>
                <w:szCs w:val="13"/>
              </w:rPr>
            </w:pPr>
            <w:r>
              <w:rPr>
                <w:rFonts w:ascii="Arial Narrow" w:eastAsia="Times New Roman" w:hAnsi="Arial Narrow"/>
                <w:sz w:val="13"/>
                <w:szCs w:val="13"/>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40A4272" w14:textId="77777777" w:rsidR="00B41992" w:rsidRDefault="00B41992" w:rsidP="0062262B">
            <w:pPr>
              <w:jc w:val="center"/>
              <w:rPr>
                <w:rFonts w:ascii="Arial Narrow" w:eastAsia="Times New Roman" w:hAnsi="Arial Narrow"/>
                <w:sz w:val="13"/>
                <w:szCs w:val="13"/>
              </w:rPr>
            </w:pPr>
          </w:p>
        </w:tc>
        <w:tc>
          <w:tcPr>
            <w:tcW w:w="400" w:type="pct"/>
            <w:tcBorders>
              <w:top w:val="single" w:sz="6" w:space="0" w:color="000000"/>
              <w:left w:val="single" w:sz="6" w:space="0" w:color="000000"/>
              <w:bottom w:val="single" w:sz="6" w:space="0" w:color="000000"/>
              <w:right w:val="single" w:sz="6" w:space="0" w:color="000000"/>
            </w:tcBorders>
            <w:hideMark/>
          </w:tcPr>
          <w:p w14:paraId="68A3C06A" w14:textId="77777777" w:rsidR="00B41992" w:rsidRDefault="00B41992" w:rsidP="0062262B">
            <w:pPr>
              <w:jc w:val="center"/>
              <w:rPr>
                <w:rFonts w:eastAsia="Times New Roman"/>
                <w:sz w:val="20"/>
                <w:szCs w:val="20"/>
              </w:rPr>
            </w:pPr>
          </w:p>
        </w:tc>
        <w:tc>
          <w:tcPr>
            <w:tcW w:w="400" w:type="pct"/>
            <w:tcBorders>
              <w:top w:val="single" w:sz="6" w:space="0" w:color="000000"/>
              <w:left w:val="single" w:sz="6" w:space="0" w:color="000000"/>
              <w:bottom w:val="single" w:sz="6" w:space="0" w:color="000000"/>
              <w:right w:val="single" w:sz="6" w:space="0" w:color="000000"/>
            </w:tcBorders>
            <w:hideMark/>
          </w:tcPr>
          <w:p w14:paraId="6D199AC4" w14:textId="77777777" w:rsidR="00B41992" w:rsidRDefault="00B41992" w:rsidP="0062262B">
            <w:pPr>
              <w:jc w:val="center"/>
              <w:rPr>
                <w:rFonts w:ascii="Arial Narrow" w:eastAsia="Times New Roman" w:hAnsi="Arial Narrow"/>
                <w:sz w:val="13"/>
                <w:szCs w:val="13"/>
              </w:rPr>
            </w:pPr>
            <w:r>
              <w:rPr>
                <w:rStyle w:val="cell"/>
                <w:rFonts w:ascii="Arial Narrow" w:eastAsia="Times New Roman" w:hAnsi="Arial Narrow"/>
                <w:sz w:val="13"/>
                <w:szCs w:val="13"/>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0A533F80" w14:textId="77777777" w:rsidR="00B41992" w:rsidRDefault="00B41992" w:rsidP="0062262B">
            <w:pPr>
              <w:jc w:val="center"/>
              <w:rPr>
                <w:rFonts w:ascii="Arial Narrow" w:eastAsia="Times New Roman" w:hAnsi="Arial Narrow"/>
                <w:sz w:val="13"/>
                <w:szCs w:val="13"/>
              </w:rPr>
            </w:pPr>
          </w:p>
        </w:tc>
        <w:tc>
          <w:tcPr>
            <w:tcW w:w="750" w:type="dxa"/>
            <w:tcBorders>
              <w:top w:val="single" w:sz="6" w:space="0" w:color="000000"/>
              <w:left w:val="single" w:sz="6" w:space="0" w:color="000000"/>
              <w:bottom w:val="single" w:sz="6" w:space="0" w:color="000000"/>
              <w:right w:val="single" w:sz="6" w:space="0" w:color="000000"/>
            </w:tcBorders>
            <w:hideMark/>
          </w:tcPr>
          <w:p w14:paraId="36B7D35D" w14:textId="77777777" w:rsidR="00B41992" w:rsidRDefault="00B41992" w:rsidP="0062262B">
            <w:pPr>
              <w:jc w:val="center"/>
              <w:rPr>
                <w:rFonts w:ascii="Arial Narrow" w:eastAsia="Times New Roman" w:hAnsi="Arial Narrow"/>
                <w:sz w:val="13"/>
                <w:szCs w:val="13"/>
              </w:rPr>
            </w:pPr>
            <w:r>
              <w:rPr>
                <w:rStyle w:val="quality-sign"/>
                <w:rFonts w:ascii="Cambria Math" w:eastAsia="Times New Roman" w:hAnsi="Cambria Math" w:cs="Cambria Math"/>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453463A9" w14:textId="77777777" w:rsidR="00B41992" w:rsidRDefault="00B41992" w:rsidP="0062262B">
            <w:pPr>
              <w:jc w:val="center"/>
              <w:rPr>
                <w:rFonts w:ascii="Arial Narrow" w:eastAsia="Times New Roman" w:hAnsi="Arial Narrow"/>
                <w:sz w:val="13"/>
                <w:szCs w:val="13"/>
              </w:rPr>
            </w:pPr>
          </w:p>
        </w:tc>
      </w:tr>
    </w:tbl>
    <w:p w14:paraId="04F18B6B" w14:textId="77777777" w:rsidR="00B41992" w:rsidRDefault="00B41992" w:rsidP="00B41992">
      <w:pPr>
        <w:pStyle w:val="NormalWeb"/>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w:t>
      </w:r>
    </w:p>
    <w:p w14:paraId="417E3BA6" w14:textId="77777777" w:rsidR="00B41992" w:rsidRDefault="00B41992" w:rsidP="00B41992">
      <w:pPr>
        <w:pStyle w:val="Heading4"/>
        <w:rPr>
          <w:rFonts w:ascii="Arial Narrow" w:eastAsia="Times New Roman" w:hAnsi="Arial Narrow"/>
          <w:color w:val="000000"/>
          <w:lang w:val="en"/>
        </w:rPr>
      </w:pPr>
      <w:r>
        <w:rPr>
          <w:rFonts w:ascii="Arial Narrow" w:eastAsia="Times New Roman" w:hAnsi="Arial Narrow"/>
          <w:color w:val="000000"/>
          <w:lang w:val="en"/>
        </w:rPr>
        <w:t>Explanations</w:t>
      </w:r>
    </w:p>
    <w:p w14:paraId="22C3167D"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a. 1 high ROB and 1 low ROB study</w:t>
      </w:r>
    </w:p>
    <w:p w14:paraId="31428251"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b. Different effect size between studies</w:t>
      </w:r>
    </w:p>
    <w:p w14:paraId="5F8E2D26"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c. small study size</w:t>
      </w:r>
    </w:p>
    <w:p w14:paraId="6C66EED5" w14:textId="77777777" w:rsidR="00B41992" w:rsidRDefault="00B41992" w:rsidP="00B41992">
      <w:pPr>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d. very different 50% rr between two studie</w:t>
      </w:r>
    </w:p>
    <w:p w14:paraId="43E54E06" w14:textId="77777777" w:rsidR="00B41992" w:rsidRDefault="00B41992" w:rsidP="00B41992">
      <w:pPr>
        <w:rPr>
          <w:rFonts w:ascii="Arial Narrow" w:eastAsia="Times New Roman" w:hAnsi="Arial Narrow"/>
          <w:color w:val="000000"/>
          <w:sz w:val="14"/>
          <w:szCs w:val="14"/>
          <w:lang w:val="en"/>
        </w:rPr>
      </w:pPr>
    </w:p>
    <w:p w14:paraId="4EEF24B4" w14:textId="77777777" w:rsidR="00B41992" w:rsidRPr="00C63BDD" w:rsidRDefault="00B41992" w:rsidP="00B41992">
      <w:pPr>
        <w:rPr>
          <w:rFonts w:ascii="Arial Narrow" w:eastAsia="Times New Roman" w:hAnsi="Arial Narrow"/>
          <w:color w:val="000000"/>
          <w:sz w:val="14"/>
          <w:szCs w:val="14"/>
          <w:lang w:val="en"/>
        </w:rPr>
      </w:pPr>
    </w:p>
    <w:p w14:paraId="475FF624" w14:textId="77777777" w:rsidR="00B41992" w:rsidRDefault="00B41992" w:rsidP="00B41992"/>
    <w:p w14:paraId="47729A5F" w14:textId="77777777" w:rsidR="00B41992" w:rsidRDefault="00B41992" w:rsidP="00B41992"/>
    <w:p w14:paraId="1298F971" w14:textId="77777777" w:rsidR="00B41992" w:rsidRPr="00842FC4" w:rsidRDefault="00B41992" w:rsidP="00B41992">
      <w:pPr>
        <w:rPr>
          <w:rFonts w:ascii="Arial" w:eastAsia="Arial" w:hAnsi="Arial" w:cs="Arial"/>
          <w:sz w:val="18"/>
          <w:szCs w:val="18"/>
        </w:rPr>
      </w:pPr>
    </w:p>
    <w:p w14:paraId="11A6301B" w14:textId="77777777" w:rsidR="00B41992" w:rsidRPr="00842FC4" w:rsidRDefault="00B41992" w:rsidP="00B41992">
      <w:pPr>
        <w:rPr>
          <w:rFonts w:ascii="Arial" w:eastAsia="Arial" w:hAnsi="Arial" w:cs="Arial"/>
          <w:sz w:val="18"/>
          <w:szCs w:val="18"/>
        </w:rPr>
      </w:pPr>
    </w:p>
    <w:p w14:paraId="2F903D4C" w14:textId="77777777" w:rsidR="00B41992" w:rsidRPr="00842FC4" w:rsidRDefault="00B41992" w:rsidP="00B41992">
      <w:pPr>
        <w:rPr>
          <w:rFonts w:ascii="Arial" w:eastAsia="Arial" w:hAnsi="Arial" w:cs="Arial"/>
          <w:sz w:val="18"/>
          <w:szCs w:val="18"/>
        </w:rPr>
      </w:pPr>
    </w:p>
    <w:p w14:paraId="4B8C5D02" w14:textId="77777777" w:rsidR="00B41992" w:rsidRPr="00842FC4" w:rsidRDefault="00B41992" w:rsidP="00B41992">
      <w:pPr>
        <w:rPr>
          <w:rFonts w:ascii="Arial" w:eastAsia="Arial" w:hAnsi="Arial" w:cs="Arial"/>
          <w:sz w:val="18"/>
          <w:szCs w:val="18"/>
        </w:rPr>
      </w:pPr>
    </w:p>
    <w:p w14:paraId="62D8EBBE" w14:textId="77777777" w:rsidR="00B41992" w:rsidRPr="00B00148" w:rsidRDefault="00B41992" w:rsidP="00B41992">
      <w:pPr>
        <w:rPr>
          <w:b/>
          <w:bCs/>
          <w:u w:val="single"/>
        </w:rPr>
      </w:pPr>
    </w:p>
    <w:p w14:paraId="36D8C5F2" w14:textId="77777777" w:rsidR="00662202" w:rsidRDefault="00662202"/>
    <w:sectPr w:rsidR="00662202" w:rsidSect="005710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F1845"/>
    <w:multiLevelType w:val="hybridMultilevel"/>
    <w:tmpl w:val="1B98DD52"/>
    <w:lvl w:ilvl="0" w:tplc="6B424F0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9A10CCB"/>
    <w:multiLevelType w:val="hybridMultilevel"/>
    <w:tmpl w:val="768AE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25F2"/>
    <w:multiLevelType w:val="hybridMultilevel"/>
    <w:tmpl w:val="D804CD62"/>
    <w:lvl w:ilvl="0" w:tplc="78DE81F4">
      <w:start w:val="1"/>
      <w:numFmt w:val="lowerLetter"/>
      <w:lvlText w:val="(%1)"/>
      <w:lvlJc w:val="left"/>
      <w:pPr>
        <w:ind w:left="785" w:hanging="360"/>
      </w:pPr>
      <w:rPr>
        <w:rFonts w:hint="default"/>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3" w15:restartNumberingAfterBreak="0">
    <w:nsid w:val="0D442493"/>
    <w:multiLevelType w:val="hybridMultilevel"/>
    <w:tmpl w:val="8D2C6B22"/>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 w15:restartNumberingAfterBreak="0">
    <w:nsid w:val="0D8D0D39"/>
    <w:multiLevelType w:val="hybridMultilevel"/>
    <w:tmpl w:val="F7B47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453D6"/>
    <w:multiLevelType w:val="hybridMultilevel"/>
    <w:tmpl w:val="F552C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63382E"/>
    <w:multiLevelType w:val="hybridMultilevel"/>
    <w:tmpl w:val="F552C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692043"/>
    <w:multiLevelType w:val="hybridMultilevel"/>
    <w:tmpl w:val="B66E419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8" w15:restartNumberingAfterBreak="0">
    <w:nsid w:val="1262649F"/>
    <w:multiLevelType w:val="hybridMultilevel"/>
    <w:tmpl w:val="11F89F2E"/>
    <w:lvl w:ilvl="0" w:tplc="90F8222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2853812"/>
    <w:multiLevelType w:val="hybridMultilevel"/>
    <w:tmpl w:val="7BDE51D2"/>
    <w:lvl w:ilvl="0" w:tplc="56B82C1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63C34A1"/>
    <w:multiLevelType w:val="hybridMultilevel"/>
    <w:tmpl w:val="1E306FE8"/>
    <w:lvl w:ilvl="0" w:tplc="FAAC60D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16D06269"/>
    <w:multiLevelType w:val="hybridMultilevel"/>
    <w:tmpl w:val="35BA978E"/>
    <w:lvl w:ilvl="0" w:tplc="D25EF4F2">
      <w:start w:val="1"/>
      <w:numFmt w:val="bullet"/>
      <w:lvlText w:val="•"/>
      <w:lvlJc w:val="left"/>
      <w:pPr>
        <w:tabs>
          <w:tab w:val="num" w:pos="720"/>
        </w:tabs>
        <w:ind w:left="720" w:hanging="360"/>
      </w:pPr>
      <w:rPr>
        <w:rFonts w:ascii="Arial" w:hAnsi="Arial" w:hint="default"/>
      </w:rPr>
    </w:lvl>
    <w:lvl w:ilvl="1" w:tplc="8F982B48" w:tentative="1">
      <w:start w:val="1"/>
      <w:numFmt w:val="bullet"/>
      <w:lvlText w:val="•"/>
      <w:lvlJc w:val="left"/>
      <w:pPr>
        <w:tabs>
          <w:tab w:val="num" w:pos="1440"/>
        </w:tabs>
        <w:ind w:left="1440" w:hanging="360"/>
      </w:pPr>
      <w:rPr>
        <w:rFonts w:ascii="Arial" w:hAnsi="Arial" w:hint="default"/>
      </w:rPr>
    </w:lvl>
    <w:lvl w:ilvl="2" w:tplc="E3B2A574" w:tentative="1">
      <w:start w:val="1"/>
      <w:numFmt w:val="bullet"/>
      <w:lvlText w:val="•"/>
      <w:lvlJc w:val="left"/>
      <w:pPr>
        <w:tabs>
          <w:tab w:val="num" w:pos="2160"/>
        </w:tabs>
        <w:ind w:left="2160" w:hanging="360"/>
      </w:pPr>
      <w:rPr>
        <w:rFonts w:ascii="Arial" w:hAnsi="Arial" w:hint="default"/>
      </w:rPr>
    </w:lvl>
    <w:lvl w:ilvl="3" w:tplc="C7DAA04A" w:tentative="1">
      <w:start w:val="1"/>
      <w:numFmt w:val="bullet"/>
      <w:lvlText w:val="•"/>
      <w:lvlJc w:val="left"/>
      <w:pPr>
        <w:tabs>
          <w:tab w:val="num" w:pos="2880"/>
        </w:tabs>
        <w:ind w:left="2880" w:hanging="360"/>
      </w:pPr>
      <w:rPr>
        <w:rFonts w:ascii="Arial" w:hAnsi="Arial" w:hint="default"/>
      </w:rPr>
    </w:lvl>
    <w:lvl w:ilvl="4" w:tplc="C370577A" w:tentative="1">
      <w:start w:val="1"/>
      <w:numFmt w:val="bullet"/>
      <w:lvlText w:val="•"/>
      <w:lvlJc w:val="left"/>
      <w:pPr>
        <w:tabs>
          <w:tab w:val="num" w:pos="3600"/>
        </w:tabs>
        <w:ind w:left="3600" w:hanging="360"/>
      </w:pPr>
      <w:rPr>
        <w:rFonts w:ascii="Arial" w:hAnsi="Arial" w:hint="default"/>
      </w:rPr>
    </w:lvl>
    <w:lvl w:ilvl="5" w:tplc="59301ED2" w:tentative="1">
      <w:start w:val="1"/>
      <w:numFmt w:val="bullet"/>
      <w:lvlText w:val="•"/>
      <w:lvlJc w:val="left"/>
      <w:pPr>
        <w:tabs>
          <w:tab w:val="num" w:pos="4320"/>
        </w:tabs>
        <w:ind w:left="4320" w:hanging="360"/>
      </w:pPr>
      <w:rPr>
        <w:rFonts w:ascii="Arial" w:hAnsi="Arial" w:hint="default"/>
      </w:rPr>
    </w:lvl>
    <w:lvl w:ilvl="6" w:tplc="C0BEB976" w:tentative="1">
      <w:start w:val="1"/>
      <w:numFmt w:val="bullet"/>
      <w:lvlText w:val="•"/>
      <w:lvlJc w:val="left"/>
      <w:pPr>
        <w:tabs>
          <w:tab w:val="num" w:pos="5040"/>
        </w:tabs>
        <w:ind w:left="5040" w:hanging="360"/>
      </w:pPr>
      <w:rPr>
        <w:rFonts w:ascii="Arial" w:hAnsi="Arial" w:hint="default"/>
      </w:rPr>
    </w:lvl>
    <w:lvl w:ilvl="7" w:tplc="640234F2" w:tentative="1">
      <w:start w:val="1"/>
      <w:numFmt w:val="bullet"/>
      <w:lvlText w:val="•"/>
      <w:lvlJc w:val="left"/>
      <w:pPr>
        <w:tabs>
          <w:tab w:val="num" w:pos="5760"/>
        </w:tabs>
        <w:ind w:left="5760" w:hanging="360"/>
      </w:pPr>
      <w:rPr>
        <w:rFonts w:ascii="Arial" w:hAnsi="Arial" w:hint="default"/>
      </w:rPr>
    </w:lvl>
    <w:lvl w:ilvl="8" w:tplc="83745BB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153F68"/>
    <w:multiLevelType w:val="hybridMultilevel"/>
    <w:tmpl w:val="7A4EA106"/>
    <w:lvl w:ilvl="0" w:tplc="662AD4F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1057E85"/>
    <w:multiLevelType w:val="hybridMultilevel"/>
    <w:tmpl w:val="CB507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F94606"/>
    <w:multiLevelType w:val="hybridMultilevel"/>
    <w:tmpl w:val="ABFC72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AE54C0B"/>
    <w:multiLevelType w:val="hybridMultilevel"/>
    <w:tmpl w:val="4A7E3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CB7C1D"/>
    <w:multiLevelType w:val="hybridMultilevel"/>
    <w:tmpl w:val="63D090F4"/>
    <w:lvl w:ilvl="0" w:tplc="7C66ED54">
      <w:start w:val="1"/>
      <w:numFmt w:val="bullet"/>
      <w:lvlText w:val="•"/>
      <w:lvlJc w:val="left"/>
      <w:pPr>
        <w:tabs>
          <w:tab w:val="num" w:pos="720"/>
        </w:tabs>
        <w:ind w:left="720" w:hanging="360"/>
      </w:pPr>
      <w:rPr>
        <w:rFonts w:ascii="Arial" w:hAnsi="Arial" w:hint="default"/>
      </w:rPr>
    </w:lvl>
    <w:lvl w:ilvl="1" w:tplc="3C2EFE78" w:tentative="1">
      <w:start w:val="1"/>
      <w:numFmt w:val="bullet"/>
      <w:lvlText w:val="•"/>
      <w:lvlJc w:val="left"/>
      <w:pPr>
        <w:tabs>
          <w:tab w:val="num" w:pos="1440"/>
        </w:tabs>
        <w:ind w:left="1440" w:hanging="360"/>
      </w:pPr>
      <w:rPr>
        <w:rFonts w:ascii="Arial" w:hAnsi="Arial" w:hint="default"/>
      </w:rPr>
    </w:lvl>
    <w:lvl w:ilvl="2" w:tplc="D21293C2" w:tentative="1">
      <w:start w:val="1"/>
      <w:numFmt w:val="bullet"/>
      <w:lvlText w:val="•"/>
      <w:lvlJc w:val="left"/>
      <w:pPr>
        <w:tabs>
          <w:tab w:val="num" w:pos="2160"/>
        </w:tabs>
        <w:ind w:left="2160" w:hanging="360"/>
      </w:pPr>
      <w:rPr>
        <w:rFonts w:ascii="Arial" w:hAnsi="Arial" w:hint="default"/>
      </w:rPr>
    </w:lvl>
    <w:lvl w:ilvl="3" w:tplc="E856AD26" w:tentative="1">
      <w:start w:val="1"/>
      <w:numFmt w:val="bullet"/>
      <w:lvlText w:val="•"/>
      <w:lvlJc w:val="left"/>
      <w:pPr>
        <w:tabs>
          <w:tab w:val="num" w:pos="2880"/>
        </w:tabs>
        <w:ind w:left="2880" w:hanging="360"/>
      </w:pPr>
      <w:rPr>
        <w:rFonts w:ascii="Arial" w:hAnsi="Arial" w:hint="default"/>
      </w:rPr>
    </w:lvl>
    <w:lvl w:ilvl="4" w:tplc="418618AC" w:tentative="1">
      <w:start w:val="1"/>
      <w:numFmt w:val="bullet"/>
      <w:lvlText w:val="•"/>
      <w:lvlJc w:val="left"/>
      <w:pPr>
        <w:tabs>
          <w:tab w:val="num" w:pos="3600"/>
        </w:tabs>
        <w:ind w:left="3600" w:hanging="360"/>
      </w:pPr>
      <w:rPr>
        <w:rFonts w:ascii="Arial" w:hAnsi="Arial" w:hint="default"/>
      </w:rPr>
    </w:lvl>
    <w:lvl w:ilvl="5" w:tplc="C4161E76" w:tentative="1">
      <w:start w:val="1"/>
      <w:numFmt w:val="bullet"/>
      <w:lvlText w:val="•"/>
      <w:lvlJc w:val="left"/>
      <w:pPr>
        <w:tabs>
          <w:tab w:val="num" w:pos="4320"/>
        </w:tabs>
        <w:ind w:left="4320" w:hanging="360"/>
      </w:pPr>
      <w:rPr>
        <w:rFonts w:ascii="Arial" w:hAnsi="Arial" w:hint="default"/>
      </w:rPr>
    </w:lvl>
    <w:lvl w:ilvl="6" w:tplc="E8E8B4E8" w:tentative="1">
      <w:start w:val="1"/>
      <w:numFmt w:val="bullet"/>
      <w:lvlText w:val="•"/>
      <w:lvlJc w:val="left"/>
      <w:pPr>
        <w:tabs>
          <w:tab w:val="num" w:pos="5040"/>
        </w:tabs>
        <w:ind w:left="5040" w:hanging="360"/>
      </w:pPr>
      <w:rPr>
        <w:rFonts w:ascii="Arial" w:hAnsi="Arial" w:hint="default"/>
      </w:rPr>
    </w:lvl>
    <w:lvl w:ilvl="7" w:tplc="C0003D2E" w:tentative="1">
      <w:start w:val="1"/>
      <w:numFmt w:val="bullet"/>
      <w:lvlText w:val="•"/>
      <w:lvlJc w:val="left"/>
      <w:pPr>
        <w:tabs>
          <w:tab w:val="num" w:pos="5760"/>
        </w:tabs>
        <w:ind w:left="5760" w:hanging="360"/>
      </w:pPr>
      <w:rPr>
        <w:rFonts w:ascii="Arial" w:hAnsi="Arial" w:hint="default"/>
      </w:rPr>
    </w:lvl>
    <w:lvl w:ilvl="8" w:tplc="79B21E5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6B11CB"/>
    <w:multiLevelType w:val="hybridMultilevel"/>
    <w:tmpl w:val="703C48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4A13B36"/>
    <w:multiLevelType w:val="hybridMultilevel"/>
    <w:tmpl w:val="3C38A2C2"/>
    <w:lvl w:ilvl="0" w:tplc="B010C83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F011A6"/>
    <w:multiLevelType w:val="hybridMultilevel"/>
    <w:tmpl w:val="A0881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8715BB"/>
    <w:multiLevelType w:val="hybridMultilevel"/>
    <w:tmpl w:val="5FA00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D34E38"/>
    <w:multiLevelType w:val="hybridMultilevel"/>
    <w:tmpl w:val="984E5530"/>
    <w:lvl w:ilvl="0" w:tplc="19E249C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465F15"/>
    <w:multiLevelType w:val="hybridMultilevel"/>
    <w:tmpl w:val="AB80D336"/>
    <w:lvl w:ilvl="0" w:tplc="7A6051B0">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4C1D9F"/>
    <w:multiLevelType w:val="hybridMultilevel"/>
    <w:tmpl w:val="ADA65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A935BB"/>
    <w:multiLevelType w:val="hybridMultilevel"/>
    <w:tmpl w:val="ABFC72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1040D8"/>
    <w:multiLevelType w:val="hybridMultilevel"/>
    <w:tmpl w:val="BDE464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D55AA2"/>
    <w:multiLevelType w:val="hybridMultilevel"/>
    <w:tmpl w:val="C93212CE"/>
    <w:lvl w:ilvl="0" w:tplc="345625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1863644"/>
    <w:multiLevelType w:val="hybridMultilevel"/>
    <w:tmpl w:val="7710FD72"/>
    <w:lvl w:ilvl="0" w:tplc="F81E179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8DF3490"/>
    <w:multiLevelType w:val="hybridMultilevel"/>
    <w:tmpl w:val="C0B80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347879"/>
    <w:multiLevelType w:val="hybridMultilevel"/>
    <w:tmpl w:val="8D4E82C6"/>
    <w:lvl w:ilvl="0" w:tplc="AF18C95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FC96F73"/>
    <w:multiLevelType w:val="hybridMultilevel"/>
    <w:tmpl w:val="A9F47C00"/>
    <w:lvl w:ilvl="0" w:tplc="65C2228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0F71DCB"/>
    <w:multiLevelType w:val="hybridMultilevel"/>
    <w:tmpl w:val="799CEC0A"/>
    <w:lvl w:ilvl="0" w:tplc="BB10DEAE">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400F16"/>
    <w:multiLevelType w:val="hybridMultilevel"/>
    <w:tmpl w:val="2110EA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8E215F"/>
    <w:multiLevelType w:val="hybridMultilevel"/>
    <w:tmpl w:val="C590E2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46B376B"/>
    <w:multiLevelType w:val="hybridMultilevel"/>
    <w:tmpl w:val="3A0C478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A264AD"/>
    <w:multiLevelType w:val="hybridMultilevel"/>
    <w:tmpl w:val="F552C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A9E6ED9"/>
    <w:multiLevelType w:val="hybridMultilevel"/>
    <w:tmpl w:val="89702800"/>
    <w:lvl w:ilvl="0" w:tplc="DEB211E8">
      <w:start w:val="1"/>
      <w:numFmt w:val="bullet"/>
      <w:lvlText w:val="•"/>
      <w:lvlJc w:val="left"/>
      <w:pPr>
        <w:tabs>
          <w:tab w:val="num" w:pos="720"/>
        </w:tabs>
        <w:ind w:left="720" w:hanging="360"/>
      </w:pPr>
      <w:rPr>
        <w:rFonts w:ascii="Arial" w:hAnsi="Arial" w:hint="default"/>
      </w:rPr>
    </w:lvl>
    <w:lvl w:ilvl="1" w:tplc="519AE098" w:tentative="1">
      <w:start w:val="1"/>
      <w:numFmt w:val="bullet"/>
      <w:lvlText w:val="•"/>
      <w:lvlJc w:val="left"/>
      <w:pPr>
        <w:tabs>
          <w:tab w:val="num" w:pos="1440"/>
        </w:tabs>
        <w:ind w:left="1440" w:hanging="360"/>
      </w:pPr>
      <w:rPr>
        <w:rFonts w:ascii="Arial" w:hAnsi="Arial" w:hint="default"/>
      </w:rPr>
    </w:lvl>
    <w:lvl w:ilvl="2" w:tplc="A252C0E0" w:tentative="1">
      <w:start w:val="1"/>
      <w:numFmt w:val="bullet"/>
      <w:lvlText w:val="•"/>
      <w:lvlJc w:val="left"/>
      <w:pPr>
        <w:tabs>
          <w:tab w:val="num" w:pos="2160"/>
        </w:tabs>
        <w:ind w:left="2160" w:hanging="360"/>
      </w:pPr>
      <w:rPr>
        <w:rFonts w:ascii="Arial" w:hAnsi="Arial" w:hint="default"/>
      </w:rPr>
    </w:lvl>
    <w:lvl w:ilvl="3" w:tplc="FED26FBC" w:tentative="1">
      <w:start w:val="1"/>
      <w:numFmt w:val="bullet"/>
      <w:lvlText w:val="•"/>
      <w:lvlJc w:val="left"/>
      <w:pPr>
        <w:tabs>
          <w:tab w:val="num" w:pos="2880"/>
        </w:tabs>
        <w:ind w:left="2880" w:hanging="360"/>
      </w:pPr>
      <w:rPr>
        <w:rFonts w:ascii="Arial" w:hAnsi="Arial" w:hint="default"/>
      </w:rPr>
    </w:lvl>
    <w:lvl w:ilvl="4" w:tplc="FB1ABFFE" w:tentative="1">
      <w:start w:val="1"/>
      <w:numFmt w:val="bullet"/>
      <w:lvlText w:val="•"/>
      <w:lvlJc w:val="left"/>
      <w:pPr>
        <w:tabs>
          <w:tab w:val="num" w:pos="3600"/>
        </w:tabs>
        <w:ind w:left="3600" w:hanging="360"/>
      </w:pPr>
      <w:rPr>
        <w:rFonts w:ascii="Arial" w:hAnsi="Arial" w:hint="default"/>
      </w:rPr>
    </w:lvl>
    <w:lvl w:ilvl="5" w:tplc="273C86C0" w:tentative="1">
      <w:start w:val="1"/>
      <w:numFmt w:val="bullet"/>
      <w:lvlText w:val="•"/>
      <w:lvlJc w:val="left"/>
      <w:pPr>
        <w:tabs>
          <w:tab w:val="num" w:pos="4320"/>
        </w:tabs>
        <w:ind w:left="4320" w:hanging="360"/>
      </w:pPr>
      <w:rPr>
        <w:rFonts w:ascii="Arial" w:hAnsi="Arial" w:hint="default"/>
      </w:rPr>
    </w:lvl>
    <w:lvl w:ilvl="6" w:tplc="17B03B10" w:tentative="1">
      <w:start w:val="1"/>
      <w:numFmt w:val="bullet"/>
      <w:lvlText w:val="•"/>
      <w:lvlJc w:val="left"/>
      <w:pPr>
        <w:tabs>
          <w:tab w:val="num" w:pos="5040"/>
        </w:tabs>
        <w:ind w:left="5040" w:hanging="360"/>
      </w:pPr>
      <w:rPr>
        <w:rFonts w:ascii="Arial" w:hAnsi="Arial" w:hint="default"/>
      </w:rPr>
    </w:lvl>
    <w:lvl w:ilvl="7" w:tplc="2BDC1538" w:tentative="1">
      <w:start w:val="1"/>
      <w:numFmt w:val="bullet"/>
      <w:lvlText w:val="•"/>
      <w:lvlJc w:val="left"/>
      <w:pPr>
        <w:tabs>
          <w:tab w:val="num" w:pos="5760"/>
        </w:tabs>
        <w:ind w:left="5760" w:hanging="360"/>
      </w:pPr>
      <w:rPr>
        <w:rFonts w:ascii="Arial" w:hAnsi="Arial" w:hint="default"/>
      </w:rPr>
    </w:lvl>
    <w:lvl w:ilvl="8" w:tplc="5F3CDE0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DF27DF"/>
    <w:multiLevelType w:val="hybridMultilevel"/>
    <w:tmpl w:val="91E8FF4A"/>
    <w:lvl w:ilvl="0" w:tplc="5F105F56">
      <w:start w:val="1"/>
      <w:numFmt w:val="bullet"/>
      <w:lvlText w:val="•"/>
      <w:lvlJc w:val="left"/>
      <w:pPr>
        <w:tabs>
          <w:tab w:val="num" w:pos="720"/>
        </w:tabs>
        <w:ind w:left="720" w:hanging="360"/>
      </w:pPr>
      <w:rPr>
        <w:rFonts w:ascii="Arial" w:hAnsi="Arial" w:hint="default"/>
      </w:rPr>
    </w:lvl>
    <w:lvl w:ilvl="1" w:tplc="D3002FA4" w:tentative="1">
      <w:start w:val="1"/>
      <w:numFmt w:val="bullet"/>
      <w:lvlText w:val="•"/>
      <w:lvlJc w:val="left"/>
      <w:pPr>
        <w:tabs>
          <w:tab w:val="num" w:pos="1440"/>
        </w:tabs>
        <w:ind w:left="1440" w:hanging="360"/>
      </w:pPr>
      <w:rPr>
        <w:rFonts w:ascii="Arial" w:hAnsi="Arial" w:hint="default"/>
      </w:rPr>
    </w:lvl>
    <w:lvl w:ilvl="2" w:tplc="083E8E64" w:tentative="1">
      <w:start w:val="1"/>
      <w:numFmt w:val="bullet"/>
      <w:lvlText w:val="•"/>
      <w:lvlJc w:val="left"/>
      <w:pPr>
        <w:tabs>
          <w:tab w:val="num" w:pos="2160"/>
        </w:tabs>
        <w:ind w:left="2160" w:hanging="360"/>
      </w:pPr>
      <w:rPr>
        <w:rFonts w:ascii="Arial" w:hAnsi="Arial" w:hint="default"/>
      </w:rPr>
    </w:lvl>
    <w:lvl w:ilvl="3" w:tplc="276E17B4" w:tentative="1">
      <w:start w:val="1"/>
      <w:numFmt w:val="bullet"/>
      <w:lvlText w:val="•"/>
      <w:lvlJc w:val="left"/>
      <w:pPr>
        <w:tabs>
          <w:tab w:val="num" w:pos="2880"/>
        </w:tabs>
        <w:ind w:left="2880" w:hanging="360"/>
      </w:pPr>
      <w:rPr>
        <w:rFonts w:ascii="Arial" w:hAnsi="Arial" w:hint="default"/>
      </w:rPr>
    </w:lvl>
    <w:lvl w:ilvl="4" w:tplc="B5E213CC" w:tentative="1">
      <w:start w:val="1"/>
      <w:numFmt w:val="bullet"/>
      <w:lvlText w:val="•"/>
      <w:lvlJc w:val="left"/>
      <w:pPr>
        <w:tabs>
          <w:tab w:val="num" w:pos="3600"/>
        </w:tabs>
        <w:ind w:left="3600" w:hanging="360"/>
      </w:pPr>
      <w:rPr>
        <w:rFonts w:ascii="Arial" w:hAnsi="Arial" w:hint="default"/>
      </w:rPr>
    </w:lvl>
    <w:lvl w:ilvl="5" w:tplc="BADABA5E" w:tentative="1">
      <w:start w:val="1"/>
      <w:numFmt w:val="bullet"/>
      <w:lvlText w:val="•"/>
      <w:lvlJc w:val="left"/>
      <w:pPr>
        <w:tabs>
          <w:tab w:val="num" w:pos="4320"/>
        </w:tabs>
        <w:ind w:left="4320" w:hanging="360"/>
      </w:pPr>
      <w:rPr>
        <w:rFonts w:ascii="Arial" w:hAnsi="Arial" w:hint="default"/>
      </w:rPr>
    </w:lvl>
    <w:lvl w:ilvl="6" w:tplc="36F0DD92" w:tentative="1">
      <w:start w:val="1"/>
      <w:numFmt w:val="bullet"/>
      <w:lvlText w:val="•"/>
      <w:lvlJc w:val="left"/>
      <w:pPr>
        <w:tabs>
          <w:tab w:val="num" w:pos="5040"/>
        </w:tabs>
        <w:ind w:left="5040" w:hanging="360"/>
      </w:pPr>
      <w:rPr>
        <w:rFonts w:ascii="Arial" w:hAnsi="Arial" w:hint="default"/>
      </w:rPr>
    </w:lvl>
    <w:lvl w:ilvl="7" w:tplc="C5FE36B2" w:tentative="1">
      <w:start w:val="1"/>
      <w:numFmt w:val="bullet"/>
      <w:lvlText w:val="•"/>
      <w:lvlJc w:val="left"/>
      <w:pPr>
        <w:tabs>
          <w:tab w:val="num" w:pos="5760"/>
        </w:tabs>
        <w:ind w:left="5760" w:hanging="360"/>
      </w:pPr>
      <w:rPr>
        <w:rFonts w:ascii="Arial" w:hAnsi="Arial" w:hint="default"/>
      </w:rPr>
    </w:lvl>
    <w:lvl w:ilvl="8" w:tplc="D0BEADF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B890413"/>
    <w:multiLevelType w:val="hybridMultilevel"/>
    <w:tmpl w:val="0F8A949A"/>
    <w:lvl w:ilvl="0" w:tplc="62780FEC">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999504070">
    <w:abstractNumId w:val="1"/>
  </w:num>
  <w:num w:numId="2" w16cid:durableId="897938604">
    <w:abstractNumId w:val="6"/>
  </w:num>
  <w:num w:numId="3" w16cid:durableId="1145246557">
    <w:abstractNumId w:val="31"/>
  </w:num>
  <w:num w:numId="4" w16cid:durableId="307323289">
    <w:abstractNumId w:val="33"/>
  </w:num>
  <w:num w:numId="5" w16cid:durableId="2084329728">
    <w:abstractNumId w:val="34"/>
  </w:num>
  <w:num w:numId="6" w16cid:durableId="956330280">
    <w:abstractNumId w:val="14"/>
  </w:num>
  <w:num w:numId="7" w16cid:durableId="1027020209">
    <w:abstractNumId w:val="29"/>
  </w:num>
  <w:num w:numId="8" w16cid:durableId="2102722764">
    <w:abstractNumId w:val="8"/>
  </w:num>
  <w:num w:numId="9" w16cid:durableId="195392116">
    <w:abstractNumId w:val="9"/>
  </w:num>
  <w:num w:numId="10" w16cid:durableId="2076276264">
    <w:abstractNumId w:val="38"/>
  </w:num>
  <w:num w:numId="11" w16cid:durableId="1672296024">
    <w:abstractNumId w:val="3"/>
  </w:num>
  <w:num w:numId="12" w16cid:durableId="1424758668">
    <w:abstractNumId w:val="7"/>
  </w:num>
  <w:num w:numId="13" w16cid:durableId="190145206">
    <w:abstractNumId w:val="2"/>
  </w:num>
  <w:num w:numId="14" w16cid:durableId="859321547">
    <w:abstractNumId w:val="10"/>
  </w:num>
  <w:num w:numId="15" w16cid:durableId="1685983844">
    <w:abstractNumId w:val="0"/>
  </w:num>
  <w:num w:numId="16" w16cid:durableId="315769864">
    <w:abstractNumId w:val="24"/>
  </w:num>
  <w:num w:numId="17" w16cid:durableId="138813773">
    <w:abstractNumId w:val="12"/>
  </w:num>
  <w:num w:numId="18" w16cid:durableId="1283998785">
    <w:abstractNumId w:val="30"/>
  </w:num>
  <w:num w:numId="19" w16cid:durableId="687289109">
    <w:abstractNumId w:val="27"/>
  </w:num>
  <w:num w:numId="20" w16cid:durableId="146745051">
    <w:abstractNumId w:val="22"/>
  </w:num>
  <w:num w:numId="21" w16cid:durableId="2022470737">
    <w:abstractNumId w:val="26"/>
  </w:num>
  <w:num w:numId="22" w16cid:durableId="1973752016">
    <w:abstractNumId w:val="20"/>
  </w:num>
  <w:num w:numId="23" w16cid:durableId="1284268077">
    <w:abstractNumId w:val="13"/>
  </w:num>
  <w:num w:numId="24" w16cid:durableId="500122575">
    <w:abstractNumId w:val="32"/>
  </w:num>
  <w:num w:numId="25" w16cid:durableId="1707564323">
    <w:abstractNumId w:val="28"/>
  </w:num>
  <w:num w:numId="26" w16cid:durableId="469248852">
    <w:abstractNumId w:val="4"/>
  </w:num>
  <w:num w:numId="27" w16cid:durableId="498160687">
    <w:abstractNumId w:val="25"/>
  </w:num>
  <w:num w:numId="28" w16cid:durableId="23409513">
    <w:abstractNumId w:val="5"/>
  </w:num>
  <w:num w:numId="29" w16cid:durableId="96411658">
    <w:abstractNumId w:val="35"/>
  </w:num>
  <w:num w:numId="30" w16cid:durableId="2008097718">
    <w:abstractNumId w:val="11"/>
  </w:num>
  <w:num w:numId="31" w16cid:durableId="797919347">
    <w:abstractNumId w:val="16"/>
  </w:num>
  <w:num w:numId="32" w16cid:durableId="2079008697">
    <w:abstractNumId w:val="36"/>
  </w:num>
  <w:num w:numId="33" w16cid:durableId="627978253">
    <w:abstractNumId w:val="37"/>
  </w:num>
  <w:num w:numId="34" w16cid:durableId="1706174054">
    <w:abstractNumId w:val="23"/>
  </w:num>
  <w:num w:numId="35" w16cid:durableId="594634361">
    <w:abstractNumId w:val="21"/>
  </w:num>
  <w:num w:numId="36" w16cid:durableId="942689336">
    <w:abstractNumId w:val="18"/>
  </w:num>
  <w:num w:numId="37" w16cid:durableId="983001497">
    <w:abstractNumId w:val="19"/>
  </w:num>
  <w:num w:numId="38" w16cid:durableId="483276614">
    <w:abstractNumId w:val="15"/>
  </w:num>
  <w:num w:numId="39" w16cid:durableId="13945008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992"/>
    <w:rsid w:val="00193727"/>
    <w:rsid w:val="00571070"/>
    <w:rsid w:val="005E617E"/>
    <w:rsid w:val="00662202"/>
    <w:rsid w:val="009B409D"/>
    <w:rsid w:val="00B41992"/>
    <w:rsid w:val="00DE0751"/>
    <w:rsid w:val="00FD1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E347B"/>
  <w15:chartTrackingRefBased/>
  <w15:docId w15:val="{D5B95E11-675E-4663-B207-8834267B4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992"/>
    <w:pPr>
      <w:spacing w:after="0" w:line="240" w:lineRule="auto"/>
    </w:pPr>
    <w:rPr>
      <w:rFonts w:ascii="Times New Roman" w:hAnsi="Times New Roman" w:cs="Times New Roman"/>
      <w:kern w:val="0"/>
      <w:sz w:val="24"/>
      <w:szCs w:val="24"/>
    </w:rPr>
  </w:style>
  <w:style w:type="paragraph" w:styleId="Heading4">
    <w:name w:val="heading 4"/>
    <w:basedOn w:val="Normal"/>
    <w:link w:val="Heading4Char"/>
    <w:uiPriority w:val="9"/>
    <w:qFormat/>
    <w:rsid w:val="00B41992"/>
    <w:pPr>
      <w:spacing w:before="100" w:beforeAutospacing="1" w:after="100" w:afterAutospacing="1"/>
      <w:outlineLvl w:val="3"/>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41992"/>
    <w:rPr>
      <w:rFonts w:ascii="Times New Roman" w:eastAsiaTheme="minorEastAsia" w:hAnsi="Times New Roman" w:cs="Times New Roman"/>
      <w:b/>
      <w:bCs/>
      <w:kern w:val="0"/>
      <w:sz w:val="24"/>
      <w:szCs w:val="24"/>
    </w:rPr>
  </w:style>
  <w:style w:type="character" w:styleId="Hyperlink">
    <w:name w:val="Hyperlink"/>
    <w:basedOn w:val="DefaultParagraphFont"/>
    <w:uiPriority w:val="99"/>
    <w:unhideWhenUsed/>
    <w:rsid w:val="00B41992"/>
    <w:rPr>
      <w:color w:val="0000FF"/>
      <w:u w:val="single"/>
    </w:rPr>
  </w:style>
  <w:style w:type="paragraph" w:styleId="NoSpacing">
    <w:name w:val="No Spacing"/>
    <w:uiPriority w:val="1"/>
    <w:qFormat/>
    <w:rsid w:val="00B41992"/>
    <w:pPr>
      <w:spacing w:after="0" w:line="240" w:lineRule="auto"/>
    </w:pPr>
    <w:rPr>
      <w:rFonts w:ascii="Times New Roman" w:hAnsi="Times New Roman" w:cs="Times New Roman"/>
      <w:kern w:val="0"/>
      <w:sz w:val="24"/>
      <w:szCs w:val="24"/>
    </w:rPr>
  </w:style>
  <w:style w:type="paragraph" w:styleId="ListParagraph">
    <w:name w:val="List Paragraph"/>
    <w:basedOn w:val="Normal"/>
    <w:uiPriority w:val="34"/>
    <w:qFormat/>
    <w:rsid w:val="00B41992"/>
    <w:pPr>
      <w:ind w:left="720"/>
      <w:contextualSpacing/>
    </w:pPr>
  </w:style>
  <w:style w:type="paragraph" w:customStyle="1" w:styleId="p1">
    <w:name w:val="p1"/>
    <w:basedOn w:val="Normal"/>
    <w:rsid w:val="00B41992"/>
    <w:rPr>
      <w:rFonts w:ascii="Times" w:hAnsi="Times"/>
      <w:color w:val="2F2A2B"/>
      <w:sz w:val="15"/>
      <w:szCs w:val="15"/>
    </w:rPr>
  </w:style>
  <w:style w:type="table" w:styleId="TableGrid">
    <w:name w:val="Table Grid"/>
    <w:basedOn w:val="TableNormal"/>
    <w:uiPriority w:val="59"/>
    <w:rsid w:val="00B41992"/>
    <w:pPr>
      <w:spacing w:after="0" w:line="240" w:lineRule="auto"/>
    </w:pPr>
    <w:rPr>
      <w:rFonts w:eastAsiaTheme="minorEastAsia"/>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41992"/>
    <w:rPr>
      <w:sz w:val="20"/>
      <w:szCs w:val="20"/>
    </w:rPr>
  </w:style>
  <w:style w:type="character" w:customStyle="1" w:styleId="CommentTextChar">
    <w:name w:val="Comment Text Char"/>
    <w:basedOn w:val="DefaultParagraphFont"/>
    <w:link w:val="CommentText"/>
    <w:uiPriority w:val="99"/>
    <w:rsid w:val="00B41992"/>
    <w:rPr>
      <w:rFonts w:ascii="Times New Roman" w:hAnsi="Times New Roman" w:cs="Times New Roman"/>
      <w:kern w:val="0"/>
      <w:sz w:val="20"/>
      <w:szCs w:val="20"/>
    </w:rPr>
  </w:style>
  <w:style w:type="paragraph" w:styleId="NormalWeb">
    <w:name w:val="Normal (Web)"/>
    <w:basedOn w:val="Normal"/>
    <w:uiPriority w:val="99"/>
    <w:unhideWhenUsed/>
    <w:rsid w:val="00B41992"/>
    <w:pPr>
      <w:spacing w:before="100" w:beforeAutospacing="1" w:after="100" w:afterAutospacing="1"/>
    </w:pPr>
    <w:rPr>
      <w:rFonts w:eastAsia="Times New Roman"/>
      <w:lang w:val="en-CA" w:eastAsia="en-CA"/>
    </w:rPr>
  </w:style>
  <w:style w:type="paragraph" w:styleId="Bibliography">
    <w:name w:val="Bibliography"/>
    <w:basedOn w:val="Normal"/>
    <w:next w:val="Normal"/>
    <w:uiPriority w:val="37"/>
    <w:unhideWhenUsed/>
    <w:rsid w:val="00B41992"/>
    <w:pPr>
      <w:tabs>
        <w:tab w:val="left" w:pos="384"/>
      </w:tabs>
      <w:spacing w:after="240"/>
      <w:ind w:left="384" w:hanging="384"/>
    </w:pPr>
  </w:style>
  <w:style w:type="character" w:customStyle="1" w:styleId="label">
    <w:name w:val="label"/>
    <w:basedOn w:val="DefaultParagraphFont"/>
    <w:rsid w:val="00B41992"/>
  </w:style>
  <w:style w:type="character" w:customStyle="1" w:styleId="cell-value">
    <w:name w:val="cell-value"/>
    <w:basedOn w:val="DefaultParagraphFont"/>
    <w:rsid w:val="00B41992"/>
  </w:style>
  <w:style w:type="character" w:customStyle="1" w:styleId="cell">
    <w:name w:val="cell"/>
    <w:basedOn w:val="DefaultParagraphFont"/>
    <w:rsid w:val="00B41992"/>
  </w:style>
  <w:style w:type="character" w:customStyle="1" w:styleId="quality-sign">
    <w:name w:val="quality-sign"/>
    <w:basedOn w:val="DefaultParagraphFont"/>
    <w:rsid w:val="00B41992"/>
  </w:style>
  <w:style w:type="character" w:customStyle="1" w:styleId="quality-text">
    <w:name w:val="quality-text"/>
    <w:basedOn w:val="DefaultParagraphFont"/>
    <w:rsid w:val="00B41992"/>
  </w:style>
  <w:style w:type="character" w:customStyle="1" w:styleId="block">
    <w:name w:val="block"/>
    <w:basedOn w:val="DefaultParagraphFont"/>
    <w:rsid w:val="00B41992"/>
  </w:style>
  <w:style w:type="character" w:styleId="FollowedHyperlink">
    <w:name w:val="FollowedHyperlink"/>
    <w:basedOn w:val="DefaultParagraphFont"/>
    <w:uiPriority w:val="99"/>
    <w:unhideWhenUsed/>
    <w:rsid w:val="00B41992"/>
    <w:rPr>
      <w:color w:val="954F72"/>
      <w:u w:val="single"/>
    </w:rPr>
  </w:style>
  <w:style w:type="paragraph" w:customStyle="1" w:styleId="msonormal0">
    <w:name w:val="msonormal"/>
    <w:basedOn w:val="Normal"/>
    <w:rsid w:val="00B41992"/>
    <w:pPr>
      <w:spacing w:before="100" w:beforeAutospacing="1" w:after="100" w:afterAutospacing="1"/>
    </w:pPr>
    <w:rPr>
      <w:rFonts w:eastAsia="Times New Roman"/>
    </w:rPr>
  </w:style>
  <w:style w:type="paragraph" w:customStyle="1" w:styleId="xl65">
    <w:name w:val="xl65"/>
    <w:basedOn w:val="Normal"/>
    <w:rsid w:val="00B41992"/>
    <w:pPr>
      <w:pBdr>
        <w:top w:val="single" w:sz="4" w:space="0" w:color="FFFFFF"/>
        <w:left w:val="single" w:sz="4" w:space="0" w:color="FFFFFF"/>
        <w:bottom w:val="single" w:sz="4" w:space="0" w:color="FFFFFF"/>
        <w:right w:val="single" w:sz="4" w:space="0" w:color="FFFFFF"/>
      </w:pBdr>
      <w:spacing w:before="100" w:beforeAutospacing="1" w:after="100" w:afterAutospacing="1"/>
    </w:pPr>
    <w:rPr>
      <w:rFonts w:eastAsia="Times New Roman"/>
      <w:b/>
      <w:bCs/>
    </w:rPr>
  </w:style>
  <w:style w:type="paragraph" w:customStyle="1" w:styleId="xl66">
    <w:name w:val="xl66"/>
    <w:basedOn w:val="Normal"/>
    <w:rsid w:val="00B41992"/>
    <w:pPr>
      <w:pBdr>
        <w:top w:val="single" w:sz="4" w:space="0" w:color="FFFFFF"/>
        <w:left w:val="single" w:sz="4" w:space="0" w:color="FFFFFF"/>
        <w:bottom w:val="single" w:sz="4" w:space="0" w:color="FFFFFF"/>
        <w:right w:val="single" w:sz="4" w:space="0" w:color="FFFFFF"/>
      </w:pBdr>
      <w:spacing w:before="100" w:beforeAutospacing="1" w:after="100" w:afterAutospacing="1"/>
    </w:pPr>
    <w:rPr>
      <w:rFonts w:eastAsia="Times New Roman"/>
    </w:rPr>
  </w:style>
  <w:style w:type="paragraph" w:customStyle="1" w:styleId="xl67">
    <w:name w:val="xl67"/>
    <w:basedOn w:val="Normal"/>
    <w:rsid w:val="00B41992"/>
    <w:pPr>
      <w:pBdr>
        <w:top w:val="single" w:sz="4" w:space="0" w:color="FFFFFF"/>
        <w:left w:val="single" w:sz="4" w:space="0" w:color="FFFFFF"/>
        <w:bottom w:val="single" w:sz="4" w:space="0" w:color="FFFFFF"/>
        <w:right w:val="single" w:sz="4" w:space="0" w:color="FFFFFF"/>
      </w:pBdr>
      <w:spacing w:before="100" w:beforeAutospacing="1" w:after="100" w:afterAutospacing="1"/>
    </w:pPr>
    <w:rPr>
      <w:rFonts w:eastAsia="Times New Roman"/>
      <w:b/>
      <w:bCs/>
      <w:u w:val="single"/>
    </w:rPr>
  </w:style>
  <w:style w:type="paragraph" w:customStyle="1" w:styleId="xl68">
    <w:name w:val="xl68"/>
    <w:basedOn w:val="Normal"/>
    <w:rsid w:val="00B41992"/>
    <w:pPr>
      <w:pBdr>
        <w:top w:val="single" w:sz="4" w:space="0" w:color="FFFFFF"/>
        <w:left w:val="single" w:sz="4" w:space="0" w:color="FFFFFF"/>
        <w:bottom w:val="single" w:sz="4" w:space="0" w:color="FFFFFF"/>
        <w:right w:val="single" w:sz="4" w:space="0" w:color="FFFFFF"/>
      </w:pBdr>
      <w:spacing w:before="100" w:beforeAutospacing="1" w:after="100" w:afterAutospacing="1"/>
      <w:jc w:val="center"/>
    </w:pPr>
    <w:rPr>
      <w:rFonts w:eastAsia="Times New Roman"/>
      <w:b/>
      <w:bCs/>
      <w:u w:val="single"/>
    </w:rPr>
  </w:style>
  <w:style w:type="paragraph" w:customStyle="1" w:styleId="xl69">
    <w:name w:val="xl69"/>
    <w:basedOn w:val="Normal"/>
    <w:rsid w:val="00B41992"/>
    <w:pPr>
      <w:pBdr>
        <w:top w:val="single" w:sz="4" w:space="0" w:color="FFFFFF"/>
        <w:left w:val="single" w:sz="4" w:space="0" w:color="FFFFFF"/>
        <w:bottom w:val="single" w:sz="4" w:space="0" w:color="FFFFFF"/>
        <w:right w:val="single" w:sz="4" w:space="0" w:color="FFFFFF"/>
      </w:pBdr>
      <w:spacing w:before="100" w:beforeAutospacing="1" w:after="100" w:afterAutospacing="1"/>
      <w:textAlignment w:val="center"/>
    </w:pPr>
    <w:rPr>
      <w:rFonts w:eastAsia="Times New Roman"/>
    </w:rPr>
  </w:style>
  <w:style w:type="character" w:customStyle="1" w:styleId="comma">
    <w:name w:val="comma"/>
    <w:basedOn w:val="DefaultParagraphFont"/>
    <w:rsid w:val="00B41992"/>
  </w:style>
  <w:style w:type="paragraph" w:customStyle="1" w:styleId="xl64">
    <w:name w:val="xl64"/>
    <w:basedOn w:val="Normal"/>
    <w:rsid w:val="00B41992"/>
    <w:pPr>
      <w:pBdr>
        <w:top w:val="single" w:sz="4" w:space="0" w:color="FFFFFF"/>
        <w:left w:val="single" w:sz="4" w:space="0" w:color="FFFFFF"/>
        <w:bottom w:val="single" w:sz="4" w:space="0" w:color="FFFFFF"/>
        <w:right w:val="single" w:sz="4" w:space="0" w:color="FFFFFF"/>
      </w:pBdr>
      <w:spacing w:before="100" w:beforeAutospacing="1" w:after="100" w:afterAutospacing="1"/>
    </w:pPr>
    <w:rPr>
      <w:rFonts w:eastAsia="Times New Roman"/>
      <w:b/>
      <w:bCs/>
    </w:rPr>
  </w:style>
  <w:style w:type="character" w:customStyle="1" w:styleId="drugh1">
    <w:name w:val="drugh1"/>
    <w:basedOn w:val="DefaultParagraphFont"/>
    <w:rsid w:val="00B41992"/>
  </w:style>
  <w:style w:type="character" w:customStyle="1" w:styleId="lexi-table-link-container">
    <w:name w:val="lexi-table-link-container"/>
    <w:basedOn w:val="DefaultParagraphFont"/>
    <w:rsid w:val="00B41992"/>
  </w:style>
  <w:style w:type="paragraph" w:styleId="Revision">
    <w:name w:val="Revision"/>
    <w:hidden/>
    <w:uiPriority w:val="99"/>
    <w:semiHidden/>
    <w:rsid w:val="00B41992"/>
    <w:pPr>
      <w:spacing w:after="0" w:line="240" w:lineRule="auto"/>
    </w:pPr>
    <w:rPr>
      <w:rFonts w:ascii="Times New Roman" w:hAnsi="Times New Roman" w:cs="Times New Roman"/>
      <w:kern w:val="0"/>
      <w:sz w:val="24"/>
      <w:szCs w:val="24"/>
    </w:rPr>
  </w:style>
  <w:style w:type="character" w:styleId="CommentReference">
    <w:name w:val="annotation reference"/>
    <w:basedOn w:val="DefaultParagraphFont"/>
    <w:uiPriority w:val="99"/>
    <w:semiHidden/>
    <w:unhideWhenUsed/>
    <w:rsid w:val="00B41992"/>
    <w:rPr>
      <w:sz w:val="16"/>
      <w:szCs w:val="16"/>
    </w:rPr>
  </w:style>
  <w:style w:type="paragraph" w:styleId="CommentSubject">
    <w:name w:val="annotation subject"/>
    <w:basedOn w:val="CommentText"/>
    <w:next w:val="CommentText"/>
    <w:link w:val="CommentSubjectChar"/>
    <w:uiPriority w:val="99"/>
    <w:semiHidden/>
    <w:unhideWhenUsed/>
    <w:rsid w:val="00B41992"/>
    <w:rPr>
      <w:b/>
      <w:bCs/>
    </w:rPr>
  </w:style>
  <w:style w:type="character" w:customStyle="1" w:styleId="CommentSubjectChar">
    <w:name w:val="Comment Subject Char"/>
    <w:basedOn w:val="CommentTextChar"/>
    <w:link w:val="CommentSubject"/>
    <w:uiPriority w:val="99"/>
    <w:semiHidden/>
    <w:rsid w:val="00B41992"/>
    <w:rPr>
      <w:rFonts w:ascii="Times New Roman" w:hAnsi="Times New Roman" w:cs="Times New Roman"/>
      <w:b/>
      <w:bCs/>
      <w:kern w:val="0"/>
      <w:sz w:val="20"/>
      <w:szCs w:val="20"/>
    </w:rPr>
  </w:style>
  <w:style w:type="character" w:styleId="Emphasis">
    <w:name w:val="Emphasis"/>
    <w:basedOn w:val="DefaultParagraphFont"/>
    <w:uiPriority w:val="20"/>
    <w:qFormat/>
    <w:rsid w:val="00B419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svg"/><Relationship Id="rId21" Type="http://schemas.openxmlformats.org/officeDocument/2006/relationships/image" Target="media/image17.png"/><Relationship Id="rId42" Type="http://schemas.openxmlformats.org/officeDocument/2006/relationships/image" Target="media/image38.sv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svg"/><Relationship Id="rId2" Type="http://schemas.openxmlformats.org/officeDocument/2006/relationships/styles" Target="styles.xml"/><Relationship Id="rId16" Type="http://schemas.openxmlformats.org/officeDocument/2006/relationships/image" Target="media/image12.sv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svg"/><Relationship Id="rId32" Type="http://schemas.openxmlformats.org/officeDocument/2006/relationships/image" Target="media/image28.svg"/><Relationship Id="rId37" Type="http://schemas.openxmlformats.org/officeDocument/2006/relationships/image" Target="media/image33.png"/><Relationship Id="rId40" Type="http://schemas.openxmlformats.org/officeDocument/2006/relationships/image" Target="media/image36.sv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svg"/><Relationship Id="rId66" Type="http://schemas.openxmlformats.org/officeDocument/2006/relationships/image" Target="media/image62.svg"/><Relationship Id="rId74" Type="http://schemas.openxmlformats.org/officeDocument/2006/relationships/image" Target="media/image70.sv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svg"/><Relationship Id="rId22" Type="http://schemas.openxmlformats.org/officeDocument/2006/relationships/image" Target="media/image18.svg"/><Relationship Id="rId27" Type="http://schemas.openxmlformats.org/officeDocument/2006/relationships/image" Target="media/image23.png"/><Relationship Id="rId30" Type="http://schemas.openxmlformats.org/officeDocument/2006/relationships/image" Target="media/image26.sv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svg"/><Relationship Id="rId56" Type="http://schemas.openxmlformats.org/officeDocument/2006/relationships/image" Target="media/image52.svg"/><Relationship Id="rId64" Type="http://schemas.openxmlformats.org/officeDocument/2006/relationships/image" Target="media/image60.svg"/><Relationship Id="rId69" Type="http://schemas.openxmlformats.org/officeDocument/2006/relationships/image" Target="media/image65.png"/><Relationship Id="rId8" Type="http://schemas.openxmlformats.org/officeDocument/2006/relationships/image" Target="media/image4.svg"/><Relationship Id="rId51" Type="http://schemas.openxmlformats.org/officeDocument/2006/relationships/image" Target="media/image47.png"/><Relationship Id="rId72" Type="http://schemas.openxmlformats.org/officeDocument/2006/relationships/image" Target="media/image68.svg"/><Relationship Id="rId3" Type="http://schemas.openxmlformats.org/officeDocument/2006/relationships/settings" Target="settings.xml"/><Relationship Id="rId12" Type="http://schemas.openxmlformats.org/officeDocument/2006/relationships/image" Target="media/image8.sv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svg"/><Relationship Id="rId46" Type="http://schemas.openxmlformats.org/officeDocument/2006/relationships/image" Target="media/image42.sv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svg"/><Relationship Id="rId41" Type="http://schemas.openxmlformats.org/officeDocument/2006/relationships/image" Target="media/image37.png"/><Relationship Id="rId54" Type="http://schemas.openxmlformats.org/officeDocument/2006/relationships/image" Target="media/image50.svg"/><Relationship Id="rId62" Type="http://schemas.openxmlformats.org/officeDocument/2006/relationships/image" Target="media/image58.svg"/><Relationship Id="rId70" Type="http://schemas.openxmlformats.org/officeDocument/2006/relationships/image" Target="media/image66.sv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svg"/><Relationship Id="rId36" Type="http://schemas.openxmlformats.org/officeDocument/2006/relationships/image" Target="media/image32.sv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svg"/><Relationship Id="rId31" Type="http://schemas.openxmlformats.org/officeDocument/2006/relationships/image" Target="media/image27.png"/><Relationship Id="rId44" Type="http://schemas.openxmlformats.org/officeDocument/2006/relationships/image" Target="media/image40.svg"/><Relationship Id="rId52" Type="http://schemas.openxmlformats.org/officeDocument/2006/relationships/image" Target="media/image48.svg"/><Relationship Id="rId60" Type="http://schemas.openxmlformats.org/officeDocument/2006/relationships/image" Target="media/image56.sv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svg"/><Relationship Id="rId39" Type="http://schemas.openxmlformats.org/officeDocument/2006/relationships/image" Target="media/image35.png"/><Relationship Id="rId34" Type="http://schemas.openxmlformats.org/officeDocument/2006/relationships/image" Target="media/image30.svg"/><Relationship Id="rId50" Type="http://schemas.openxmlformats.org/officeDocument/2006/relationships/image" Target="media/image46.svg"/><Relationship Id="rId55"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17696</Words>
  <Characters>100870</Characters>
  <Application>Microsoft Office Word</Application>
  <DocSecurity>0</DocSecurity>
  <Lines>840</Lines>
  <Paragraphs>236</Paragraphs>
  <ScaleCrop>false</ScaleCrop>
  <Company/>
  <LinksUpToDate>false</LinksUpToDate>
  <CharactersWithSpaces>118330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 Medrea</dc:creator>
  <cp:keywords/>
  <dc:description/>
  <cp:lastModifiedBy>Jo Medrea</cp:lastModifiedBy>
  <cp:revision>4</cp:revision>
  <dcterms:created xsi:type="dcterms:W3CDTF">2024-01-07T20:56:00Z</dcterms:created>
  <dcterms:modified xsi:type="dcterms:W3CDTF">2024-03-09T17:45:00Z</dcterms:modified>
</cp:coreProperties>
</file>