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00" w:after="200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Supplementary Materials</w:t>
      </w: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Table S1.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Weighted demographic characteristics of the study population from 2015 to 2016 CCHS (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n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= 47521).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Variable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Stroke - Yes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Stroke  - No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clear" w:color="auto" w:fill="ffffff"/>
                <w:rtl w:val="0"/>
                <w:lang w:val="en-US"/>
              </w:rPr>
              <w:t>P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Sample Size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694 (1.00)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46827 (99.00)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Age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20-29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8 (5.18)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5691 (17.60)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30-39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17 (2.56)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6902 (17.83)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40-49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44 (13.32)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7101 (18.49)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50-59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107 (16.58)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8909 (19.27)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60-69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187 (27.69)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9544 (15.77)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70-79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193 (21.54)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5918 (8.03)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80+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138 (13.12)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2762 (3.02)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Sex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- Female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367 (47.48)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25677 (51.50)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0.284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Race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rtl w:val="0"/>
                <w:lang w:val="en-US"/>
              </w:rPr>
              <w:t>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0.113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White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578 (78.46)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38607 (73.45)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Non-White (Visible Minority)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37 (15.11)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4282 (22.59)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Aboriginal (First Nations, M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en-US"/>
              </w:rPr>
              <w:t>è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tis, Inuk)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56 (6.43)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2685 (3.95)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Marital Status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Married/Common-in-Law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337 (62.67)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26979 (64.46)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Divorced/Widowed/Separated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277 (23.03)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10188 (12.82)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Single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78 (14.30)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9508 (22.72)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Anxiety/Mood disorder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= Yes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157 (24.66)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6653 (12.74)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Alcohol use (last 12 months)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0.034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Less than weekly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514 (68.20)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27379 (57.43)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Weekly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128 (25.62)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15842 (36.09)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Daily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50 (6.18)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3428 (6.48)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Total Household Income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5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27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None or less than $20,000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157 (15.79)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4539 (6.97)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firstLine="27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$20,000 - $39,999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238 (29.47)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8793 (14.05)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firstLine="27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$40,000 - $59,999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131 (20.95)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7822 (14.58)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firstLine="27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$60,000-$79,999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70 (11.00)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6601 (14.77)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firstLine="27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$80,000 or more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96 (22.79)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19018 (49.64)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BMI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0.086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Underweight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6 (1.23)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359 (0.79)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Normal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177 (29.30)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12574 (33.43)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Overweight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216 (31.68)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15958 (36.44)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Obese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252 (37.78)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14763 (29.34)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PHQ-9 Total Score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(mean, SD)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4.83 (5.99)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2.71 (3.85)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Depression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= Yes (n, %)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137 (19.22) 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3177 (6.37)</w:t>
            </w:r>
          </w:p>
        </w:tc>
        <w:tc>
          <w:tcPr>
            <w:tcW w:type="dxa" w:w="23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</w:tbl>
    <w:p>
      <w:pPr>
        <w:pStyle w:val="Body"/>
        <w:widowControl w:val="0"/>
        <w:spacing w:before="200" w:after="20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Note. </w:t>
      </w:r>
      <w:r>
        <w:rPr>
          <w:rFonts w:ascii="Times New Roman" w:hAnsi="Times New Roman"/>
          <w:sz w:val="24"/>
          <w:szCs w:val="24"/>
          <w:rtl w:val="0"/>
          <w:lang w:val="en-US"/>
        </w:rPr>
        <w:t>Categorical characteristics reported as unweighted frequency and  weighted %; continuous characteristics are reported as weighted mean and standard deviation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Table S2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 Association between stroke and depressive symptoms, subset by BMI incorporating survey weights.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7"/>
        <w:gridCol w:w="1337"/>
        <w:gridCol w:w="1336"/>
        <w:gridCol w:w="1338"/>
        <w:gridCol w:w="1337"/>
        <w:gridCol w:w="1337"/>
        <w:gridCol w:w="1337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Unadjusted models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Age- and sex-adjusted model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Multivariable adjusted models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Variable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Coef. Estm. (95% CI)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aCoef. Estm. (95% CI)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aCoef. Estm.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vertAlign w:val="superscript"/>
                <w:rtl w:val="0"/>
                <w:lang w:val="en-US"/>
              </w:rPr>
              <w:t>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(95% CI)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(Overall)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3.50 (2.54, 4.81)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4.66 (3.20,6.78)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2.95 (2.01, 4.33)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(Underweight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3.73(0.07,190.12)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0.512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2.47 (0.03, 244.54)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0.699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NA 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NA</w:t>
            </w:r>
          </w:p>
        </w:tc>
      </w:tr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(Normal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4.23(2.22,8.07)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7.25 (3.73,14.08)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5.24 (2.42,11.35)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1688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(Overweight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1.74(0.86,3.51)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0.121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ungsuh" w:cs="Gungsuh" w:hAnsi="Gungsuh" w:eastAsia="Gungsuh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1.97 </w:t>
            </w:r>
            <w:r>
              <w:rPr>
                <w:rFonts w:ascii="Gungsuh" w:cs="Gungsuh" w:hAnsi="Gungsuh" w:eastAsia="Gungsuh" w:hint="eastAsia"/>
                <w:sz w:val="24"/>
                <w:szCs w:val="24"/>
                <w:shd w:val="clear" w:color="auto" w:fill="ffffff"/>
                <w:rtl w:val="0"/>
                <w:lang w:val="en-US"/>
              </w:rPr>
              <w:t>（</w:t>
            </w:r>
            <w:r>
              <w:rPr>
                <w:rFonts w:ascii="Gungsuh" w:cs="Gungsuh" w:hAnsi="Gungsuh" w:eastAsia="Gungsuh"/>
                <w:sz w:val="24"/>
                <w:szCs w:val="24"/>
                <w:shd w:val="clear" w:color="auto" w:fill="ffffff"/>
                <w:rtl w:val="0"/>
                <w:lang w:val="en-US"/>
              </w:rPr>
              <w:t>0.84, 4.62)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1.56 (0.59, 4.14)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0.367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</w:t>
            </w:r>
          </w:p>
          <w:p>
            <w:pPr>
              <w:pStyle w:val="Body"/>
              <w:widowControl w:val="0"/>
              <w:bidi w:val="0"/>
              <w:spacing w:before="200" w:after="2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(Obese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3.96 (2.43,6.45)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5.22 (3.06,8.89)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2.99 (1.77, 5.07)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</w:tbl>
    <w:p>
      <w:pPr>
        <w:pStyle w:val="Body"/>
        <w:widowControl w:val="0"/>
        <w:spacing w:before="200" w:after="20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Note: aOR (adjusted odds ratio) model controlled for age, sex, smoking status, education level, and physical activity; p-values adjusted using Holm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Method, significance is set to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≤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0.05</w:t>
      </w:r>
    </w:p>
    <w:p>
      <w:pPr>
        <w:pStyle w:val="Body"/>
        <w:spacing w:before="200" w:after="20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fr-FR"/>
        </w:rPr>
        <w:t>Table S3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. Association between depressive symptoms severity and stroke, subset by BMI incorporating survey weights.</w:t>
      </w: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37"/>
        <w:gridCol w:w="1337"/>
        <w:gridCol w:w="1336"/>
        <w:gridCol w:w="1338"/>
        <w:gridCol w:w="1337"/>
        <w:gridCol w:w="1337"/>
        <w:gridCol w:w="1337"/>
      </w:tblGrid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Unadjusted models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Age- and sex-adjusted model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Multivariable adjusted models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Variable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Coef. Estm. (95% CI)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aCoef. Estm. (95% CI)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aCoef. Estm.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ff"/>
                <w:vertAlign w:val="superscript"/>
                <w:rtl w:val="0"/>
                <w:lang w:val="en-US"/>
              </w:rPr>
              <w:t>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 (95% CI)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>P value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(Overall)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2.12 (1.31, 2.93)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2.49 (1.64, 3.33)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1.55 (0.83      2.27)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(Underweight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4.67(-7.26,16.59)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0.442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4.56 (-7.66,16.79)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0.464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2.83 (-7.04,12.71)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0.573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(Normal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2.22(0.47,3.97)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0.013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2.80 ( 1.06, 4.54)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0.002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1.93 ( 0.48, 3.39)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0.009</w:t>
            </w:r>
          </w:p>
        </w:tc>
      </w:tr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 (Overweight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0.88 (-0.11,1.86)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0.081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1.07 (-0.010, 2.25)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0.072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0.69 (-0.44, 1.82)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0.233</w:t>
            </w:r>
          </w:p>
        </w:tc>
      </w:tr>
      <w:tr>
        <w:tblPrEx>
          <w:shd w:val="clear" w:color="auto" w:fill="ced7e7"/>
        </w:tblPrEx>
        <w:trPr>
          <w:trHeight w:val="1410" w:hRule="atLeast"/>
        </w:trPr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Stroke - Yes</w:t>
            </w:r>
          </w:p>
          <w:p>
            <w:pPr>
              <w:pStyle w:val="Body"/>
              <w:widowControl w:val="0"/>
              <w:bidi w:val="0"/>
              <w:spacing w:before="200" w:after="2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(Obese BMI)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2.99 (1.58,4.40)</w:t>
            </w:r>
          </w:p>
        </w:tc>
        <w:tc>
          <w:tcPr>
            <w:tcW w:type="dxa" w:w="13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3.33 (1.90, 4.76)</w:t>
            </w:r>
          </w:p>
          <w:p>
            <w:pPr>
              <w:pStyle w:val="Body"/>
              <w:widowControl w:val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&lt;0.001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1.99 ( 0.84, 3.13)</w:t>
            </w:r>
          </w:p>
        </w:tc>
        <w:tc>
          <w:tcPr>
            <w:tcW w:type="dxa" w:w="13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before="200" w:after="200" w:line="240" w:lineRule="auto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0.001</w:t>
            </w:r>
          </w:p>
        </w:tc>
      </w:tr>
    </w:tbl>
    <w:p>
      <w:pPr>
        <w:pStyle w:val="Body"/>
        <w:widowControl w:val="0"/>
        <w:spacing w:before="200" w:after="20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before="200" w:after="200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Note: aCoef. Estm. (adjusted odds ratio) model controlled for age, sex, smoking status, education level, and physical activity; p-values adjusted using Holm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Method, significance is set to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≤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0.05.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ungsu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