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A6E8" w14:textId="48F45879" w:rsidR="009F24C7" w:rsidRPr="00FB46A7" w:rsidRDefault="00900115">
      <w:pPr>
        <w:rPr>
          <w:b/>
          <w:bCs/>
          <w:u w:val="single"/>
        </w:rPr>
      </w:pPr>
      <w:r w:rsidRPr="00FB46A7">
        <w:rPr>
          <w:b/>
          <w:bCs/>
          <w:u w:val="single"/>
        </w:rPr>
        <w:t>Appendix</w:t>
      </w:r>
    </w:p>
    <w:p w14:paraId="61AB1FDC" w14:textId="77777777" w:rsidR="00900115" w:rsidRDefault="00900115"/>
    <w:p w14:paraId="70F04D88" w14:textId="732A4CAD" w:rsidR="00900115" w:rsidRPr="00900115" w:rsidRDefault="00900115">
      <w:pPr>
        <w:rPr>
          <w:b/>
          <w:bCs/>
        </w:rPr>
      </w:pPr>
      <w:r w:rsidRPr="00900115">
        <w:rPr>
          <w:b/>
          <w:bCs/>
        </w:rPr>
        <w:t>Modified RAND Methodology</w:t>
      </w:r>
    </w:p>
    <w:p w14:paraId="7F3433B6" w14:textId="77777777" w:rsidR="00900115" w:rsidRDefault="00900115"/>
    <w:p w14:paraId="6B3463C7" w14:textId="0F75118E" w:rsidR="00900115" w:rsidRDefault="00900115">
      <w:r>
        <w:t>A modified RAND methodology was used to achieve consensus on several areas where it was felt by the primary authors (CH, JM) that there was significant</w:t>
      </w:r>
      <w:r w:rsidR="00694526">
        <w:t xml:space="preserve"> enough</w:t>
      </w:r>
      <w:r>
        <w:t xml:space="preserve"> clinical equipoise or controversy to merit a </w:t>
      </w:r>
      <w:proofErr w:type="gramStart"/>
      <w:r>
        <w:t>consensus based</w:t>
      </w:r>
      <w:proofErr w:type="gramEnd"/>
      <w:r>
        <w:t xml:space="preserve"> decision. The primary author</w:t>
      </w:r>
      <w:r w:rsidR="00694526">
        <w:t>s</w:t>
      </w:r>
      <w:r>
        <w:t xml:space="preserve"> created consensus statements related to those topics and went through an iterative modified RAND process to </w:t>
      </w:r>
      <w:r w:rsidR="00622012">
        <w:t>optimize</w:t>
      </w:r>
      <w:r>
        <w:t xml:space="preserve"> the statements and achieve consensus.</w:t>
      </w:r>
    </w:p>
    <w:p w14:paraId="22701819" w14:textId="77777777" w:rsidR="00900115" w:rsidRDefault="00900115"/>
    <w:p w14:paraId="1D8123F3" w14:textId="1A6E0439" w:rsidR="00694526" w:rsidRDefault="00694526">
      <w:r>
        <w:t xml:space="preserve">For the modified RAND process, a </w:t>
      </w:r>
      <w:r w:rsidR="00D316C7">
        <w:t>self-identified</w:t>
      </w:r>
      <w:r>
        <w:t xml:space="preserve"> </w:t>
      </w:r>
      <w:r w:rsidR="00D316C7">
        <w:t>subgroup</w:t>
      </w:r>
      <w:r>
        <w:t xml:space="preserve"> consisting of 14 of the overall guideline authors was created. The membership of the group is listed </w:t>
      </w:r>
      <w:r w:rsidR="00622012">
        <w:t>in table 1.</w:t>
      </w:r>
    </w:p>
    <w:p w14:paraId="29396F32" w14:textId="77777777" w:rsidR="00694526" w:rsidRDefault="00694526"/>
    <w:p w14:paraId="3EEC153C" w14:textId="5D528E3D" w:rsidR="007003B9" w:rsidRDefault="007003B9">
      <w:r>
        <w:t>Table 1 – RAND Process Voting Membership</w:t>
      </w:r>
    </w:p>
    <w:tbl>
      <w:tblPr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2180"/>
      </w:tblGrid>
      <w:tr w:rsidR="00694526" w:rsidRPr="00694526" w14:paraId="31B3DC3A" w14:textId="77777777" w:rsidTr="007003B9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131E2021" w14:textId="0D3EB7B7" w:rsidR="00694526" w:rsidRPr="00694526" w:rsidRDefault="00694526" w:rsidP="0069452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003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Member </w:t>
            </w:r>
            <w:r w:rsidRPr="0069452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5C35581" w14:textId="0382988F" w:rsidR="00694526" w:rsidRPr="00694526" w:rsidRDefault="00694526" w:rsidP="0069452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003B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Practice </w:t>
            </w:r>
            <w:r w:rsidRPr="0069452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Province</w:t>
            </w:r>
          </w:p>
        </w:tc>
      </w:tr>
      <w:tr w:rsidR="00694526" w:rsidRPr="00694526" w14:paraId="0286EED2" w14:textId="77777777" w:rsidTr="007003B9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5C1476E8" w14:textId="77777777" w:rsidR="00694526" w:rsidRPr="00694526" w:rsidRDefault="00694526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Ronak Kapadia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8229A52" w14:textId="6EBBDA6A" w:rsidR="00694526" w:rsidRPr="00694526" w:rsidRDefault="00694526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 w:rsidR="007003B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lberta</w:t>
            </w:r>
          </w:p>
        </w:tc>
      </w:tr>
      <w:tr w:rsidR="00694526" w:rsidRPr="00694526" w14:paraId="1EFF3DB8" w14:textId="77777777" w:rsidTr="007003B9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D849628" w14:textId="77777777" w:rsidR="00694526" w:rsidRPr="00694526" w:rsidRDefault="00694526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Penny Smyth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328121ED" w14:textId="53003549" w:rsidR="00694526" w:rsidRPr="00694526" w:rsidRDefault="007003B9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lberta</w:t>
            </w:r>
          </w:p>
        </w:tc>
      </w:tr>
      <w:tr w:rsidR="00694526" w:rsidRPr="00694526" w14:paraId="1DC35336" w14:textId="77777777" w:rsidTr="007003B9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40EF6D4C" w14:textId="77777777" w:rsidR="00694526" w:rsidRPr="00694526" w:rsidRDefault="00694526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Katayoun Alikhani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3C40D1F4" w14:textId="5A5B9632" w:rsidR="00694526" w:rsidRPr="00694526" w:rsidRDefault="007003B9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lberta</w:t>
            </w:r>
          </w:p>
        </w:tc>
      </w:tr>
      <w:tr w:rsidR="00694526" w:rsidRPr="00694526" w14:paraId="29B92D72" w14:textId="77777777" w:rsidTr="007003B9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695C02BA" w14:textId="77777777" w:rsidR="00694526" w:rsidRPr="00694526" w:rsidRDefault="00694526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Gregg Blevins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09E177AF" w14:textId="72807B01" w:rsidR="00694526" w:rsidRPr="00694526" w:rsidRDefault="007003B9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lberta</w:t>
            </w:r>
          </w:p>
        </w:tc>
      </w:tr>
      <w:tr w:rsidR="00694526" w:rsidRPr="00694526" w14:paraId="5A42BA74" w14:textId="77777777" w:rsidTr="007003B9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40114315" w14:textId="77777777" w:rsidR="00694526" w:rsidRPr="00694526" w:rsidRDefault="00694526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Adrian Budhram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71476035" w14:textId="48A6DAD5" w:rsidR="00694526" w:rsidRPr="00694526" w:rsidRDefault="007003B9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Ontario</w:t>
            </w:r>
          </w:p>
        </w:tc>
      </w:tr>
      <w:tr w:rsidR="00694526" w:rsidRPr="00694526" w14:paraId="78098CA2" w14:textId="77777777" w:rsidTr="007003B9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4CF7CEE1" w14:textId="77777777" w:rsidR="00694526" w:rsidRPr="00694526" w:rsidRDefault="00694526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 McCombe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9C8664D" w14:textId="4A95FEC6" w:rsidR="00694526" w:rsidRPr="00694526" w:rsidRDefault="007003B9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lberta</w:t>
            </w:r>
          </w:p>
        </w:tc>
      </w:tr>
      <w:tr w:rsidR="00694526" w:rsidRPr="00694526" w14:paraId="3A6F1D41" w14:textId="77777777" w:rsidTr="007003B9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1651BF0" w14:textId="77777777" w:rsidR="00694526" w:rsidRPr="00694526" w:rsidRDefault="00694526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Christopher Uy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3EED8E0B" w14:textId="05EDA889" w:rsidR="00694526" w:rsidRPr="00694526" w:rsidRDefault="00694526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  <w:r w:rsidR="007003B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ritish Columbia</w:t>
            </w:r>
          </w:p>
        </w:tc>
      </w:tr>
      <w:tr w:rsidR="00694526" w:rsidRPr="00694526" w14:paraId="114CDCDB" w14:textId="77777777" w:rsidTr="007003B9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53C2179C" w14:textId="77777777" w:rsidR="00694526" w:rsidRPr="00694526" w:rsidRDefault="00694526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Julien Hebert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810A312" w14:textId="2A7A8E22" w:rsidR="00694526" w:rsidRPr="00694526" w:rsidRDefault="007003B9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Ontario</w:t>
            </w:r>
          </w:p>
        </w:tc>
      </w:tr>
      <w:tr w:rsidR="00694526" w:rsidRPr="00694526" w14:paraId="1B9E5970" w14:textId="77777777" w:rsidTr="007003B9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4CC185F0" w14:textId="77777777" w:rsidR="00694526" w:rsidRPr="00694526" w:rsidRDefault="00694526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Grayson Beecher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373C33DC" w14:textId="1A7975A7" w:rsidR="00694526" w:rsidRPr="00694526" w:rsidRDefault="007003B9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lberta</w:t>
            </w:r>
          </w:p>
        </w:tc>
      </w:tr>
      <w:tr w:rsidR="00694526" w:rsidRPr="00694526" w14:paraId="0005213D" w14:textId="77777777" w:rsidTr="007003B9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4D9E15A" w14:textId="45F11D3F" w:rsidR="00694526" w:rsidRPr="00694526" w:rsidRDefault="00694526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Ilia </w:t>
            </w:r>
            <w:r w:rsidR="000D6D48"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Poliakov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5A6EDFF" w14:textId="6B043710" w:rsidR="00694526" w:rsidRPr="00694526" w:rsidRDefault="007003B9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Saskatchewan</w:t>
            </w:r>
          </w:p>
        </w:tc>
      </w:tr>
      <w:tr w:rsidR="00694526" w:rsidRPr="00694526" w14:paraId="5B71F28A" w14:textId="77777777" w:rsidTr="007003B9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5FD8CD37" w14:textId="77777777" w:rsidR="00694526" w:rsidRPr="00694526" w:rsidRDefault="00694526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 Brooks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1B45AFB2" w14:textId="5D0B45B8" w:rsidR="00694526" w:rsidRPr="00694526" w:rsidRDefault="007003B9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Ontario</w:t>
            </w:r>
          </w:p>
        </w:tc>
      </w:tr>
      <w:tr w:rsidR="00694526" w:rsidRPr="00694526" w14:paraId="21A499AF" w14:textId="77777777" w:rsidTr="007003B9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3D727EC9" w14:textId="77777777" w:rsidR="00694526" w:rsidRPr="00694526" w:rsidRDefault="00694526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Kim Williams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6C76B903" w14:textId="50ADD149" w:rsidR="00694526" w:rsidRPr="00694526" w:rsidRDefault="007003B9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lberta</w:t>
            </w:r>
          </w:p>
        </w:tc>
      </w:tr>
      <w:tr w:rsidR="00694526" w:rsidRPr="00694526" w14:paraId="588F0586" w14:textId="77777777" w:rsidTr="007003B9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42A89023" w14:textId="77777777" w:rsidR="00694526" w:rsidRPr="00694526" w:rsidRDefault="00694526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Nasser Alohaly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57AE6615" w14:textId="55E19AA3" w:rsidR="00694526" w:rsidRPr="00694526" w:rsidRDefault="007003B9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Ontario</w:t>
            </w:r>
          </w:p>
        </w:tc>
      </w:tr>
      <w:tr w:rsidR="00694526" w:rsidRPr="00694526" w14:paraId="2FCD0974" w14:textId="77777777" w:rsidTr="007003B9">
        <w:trPr>
          <w:trHeight w:val="30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1D3D3FA" w14:textId="77777777" w:rsidR="00694526" w:rsidRPr="00694526" w:rsidRDefault="00694526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Robert Carruthers</w:t>
            </w:r>
          </w:p>
        </w:tc>
        <w:tc>
          <w:tcPr>
            <w:tcW w:w="2180" w:type="dxa"/>
            <w:shd w:val="clear" w:color="auto" w:fill="auto"/>
            <w:noWrap/>
            <w:vAlign w:val="bottom"/>
            <w:hideMark/>
          </w:tcPr>
          <w:p w14:paraId="3677DFAF" w14:textId="46BB9476" w:rsidR="00694526" w:rsidRPr="00694526" w:rsidRDefault="00694526" w:rsidP="006945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9452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  <w:r w:rsidR="007003B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ritish Columbia</w:t>
            </w:r>
          </w:p>
        </w:tc>
      </w:tr>
    </w:tbl>
    <w:p w14:paraId="0A86AE51" w14:textId="77777777" w:rsidR="00694526" w:rsidRDefault="00694526"/>
    <w:p w14:paraId="66F7A5D9" w14:textId="77777777" w:rsidR="00694526" w:rsidRDefault="00694526"/>
    <w:p w14:paraId="08726AEB" w14:textId="63CD9608" w:rsidR="00A95761" w:rsidRDefault="00694526">
      <w:r>
        <w:t>Each member was invited to submit votes</w:t>
      </w:r>
      <w:r w:rsidR="00622012">
        <w:t xml:space="preserve"> rating their level of agreement with each statement </w:t>
      </w:r>
      <w:r w:rsidR="00D316C7">
        <w:t>and</w:t>
      </w:r>
      <w:r w:rsidR="00622012">
        <w:t xml:space="preserve"> provide suggestions for improvement</w:t>
      </w:r>
      <w:r>
        <w:t xml:space="preserve"> remotely using</w:t>
      </w:r>
      <w:r w:rsidR="00A95761">
        <w:t xml:space="preserve"> a </w:t>
      </w:r>
      <w:r>
        <w:t>Google Forms</w:t>
      </w:r>
      <w:r w:rsidR="00A95761">
        <w:t xml:space="preserve"> survey link. Members were identified by the email address used to complete the survey.</w:t>
      </w:r>
      <w:r>
        <w:t xml:space="preserve"> </w:t>
      </w:r>
      <w:r w:rsidR="00D316C7">
        <w:t xml:space="preserve">Every statement was rated on a Likert scale from 1 to 9 indicating level of agreement with 1 signifying strong disagreement and 9 signifying strong agreement. Consensus was considered achieved if 90% of respondents provided a rating of 7 or higher. </w:t>
      </w:r>
      <w:r w:rsidR="00A95761">
        <w:t>A</w:t>
      </w:r>
      <w:r>
        <w:t>fter each round of voting the responses</w:t>
      </w:r>
      <w:r w:rsidR="00A95761">
        <w:t xml:space="preserve"> and comments</w:t>
      </w:r>
      <w:r>
        <w:t xml:space="preserve"> were distributed to the voting members for review</w:t>
      </w:r>
      <w:r w:rsidR="00A95761">
        <w:t xml:space="preserve"> and opened to further comments/suggestions</w:t>
      </w:r>
      <w:r>
        <w:t xml:space="preserve">. </w:t>
      </w:r>
    </w:p>
    <w:p w14:paraId="49FB0066" w14:textId="77777777" w:rsidR="00A95761" w:rsidRDefault="00A95761"/>
    <w:p w14:paraId="19712BB2" w14:textId="1A07699E" w:rsidR="00900115" w:rsidRDefault="00D316C7">
      <w:r>
        <w:t>Following each</w:t>
      </w:r>
      <w:r w:rsidR="00A95761">
        <w:t xml:space="preserve"> </w:t>
      </w:r>
      <w:proofErr w:type="gramStart"/>
      <w:r>
        <w:t>vote</w:t>
      </w:r>
      <w:proofErr w:type="gramEnd"/>
      <w:r w:rsidR="00A95761">
        <w:t xml:space="preserve"> t</w:t>
      </w:r>
      <w:r w:rsidR="00694526">
        <w:t xml:space="preserve">he consensus statements were modified </w:t>
      </w:r>
      <w:r w:rsidR="00A95761">
        <w:t xml:space="preserve">by the primary authors </w:t>
      </w:r>
      <w:r w:rsidR="00694526">
        <w:t>based on the voter comments and then submitted for a repeat round of voting</w:t>
      </w:r>
      <w:r w:rsidR="00A95761">
        <w:t xml:space="preserve">. </w:t>
      </w:r>
      <w:r>
        <w:t xml:space="preserve">All statements where the level of agreement met the pre-specified cut off for consensus </w:t>
      </w:r>
      <w:proofErr w:type="gramStart"/>
      <w:r>
        <w:t>where</w:t>
      </w:r>
      <w:proofErr w:type="gramEnd"/>
      <w:r>
        <w:t xml:space="preserve"> </w:t>
      </w:r>
      <w:r w:rsidR="00694526">
        <w:t xml:space="preserve">removed </w:t>
      </w:r>
      <w:r w:rsidR="00B0401B">
        <w:t>from future voting unless the primary authors felt additional small changes could improve overall agreement.</w:t>
      </w:r>
    </w:p>
    <w:p w14:paraId="61DF370D" w14:textId="77777777" w:rsidR="00A95761" w:rsidRDefault="00A95761"/>
    <w:p w14:paraId="50511DD8" w14:textId="61A95A4B" w:rsidR="00A95761" w:rsidRDefault="00A95761">
      <w:r>
        <w:lastRenderedPageBreak/>
        <w:t xml:space="preserve">Five total rounds of voting were required to achieve the pre-specified level of agreement on all consensus statements. The vote distribution for each statement is detailed in Figures 1 through </w:t>
      </w:r>
      <w:r w:rsidR="00EF71EF">
        <w:t>13</w:t>
      </w:r>
      <w:r>
        <w:t xml:space="preserve"> below. </w:t>
      </w:r>
      <w:r w:rsidR="00761FC4">
        <w:t>For the first two rounds of voting all initial participants registered a vote. For rounds 3 and 4 only 11 participants responded within the allotted time window and only 9 votes were received for the last round of voting on a single statement.</w:t>
      </w:r>
      <w:r w:rsidR="000B221B">
        <w:t xml:space="preserve"> Respondents who did not submit votes in later round were still provided with opportunity to comment on the updated consensus statements.</w:t>
      </w:r>
    </w:p>
    <w:p w14:paraId="452194B2" w14:textId="77777777" w:rsidR="00D316C7" w:rsidRDefault="00D316C7"/>
    <w:p w14:paraId="53DE8A16" w14:textId="66460118" w:rsidR="00D316C7" w:rsidRDefault="00D316C7">
      <w:r>
        <w:t>Figure 1 – Level of Agreement on Utility of Testing for Anti-Thyroid Antibodies</w:t>
      </w:r>
    </w:p>
    <w:p w14:paraId="1C3FACAD" w14:textId="46B8535E" w:rsidR="00D316C7" w:rsidRDefault="00D316C7">
      <w:r>
        <w:rPr>
          <w:noProof/>
        </w:rPr>
        <w:drawing>
          <wp:inline distT="0" distB="0" distL="0" distR="0" wp14:anchorId="286327C6" wp14:editId="5A5930C6">
            <wp:extent cx="5943600" cy="2273935"/>
            <wp:effectExtent l="0" t="0" r="0" b="0"/>
            <wp:docPr id="1" name="Picture 1" descr="A picture containing text, screenshot, line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line, plo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349C0" w14:textId="548477EE" w:rsidR="00D316C7" w:rsidRDefault="00D316C7">
      <w:r>
        <w:t>Figure 2 – Level of Agreement on First Line Treatment Protocol</w:t>
      </w:r>
    </w:p>
    <w:p w14:paraId="237418E2" w14:textId="4BD073D5" w:rsidR="00D316C7" w:rsidRDefault="00D316C7">
      <w:r>
        <w:rPr>
          <w:noProof/>
        </w:rPr>
        <w:drawing>
          <wp:inline distT="0" distB="0" distL="0" distR="0" wp14:anchorId="16F89104" wp14:editId="6CDF2808">
            <wp:extent cx="5943600" cy="2228850"/>
            <wp:effectExtent l="0" t="0" r="0" b="0"/>
            <wp:docPr id="2" name="Picture 2" descr="A picture containing text, screenshot, line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creenshot, line, plo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1238C" w14:textId="36F6D34C" w:rsidR="00D316C7" w:rsidRDefault="00D316C7">
      <w:r>
        <w:t>Figure 3 – Level of Agreement on Proposed Definition of Severity in AIE</w:t>
      </w:r>
    </w:p>
    <w:p w14:paraId="5F8253C7" w14:textId="1ED128F9" w:rsidR="00761FC4" w:rsidRDefault="00761FC4">
      <w:r>
        <w:rPr>
          <w:noProof/>
        </w:rPr>
        <w:lastRenderedPageBreak/>
        <w:drawing>
          <wp:inline distT="0" distB="0" distL="0" distR="0" wp14:anchorId="591D9812" wp14:editId="53E8FFBF">
            <wp:extent cx="5943600" cy="2333625"/>
            <wp:effectExtent l="0" t="0" r="0" b="9525"/>
            <wp:docPr id="3" name="Picture 3" descr="A picture containing text, screenshot, line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creenshot, line, plo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14F63" w14:textId="75F88A2A" w:rsidR="00761FC4" w:rsidRDefault="00761FC4">
      <w:r>
        <w:t>Figure 4 – Level of Agreement on use of Corticosteroid Taper after First Line Treatment</w:t>
      </w:r>
    </w:p>
    <w:p w14:paraId="36189349" w14:textId="561604B7" w:rsidR="00761FC4" w:rsidRDefault="00761FC4">
      <w:r>
        <w:rPr>
          <w:noProof/>
        </w:rPr>
        <w:drawing>
          <wp:inline distT="0" distB="0" distL="0" distR="0" wp14:anchorId="25BFBD3E" wp14:editId="3B93391C">
            <wp:extent cx="5943600" cy="2439035"/>
            <wp:effectExtent l="0" t="0" r="0" b="0"/>
            <wp:docPr id="4" name="Picture 4" descr="A picture containing text, screenshot, line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creenshot, line, plo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E4EBA" w14:textId="24B66B6B" w:rsidR="00761FC4" w:rsidRDefault="00761FC4">
      <w:r>
        <w:t>Figure 5 – Level of Agreement on Specific Corticosteroid Taper Regimen</w:t>
      </w:r>
    </w:p>
    <w:p w14:paraId="16FFF268" w14:textId="50AB5931" w:rsidR="00761FC4" w:rsidRDefault="00761FC4">
      <w:r>
        <w:rPr>
          <w:noProof/>
        </w:rPr>
        <w:drawing>
          <wp:inline distT="0" distB="0" distL="0" distR="0" wp14:anchorId="58899B3E" wp14:editId="630E9110">
            <wp:extent cx="5943600" cy="2374265"/>
            <wp:effectExtent l="0" t="0" r="0" b="6985"/>
            <wp:docPr id="5" name="Picture 5" descr="A picture containing text, screenshot, line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creenshot, line, numb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917C4" w14:textId="17680395" w:rsidR="00761FC4" w:rsidRDefault="00761FC4">
      <w:r>
        <w:t>Figure 6 – Level of Agreement on Definition of Treatment Failure</w:t>
      </w:r>
    </w:p>
    <w:p w14:paraId="11D75156" w14:textId="7698ACAA" w:rsidR="00761FC4" w:rsidRDefault="00761FC4">
      <w:r>
        <w:rPr>
          <w:noProof/>
        </w:rPr>
        <w:lastRenderedPageBreak/>
        <w:drawing>
          <wp:inline distT="0" distB="0" distL="0" distR="0" wp14:anchorId="5A24DAD6" wp14:editId="0512DB2A">
            <wp:extent cx="5943600" cy="2021840"/>
            <wp:effectExtent l="0" t="0" r="0" b="0"/>
            <wp:docPr id="7" name="Picture 7" descr="A picture containing screenshot, text, line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creenshot, text, line, plo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93802" w14:textId="77777777" w:rsidR="00761FC4" w:rsidRDefault="00761FC4"/>
    <w:p w14:paraId="793F108F" w14:textId="77777777" w:rsidR="00761FC4" w:rsidRDefault="00761FC4"/>
    <w:p w14:paraId="43B2361F" w14:textId="245C32C8" w:rsidR="00761FC4" w:rsidRDefault="00761FC4">
      <w:r>
        <w:t>Figure 7 – Level of Agreement on Criteria for Whom Should Receive Second Line Therapy</w:t>
      </w:r>
    </w:p>
    <w:p w14:paraId="3C5331E9" w14:textId="6AF75BAF" w:rsidR="00761FC4" w:rsidRDefault="00761FC4">
      <w:r>
        <w:rPr>
          <w:noProof/>
        </w:rPr>
        <w:drawing>
          <wp:inline distT="0" distB="0" distL="0" distR="0" wp14:anchorId="2E854123" wp14:editId="3F034ABB">
            <wp:extent cx="5943600" cy="2368550"/>
            <wp:effectExtent l="0" t="0" r="0" b="0"/>
            <wp:docPr id="8" name="Picture 8" descr="A picture containing text, screenshot, line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screenshot, line, plo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FFF21" w14:textId="5BAC6314" w:rsidR="00761FC4" w:rsidRDefault="00761FC4">
      <w:r>
        <w:t>Figure 8 – Level of Agreement on Second Line Treatment Protocol for Cell Surface Antibody mediated AIE and Antibody Negative Patients</w:t>
      </w:r>
    </w:p>
    <w:p w14:paraId="77EC9AA7" w14:textId="1FB73AE9" w:rsidR="00761FC4" w:rsidRDefault="00761FC4">
      <w:r>
        <w:rPr>
          <w:noProof/>
        </w:rPr>
        <w:drawing>
          <wp:inline distT="0" distB="0" distL="0" distR="0" wp14:anchorId="20D0E815" wp14:editId="3529C7B6">
            <wp:extent cx="5943600" cy="2170430"/>
            <wp:effectExtent l="0" t="0" r="0" b="1270"/>
            <wp:docPr id="9" name="Picture 9" descr="A picture containing text, screenshot, line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screenshot, line, plo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07F4F" w14:textId="689DD73B" w:rsidR="00761FC4" w:rsidRDefault="00761FC4">
      <w:r>
        <w:t xml:space="preserve">Figure 9 </w:t>
      </w:r>
      <w:r w:rsidR="000B221B">
        <w:t>–</w:t>
      </w:r>
      <w:r>
        <w:t xml:space="preserve"> </w:t>
      </w:r>
      <w:r w:rsidR="000B221B">
        <w:t>Level of Agreement on Second Line Treatment Protocol in Patients with Intracellular Antibodies</w:t>
      </w:r>
    </w:p>
    <w:p w14:paraId="0941CCE1" w14:textId="2F4DF668" w:rsidR="000B221B" w:rsidRDefault="000B221B">
      <w:r>
        <w:rPr>
          <w:noProof/>
        </w:rPr>
        <w:lastRenderedPageBreak/>
        <w:drawing>
          <wp:inline distT="0" distB="0" distL="0" distR="0" wp14:anchorId="5CF2D317" wp14:editId="02869072">
            <wp:extent cx="5943600" cy="2259330"/>
            <wp:effectExtent l="0" t="0" r="0" b="7620"/>
            <wp:docPr id="10" name="Picture 10" descr="A picture containing text, screenshot, line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screenshot, line, numb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0180D" w14:textId="50ADF560" w:rsidR="000B221B" w:rsidRDefault="000B221B">
      <w:r>
        <w:t>Figure 10 – Level of Agreement of Second Line Treatment Protocol in Patients with Associated Neoplasm</w:t>
      </w:r>
    </w:p>
    <w:p w14:paraId="11571C8D" w14:textId="4E8ED266" w:rsidR="000B221B" w:rsidRDefault="000B221B">
      <w:r>
        <w:rPr>
          <w:noProof/>
        </w:rPr>
        <w:drawing>
          <wp:inline distT="0" distB="0" distL="0" distR="0" wp14:anchorId="582A6FD1" wp14:editId="3668280C">
            <wp:extent cx="5943600" cy="2335530"/>
            <wp:effectExtent l="0" t="0" r="0" b="7620"/>
            <wp:docPr id="11" name="Picture 11" descr="A picture containing text, screenshot, line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screenshot, line, plo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400A3" w14:textId="77777777" w:rsidR="000B221B" w:rsidRDefault="000B221B"/>
    <w:p w14:paraId="795E7A8E" w14:textId="2E9EA22D" w:rsidR="000B221B" w:rsidRDefault="000B221B">
      <w:r>
        <w:t>Figure 11 – Level of Agreement on Third Line Therapy Statement</w:t>
      </w:r>
    </w:p>
    <w:p w14:paraId="6B04257E" w14:textId="32AF16FD" w:rsidR="000B221B" w:rsidRDefault="000B221B">
      <w:r>
        <w:rPr>
          <w:noProof/>
        </w:rPr>
        <w:drawing>
          <wp:inline distT="0" distB="0" distL="0" distR="0" wp14:anchorId="0211C6C6" wp14:editId="4D557256">
            <wp:extent cx="5943600" cy="2346960"/>
            <wp:effectExtent l="0" t="0" r="0" b="0"/>
            <wp:docPr id="12" name="Picture 12" descr="A picture containing screenshot, text, line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screenshot, text, line, plo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9BCCC" w14:textId="495E95CE" w:rsidR="000B221B" w:rsidRDefault="000B221B">
      <w:r>
        <w:t xml:space="preserve">Figure 12 – Level of Agreement on Appropriateness of ‘Blind’ </w:t>
      </w:r>
      <w:proofErr w:type="spellStart"/>
      <w:r>
        <w:t>Oopherectomy</w:t>
      </w:r>
      <w:proofErr w:type="spellEnd"/>
      <w:r>
        <w:t xml:space="preserve"> in NMDAR-IgG AIE</w:t>
      </w:r>
    </w:p>
    <w:p w14:paraId="0F916B0F" w14:textId="457F9050" w:rsidR="000B221B" w:rsidRDefault="000B221B">
      <w:r>
        <w:rPr>
          <w:noProof/>
        </w:rPr>
        <w:lastRenderedPageBreak/>
        <w:drawing>
          <wp:inline distT="0" distB="0" distL="0" distR="0" wp14:anchorId="49D02913" wp14:editId="5B836810">
            <wp:extent cx="5943600" cy="2322830"/>
            <wp:effectExtent l="0" t="0" r="0" b="1270"/>
            <wp:docPr id="13" name="Picture 13" descr="A picture containing text, screenshot, line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, screenshot, line, plo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5B32D" w14:textId="33A262D4" w:rsidR="000B221B" w:rsidRDefault="000B221B">
      <w:r>
        <w:t>Figure 13 – Level of Agreement on Definition of Relapse in AIE</w:t>
      </w:r>
    </w:p>
    <w:p w14:paraId="11FBED7F" w14:textId="22F769CF" w:rsidR="000B221B" w:rsidRDefault="000B221B">
      <w:r>
        <w:rPr>
          <w:noProof/>
        </w:rPr>
        <w:drawing>
          <wp:inline distT="0" distB="0" distL="0" distR="0" wp14:anchorId="08A2E818" wp14:editId="11F0D43B">
            <wp:extent cx="5943600" cy="2358390"/>
            <wp:effectExtent l="0" t="0" r="0" b="3810"/>
            <wp:docPr id="14" name="Picture 14" descr="A picture containing text, screenshot, lin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screenshot, line, fon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0C19E" w14:textId="36F6D34C" w:rsidR="00900115" w:rsidRDefault="00900115"/>
    <w:p w14:paraId="15F83469" w14:textId="39A7FF4A" w:rsidR="00900115" w:rsidRPr="00900115" w:rsidRDefault="00900115">
      <w:pPr>
        <w:rPr>
          <w:b/>
          <w:bCs/>
        </w:rPr>
      </w:pPr>
      <w:r w:rsidRPr="00900115">
        <w:rPr>
          <w:b/>
          <w:bCs/>
        </w:rPr>
        <w:t xml:space="preserve">List of Clinical </w:t>
      </w:r>
      <w:r w:rsidR="00622012" w:rsidRPr="00900115">
        <w:rPr>
          <w:b/>
          <w:bCs/>
        </w:rPr>
        <w:t>Centers</w:t>
      </w:r>
      <w:r w:rsidRPr="00900115">
        <w:rPr>
          <w:b/>
          <w:bCs/>
        </w:rPr>
        <w:t xml:space="preserve"> with Expertise in Autoimmune Neurology</w:t>
      </w:r>
    </w:p>
    <w:p w14:paraId="44D4B377" w14:textId="77777777" w:rsidR="00900115" w:rsidRDefault="00900115"/>
    <w:p w14:paraId="214E599F" w14:textId="0AAE1406" w:rsidR="00900115" w:rsidRDefault="00900115">
      <w:r>
        <w:t>For an updated list of physicians/</w:t>
      </w:r>
      <w:r w:rsidR="00622012">
        <w:t>centers</w:t>
      </w:r>
      <w:r>
        <w:t xml:space="preserve"> with expertise in Autoimmune Neurology please use the following link to the Anti-NMDA Receptor Encephalitis Foundation website: </w:t>
      </w:r>
      <w:proofErr w:type="gramStart"/>
      <w:r w:rsidRPr="00900115">
        <w:t>https://www.antinmdafoundation.org/country_cat/canada/</w:t>
      </w:r>
      <w:proofErr w:type="gramEnd"/>
    </w:p>
    <w:sectPr w:rsidR="00900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ACCC" w14:textId="77777777" w:rsidR="00873E40" w:rsidRDefault="00873E40" w:rsidP="00F50FF8">
      <w:r>
        <w:separator/>
      </w:r>
    </w:p>
  </w:endnote>
  <w:endnote w:type="continuationSeparator" w:id="0">
    <w:p w14:paraId="4A58683E" w14:textId="77777777" w:rsidR="00873E40" w:rsidRDefault="00873E40" w:rsidP="00F5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0FA3" w14:textId="77777777" w:rsidR="00873E40" w:rsidRDefault="00873E40" w:rsidP="00F50FF8">
      <w:r>
        <w:separator/>
      </w:r>
    </w:p>
  </w:footnote>
  <w:footnote w:type="continuationSeparator" w:id="0">
    <w:p w14:paraId="276CC685" w14:textId="77777777" w:rsidR="00873E40" w:rsidRDefault="00873E40" w:rsidP="00F5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CD"/>
    <w:rsid w:val="000B221B"/>
    <w:rsid w:val="000D6D48"/>
    <w:rsid w:val="006061CD"/>
    <w:rsid w:val="00622012"/>
    <w:rsid w:val="00694526"/>
    <w:rsid w:val="007003B9"/>
    <w:rsid w:val="00761FC4"/>
    <w:rsid w:val="00873E40"/>
    <w:rsid w:val="008A7DC4"/>
    <w:rsid w:val="00900115"/>
    <w:rsid w:val="009F24C7"/>
    <w:rsid w:val="00A95761"/>
    <w:rsid w:val="00B0401B"/>
    <w:rsid w:val="00D316C7"/>
    <w:rsid w:val="00D71091"/>
    <w:rsid w:val="00EE0908"/>
    <w:rsid w:val="00EF71EF"/>
    <w:rsid w:val="00F50FF8"/>
    <w:rsid w:val="00FB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704D5"/>
  <w15:chartTrackingRefBased/>
  <w15:docId w15:val="{5DB1AD90-74EA-4EA8-8B30-F60E4438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09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0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0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0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0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109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0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10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10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0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0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09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09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10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0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10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10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710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710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0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7109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71091"/>
    <w:rPr>
      <w:b/>
      <w:bCs/>
    </w:rPr>
  </w:style>
  <w:style w:type="character" w:styleId="Emphasis">
    <w:name w:val="Emphasis"/>
    <w:basedOn w:val="DefaultParagraphFont"/>
    <w:uiPriority w:val="20"/>
    <w:qFormat/>
    <w:rsid w:val="00D7109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71091"/>
    <w:rPr>
      <w:szCs w:val="32"/>
    </w:rPr>
  </w:style>
  <w:style w:type="paragraph" w:styleId="ListParagraph">
    <w:name w:val="List Paragraph"/>
    <w:basedOn w:val="Normal"/>
    <w:uiPriority w:val="34"/>
    <w:qFormat/>
    <w:rsid w:val="00D710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109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7109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109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1091"/>
    <w:rPr>
      <w:b/>
      <w:i/>
      <w:sz w:val="24"/>
    </w:rPr>
  </w:style>
  <w:style w:type="character" w:styleId="SubtleEmphasis">
    <w:name w:val="Subtle Emphasis"/>
    <w:uiPriority w:val="19"/>
    <w:qFormat/>
    <w:rsid w:val="00D7109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7109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7109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7109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7109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1091"/>
    <w:pPr>
      <w:outlineLvl w:val="9"/>
    </w:pPr>
  </w:style>
  <w:style w:type="table" w:styleId="TableGrid">
    <w:name w:val="Table Grid"/>
    <w:basedOn w:val="TableNormal"/>
    <w:uiPriority w:val="39"/>
    <w:rsid w:val="00D71091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E0908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0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FF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FF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Hahn</dc:creator>
  <cp:keywords/>
  <dc:description/>
  <cp:lastModifiedBy>Christopher Hahn</cp:lastModifiedBy>
  <cp:revision>11</cp:revision>
  <dcterms:created xsi:type="dcterms:W3CDTF">2023-06-22T23:03:00Z</dcterms:created>
  <dcterms:modified xsi:type="dcterms:W3CDTF">2023-10-23T22:05:00Z</dcterms:modified>
</cp:coreProperties>
</file>