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93B2B" w14:textId="77777777" w:rsidR="00EF52E5" w:rsidRPr="009232B7" w:rsidRDefault="00EF52E5" w:rsidP="00EF52E5">
      <w:pPr>
        <w:rPr>
          <w:rFonts w:ascii="Times New Roman" w:hAnsi="Times New Roman" w:cs="Times New Roman"/>
          <w:b/>
          <w:lang w:val="en-GB"/>
        </w:rPr>
      </w:pPr>
      <w:r w:rsidRPr="009232B7">
        <w:rPr>
          <w:rFonts w:ascii="Times New Roman" w:hAnsi="Times New Roman" w:cs="Times New Roman"/>
          <w:b/>
          <w:lang w:val="en-GB"/>
        </w:rPr>
        <w:t>Supplemental materials (Appendix figure, table and note)</w:t>
      </w:r>
    </w:p>
    <w:p w14:paraId="116F92D4" w14:textId="77777777" w:rsidR="00EF52E5" w:rsidRPr="009232B7" w:rsidRDefault="00EF52E5" w:rsidP="00EF52E5">
      <w:pPr>
        <w:rPr>
          <w:rFonts w:ascii="Times New Roman" w:hAnsi="Times New Roman" w:cs="Times New Roman"/>
          <w:b/>
          <w:lang w:val="en-GB"/>
        </w:rPr>
      </w:pPr>
      <w:r w:rsidRPr="009232B7">
        <w:rPr>
          <w:rFonts w:ascii="Times New Roman" w:hAnsi="Times New Roman" w:cs="Times New Roman"/>
          <w:b/>
          <w:lang w:val="en-GB"/>
        </w:rPr>
        <w:t>Appendix Table 1. Article-level result (</w:t>
      </w:r>
      <w:r w:rsidRPr="009232B7">
        <w:rPr>
          <w:rFonts w:ascii="Times New Roman" w:hAnsi="Times New Roman" w:cs="Times New Roman"/>
          <w:b/>
          <w:bCs/>
          <w:szCs w:val="21"/>
          <w:lang w:val="en-GB"/>
        </w:rPr>
        <w:t>top</w:t>
      </w:r>
      <w:r w:rsidRPr="009232B7">
        <w:rPr>
          <w:rFonts w:ascii="Times New Roman" w:hAnsi="Times New Roman" w:cs="Times New Roman"/>
          <w:b/>
          <w:lang w:val="en-GB"/>
        </w:rPr>
        <w:t xml:space="preserve"> and bottom </w:t>
      </w:r>
      <w:r w:rsidRPr="009232B7">
        <w:rPr>
          <w:rFonts w:ascii="Times New Roman" w:hAnsi="Times New Roman" w:cs="Times New Roman"/>
          <w:b/>
          <w:kern w:val="0"/>
          <w:lang w:val="en-GB"/>
        </w:rPr>
        <w:t xml:space="preserve">Latent Semantic Scaling </w:t>
      </w:r>
      <w:r w:rsidRPr="009232B7">
        <w:rPr>
          <w:rFonts w:ascii="Times New Roman" w:hAnsi="Times New Roman" w:cs="Times New Roman"/>
          <w:b/>
          <w:bCs/>
          <w:szCs w:val="21"/>
          <w:lang w:val="en-GB"/>
        </w:rPr>
        <w:t>scores</w:t>
      </w:r>
      <w:r w:rsidRPr="009232B7">
        <w:rPr>
          <w:rFonts w:ascii="Times New Roman" w:hAnsi="Times New Roman" w:cs="Times New Roman"/>
          <w:b/>
          <w:lang w:val="en-GB"/>
        </w:rPr>
        <w:t>)</w:t>
      </w:r>
    </w:p>
    <w:p w14:paraId="006076F5" w14:textId="77777777" w:rsidR="00EF52E5" w:rsidRPr="009232B7" w:rsidRDefault="00EF52E5" w:rsidP="00EF52E5">
      <w:pPr>
        <w:rPr>
          <w:rFonts w:ascii="Times New Roman" w:hAnsi="Times New Roman" w:cs="Times New Roman"/>
        </w:rPr>
      </w:pPr>
      <w:r w:rsidRPr="009232B7">
        <w:rPr>
          <w:rFonts w:ascii="Times New Roman" w:hAnsi="Times New Roman" w:cs="Times New Roman"/>
        </w:rPr>
        <w:t xml:space="preserve"> </w:t>
      </w:r>
      <w:r w:rsidRPr="009232B7">
        <w:rPr>
          <w:rFonts w:ascii="Times New Roman" w:hAnsi="Times New Roman" w:cs="Times New Roman"/>
          <w:noProof/>
        </w:rPr>
        <w:drawing>
          <wp:inline distT="0" distB="0" distL="0" distR="0" wp14:anchorId="45AFD090" wp14:editId="04E10712">
            <wp:extent cx="5400040" cy="6558915"/>
            <wp:effectExtent l="0" t="0" r="0" b="0"/>
            <wp:docPr id="204144480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40" cy="6558915"/>
                    </a:xfrm>
                    <a:prstGeom prst="rect">
                      <a:avLst/>
                    </a:prstGeom>
                    <a:noFill/>
                    <a:ln>
                      <a:noFill/>
                    </a:ln>
                  </pic:spPr>
                </pic:pic>
              </a:graphicData>
            </a:graphic>
          </wp:inline>
        </w:drawing>
      </w:r>
    </w:p>
    <w:p w14:paraId="0FC0415D" w14:textId="77777777" w:rsidR="00EF52E5" w:rsidRPr="009232B7" w:rsidRDefault="00EF52E5" w:rsidP="00EF52E5">
      <w:pPr>
        <w:rPr>
          <w:rFonts w:ascii="Times New Roman" w:hAnsi="Times New Roman" w:cs="Times New Roman"/>
          <w:lang w:val="en-GB"/>
        </w:rPr>
      </w:pPr>
      <w:r w:rsidRPr="009232B7">
        <w:rPr>
          <w:rFonts w:ascii="Times New Roman" w:hAnsi="Times New Roman" w:cs="Times New Roman"/>
          <w:lang w:val="en-GB"/>
        </w:rPr>
        <w:t>Source: Authors’ calculations.</w:t>
      </w:r>
    </w:p>
    <w:p w14:paraId="5D9854A4" w14:textId="77777777" w:rsidR="00EF52E5" w:rsidRPr="009232B7" w:rsidRDefault="00EF52E5" w:rsidP="00EF52E5">
      <w:pPr>
        <w:widowControl/>
        <w:jc w:val="left"/>
        <w:rPr>
          <w:rFonts w:ascii="Times New Roman" w:hAnsi="Times New Roman" w:cs="Times New Roman"/>
          <w:lang w:val="en-GB"/>
        </w:rPr>
      </w:pPr>
      <w:r w:rsidRPr="009232B7">
        <w:rPr>
          <w:rFonts w:ascii="Times New Roman" w:hAnsi="Times New Roman" w:cs="Times New Roman"/>
          <w:lang w:val="en-GB"/>
        </w:rPr>
        <w:br w:type="page"/>
      </w:r>
    </w:p>
    <w:p w14:paraId="37F40734" w14:textId="77777777" w:rsidR="00EF52E5" w:rsidRPr="009232B7" w:rsidRDefault="00EF52E5" w:rsidP="00EF52E5">
      <w:pPr>
        <w:rPr>
          <w:rFonts w:ascii="Times New Roman" w:hAnsi="Times New Roman" w:cs="Times New Roman"/>
          <w:b/>
          <w:lang w:val="en-GB"/>
        </w:rPr>
      </w:pPr>
      <w:r w:rsidRPr="009232B7">
        <w:rPr>
          <w:rFonts w:ascii="Times New Roman" w:hAnsi="Times New Roman" w:cs="Times New Roman"/>
          <w:b/>
          <w:lang w:val="en-GB"/>
        </w:rPr>
        <w:lastRenderedPageBreak/>
        <w:t>Appendix Figure 1. Word-level polarity</w:t>
      </w:r>
    </w:p>
    <w:p w14:paraId="27C529F6" w14:textId="77777777" w:rsidR="00EF52E5" w:rsidRPr="009232B7" w:rsidRDefault="00EF52E5" w:rsidP="00EF52E5">
      <w:pPr>
        <w:rPr>
          <w:rFonts w:ascii="Times New Roman" w:hAnsi="Times New Roman" w:cs="Times New Roman"/>
          <w:lang w:val="en-GB"/>
        </w:rPr>
      </w:pPr>
      <w:r w:rsidRPr="009232B7">
        <w:rPr>
          <w:rFonts w:ascii="Times New Roman" w:hAnsi="Times New Roman" w:cs="Times New Roman"/>
          <w:noProof/>
        </w:rPr>
        <w:drawing>
          <wp:inline distT="0" distB="0" distL="0" distR="0" wp14:anchorId="47D90073" wp14:editId="6AF31D7B">
            <wp:extent cx="5073015" cy="3300095"/>
            <wp:effectExtent l="0" t="0" r="0" b="0"/>
            <wp:docPr id="989953854"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ダイアグラム&#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3015" cy="3300095"/>
                    </a:xfrm>
                    <a:prstGeom prst="rect">
                      <a:avLst/>
                    </a:prstGeom>
                    <a:noFill/>
                    <a:ln>
                      <a:noFill/>
                    </a:ln>
                  </pic:spPr>
                </pic:pic>
              </a:graphicData>
            </a:graphic>
          </wp:inline>
        </w:drawing>
      </w:r>
    </w:p>
    <w:p w14:paraId="51E79490" w14:textId="77777777" w:rsidR="00EF52E5" w:rsidRPr="009232B7" w:rsidRDefault="00EF52E5" w:rsidP="00EF52E5">
      <w:pPr>
        <w:rPr>
          <w:rFonts w:ascii="Times New Roman" w:hAnsi="Times New Roman" w:cs="Times New Roman"/>
          <w:lang w:val="en-GB"/>
        </w:rPr>
      </w:pPr>
      <w:r w:rsidRPr="009232B7">
        <w:rPr>
          <w:rFonts w:ascii="Times New Roman" w:hAnsi="Times New Roman" w:cs="Times New Roman"/>
          <w:lang w:val="en-GB"/>
        </w:rPr>
        <w:t>Source: Authors’ calculations.</w:t>
      </w:r>
    </w:p>
    <w:p w14:paraId="3C3B3C1E" w14:textId="77777777" w:rsidR="00EF52E5" w:rsidRPr="009232B7" w:rsidRDefault="00EF52E5" w:rsidP="00EF52E5">
      <w:pPr>
        <w:rPr>
          <w:rFonts w:ascii="Times New Roman" w:hAnsi="Times New Roman" w:cs="Times New Roman"/>
          <w:lang w:val="en-GB"/>
        </w:rPr>
      </w:pPr>
    </w:p>
    <w:p w14:paraId="477E22A4" w14:textId="77777777" w:rsidR="00EF52E5" w:rsidRPr="009232B7" w:rsidRDefault="00EF52E5" w:rsidP="00EF52E5">
      <w:pPr>
        <w:rPr>
          <w:rFonts w:ascii="Times New Roman" w:hAnsi="Times New Roman" w:cs="Times New Roman"/>
          <w:b/>
          <w:lang w:val="en-GB"/>
        </w:rPr>
      </w:pPr>
      <w:r w:rsidRPr="009232B7">
        <w:rPr>
          <w:rFonts w:ascii="Times New Roman" w:hAnsi="Times New Roman" w:cs="Times New Roman"/>
          <w:b/>
          <w:lang w:val="en-GB"/>
        </w:rPr>
        <w:t>Appendix Figure 2. Latent Semantic Scaling score correlation</w:t>
      </w:r>
    </w:p>
    <w:p w14:paraId="4D03BBF4" w14:textId="77777777" w:rsidR="00EF52E5" w:rsidRPr="009232B7" w:rsidRDefault="00EF52E5" w:rsidP="00EF52E5">
      <w:pPr>
        <w:jc w:val="center"/>
        <w:rPr>
          <w:rFonts w:ascii="Times New Roman" w:hAnsi="Times New Roman" w:cs="Times New Roman"/>
          <w:lang w:val="en-GB"/>
        </w:rPr>
      </w:pPr>
      <w:r w:rsidRPr="009232B7">
        <w:rPr>
          <w:rFonts w:ascii="Times New Roman" w:hAnsi="Times New Roman" w:cs="Times New Roman"/>
          <w:noProof/>
        </w:rPr>
        <w:drawing>
          <wp:inline distT="0" distB="0" distL="0" distR="0" wp14:anchorId="0BBEF27F" wp14:editId="37699A86">
            <wp:extent cx="5025390" cy="3068955"/>
            <wp:effectExtent l="0" t="0" r="3810" b="0"/>
            <wp:docPr id="21521107" name="図 2" descr="グラフ, 散布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descr="グラフ, 散布図&#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5390" cy="3068955"/>
                    </a:xfrm>
                    <a:prstGeom prst="rect">
                      <a:avLst/>
                    </a:prstGeom>
                    <a:noFill/>
                    <a:ln>
                      <a:noFill/>
                    </a:ln>
                  </pic:spPr>
                </pic:pic>
              </a:graphicData>
            </a:graphic>
          </wp:inline>
        </w:drawing>
      </w:r>
    </w:p>
    <w:p w14:paraId="234E5955" w14:textId="77777777" w:rsidR="00EF52E5" w:rsidRPr="009232B7" w:rsidRDefault="00EF52E5" w:rsidP="00EF52E5">
      <w:pPr>
        <w:rPr>
          <w:rFonts w:ascii="Times New Roman" w:hAnsi="Times New Roman" w:cs="Times New Roman"/>
          <w:lang w:val="en-GB"/>
        </w:rPr>
      </w:pPr>
      <w:r w:rsidRPr="009232B7">
        <w:rPr>
          <w:rFonts w:ascii="Times New Roman" w:hAnsi="Times New Roman" w:cs="Times New Roman"/>
          <w:lang w:val="en-GB"/>
        </w:rPr>
        <w:t xml:space="preserve">Note: </w:t>
      </w:r>
      <w:r w:rsidRPr="009232B7">
        <w:rPr>
          <w:rFonts w:ascii="Times New Roman" w:hAnsi="Times New Roman" w:cs="Times New Roman"/>
          <w:szCs w:val="21"/>
          <w:lang w:val="en-GB"/>
        </w:rPr>
        <w:t>The monthly</w:t>
      </w:r>
      <w:r w:rsidRPr="009232B7">
        <w:rPr>
          <w:rFonts w:ascii="Times New Roman" w:hAnsi="Times New Roman" w:cs="Times New Roman"/>
          <w:lang w:val="en-GB"/>
        </w:rPr>
        <w:t xml:space="preserve"> correlation coefficient is </w:t>
      </w:r>
      <w:r w:rsidRPr="009232B7">
        <w:rPr>
          <w:rFonts w:ascii="Times New Roman" w:eastAsia="ＭＳ 明朝" w:hAnsi="Times New Roman" w:cs="Times New Roman"/>
          <w:szCs w:val="21"/>
          <w:lang w:val="en-GB"/>
        </w:rPr>
        <w:t>−</w:t>
      </w:r>
      <w:r w:rsidRPr="009232B7">
        <w:rPr>
          <w:rFonts w:ascii="Times New Roman" w:hAnsi="Times New Roman" w:cs="Times New Roman"/>
          <w:lang w:val="en-GB"/>
        </w:rPr>
        <w:t xml:space="preserve">0.05, and </w:t>
      </w:r>
      <w:r w:rsidRPr="009232B7">
        <w:rPr>
          <w:rFonts w:ascii="Times New Roman" w:hAnsi="Times New Roman" w:cs="Times New Roman"/>
          <w:szCs w:val="21"/>
          <w:lang w:val="en-GB"/>
        </w:rPr>
        <w:t xml:space="preserve">the </w:t>
      </w:r>
      <w:r w:rsidRPr="009232B7">
        <w:rPr>
          <w:rFonts w:ascii="Times New Roman" w:hAnsi="Times New Roman" w:cs="Times New Roman"/>
          <w:lang w:val="en-GB"/>
        </w:rPr>
        <w:t xml:space="preserve">quarterly correlation coefficient is </w:t>
      </w:r>
      <w:r w:rsidRPr="009232B7">
        <w:rPr>
          <w:rFonts w:ascii="Times New Roman" w:eastAsia="ＭＳ 明朝" w:hAnsi="Times New Roman" w:cs="Times New Roman"/>
          <w:szCs w:val="21"/>
          <w:lang w:val="en-GB"/>
        </w:rPr>
        <w:t>−</w:t>
      </w:r>
      <w:r w:rsidRPr="009232B7">
        <w:rPr>
          <w:rFonts w:ascii="Times New Roman" w:hAnsi="Times New Roman" w:cs="Times New Roman"/>
          <w:lang w:val="en-GB"/>
        </w:rPr>
        <w:t>0.09.</w:t>
      </w:r>
    </w:p>
    <w:p w14:paraId="0FC5D59E" w14:textId="77777777" w:rsidR="00EF52E5" w:rsidRPr="009232B7" w:rsidRDefault="00EF52E5" w:rsidP="00EF52E5">
      <w:pPr>
        <w:rPr>
          <w:rFonts w:ascii="Times New Roman" w:hAnsi="Times New Roman" w:cs="Times New Roman"/>
          <w:lang w:val="en-GB"/>
        </w:rPr>
      </w:pPr>
    </w:p>
    <w:p w14:paraId="33A0C9AB" w14:textId="77777777" w:rsidR="00EF52E5" w:rsidRPr="009232B7" w:rsidRDefault="00EF52E5" w:rsidP="00EF52E5">
      <w:pPr>
        <w:widowControl/>
        <w:jc w:val="left"/>
        <w:rPr>
          <w:rFonts w:ascii="Times New Roman" w:hAnsi="Times New Roman" w:cs="Times New Roman"/>
          <w:b/>
          <w:lang w:val="en-GB"/>
        </w:rPr>
      </w:pPr>
      <w:r w:rsidRPr="009232B7">
        <w:rPr>
          <w:rFonts w:ascii="Times New Roman" w:hAnsi="Times New Roman" w:cs="Times New Roman"/>
          <w:b/>
          <w:lang w:val="en-GB"/>
        </w:rPr>
        <w:br w:type="page"/>
      </w:r>
    </w:p>
    <w:p w14:paraId="3A657299" w14:textId="77777777" w:rsidR="00EF52E5" w:rsidRPr="009232B7" w:rsidRDefault="00EF52E5" w:rsidP="00EF52E5">
      <w:pPr>
        <w:rPr>
          <w:rFonts w:ascii="Times New Roman" w:hAnsi="Times New Roman" w:cs="Times New Roman"/>
          <w:b/>
          <w:lang w:val="en-GB"/>
        </w:rPr>
      </w:pPr>
      <w:r w:rsidRPr="009232B7">
        <w:rPr>
          <w:rFonts w:ascii="Times New Roman" w:hAnsi="Times New Roman" w:cs="Times New Roman"/>
          <w:b/>
          <w:lang w:val="en-GB"/>
        </w:rPr>
        <w:lastRenderedPageBreak/>
        <w:t>Appendix Figure 3. Latent Semantic Scaling score distribution by leader</w:t>
      </w:r>
    </w:p>
    <w:p w14:paraId="60EA2A60" w14:textId="77777777" w:rsidR="00EF52E5" w:rsidRPr="009232B7" w:rsidRDefault="00EF52E5" w:rsidP="00EF52E5">
      <w:pPr>
        <w:rPr>
          <w:rFonts w:ascii="Times New Roman" w:hAnsi="Times New Roman" w:cs="Times New Roman"/>
          <w:lang w:val="en-GB"/>
        </w:rPr>
      </w:pPr>
      <w:r w:rsidRPr="009232B7">
        <w:rPr>
          <w:rFonts w:ascii="Times New Roman" w:hAnsi="Times New Roman" w:cs="Times New Roman"/>
          <w:noProof/>
        </w:rPr>
        <w:drawing>
          <wp:inline distT="0" distB="0" distL="0" distR="0" wp14:anchorId="6959DCD8" wp14:editId="377A4653">
            <wp:extent cx="5398770" cy="3300095"/>
            <wp:effectExtent l="0" t="0" r="0" b="0"/>
            <wp:docPr id="232539899" name="図 3" descr="グラフ, 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descr="グラフ, ヒストグラム&#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8770" cy="3300095"/>
                    </a:xfrm>
                    <a:prstGeom prst="rect">
                      <a:avLst/>
                    </a:prstGeom>
                    <a:noFill/>
                    <a:ln>
                      <a:noFill/>
                    </a:ln>
                  </pic:spPr>
                </pic:pic>
              </a:graphicData>
            </a:graphic>
          </wp:inline>
        </w:drawing>
      </w:r>
    </w:p>
    <w:p w14:paraId="12689A11" w14:textId="77777777" w:rsidR="00EF52E5" w:rsidRPr="009232B7" w:rsidRDefault="00EF52E5" w:rsidP="00EF52E5">
      <w:pPr>
        <w:rPr>
          <w:rFonts w:ascii="Times New Roman" w:hAnsi="Times New Roman" w:cs="Times New Roman"/>
          <w:lang w:val="en-GB"/>
        </w:rPr>
      </w:pPr>
      <w:r w:rsidRPr="009232B7">
        <w:rPr>
          <w:rFonts w:ascii="Times New Roman" w:hAnsi="Times New Roman" w:cs="Times New Roman"/>
          <w:lang w:val="en-GB"/>
        </w:rPr>
        <w:t>Source: Authors’ calculations.</w:t>
      </w:r>
    </w:p>
    <w:p w14:paraId="51EB34F3" w14:textId="77777777" w:rsidR="00EF52E5" w:rsidRPr="009232B7" w:rsidRDefault="00EF52E5" w:rsidP="00EF52E5">
      <w:pPr>
        <w:rPr>
          <w:rFonts w:ascii="Times New Roman" w:hAnsi="Times New Roman" w:cs="Times New Roman"/>
          <w:lang w:val="en-GB"/>
        </w:rPr>
      </w:pPr>
    </w:p>
    <w:p w14:paraId="475B1FA6" w14:textId="77777777" w:rsidR="00EF52E5" w:rsidRPr="009232B7" w:rsidRDefault="00EF52E5" w:rsidP="00EF52E5">
      <w:pPr>
        <w:widowControl/>
        <w:jc w:val="left"/>
        <w:rPr>
          <w:rFonts w:ascii="Times New Roman" w:hAnsi="Times New Roman" w:cs="Times New Roman"/>
          <w:b/>
          <w:lang w:val="en-GB"/>
        </w:rPr>
      </w:pPr>
      <w:r w:rsidRPr="009232B7">
        <w:rPr>
          <w:rFonts w:ascii="Times New Roman" w:hAnsi="Times New Roman" w:cs="Times New Roman"/>
          <w:b/>
          <w:lang w:val="en-GB"/>
        </w:rPr>
        <w:br w:type="page"/>
      </w:r>
    </w:p>
    <w:p w14:paraId="0DDA0730" w14:textId="77777777" w:rsidR="00EF52E5" w:rsidRPr="009232B7" w:rsidRDefault="00EF52E5" w:rsidP="00EF52E5">
      <w:pPr>
        <w:rPr>
          <w:rFonts w:ascii="Times New Roman" w:hAnsi="Times New Roman" w:cs="Times New Roman"/>
          <w:b/>
          <w:lang w:val="en-GB"/>
        </w:rPr>
      </w:pPr>
      <w:r w:rsidRPr="009232B7">
        <w:rPr>
          <w:rFonts w:ascii="Times New Roman" w:hAnsi="Times New Roman" w:cs="Times New Roman"/>
          <w:b/>
          <w:lang w:val="en-GB"/>
        </w:rPr>
        <w:lastRenderedPageBreak/>
        <w:t>Appendix Notes on Firm-level Data and Estimation</w:t>
      </w:r>
    </w:p>
    <w:p w14:paraId="005274CA" w14:textId="77777777" w:rsidR="00EF52E5" w:rsidRPr="009232B7" w:rsidRDefault="00EF52E5" w:rsidP="00EF52E5">
      <w:pPr>
        <w:ind w:firstLineChars="200" w:firstLine="420"/>
        <w:rPr>
          <w:rFonts w:ascii="Times New Roman" w:hAnsi="Times New Roman" w:cs="Times New Roman"/>
          <w:lang w:val="en-GB"/>
        </w:rPr>
      </w:pPr>
      <w:r w:rsidRPr="009232B7">
        <w:rPr>
          <w:rFonts w:ascii="Times New Roman" w:hAnsi="Times New Roman" w:cs="Times New Roman"/>
          <w:szCs w:val="21"/>
          <w:lang w:val="en-GB"/>
        </w:rPr>
        <w:t>The firm</w:t>
      </w:r>
      <w:r w:rsidRPr="009232B7">
        <w:rPr>
          <w:rFonts w:ascii="Times New Roman" w:hAnsi="Times New Roman" w:cs="Times New Roman"/>
          <w:lang w:val="en-GB"/>
        </w:rPr>
        <w:t>-level financial data in Table 4 were obtained from the China Stock Market &amp; Accounting Research Database</w:t>
      </w:r>
      <w:r w:rsidRPr="009232B7">
        <w:rPr>
          <w:rFonts w:ascii="Times New Roman" w:hAnsi="Times New Roman" w:cs="Times New Roman"/>
          <w:szCs w:val="21"/>
          <w:lang w:val="en-GB"/>
        </w:rPr>
        <w:t>, which covers</w:t>
      </w:r>
      <w:r w:rsidRPr="009232B7">
        <w:rPr>
          <w:rFonts w:ascii="Times New Roman" w:hAnsi="Times New Roman" w:cs="Times New Roman"/>
          <w:lang w:val="en-GB"/>
        </w:rPr>
        <w:t xml:space="preserve"> the first quarter of 2013 to the fourth quarter of 2019 (28 quarters in total). Data include listed firms in manufacturing sectors and exclude the financial, real estate and other non-manufacturing sectors</w:t>
      </w:r>
      <w:r w:rsidRPr="009232B7">
        <w:rPr>
          <w:rFonts w:ascii="Times New Roman" w:hAnsi="Times New Roman" w:cs="Times New Roman"/>
          <w:szCs w:val="21"/>
          <w:lang w:val="en-GB"/>
        </w:rPr>
        <w:t>,</w:t>
      </w:r>
      <w:r w:rsidRPr="009232B7">
        <w:rPr>
          <w:rFonts w:ascii="Times New Roman" w:hAnsi="Times New Roman" w:cs="Times New Roman"/>
          <w:lang w:val="en-GB"/>
        </w:rPr>
        <w:t xml:space="preserve"> because </w:t>
      </w:r>
      <w:r w:rsidRPr="009232B7">
        <w:rPr>
          <w:rFonts w:ascii="Times New Roman" w:hAnsi="Times New Roman" w:cs="Times New Roman"/>
          <w:szCs w:val="21"/>
          <w:lang w:val="en-GB"/>
        </w:rPr>
        <w:t>the</w:t>
      </w:r>
      <w:r w:rsidRPr="009232B7">
        <w:rPr>
          <w:rFonts w:ascii="Times New Roman" w:hAnsi="Times New Roman" w:cs="Times New Roman"/>
          <w:lang w:val="en-GB"/>
        </w:rPr>
        <w:t xml:space="preserve"> practices </w:t>
      </w:r>
      <w:r w:rsidRPr="009232B7">
        <w:rPr>
          <w:rFonts w:ascii="Times New Roman" w:hAnsi="Times New Roman" w:cs="Times New Roman"/>
          <w:szCs w:val="21"/>
          <w:lang w:val="en-GB"/>
        </w:rPr>
        <w:t xml:space="preserve">of firms </w:t>
      </w:r>
      <w:r w:rsidRPr="009232B7">
        <w:rPr>
          <w:rFonts w:ascii="Times New Roman" w:hAnsi="Times New Roman" w:cs="Times New Roman"/>
          <w:lang w:val="en-GB"/>
        </w:rPr>
        <w:t xml:space="preserve">significantly differ </w:t>
      </w:r>
      <w:r w:rsidRPr="009232B7">
        <w:rPr>
          <w:rFonts w:ascii="Times New Roman" w:hAnsi="Times New Roman" w:cs="Times New Roman"/>
          <w:szCs w:val="21"/>
          <w:lang w:val="en-GB"/>
        </w:rPr>
        <w:t>across</w:t>
      </w:r>
      <w:r w:rsidRPr="009232B7">
        <w:rPr>
          <w:rFonts w:ascii="Times New Roman" w:hAnsi="Times New Roman" w:cs="Times New Roman"/>
          <w:lang w:val="en-GB"/>
        </w:rPr>
        <w:t xml:space="preserve"> sectors. We first exclude listed firms with abnormal financial conditions that received special treatment shares according to the stock listing rules. Furthermore, </w:t>
      </w:r>
      <w:r w:rsidRPr="009232B7">
        <w:rPr>
          <w:rFonts w:ascii="Times New Roman" w:hAnsi="Times New Roman" w:cs="Times New Roman"/>
          <w:szCs w:val="21"/>
          <w:lang w:val="en-GB"/>
        </w:rPr>
        <w:t>for inclusion</w:t>
      </w:r>
      <w:r w:rsidRPr="009232B7">
        <w:rPr>
          <w:rFonts w:ascii="Times New Roman" w:hAnsi="Times New Roman" w:cs="Times New Roman"/>
          <w:lang w:val="en-GB"/>
        </w:rPr>
        <w:t xml:space="preserve"> in </w:t>
      </w:r>
      <w:r w:rsidRPr="009232B7">
        <w:rPr>
          <w:rFonts w:ascii="Times New Roman" w:hAnsi="Times New Roman" w:cs="Times New Roman"/>
          <w:szCs w:val="21"/>
          <w:lang w:val="en-GB"/>
        </w:rPr>
        <w:t>the</w:t>
      </w:r>
      <w:r w:rsidRPr="009232B7">
        <w:rPr>
          <w:rFonts w:ascii="Times New Roman" w:hAnsi="Times New Roman" w:cs="Times New Roman"/>
          <w:lang w:val="en-GB"/>
        </w:rPr>
        <w:t xml:space="preserve"> estimation, a firm must </w:t>
      </w:r>
      <w:r w:rsidRPr="009232B7">
        <w:rPr>
          <w:rFonts w:ascii="Times New Roman" w:hAnsi="Times New Roman" w:cs="Times New Roman"/>
          <w:szCs w:val="21"/>
          <w:lang w:val="en-GB"/>
        </w:rPr>
        <w:t>exhibit</w:t>
      </w:r>
      <w:r w:rsidRPr="009232B7">
        <w:rPr>
          <w:rFonts w:ascii="Times New Roman" w:hAnsi="Times New Roman" w:cs="Times New Roman"/>
          <w:lang w:val="en-GB"/>
        </w:rPr>
        <w:t xml:space="preserve"> missing observations for at least two years (eight quarters). We drop the top and bottom 1</w:t>
      </w:r>
      <w:r w:rsidRPr="009232B7">
        <w:rPr>
          <w:rFonts w:ascii="Times New Roman" w:hAnsi="Times New Roman" w:cs="Times New Roman"/>
          <w:szCs w:val="21"/>
          <w:lang w:val="en-GB"/>
        </w:rPr>
        <w:t xml:space="preserve"> per cent</w:t>
      </w:r>
      <w:r w:rsidRPr="009232B7">
        <w:rPr>
          <w:rFonts w:ascii="Times New Roman" w:hAnsi="Times New Roman" w:cs="Times New Roman"/>
          <w:lang w:val="en-GB"/>
        </w:rPr>
        <w:t xml:space="preserve"> values of continuous variables to reduce the impact of outliers. Following these cleaning procedures, we obtain 2,190 unique firms with more than 40,000 firm-quarter observations for the entire period.</w:t>
      </w:r>
    </w:p>
    <w:p w14:paraId="76570D45" w14:textId="77777777" w:rsidR="00EF52E5" w:rsidRPr="009232B7" w:rsidRDefault="00EF52E5" w:rsidP="00EF52E5">
      <w:pPr>
        <w:ind w:firstLineChars="200" w:firstLine="420"/>
        <w:rPr>
          <w:rFonts w:ascii="Times New Roman" w:hAnsi="Times New Roman" w:cs="Times New Roman"/>
          <w:sz w:val="22"/>
          <w:lang w:val="en-GB"/>
        </w:rPr>
      </w:pPr>
      <w:r w:rsidRPr="009232B7">
        <w:rPr>
          <w:rFonts w:ascii="Times New Roman" w:hAnsi="Times New Roman" w:cs="Times New Roman"/>
          <w:lang w:val="en-GB"/>
        </w:rPr>
        <w:t xml:space="preserve">The calculated </w:t>
      </w:r>
      <w:r w:rsidRPr="009232B7">
        <w:rPr>
          <w:rFonts w:ascii="Times New Roman" w:hAnsi="Times New Roman" w:cs="Times New Roman"/>
          <w:szCs w:val="21"/>
          <w:lang w:val="en-GB"/>
        </w:rPr>
        <w:t>SMO</w:t>
      </w:r>
      <w:r w:rsidRPr="009232B7">
        <w:rPr>
          <w:rFonts w:ascii="Times New Roman" w:hAnsi="Times New Roman" w:cs="Times New Roman"/>
          <w:lang w:val="en-GB"/>
        </w:rPr>
        <w:t xml:space="preserve"> for Xi and Li Keqiang is used to estimate the impact on firm investment </w:t>
      </w:r>
      <w:r w:rsidRPr="009232B7">
        <w:rPr>
          <w:rFonts w:ascii="Times New Roman" w:hAnsi="Times New Roman" w:cs="Times New Roman"/>
          <w:szCs w:val="21"/>
          <w:lang w:val="en-GB"/>
        </w:rPr>
        <w:t>behaviours</w:t>
      </w:r>
      <w:r w:rsidRPr="009232B7">
        <w:rPr>
          <w:rFonts w:ascii="Times New Roman" w:hAnsi="Times New Roman" w:cs="Times New Roman"/>
          <w:lang w:val="en-GB"/>
        </w:rPr>
        <w:t xml:space="preserve">. As a baseline, we adopt </w:t>
      </w:r>
      <w:r w:rsidRPr="009232B7">
        <w:rPr>
          <w:rFonts w:ascii="Times New Roman" w:hAnsi="Times New Roman" w:cs="Times New Roman"/>
          <w:szCs w:val="21"/>
          <w:lang w:val="en-GB"/>
        </w:rPr>
        <w:t>the</w:t>
      </w:r>
      <w:r w:rsidRPr="009232B7">
        <w:rPr>
          <w:rFonts w:ascii="Times New Roman" w:hAnsi="Times New Roman" w:cs="Times New Roman"/>
          <w:lang w:val="en-GB"/>
        </w:rPr>
        <w:t xml:space="preserve"> model used by Gulen and Ion (2016) as follows:</w:t>
      </w:r>
    </w:p>
    <w:p w14:paraId="04A51080" w14:textId="77777777" w:rsidR="00EF52E5" w:rsidRPr="009232B7" w:rsidRDefault="00EF52E5" w:rsidP="00EF52E5">
      <w:pPr>
        <w:spacing w:line="360" w:lineRule="auto"/>
        <w:jc w:val="right"/>
        <w:rPr>
          <w:rFonts w:ascii="Times New Roman" w:hAnsi="Times New Roman" w:cs="Times New Roman"/>
          <w:sz w:val="22"/>
          <w:lang w:val="en-GB"/>
        </w:rPr>
      </w:pPr>
      <m:oMathPara>
        <m:oMath>
          <m:f>
            <m:fPr>
              <m:ctrlPr>
                <w:rPr>
                  <w:rFonts w:ascii="Cambria Math" w:hAnsi="Cambria Math" w:cs="Times New Roman"/>
                  <w:i/>
                  <w:sz w:val="22"/>
                  <w:lang w:val="en-GB"/>
                </w:rPr>
              </m:ctrlPr>
            </m:fPr>
            <m:num>
              <m:sSub>
                <m:sSubPr>
                  <m:ctrlPr>
                    <w:rPr>
                      <w:rFonts w:ascii="Cambria Math" w:hAnsi="Cambria Math" w:cs="Times New Roman"/>
                      <w:i/>
                      <w:sz w:val="22"/>
                      <w:lang w:val="en-GB"/>
                    </w:rPr>
                  </m:ctrlPr>
                </m:sSubPr>
                <m:e>
                  <m:r>
                    <w:rPr>
                      <w:rFonts w:ascii="Cambria Math" w:hAnsi="Cambria Math" w:cs="Times New Roman"/>
                      <w:sz w:val="22"/>
                      <w:lang w:val="en-GB"/>
                    </w:rPr>
                    <m:t>Inv</m:t>
                  </m:r>
                </m:e>
                <m:sub>
                  <m:r>
                    <w:rPr>
                      <w:rFonts w:ascii="Cambria Math" w:hAnsi="Cambria Math" w:cs="Times New Roman"/>
                      <w:sz w:val="22"/>
                      <w:lang w:val="en-GB"/>
                    </w:rPr>
                    <m:t>i, t</m:t>
                  </m:r>
                </m:sub>
              </m:sSub>
            </m:num>
            <m:den>
              <m:sSub>
                <m:sSubPr>
                  <m:ctrlPr>
                    <w:rPr>
                      <w:rFonts w:ascii="Cambria Math" w:hAnsi="Cambria Math" w:cs="Times New Roman"/>
                      <w:i/>
                      <w:sz w:val="22"/>
                      <w:lang w:val="en-GB"/>
                    </w:rPr>
                  </m:ctrlPr>
                </m:sSubPr>
                <m:e>
                  <m:r>
                    <w:rPr>
                      <w:rFonts w:ascii="Cambria Math" w:hAnsi="Cambria Math" w:cs="Times New Roman"/>
                      <w:sz w:val="22"/>
                      <w:lang w:val="en-GB"/>
                    </w:rPr>
                    <m:t>TA</m:t>
                  </m:r>
                </m:e>
                <m:sub>
                  <m:r>
                    <w:rPr>
                      <w:rFonts w:ascii="Cambria Math" w:hAnsi="Cambria Math" w:cs="Times New Roman"/>
                      <w:sz w:val="22"/>
                      <w:lang w:val="en-GB"/>
                    </w:rPr>
                    <m:t>i, t-1</m:t>
                  </m:r>
                </m:sub>
              </m:sSub>
            </m:den>
          </m:f>
          <m:r>
            <w:rPr>
              <w:rFonts w:ascii="Cambria Math" w:hAnsi="Cambria Math" w:cs="Times New Roman"/>
              <w:sz w:val="22"/>
              <w:lang w:val="en-GB"/>
            </w:rPr>
            <m:t>=</m:t>
          </m:r>
          <m:sSub>
            <m:sSubPr>
              <m:ctrlPr>
                <w:rPr>
                  <w:rFonts w:ascii="Cambria Math" w:hAnsi="Cambria Math" w:cs="Times New Roman"/>
                  <w:i/>
                  <w:sz w:val="22"/>
                  <w:lang w:val="en-GB"/>
                </w:rPr>
              </m:ctrlPr>
            </m:sSubPr>
            <m:e>
              <m:r>
                <w:rPr>
                  <w:rFonts w:ascii="Cambria Math" w:hAnsi="Cambria Math" w:cs="Times New Roman"/>
                  <w:sz w:val="22"/>
                  <w:lang w:val="en-GB"/>
                </w:rPr>
                <m:t>α</m:t>
              </m:r>
            </m:e>
            <m:sub>
              <m:r>
                <w:rPr>
                  <w:rFonts w:ascii="Cambria Math" w:hAnsi="Cambria Math" w:cs="Times New Roman"/>
                  <w:sz w:val="22"/>
                  <w:lang w:val="en-GB"/>
                </w:rPr>
                <m:t>i</m:t>
              </m:r>
            </m:sub>
          </m:sSub>
          <m:r>
            <w:rPr>
              <w:rFonts w:ascii="Cambria Math" w:hAnsi="Cambria Math" w:cs="Times New Roman"/>
              <w:sz w:val="22"/>
              <w:lang w:val="en-GB"/>
            </w:rPr>
            <m:t>+</m:t>
          </m:r>
          <m:sSub>
            <m:sSubPr>
              <m:ctrlPr>
                <w:rPr>
                  <w:rFonts w:ascii="Cambria Math" w:hAnsi="Cambria Math" w:cs="Times New Roman"/>
                  <w:i/>
                  <w:sz w:val="22"/>
                  <w:lang w:val="en-GB"/>
                </w:rPr>
              </m:ctrlPr>
            </m:sSubPr>
            <m:e>
              <m:r>
                <w:rPr>
                  <w:rFonts w:ascii="Cambria Math" w:hAnsi="Cambria Math" w:cs="Times New Roman"/>
                  <w:sz w:val="22"/>
                  <w:lang w:val="en-GB"/>
                </w:rPr>
                <m:t>β</m:t>
              </m:r>
            </m:e>
            <m:sub>
              <m:r>
                <w:rPr>
                  <w:rFonts w:ascii="Cambria Math" w:hAnsi="Cambria Math" w:cs="Times New Roman"/>
                  <w:sz w:val="22"/>
                  <w:lang w:val="en-GB"/>
                </w:rPr>
                <m:t>1</m:t>
              </m:r>
            </m:sub>
          </m:sSub>
          <m:sSub>
            <m:sSubPr>
              <m:ctrlPr>
                <w:rPr>
                  <w:rFonts w:ascii="Cambria Math" w:hAnsi="Cambria Math" w:cs="Times New Roman"/>
                  <w:i/>
                  <w:sz w:val="22"/>
                  <w:lang w:val="en-GB"/>
                </w:rPr>
              </m:ctrlPr>
            </m:sSubPr>
            <m:e>
              <m:r>
                <m:rPr>
                  <m:sty m:val="p"/>
                </m:rPr>
                <w:rPr>
                  <w:rFonts w:ascii="Cambria Math" w:hAnsi="Cambria Math" w:cs="Times New Roman"/>
                  <w:sz w:val="22"/>
                  <w:lang w:val="en-GB"/>
                </w:rPr>
                <m:t>log</m:t>
              </m:r>
              <m:r>
                <w:rPr>
                  <w:rFonts w:ascii="Cambria Math" w:hAnsi="Cambria Math" w:cs="Times New Roman"/>
                  <w:sz w:val="22"/>
                  <w:lang w:val="en-GB"/>
                </w:rPr>
                <m:t>⁡(Xi_Li_Gap</m:t>
              </m:r>
            </m:e>
            <m:sub>
              <m:r>
                <w:rPr>
                  <w:rFonts w:ascii="Cambria Math" w:hAnsi="Cambria Math" w:cs="Times New Roman"/>
                  <w:sz w:val="22"/>
                  <w:lang w:val="en-GB"/>
                </w:rPr>
                <m:t>t-1</m:t>
              </m:r>
            </m:sub>
          </m:sSub>
          <m:r>
            <w:rPr>
              <w:rFonts w:ascii="Cambria Math" w:hAnsi="Cambria Math" w:cs="Times New Roman"/>
              <w:sz w:val="22"/>
              <w:lang w:val="en-GB"/>
            </w:rPr>
            <m:t>)+</m:t>
          </m:r>
          <m:sSub>
            <m:sSubPr>
              <m:ctrlPr>
                <w:rPr>
                  <w:rFonts w:ascii="Cambria Math" w:hAnsi="Cambria Math" w:cs="Times New Roman"/>
                  <w:i/>
                  <w:sz w:val="22"/>
                  <w:lang w:val="en-GB"/>
                </w:rPr>
              </m:ctrlPr>
            </m:sSubPr>
            <m:e>
              <m:r>
                <w:rPr>
                  <w:rFonts w:ascii="Cambria Math" w:hAnsi="Cambria Math" w:cs="Times New Roman"/>
                  <w:sz w:val="22"/>
                  <w:lang w:val="en-GB"/>
                </w:rPr>
                <m:t>β</m:t>
              </m:r>
            </m:e>
            <m:sub>
              <m:r>
                <w:rPr>
                  <w:rFonts w:ascii="Cambria Math" w:hAnsi="Cambria Math" w:cs="Times New Roman"/>
                  <w:sz w:val="22"/>
                  <w:lang w:val="en-GB"/>
                </w:rPr>
                <m:t>2</m:t>
              </m:r>
            </m:sub>
          </m:sSub>
          <m:sSub>
            <m:sSubPr>
              <m:ctrlPr>
                <w:rPr>
                  <w:rFonts w:ascii="Cambria Math" w:hAnsi="Cambria Math" w:cs="Times New Roman"/>
                  <w:i/>
                  <w:sz w:val="22"/>
                  <w:lang w:val="en-GB"/>
                </w:rPr>
              </m:ctrlPr>
            </m:sSubPr>
            <m:e>
              <m:r>
                <w:rPr>
                  <w:rFonts w:ascii="Cambria Math" w:hAnsi="Cambria Math" w:cs="Times New Roman"/>
                  <w:sz w:val="22"/>
                  <w:lang w:val="en-GB"/>
                </w:rPr>
                <m:t>TQ</m:t>
              </m:r>
            </m:e>
            <m:sub>
              <m:r>
                <w:rPr>
                  <w:rFonts w:ascii="Cambria Math" w:hAnsi="Cambria Math" w:cs="Times New Roman"/>
                  <w:sz w:val="22"/>
                  <w:lang w:val="en-GB"/>
                </w:rPr>
                <m:t>i, t-1</m:t>
              </m:r>
            </m:sub>
          </m:sSub>
          <m:r>
            <w:rPr>
              <w:rFonts w:ascii="Cambria Math" w:hAnsi="Cambria Math" w:cs="Times New Roman"/>
              <w:sz w:val="22"/>
              <w:lang w:val="en-GB"/>
            </w:rPr>
            <m:t>+</m:t>
          </m:r>
          <m:sSub>
            <m:sSubPr>
              <m:ctrlPr>
                <w:rPr>
                  <w:rFonts w:ascii="Cambria Math" w:hAnsi="Cambria Math" w:cs="Times New Roman"/>
                  <w:i/>
                  <w:sz w:val="22"/>
                  <w:lang w:val="en-GB"/>
                </w:rPr>
              </m:ctrlPr>
            </m:sSubPr>
            <m:e>
              <m:r>
                <w:rPr>
                  <w:rFonts w:ascii="Cambria Math" w:hAnsi="Cambria Math" w:cs="Times New Roman"/>
                  <w:sz w:val="22"/>
                  <w:lang w:val="en-GB"/>
                </w:rPr>
                <m:t>β</m:t>
              </m:r>
            </m:e>
            <m:sub>
              <m:r>
                <w:rPr>
                  <w:rFonts w:ascii="Cambria Math" w:hAnsi="Cambria Math" w:cs="Times New Roman"/>
                  <w:sz w:val="22"/>
                  <w:lang w:val="en-GB"/>
                </w:rPr>
                <m:t>3</m:t>
              </m:r>
            </m:sub>
          </m:sSub>
          <m:f>
            <m:fPr>
              <m:ctrlPr>
                <w:rPr>
                  <w:rFonts w:ascii="Cambria Math" w:hAnsi="Cambria Math" w:cs="Times New Roman"/>
                  <w:i/>
                  <w:sz w:val="22"/>
                  <w:lang w:val="en-GB"/>
                </w:rPr>
              </m:ctrlPr>
            </m:fPr>
            <m:num>
              <m:sSub>
                <m:sSubPr>
                  <m:ctrlPr>
                    <w:rPr>
                      <w:rFonts w:ascii="Cambria Math" w:hAnsi="Cambria Math" w:cs="Times New Roman"/>
                      <w:i/>
                      <w:sz w:val="22"/>
                      <w:lang w:val="en-GB"/>
                    </w:rPr>
                  </m:ctrlPr>
                </m:sSubPr>
                <m:e>
                  <m:r>
                    <w:rPr>
                      <w:rFonts w:ascii="Cambria Math" w:hAnsi="Cambria Math" w:cs="Times New Roman"/>
                      <w:sz w:val="22"/>
                      <w:lang w:val="en-GB"/>
                    </w:rPr>
                    <m:t>CF</m:t>
                  </m:r>
                </m:e>
                <m:sub>
                  <m:r>
                    <w:rPr>
                      <w:rFonts w:ascii="Cambria Math" w:hAnsi="Cambria Math" w:cs="Times New Roman"/>
                      <w:sz w:val="22"/>
                      <w:lang w:val="en-GB"/>
                    </w:rPr>
                    <m:t>i, t</m:t>
                  </m:r>
                </m:sub>
              </m:sSub>
            </m:num>
            <m:den>
              <m:sSub>
                <m:sSubPr>
                  <m:ctrlPr>
                    <w:rPr>
                      <w:rFonts w:ascii="Cambria Math" w:hAnsi="Cambria Math" w:cs="Times New Roman"/>
                      <w:i/>
                      <w:sz w:val="22"/>
                      <w:lang w:val="en-GB"/>
                    </w:rPr>
                  </m:ctrlPr>
                </m:sSubPr>
                <m:e>
                  <m:r>
                    <w:rPr>
                      <w:rFonts w:ascii="Cambria Math" w:hAnsi="Cambria Math" w:cs="Times New Roman"/>
                      <w:sz w:val="22"/>
                      <w:lang w:val="en-GB"/>
                    </w:rPr>
                    <m:t>TA</m:t>
                  </m:r>
                </m:e>
                <m:sub>
                  <m:r>
                    <w:rPr>
                      <w:rFonts w:ascii="Cambria Math" w:hAnsi="Cambria Math" w:cs="Times New Roman"/>
                      <w:sz w:val="22"/>
                      <w:lang w:val="en-GB"/>
                    </w:rPr>
                    <m:t>i, t-1</m:t>
                  </m:r>
                </m:sub>
              </m:sSub>
            </m:den>
          </m:f>
          <m:r>
            <w:rPr>
              <w:rFonts w:ascii="Cambria Math" w:hAnsi="Cambria Math" w:cs="Times New Roman"/>
              <w:sz w:val="22"/>
              <w:lang w:val="en-GB"/>
            </w:rPr>
            <m:t>+</m:t>
          </m:r>
          <m:sSub>
            <m:sSubPr>
              <m:ctrlPr>
                <w:rPr>
                  <w:rFonts w:ascii="Cambria Math" w:hAnsi="Cambria Math" w:cs="Times New Roman"/>
                  <w:i/>
                  <w:sz w:val="22"/>
                  <w:lang w:val="en-GB"/>
                </w:rPr>
              </m:ctrlPr>
            </m:sSubPr>
            <m:e>
              <m:r>
                <w:rPr>
                  <w:rFonts w:ascii="Cambria Math" w:hAnsi="Cambria Math" w:cs="Times New Roman"/>
                  <w:sz w:val="22"/>
                  <w:lang w:val="en-GB"/>
                </w:rPr>
                <m:t>β</m:t>
              </m:r>
            </m:e>
            <m:sub>
              <m:r>
                <w:rPr>
                  <w:rFonts w:ascii="Cambria Math" w:hAnsi="Cambria Math" w:cs="Times New Roman"/>
                  <w:sz w:val="22"/>
                  <w:lang w:val="en-GB"/>
                </w:rPr>
                <m:t>4</m:t>
              </m:r>
            </m:sub>
          </m:sSub>
          <m:sSub>
            <m:sSubPr>
              <m:ctrlPr>
                <w:rPr>
                  <w:rFonts w:ascii="Cambria Math" w:hAnsi="Cambria Math" w:cs="Times New Roman"/>
                  <w:i/>
                  <w:sz w:val="22"/>
                  <w:lang w:val="en-GB"/>
                </w:rPr>
              </m:ctrlPr>
            </m:sSubPr>
            <m:e>
              <m:r>
                <w:rPr>
                  <w:rFonts w:ascii="Cambria Math" w:hAnsi="Cambria Math" w:cs="Times New Roman"/>
                  <w:sz w:val="22"/>
                  <w:lang w:val="en-GB"/>
                </w:rPr>
                <m:t>SG</m:t>
              </m:r>
            </m:e>
            <m:sub>
              <m:r>
                <w:rPr>
                  <w:rFonts w:ascii="Cambria Math" w:hAnsi="Cambria Math" w:cs="Times New Roman"/>
                  <w:sz w:val="22"/>
                  <w:lang w:val="en-GB"/>
                </w:rPr>
                <m:t>i, t</m:t>
              </m:r>
            </m:sub>
          </m:sSub>
          <m:r>
            <w:rPr>
              <w:rFonts w:ascii="Cambria Math" w:hAnsi="Cambria Math" w:cs="Times New Roman"/>
              <w:sz w:val="22"/>
              <w:lang w:val="en-GB"/>
            </w:rPr>
            <m:t>+</m:t>
          </m:r>
          <m:sSub>
            <m:sSubPr>
              <m:ctrlPr>
                <w:rPr>
                  <w:rFonts w:ascii="Cambria Math" w:hAnsi="Cambria Math" w:cs="Times New Roman"/>
                  <w:i/>
                  <w:sz w:val="22"/>
                  <w:lang w:val="en-GB"/>
                </w:rPr>
              </m:ctrlPr>
            </m:sSubPr>
            <m:e>
              <m:r>
                <w:rPr>
                  <w:rFonts w:ascii="Cambria Math" w:hAnsi="Cambria Math" w:cs="Times New Roman"/>
                  <w:sz w:val="22"/>
                  <w:lang w:val="en-GB"/>
                </w:rPr>
                <m:t>δGR</m:t>
              </m:r>
            </m:e>
            <m:sub>
              <m:r>
                <w:rPr>
                  <w:rFonts w:ascii="Cambria Math" w:hAnsi="Cambria Math" w:cs="Times New Roman"/>
                  <w:sz w:val="22"/>
                  <w:lang w:val="en-GB"/>
                </w:rPr>
                <m:t>t</m:t>
              </m:r>
            </m:sub>
          </m:sSub>
          <m:r>
            <w:rPr>
              <w:rFonts w:ascii="Cambria Math" w:hAnsi="Cambria Math" w:cs="Times New Roman"/>
              <w:sz w:val="22"/>
              <w:lang w:val="en-GB"/>
            </w:rPr>
            <m:t>+</m:t>
          </m:r>
          <m:sSub>
            <m:sSubPr>
              <m:ctrlPr>
                <w:rPr>
                  <w:rFonts w:ascii="Cambria Math" w:hAnsi="Cambria Math" w:cs="Times New Roman"/>
                  <w:i/>
                  <w:sz w:val="22"/>
                  <w:lang w:val="en-GB"/>
                </w:rPr>
              </m:ctrlPr>
            </m:sSubPr>
            <m:e>
              <m:r>
                <w:rPr>
                  <w:rFonts w:ascii="Cambria Math" w:hAnsi="Cambria Math" w:cs="Times New Roman"/>
                  <w:sz w:val="22"/>
                  <w:lang w:val="en-GB"/>
                </w:rPr>
                <m:t>QRT</m:t>
              </m:r>
            </m:e>
            <m:sub>
              <m:r>
                <w:rPr>
                  <w:rFonts w:ascii="Cambria Math" w:hAnsi="Cambria Math" w:cs="Times New Roman"/>
                  <w:sz w:val="22"/>
                  <w:lang w:val="en-GB"/>
                </w:rPr>
                <m:t>t</m:t>
              </m:r>
            </m:sub>
          </m:sSub>
          <m:r>
            <w:rPr>
              <w:rFonts w:ascii="Cambria Math" w:hAnsi="Cambria Math" w:cs="Times New Roman"/>
              <w:sz w:val="22"/>
              <w:lang w:val="en-GB"/>
            </w:rPr>
            <m:t>+</m:t>
          </m:r>
          <m:sSub>
            <m:sSubPr>
              <m:ctrlPr>
                <w:rPr>
                  <w:rFonts w:ascii="Cambria Math" w:hAnsi="Cambria Math" w:cs="Times New Roman"/>
                  <w:i/>
                  <w:sz w:val="22"/>
                  <w:lang w:val="en-GB"/>
                </w:rPr>
              </m:ctrlPr>
            </m:sSubPr>
            <m:e>
              <m:r>
                <w:rPr>
                  <w:rFonts w:ascii="Cambria Math" w:hAnsi="Cambria Math" w:cs="Times New Roman"/>
                  <w:sz w:val="22"/>
                  <w:lang w:val="en-GB"/>
                </w:rPr>
                <m:t>ε</m:t>
              </m:r>
            </m:e>
            <m:sub>
              <m:r>
                <w:rPr>
                  <w:rFonts w:ascii="Cambria Math" w:hAnsi="Cambria Math" w:cs="Times New Roman"/>
                  <w:sz w:val="22"/>
                  <w:lang w:val="en-GB"/>
                </w:rPr>
                <m:t>it</m:t>
              </m:r>
            </m:sub>
          </m:sSub>
        </m:oMath>
      </m:oMathPara>
    </w:p>
    <w:p w14:paraId="4B76A6BC" w14:textId="77777777" w:rsidR="00EF52E5" w:rsidRPr="009232B7" w:rsidRDefault="00EF52E5" w:rsidP="00EF52E5">
      <w:pPr>
        <w:rPr>
          <w:rFonts w:ascii="Times New Roman" w:hAnsi="Times New Roman" w:cs="Times New Roman"/>
          <w:lang w:val="en-GB"/>
        </w:rPr>
      </w:pPr>
      <w:r w:rsidRPr="009232B7">
        <w:rPr>
          <w:rFonts w:ascii="Times New Roman" w:hAnsi="Times New Roman" w:cs="Times New Roman"/>
          <w:lang w:val="en-GB"/>
        </w:rPr>
        <w:t xml:space="preserve">where </w:t>
      </w:r>
      <w:proofErr w:type="spellStart"/>
      <w:r w:rsidRPr="009232B7">
        <w:rPr>
          <w:rFonts w:ascii="Times New Roman" w:hAnsi="Times New Roman" w:cs="Times New Roman"/>
          <w:i/>
          <w:lang w:val="en-GB"/>
        </w:rPr>
        <w:t>i</w:t>
      </w:r>
      <w:proofErr w:type="spellEnd"/>
      <w:r w:rsidRPr="009232B7">
        <w:rPr>
          <w:rFonts w:ascii="Times New Roman" w:hAnsi="Times New Roman" w:cs="Times New Roman"/>
          <w:lang w:val="en-GB"/>
        </w:rPr>
        <w:t xml:space="preserve"> </w:t>
      </w:r>
      <w:proofErr w:type="gramStart"/>
      <w:r w:rsidRPr="009232B7">
        <w:rPr>
          <w:rFonts w:ascii="Times New Roman" w:hAnsi="Times New Roman" w:cs="Times New Roman"/>
          <w:lang w:val="en-GB"/>
        </w:rPr>
        <w:t>indexes</w:t>
      </w:r>
      <w:proofErr w:type="gramEnd"/>
      <w:r w:rsidRPr="009232B7">
        <w:rPr>
          <w:rFonts w:ascii="Times New Roman" w:hAnsi="Times New Roman" w:cs="Times New Roman"/>
          <w:lang w:val="en-GB"/>
        </w:rPr>
        <w:t xml:space="preserve"> firms and </w:t>
      </w:r>
      <w:r w:rsidRPr="009232B7">
        <w:rPr>
          <w:rFonts w:ascii="Times New Roman" w:hAnsi="Times New Roman" w:cs="Times New Roman"/>
          <w:i/>
          <w:lang w:val="en-GB"/>
        </w:rPr>
        <w:t>t</w:t>
      </w:r>
      <w:r w:rsidRPr="009232B7">
        <w:rPr>
          <w:rFonts w:ascii="Times New Roman" w:hAnsi="Times New Roman" w:cs="Times New Roman"/>
          <w:lang w:val="en-GB"/>
        </w:rPr>
        <w:t xml:space="preserve"> indexes calendar quarters. The dependent variable </w:t>
      </w:r>
      <m:oMath>
        <m:f>
          <m:fPr>
            <m:ctrlPr>
              <w:rPr>
                <w:rFonts w:ascii="Cambria Math" w:hAnsi="Cambria Math" w:cs="Times New Roman"/>
                <w:i/>
                <w:sz w:val="22"/>
                <w:lang w:val="en-GB"/>
              </w:rPr>
            </m:ctrlPr>
          </m:fPr>
          <m:num>
            <m:sSub>
              <m:sSubPr>
                <m:ctrlPr>
                  <w:rPr>
                    <w:rFonts w:ascii="Cambria Math" w:hAnsi="Cambria Math" w:cs="Times New Roman"/>
                    <w:i/>
                    <w:sz w:val="22"/>
                    <w:lang w:val="en-GB"/>
                  </w:rPr>
                </m:ctrlPr>
              </m:sSubPr>
              <m:e>
                <m:r>
                  <w:rPr>
                    <w:rFonts w:ascii="Cambria Math" w:hAnsi="Cambria Math" w:cs="Times New Roman"/>
                    <w:sz w:val="22"/>
                    <w:lang w:val="en-GB"/>
                  </w:rPr>
                  <m:t>Inv</m:t>
                </m:r>
              </m:e>
              <m:sub>
                <m:r>
                  <w:rPr>
                    <w:rFonts w:ascii="Cambria Math" w:hAnsi="Cambria Math" w:cs="Times New Roman"/>
                    <w:sz w:val="22"/>
                    <w:lang w:val="en-GB"/>
                  </w:rPr>
                  <m:t>i, t</m:t>
                </m:r>
              </m:sub>
            </m:sSub>
          </m:num>
          <m:den>
            <m:sSub>
              <m:sSubPr>
                <m:ctrlPr>
                  <w:rPr>
                    <w:rFonts w:ascii="Cambria Math" w:hAnsi="Cambria Math" w:cs="Times New Roman"/>
                    <w:i/>
                    <w:sz w:val="22"/>
                    <w:lang w:val="en-GB"/>
                  </w:rPr>
                </m:ctrlPr>
              </m:sSubPr>
              <m:e>
                <m:r>
                  <w:rPr>
                    <w:rFonts w:ascii="Cambria Math" w:hAnsi="Cambria Math" w:cs="Times New Roman"/>
                    <w:sz w:val="22"/>
                    <w:lang w:val="en-GB"/>
                  </w:rPr>
                  <m:t>TA</m:t>
                </m:r>
              </m:e>
              <m:sub>
                <m:r>
                  <w:rPr>
                    <w:rFonts w:ascii="Cambria Math" w:hAnsi="Cambria Math" w:cs="Times New Roman"/>
                    <w:sz w:val="22"/>
                    <w:lang w:val="en-GB"/>
                  </w:rPr>
                  <m:t>i, t-1</m:t>
                </m:r>
              </m:sub>
            </m:sSub>
          </m:den>
        </m:f>
      </m:oMath>
      <w:r w:rsidRPr="009232B7">
        <w:rPr>
          <w:rFonts w:ascii="Times New Roman" w:hAnsi="Times New Roman" w:cs="Times New Roman"/>
          <w:lang w:val="en-GB"/>
        </w:rPr>
        <w:t xml:space="preserve"> is the firm-level capital investment rate, where </w:t>
      </w:r>
      <m:oMath>
        <m:sSub>
          <m:sSubPr>
            <m:ctrlPr>
              <w:rPr>
                <w:rFonts w:ascii="Cambria Math" w:hAnsi="Cambria Math" w:cs="Times New Roman"/>
                <w:i/>
                <w:sz w:val="22"/>
                <w:lang w:val="en-GB"/>
              </w:rPr>
            </m:ctrlPr>
          </m:sSubPr>
          <m:e>
            <m:r>
              <w:rPr>
                <w:rFonts w:ascii="Cambria Math" w:hAnsi="Cambria Math" w:cs="Times New Roman"/>
                <w:sz w:val="22"/>
                <w:lang w:val="en-GB"/>
              </w:rPr>
              <m:t>Inv</m:t>
            </m:r>
          </m:e>
          <m:sub>
            <m:r>
              <w:rPr>
                <w:rFonts w:ascii="Cambria Math" w:hAnsi="Cambria Math" w:cs="Times New Roman"/>
                <w:sz w:val="22"/>
                <w:lang w:val="en-GB"/>
              </w:rPr>
              <m:t>i, t</m:t>
            </m:r>
          </m:sub>
        </m:sSub>
      </m:oMath>
      <w:r w:rsidRPr="009232B7">
        <w:rPr>
          <w:rFonts w:ascii="Times New Roman" w:hAnsi="Times New Roman" w:cs="Times New Roman"/>
          <w:lang w:val="en-GB"/>
        </w:rPr>
        <w:t xml:space="preserve"> is firm </w:t>
      </w:r>
      <w:r w:rsidRPr="009232B7">
        <w:rPr>
          <w:rFonts w:ascii="Times New Roman" w:hAnsi="Times New Roman" w:cs="Times New Roman"/>
          <w:i/>
          <w:lang w:val="en-GB"/>
        </w:rPr>
        <w:t>i</w:t>
      </w:r>
      <w:r w:rsidRPr="009232B7">
        <w:rPr>
          <w:rFonts w:ascii="Times New Roman" w:hAnsi="Times New Roman" w:cs="Times New Roman"/>
          <w:lang w:val="en-GB"/>
        </w:rPr>
        <w:t xml:space="preserve">’s capital investment during period </w:t>
      </w:r>
      <w:r w:rsidRPr="009232B7">
        <w:rPr>
          <w:rFonts w:ascii="Times New Roman" w:hAnsi="Times New Roman" w:cs="Times New Roman"/>
          <w:i/>
          <w:lang w:val="en-GB"/>
        </w:rPr>
        <w:t>t</w:t>
      </w:r>
      <w:r w:rsidRPr="009232B7">
        <w:rPr>
          <w:rFonts w:ascii="Times New Roman" w:hAnsi="Times New Roman" w:cs="Times New Roman"/>
          <w:lang w:val="en-GB"/>
        </w:rPr>
        <w:t xml:space="preserve"> normalized by total assets (</w:t>
      </w:r>
      <w:r w:rsidRPr="009232B7">
        <w:rPr>
          <w:rFonts w:ascii="Times New Roman" w:hAnsi="Times New Roman" w:cs="Times New Roman"/>
          <w:i/>
          <w:lang w:val="en-GB"/>
        </w:rPr>
        <w:t>TA</w:t>
      </w:r>
      <w:r w:rsidRPr="009232B7">
        <w:rPr>
          <w:rFonts w:ascii="Times New Roman" w:hAnsi="Times New Roman" w:cs="Times New Roman"/>
          <w:lang w:val="en-GB"/>
        </w:rPr>
        <w:t>) during the previous period</w:t>
      </w:r>
      <w:r w:rsidRPr="009232B7">
        <w:rPr>
          <w:rFonts w:ascii="Times New Roman" w:hAnsi="Times New Roman" w:cs="Times New Roman"/>
          <w:szCs w:val="21"/>
          <w:lang w:val="en-GB"/>
        </w:rPr>
        <w:t>,</w:t>
      </w:r>
      <w:r w:rsidRPr="009232B7">
        <w:rPr>
          <w:rFonts w:ascii="Times New Roman" w:hAnsi="Times New Roman" w:cs="Times New Roman"/>
          <w:lang w:val="en-GB"/>
        </w:rPr>
        <w:t xml:space="preserve"> </w:t>
      </w:r>
      <w:r w:rsidRPr="009232B7">
        <w:rPr>
          <w:rFonts w:ascii="Times New Roman" w:hAnsi="Times New Roman" w:cs="Times New Roman"/>
          <w:i/>
          <w:lang w:val="en-GB"/>
        </w:rPr>
        <w:t>t</w:t>
      </w:r>
      <w:r w:rsidRPr="009232B7">
        <w:rPr>
          <w:rFonts w:ascii="Times New Roman" w:hAnsi="Times New Roman" w:cs="Times New Roman"/>
          <w:i/>
          <w:iCs/>
          <w:szCs w:val="21"/>
          <w:lang w:val="en-GB"/>
        </w:rPr>
        <w:t xml:space="preserve"> </w:t>
      </w:r>
      <w:r w:rsidRPr="009232B7">
        <w:rPr>
          <w:rFonts w:ascii="Times New Roman" w:eastAsia="ＭＳ 明朝" w:hAnsi="Times New Roman" w:cs="Times New Roman"/>
          <w:szCs w:val="21"/>
          <w:lang w:val="en-GB"/>
        </w:rPr>
        <w:t xml:space="preserve">− </w:t>
      </w:r>
      <w:r w:rsidRPr="009232B7">
        <w:rPr>
          <w:rFonts w:ascii="Times New Roman" w:hAnsi="Times New Roman" w:cs="Times New Roman"/>
          <w:lang w:val="en-GB"/>
        </w:rPr>
        <w:t>1. Capital investment is a firm’s cash payments for acquiring and constructing fixed, intangible and other long-term assets. We exclude interest on debts raised for the acquisition and construction of fixed assets and the rental for fixed assets under a finance lease.</w:t>
      </w:r>
    </w:p>
    <w:p w14:paraId="5DEDAC13" w14:textId="5D1AFF9F" w:rsidR="00B23D50" w:rsidRPr="00EF52E5" w:rsidRDefault="00EF52E5" w:rsidP="00B10F20">
      <w:pPr>
        <w:ind w:firstLineChars="200" w:firstLine="420"/>
        <w:rPr>
          <w:lang w:val="en-GB"/>
        </w:rPr>
      </w:pPr>
      <w:r w:rsidRPr="009232B7">
        <w:rPr>
          <w:rFonts w:ascii="Times New Roman" w:hAnsi="Times New Roman" w:cs="Times New Roman"/>
          <w:szCs w:val="21"/>
          <w:lang w:val="en-GB"/>
        </w:rPr>
        <w:t>The</w:t>
      </w:r>
      <w:r w:rsidRPr="009232B7">
        <w:rPr>
          <w:rFonts w:ascii="Times New Roman" w:hAnsi="Times New Roman" w:cs="Times New Roman"/>
          <w:lang w:val="en-GB"/>
        </w:rPr>
        <w:t xml:space="preserve"> key variable, </w:t>
      </w:r>
      <m:oMath>
        <m:sSub>
          <m:sSubPr>
            <m:ctrlPr>
              <w:rPr>
                <w:rFonts w:ascii="Cambria Math" w:hAnsi="Cambria Math" w:cs="Times New Roman"/>
                <w:i/>
                <w:sz w:val="22"/>
                <w:lang w:val="en-GB"/>
              </w:rPr>
            </m:ctrlPr>
          </m:sSubPr>
          <m:e>
            <m:r>
              <w:rPr>
                <w:rFonts w:ascii="Cambria Math" w:hAnsi="Cambria Math" w:cs="Times New Roman"/>
                <w:sz w:val="22"/>
                <w:lang w:val="en-GB"/>
              </w:rPr>
              <m:t>Xi_Li_Gap</m:t>
            </m:r>
          </m:e>
          <m:sub>
            <m:r>
              <w:rPr>
                <w:rFonts w:ascii="Cambria Math" w:hAnsi="Cambria Math" w:cs="Times New Roman"/>
                <w:sz w:val="22"/>
                <w:lang w:val="en-GB"/>
              </w:rPr>
              <m:t>t-1</m:t>
            </m:r>
          </m:sub>
        </m:sSub>
      </m:oMath>
      <w:r w:rsidRPr="009232B7">
        <w:rPr>
          <w:rFonts w:ascii="Times New Roman" w:hAnsi="Times New Roman" w:cs="Times New Roman"/>
          <w:lang w:val="en-GB"/>
        </w:rPr>
        <w:t xml:space="preserve"> is calculated by Xi’s score minus Li’s score at time </w:t>
      </w:r>
      <w:r w:rsidRPr="009232B7">
        <w:rPr>
          <w:rFonts w:ascii="Times New Roman" w:hAnsi="Times New Roman" w:cs="Times New Roman"/>
          <w:i/>
          <w:lang w:val="en-GB"/>
        </w:rPr>
        <w:t>t</w:t>
      </w:r>
      <w:r w:rsidRPr="009232B7">
        <w:rPr>
          <w:rFonts w:ascii="Times New Roman" w:hAnsi="Times New Roman" w:cs="Times New Roman"/>
          <w:szCs w:val="21"/>
          <w:lang w:val="en-GB"/>
        </w:rPr>
        <w:t xml:space="preserve"> </w:t>
      </w:r>
      <w:r w:rsidRPr="009232B7">
        <w:rPr>
          <w:rFonts w:ascii="Times New Roman" w:eastAsia="ＭＳ 明朝" w:hAnsi="Times New Roman" w:cs="Times New Roman"/>
          <w:szCs w:val="21"/>
          <w:lang w:val="en-GB"/>
        </w:rPr>
        <w:t>−</w:t>
      </w:r>
      <w:r w:rsidRPr="009232B7">
        <w:rPr>
          <w:rFonts w:ascii="Times New Roman" w:hAnsi="Times New Roman" w:cs="Times New Roman"/>
          <w:szCs w:val="21"/>
          <w:lang w:val="en-GB"/>
        </w:rPr>
        <w:t xml:space="preserve"> </w:t>
      </w:r>
      <w:r w:rsidRPr="009232B7">
        <w:rPr>
          <w:rFonts w:ascii="Times New Roman" w:hAnsi="Times New Roman" w:cs="Times New Roman"/>
          <w:lang w:val="en-GB"/>
        </w:rPr>
        <w:t>1. We controlled for several financial and macroeconomic factors, such as Tobin’s Q (</w:t>
      </w:r>
      <w:r w:rsidRPr="009232B7">
        <w:rPr>
          <w:rFonts w:ascii="Times New Roman" w:hAnsi="Times New Roman" w:cs="Times New Roman"/>
          <w:i/>
          <w:lang w:val="en-GB"/>
        </w:rPr>
        <w:t>TQ</w:t>
      </w:r>
      <w:r w:rsidRPr="009232B7">
        <w:rPr>
          <w:rFonts w:ascii="Times New Roman" w:hAnsi="Times New Roman" w:cs="Times New Roman"/>
          <w:lang w:val="en-GB"/>
        </w:rPr>
        <w:t>), operating cash flow (</w:t>
      </w:r>
      <w:r w:rsidRPr="009232B7">
        <w:rPr>
          <w:rFonts w:ascii="Times New Roman" w:hAnsi="Times New Roman" w:cs="Times New Roman"/>
          <w:i/>
          <w:lang w:val="en-GB"/>
        </w:rPr>
        <w:t>CF</w:t>
      </w:r>
      <w:r w:rsidRPr="009232B7">
        <w:rPr>
          <w:rFonts w:ascii="Times New Roman" w:hAnsi="Times New Roman" w:cs="Times New Roman"/>
          <w:lang w:val="en-GB"/>
        </w:rPr>
        <w:t>), sales growth (</w:t>
      </w:r>
      <w:r w:rsidRPr="009232B7">
        <w:rPr>
          <w:rFonts w:ascii="Times New Roman" w:hAnsi="Times New Roman" w:cs="Times New Roman"/>
          <w:i/>
          <w:lang w:val="en-GB"/>
        </w:rPr>
        <w:t>SG</w:t>
      </w:r>
      <w:r w:rsidRPr="009232B7">
        <w:rPr>
          <w:rFonts w:ascii="Times New Roman" w:hAnsi="Times New Roman" w:cs="Times New Roman"/>
          <w:szCs w:val="21"/>
          <w:lang w:val="en-GB"/>
        </w:rPr>
        <w:t>)</w:t>
      </w:r>
      <w:r w:rsidRPr="009232B7">
        <w:rPr>
          <w:rFonts w:ascii="Times New Roman" w:hAnsi="Times New Roman" w:cs="Times New Roman"/>
          <w:lang w:val="en-GB"/>
        </w:rPr>
        <w:t xml:space="preserve"> and GDP growth rate (</w:t>
      </w:r>
      <w:r w:rsidRPr="009232B7">
        <w:rPr>
          <w:rFonts w:ascii="Times New Roman" w:hAnsi="Times New Roman" w:cs="Times New Roman"/>
          <w:i/>
          <w:lang w:val="en-GB"/>
        </w:rPr>
        <w:t>GR</w:t>
      </w:r>
      <w:r w:rsidRPr="009232B7">
        <w:rPr>
          <w:rFonts w:ascii="Times New Roman" w:hAnsi="Times New Roman" w:cs="Times New Roman"/>
          <w:lang w:val="en-GB"/>
        </w:rPr>
        <w:t xml:space="preserve">). Specifically, </w:t>
      </w:r>
      <w:r w:rsidRPr="009232B7">
        <w:rPr>
          <w:rFonts w:ascii="Times New Roman" w:hAnsi="Times New Roman" w:cs="Times New Roman"/>
          <w:i/>
          <w:lang w:val="en-GB"/>
        </w:rPr>
        <w:t>TQ</w:t>
      </w:r>
      <w:r w:rsidRPr="009232B7">
        <w:rPr>
          <w:rFonts w:ascii="Times New Roman" w:hAnsi="Times New Roman" w:cs="Times New Roman"/>
          <w:lang w:val="en-GB"/>
        </w:rPr>
        <w:t xml:space="preserve"> is measured as market value of equity + book value of assets </w:t>
      </w:r>
      <w:r w:rsidRPr="009232B7">
        <w:rPr>
          <w:rFonts w:ascii="Times New Roman" w:eastAsia="ＭＳ 明朝" w:hAnsi="Times New Roman" w:cs="Times New Roman"/>
          <w:szCs w:val="21"/>
          <w:lang w:val="en-GB"/>
        </w:rPr>
        <w:t>−</w:t>
      </w:r>
      <w:r w:rsidRPr="009232B7">
        <w:rPr>
          <w:rFonts w:ascii="Times New Roman" w:hAnsi="Times New Roman" w:cs="Times New Roman"/>
          <w:lang w:val="en-GB"/>
        </w:rPr>
        <w:t xml:space="preserve"> book value of equity + deferred taxes / book value of assets. </w:t>
      </w:r>
      <w:r w:rsidRPr="009232B7">
        <w:rPr>
          <w:rFonts w:ascii="Times New Roman" w:hAnsi="Times New Roman" w:cs="Times New Roman"/>
          <w:i/>
          <w:lang w:val="en-GB"/>
        </w:rPr>
        <w:t>CF</w:t>
      </w:r>
      <w:r w:rsidRPr="009232B7">
        <w:rPr>
          <w:rFonts w:ascii="Times New Roman" w:hAnsi="Times New Roman" w:cs="Times New Roman"/>
          <w:lang w:val="en-GB"/>
        </w:rPr>
        <w:t xml:space="preserve"> is operating cash flow scaled by </w:t>
      </w:r>
      <w:r w:rsidRPr="009232B7">
        <w:rPr>
          <w:rFonts w:ascii="Times New Roman" w:hAnsi="Times New Roman" w:cs="Times New Roman"/>
          <w:i/>
          <w:lang w:val="en-GB"/>
        </w:rPr>
        <w:t>TA</w:t>
      </w:r>
      <w:r w:rsidRPr="009232B7">
        <w:rPr>
          <w:rFonts w:ascii="Times New Roman" w:hAnsi="Times New Roman" w:cs="Times New Roman"/>
          <w:lang w:val="en-GB"/>
        </w:rPr>
        <w:t xml:space="preserve">, while </w:t>
      </w:r>
      <w:r w:rsidRPr="009232B7">
        <w:rPr>
          <w:rFonts w:ascii="Times New Roman" w:hAnsi="Times New Roman" w:cs="Times New Roman"/>
          <w:i/>
          <w:lang w:val="en-GB"/>
        </w:rPr>
        <w:t>SG</w:t>
      </w:r>
      <w:r w:rsidRPr="009232B7">
        <w:rPr>
          <w:rFonts w:ascii="Times New Roman" w:hAnsi="Times New Roman" w:cs="Times New Roman"/>
          <w:lang w:val="en-GB"/>
        </w:rPr>
        <w:t xml:space="preserve"> is calculated as the year-on-year growth in quarterly sales, controlling for investment opportunities. </w:t>
      </w:r>
      <w:r w:rsidRPr="009232B7">
        <w:rPr>
          <w:rFonts w:ascii="Times New Roman" w:hAnsi="Times New Roman" w:cs="Times New Roman"/>
          <w:i/>
          <w:lang w:val="en-GB"/>
        </w:rPr>
        <w:t>GR</w:t>
      </w:r>
      <w:r w:rsidRPr="009232B7">
        <w:rPr>
          <w:rFonts w:ascii="Times New Roman" w:hAnsi="Times New Roman" w:cs="Times New Roman"/>
          <w:lang w:val="en-GB"/>
        </w:rPr>
        <w:t xml:space="preserve"> is the year-on-year real GDP growth rate. Additionally, </w:t>
      </w:r>
      <m:oMath>
        <m:sSub>
          <m:sSubPr>
            <m:ctrlPr>
              <w:rPr>
                <w:rFonts w:ascii="Cambria Math" w:hAnsi="Cambria Math" w:cs="Times New Roman"/>
                <w:i/>
                <w:sz w:val="22"/>
                <w:lang w:val="en-GB"/>
              </w:rPr>
            </m:ctrlPr>
          </m:sSubPr>
          <m:e>
            <m:r>
              <w:rPr>
                <w:rFonts w:ascii="Cambria Math" w:hAnsi="Cambria Math" w:cs="Times New Roman"/>
                <w:sz w:val="22"/>
                <w:lang w:val="en-GB"/>
              </w:rPr>
              <m:t>α</m:t>
            </m:r>
          </m:e>
          <m:sub>
            <m:r>
              <w:rPr>
                <w:rFonts w:ascii="Cambria Math" w:hAnsi="Cambria Math" w:cs="Times New Roman"/>
                <w:sz w:val="22"/>
                <w:lang w:val="en-GB"/>
              </w:rPr>
              <m:t>i</m:t>
            </m:r>
          </m:sub>
        </m:sSub>
      </m:oMath>
      <w:r w:rsidRPr="009232B7">
        <w:rPr>
          <w:rFonts w:ascii="Times New Roman" w:hAnsi="Times New Roman" w:cs="Times New Roman"/>
          <w:lang w:val="en-GB"/>
        </w:rPr>
        <w:t xml:space="preserve"> is the firm fixed effects, and </w:t>
      </w:r>
      <w:r w:rsidRPr="009232B7">
        <w:rPr>
          <w:rFonts w:ascii="Times New Roman" w:hAnsi="Times New Roman" w:cs="Times New Roman"/>
          <w:i/>
          <w:lang w:val="en-GB"/>
        </w:rPr>
        <w:t>QRT</w:t>
      </w:r>
      <w:r w:rsidRPr="009232B7">
        <w:rPr>
          <w:rFonts w:ascii="Times New Roman" w:hAnsi="Times New Roman" w:cs="Times New Roman"/>
          <w:lang w:val="en-GB"/>
        </w:rPr>
        <w:t xml:space="preserve"> contains a set of quarterly dummy variables to control for capital investment seasonality. We cannot control for time fixed effects</w:t>
      </w:r>
      <w:r w:rsidRPr="009232B7">
        <w:rPr>
          <w:rFonts w:ascii="Times New Roman" w:hAnsi="Times New Roman" w:cs="Times New Roman"/>
          <w:szCs w:val="21"/>
          <w:lang w:val="en-GB"/>
        </w:rPr>
        <w:t>, because</w:t>
      </w:r>
      <w:r w:rsidRPr="009232B7">
        <w:rPr>
          <w:rFonts w:ascii="Times New Roman" w:hAnsi="Times New Roman" w:cs="Times New Roman"/>
          <w:lang w:val="en-GB"/>
        </w:rPr>
        <w:t xml:space="preserve"> they are collinear with the </w:t>
      </w:r>
      <w:proofErr w:type="spellStart"/>
      <w:r w:rsidRPr="009232B7">
        <w:rPr>
          <w:rFonts w:ascii="Times New Roman" w:hAnsi="Times New Roman" w:cs="Times New Roman"/>
          <w:i/>
          <w:lang w:val="en-GB"/>
        </w:rPr>
        <w:t>Xi_Li_Gap</w:t>
      </w:r>
      <w:proofErr w:type="spellEnd"/>
      <w:r w:rsidRPr="009232B7">
        <w:rPr>
          <w:rFonts w:ascii="Times New Roman" w:hAnsi="Times New Roman" w:cs="Times New Roman"/>
          <w:lang w:val="en-GB"/>
        </w:rPr>
        <w:t xml:space="preserve"> index, </w:t>
      </w:r>
      <w:r w:rsidRPr="009232B7">
        <w:rPr>
          <w:rFonts w:ascii="Times New Roman" w:hAnsi="Times New Roman" w:cs="Times New Roman"/>
          <w:szCs w:val="21"/>
          <w:lang w:val="en-GB"/>
        </w:rPr>
        <w:t>the</w:t>
      </w:r>
      <w:r w:rsidRPr="009232B7">
        <w:rPr>
          <w:rFonts w:ascii="Times New Roman" w:hAnsi="Times New Roman" w:cs="Times New Roman"/>
          <w:lang w:val="en-GB"/>
        </w:rPr>
        <w:t xml:space="preserve"> key variable. Following Gulen and Ion (2016), standard errors are clustered at the quarter and firm-</w:t>
      </w:r>
      <w:r w:rsidRPr="009232B7">
        <w:rPr>
          <w:rFonts w:ascii="Times New Roman" w:hAnsi="Times New Roman" w:cs="Times New Roman"/>
          <w:szCs w:val="21"/>
          <w:lang w:val="en-GB"/>
        </w:rPr>
        <w:t>levels</w:t>
      </w:r>
      <w:r w:rsidRPr="009232B7">
        <w:rPr>
          <w:rFonts w:ascii="Times New Roman" w:hAnsi="Times New Roman" w:cs="Times New Roman"/>
          <w:lang w:val="en-GB"/>
        </w:rPr>
        <w:t xml:space="preserve"> to correct for potential cross-sectional and serial </w:t>
      </w:r>
      <w:r w:rsidRPr="009232B7">
        <w:rPr>
          <w:rFonts w:ascii="Times New Roman" w:hAnsi="Times New Roman" w:cs="Times New Roman"/>
          <w:szCs w:val="21"/>
          <w:lang w:val="en-GB"/>
        </w:rPr>
        <w:t>correlations</w:t>
      </w:r>
      <w:r w:rsidRPr="009232B7">
        <w:rPr>
          <w:rFonts w:ascii="Times New Roman" w:hAnsi="Times New Roman" w:cs="Times New Roman"/>
          <w:lang w:val="en-GB"/>
        </w:rPr>
        <w:t xml:space="preserve"> in the error term. </w:t>
      </w:r>
      <w:r w:rsidRPr="009232B7">
        <w:rPr>
          <w:rFonts w:ascii="Times New Roman" w:hAnsi="Times New Roman" w:cs="Times New Roman"/>
          <w:szCs w:val="21"/>
          <w:lang w:val="en-GB"/>
        </w:rPr>
        <w:t>The</w:t>
      </w:r>
      <w:r w:rsidRPr="009232B7">
        <w:rPr>
          <w:rFonts w:ascii="Times New Roman" w:hAnsi="Times New Roman" w:cs="Times New Roman"/>
          <w:lang w:val="en-GB"/>
        </w:rPr>
        <w:t xml:space="preserve"> results are robust to standard errors clustered at the year-quarter level </w:t>
      </w:r>
      <w:r w:rsidRPr="009232B7">
        <w:rPr>
          <w:rFonts w:ascii="Times New Roman" w:hAnsi="Times New Roman" w:cs="Times New Roman"/>
          <w:szCs w:val="21"/>
          <w:lang w:val="en-GB"/>
        </w:rPr>
        <w:t>and</w:t>
      </w:r>
      <w:r w:rsidRPr="009232B7">
        <w:rPr>
          <w:rFonts w:ascii="Times New Roman" w:hAnsi="Times New Roman" w:cs="Times New Roman"/>
          <w:lang w:val="en-GB"/>
        </w:rPr>
        <w:t xml:space="preserve"> are available upon request.</w:t>
      </w:r>
    </w:p>
    <w:sectPr w:rsidR="00B23D50" w:rsidRPr="00EF52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F7C40" w14:textId="77777777" w:rsidR="00D55576" w:rsidRDefault="00D55576" w:rsidP="00EF52E5">
      <w:r>
        <w:separator/>
      </w:r>
    </w:p>
  </w:endnote>
  <w:endnote w:type="continuationSeparator" w:id="0">
    <w:p w14:paraId="6714827E" w14:textId="77777777" w:rsidR="00D55576" w:rsidRDefault="00D55576" w:rsidP="00EF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BC47F" w14:textId="77777777" w:rsidR="00D55576" w:rsidRDefault="00D55576" w:rsidP="00EF52E5">
      <w:r>
        <w:separator/>
      </w:r>
    </w:p>
  </w:footnote>
  <w:footnote w:type="continuationSeparator" w:id="0">
    <w:p w14:paraId="71B311E5" w14:textId="77777777" w:rsidR="00D55576" w:rsidRDefault="00D55576" w:rsidP="00EF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D50"/>
    <w:rsid w:val="00AC4E8E"/>
    <w:rsid w:val="00B10F20"/>
    <w:rsid w:val="00B23D50"/>
    <w:rsid w:val="00D55576"/>
    <w:rsid w:val="00EF5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EEFADF"/>
  <w15:chartTrackingRefBased/>
  <w15:docId w15:val="{85FDFCAD-BB49-4A95-B86F-E07233D8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2E5"/>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B23D50"/>
    <w:pPr>
      <w:keepNext/>
      <w:keepLines/>
      <w:spacing w:before="280" w:after="80" w:line="259" w:lineRule="auto"/>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B23D50"/>
    <w:pPr>
      <w:keepNext/>
      <w:keepLines/>
      <w:spacing w:before="160" w:after="80" w:line="259" w:lineRule="auto"/>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B23D50"/>
    <w:pPr>
      <w:keepNext/>
      <w:keepLines/>
      <w:spacing w:before="160" w:after="80" w:line="259" w:lineRule="auto"/>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B23D50"/>
    <w:pPr>
      <w:keepNext/>
      <w:keepLines/>
      <w:spacing w:before="80" w:after="40" w:line="259" w:lineRule="auto"/>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B23D50"/>
    <w:pPr>
      <w:keepNext/>
      <w:keepLines/>
      <w:spacing w:before="80" w:after="40" w:line="259" w:lineRule="auto"/>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B23D50"/>
    <w:pPr>
      <w:keepNext/>
      <w:keepLines/>
      <w:spacing w:before="80" w:after="40" w:line="259" w:lineRule="auto"/>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B23D50"/>
    <w:pPr>
      <w:keepNext/>
      <w:keepLines/>
      <w:spacing w:before="80" w:after="40" w:line="259" w:lineRule="auto"/>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B23D50"/>
    <w:pPr>
      <w:keepNext/>
      <w:keepLines/>
      <w:spacing w:before="80" w:after="40" w:line="259" w:lineRule="auto"/>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B23D50"/>
    <w:pPr>
      <w:keepNext/>
      <w:keepLines/>
      <w:spacing w:before="80" w:after="40" w:line="259" w:lineRule="auto"/>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3D5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23D5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23D5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23D5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23D5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23D5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23D5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23D5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23D5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23D50"/>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B23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D50"/>
    <w:pPr>
      <w:numPr>
        <w:ilvl w:val="1"/>
      </w:numPr>
      <w:spacing w:after="160" w:line="259"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B23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D50"/>
    <w:pPr>
      <w:spacing w:before="160" w:after="160" w:line="259" w:lineRule="auto"/>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B23D50"/>
    <w:rPr>
      <w:i/>
      <w:iCs/>
      <w:color w:val="404040" w:themeColor="text1" w:themeTint="BF"/>
    </w:rPr>
  </w:style>
  <w:style w:type="paragraph" w:styleId="a9">
    <w:name w:val="List Paragraph"/>
    <w:basedOn w:val="a"/>
    <w:uiPriority w:val="34"/>
    <w:qFormat/>
    <w:rsid w:val="00B23D50"/>
    <w:pPr>
      <w:spacing w:after="160" w:line="259" w:lineRule="auto"/>
      <w:ind w:left="720"/>
      <w:contextualSpacing/>
      <w:jc w:val="left"/>
    </w:pPr>
    <w:rPr>
      <w:sz w:val="22"/>
      <w:szCs w:val="24"/>
      <w14:ligatures w14:val="standardContextual"/>
    </w:rPr>
  </w:style>
  <w:style w:type="character" w:styleId="21">
    <w:name w:val="Intense Emphasis"/>
    <w:basedOn w:val="a0"/>
    <w:uiPriority w:val="21"/>
    <w:qFormat/>
    <w:rsid w:val="00B23D50"/>
    <w:rPr>
      <w:i/>
      <w:iCs/>
      <w:color w:val="0F4761" w:themeColor="accent1" w:themeShade="BF"/>
    </w:rPr>
  </w:style>
  <w:style w:type="paragraph" w:styleId="22">
    <w:name w:val="Intense Quote"/>
    <w:basedOn w:val="a"/>
    <w:next w:val="a"/>
    <w:link w:val="23"/>
    <w:uiPriority w:val="30"/>
    <w:qFormat/>
    <w:rsid w:val="00B23D5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B23D50"/>
    <w:rPr>
      <w:i/>
      <w:iCs/>
      <w:color w:val="0F4761" w:themeColor="accent1" w:themeShade="BF"/>
    </w:rPr>
  </w:style>
  <w:style w:type="character" w:styleId="24">
    <w:name w:val="Intense Reference"/>
    <w:basedOn w:val="a0"/>
    <w:uiPriority w:val="32"/>
    <w:qFormat/>
    <w:rsid w:val="00B23D50"/>
    <w:rPr>
      <w:b/>
      <w:bCs/>
      <w:smallCaps/>
      <w:color w:val="0F4761" w:themeColor="accent1" w:themeShade="BF"/>
      <w:spacing w:val="5"/>
    </w:rPr>
  </w:style>
  <w:style w:type="paragraph" w:styleId="aa">
    <w:name w:val="header"/>
    <w:basedOn w:val="a"/>
    <w:link w:val="ab"/>
    <w:uiPriority w:val="99"/>
    <w:unhideWhenUsed/>
    <w:rsid w:val="00EF52E5"/>
    <w:pPr>
      <w:tabs>
        <w:tab w:val="center" w:pos="4252"/>
        <w:tab w:val="right" w:pos="8504"/>
      </w:tabs>
      <w:snapToGrid w:val="0"/>
      <w:spacing w:after="160" w:line="259" w:lineRule="auto"/>
      <w:jc w:val="left"/>
    </w:pPr>
    <w:rPr>
      <w:sz w:val="22"/>
      <w:szCs w:val="24"/>
      <w14:ligatures w14:val="standardContextual"/>
    </w:rPr>
  </w:style>
  <w:style w:type="character" w:customStyle="1" w:styleId="ab">
    <w:name w:val="ヘッダー (文字)"/>
    <w:basedOn w:val="a0"/>
    <w:link w:val="aa"/>
    <w:uiPriority w:val="99"/>
    <w:rsid w:val="00EF52E5"/>
  </w:style>
  <w:style w:type="paragraph" w:styleId="ac">
    <w:name w:val="footer"/>
    <w:basedOn w:val="a"/>
    <w:link w:val="ad"/>
    <w:uiPriority w:val="99"/>
    <w:unhideWhenUsed/>
    <w:rsid w:val="00EF52E5"/>
    <w:pPr>
      <w:tabs>
        <w:tab w:val="center" w:pos="4252"/>
        <w:tab w:val="right" w:pos="8504"/>
      </w:tabs>
      <w:snapToGrid w:val="0"/>
      <w:spacing w:after="160" w:line="259" w:lineRule="auto"/>
      <w:jc w:val="left"/>
    </w:pPr>
    <w:rPr>
      <w:sz w:val="22"/>
      <w:szCs w:val="24"/>
      <w14:ligatures w14:val="standardContextual"/>
    </w:rPr>
  </w:style>
  <w:style w:type="character" w:customStyle="1" w:styleId="ad">
    <w:name w:val="フッター (文字)"/>
    <w:basedOn w:val="a0"/>
    <w:link w:val="ac"/>
    <w:uiPriority w:val="99"/>
    <w:rsid w:val="00EF5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亜聖 伊藤</dc:creator>
  <cp:keywords/>
  <dc:description/>
  <cp:lastModifiedBy>亜聖 伊藤</cp:lastModifiedBy>
  <cp:revision>3</cp:revision>
  <dcterms:created xsi:type="dcterms:W3CDTF">2024-11-25T01:01:00Z</dcterms:created>
  <dcterms:modified xsi:type="dcterms:W3CDTF">2024-11-25T01:01:00Z</dcterms:modified>
</cp:coreProperties>
</file>