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Supplementary Material</w:t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Supplementary Figure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Confirmatory Factor Analysis for the One-Factor Model of Internal State Language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</w:rPr>
        <w:drawing>
          <wp:inline distB="114300" distT="114300" distL="114300" distR="114300">
            <wp:extent cx="3948113" cy="705640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7056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QDaCb3e612q2/IYtvfyXyvs+Q==">CgMxLjA4AGonChRzdWdnZXN0LmZ6enlvanBxN3NkcRIPTWFkZWxlaW5lIEJydWNlciExT01FeTlWdjhYOUlHS0NqcjBXWFpOcnpKYUR5dmxsRzA=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