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E83720" w14:textId="7B8EF6BC" w:rsidR="0080135A" w:rsidRPr="00D0499B" w:rsidRDefault="00B11DC5" w:rsidP="00D0499B">
      <w:pPr>
        <w:tabs>
          <w:tab w:val="left" w:pos="8931"/>
        </w:tabs>
        <w:spacing w:before="240" w:line="480" w:lineRule="auto"/>
        <w:jc w:val="center"/>
        <w:rPr>
          <w:rFonts w:cstheme="minorHAnsi"/>
          <w:b/>
          <w:bCs/>
          <w:sz w:val="32"/>
          <w:szCs w:val="32"/>
          <w:lang w:val="en-GB"/>
        </w:rPr>
      </w:pPr>
      <w:r w:rsidRPr="000D268C">
        <w:rPr>
          <w:rFonts w:cstheme="minorHAnsi"/>
          <w:b/>
          <w:bCs/>
          <w:sz w:val="32"/>
          <w:szCs w:val="32"/>
          <w:lang w:val="en-GB"/>
        </w:rPr>
        <w:t>Online Appendix</w:t>
      </w:r>
    </w:p>
    <w:p w14:paraId="61E283AF" w14:textId="7C3068FF" w:rsidR="00CC722D" w:rsidRPr="000D268C" w:rsidRDefault="00720AE4" w:rsidP="002C54BF">
      <w:pPr>
        <w:pStyle w:val="Heading1"/>
        <w:numPr>
          <w:ilvl w:val="0"/>
          <w:numId w:val="30"/>
        </w:numPr>
        <w:spacing w:line="480" w:lineRule="auto"/>
        <w:rPr>
          <w:rFonts w:asciiTheme="minorHAnsi" w:hAnsiTheme="minorHAnsi" w:cstheme="minorHAnsi"/>
          <w:b/>
          <w:bCs/>
          <w:color w:val="auto"/>
          <w:sz w:val="28"/>
          <w:szCs w:val="28"/>
          <w:lang w:val="en-GB"/>
        </w:rPr>
      </w:pPr>
      <w:bookmarkStart w:id="0" w:name="_Toc45885393"/>
      <w:r w:rsidRPr="000D268C">
        <w:rPr>
          <w:rFonts w:asciiTheme="minorHAnsi" w:hAnsiTheme="minorHAnsi" w:cstheme="minorHAnsi"/>
          <w:b/>
          <w:bCs/>
          <w:color w:val="auto"/>
          <w:sz w:val="28"/>
          <w:szCs w:val="28"/>
          <w:lang w:val="en-GB"/>
        </w:rPr>
        <w:t>Six scenarios of legislative oversight</w:t>
      </w:r>
      <w:bookmarkEnd w:id="0"/>
    </w:p>
    <w:p w14:paraId="21D3F8AA" w14:textId="0D540404" w:rsidR="00126DA6" w:rsidRPr="000D268C" w:rsidRDefault="00CC722D" w:rsidP="002C54BF">
      <w:pPr>
        <w:spacing w:line="480" w:lineRule="auto"/>
        <w:jc w:val="both"/>
        <w:rPr>
          <w:rFonts w:cstheme="minorHAnsi"/>
          <w:lang w:val="en-GB"/>
        </w:rPr>
      </w:pPr>
      <w:r w:rsidRPr="000D268C">
        <w:rPr>
          <w:rFonts w:cstheme="minorHAnsi"/>
          <w:lang w:val="en-GB"/>
        </w:rPr>
        <w:t xml:space="preserve">This section </w:t>
      </w:r>
      <w:r w:rsidR="005B1029" w:rsidRPr="000D268C">
        <w:rPr>
          <w:rFonts w:cstheme="minorHAnsi"/>
          <w:lang w:val="en-GB"/>
        </w:rPr>
        <w:t xml:space="preserve">elaborates on </w:t>
      </w:r>
      <w:r w:rsidRPr="000D268C">
        <w:rPr>
          <w:rFonts w:cstheme="minorHAnsi"/>
          <w:lang w:val="en-GB"/>
        </w:rPr>
        <w:t xml:space="preserve">the </w:t>
      </w:r>
      <w:r w:rsidR="00E92188" w:rsidRPr="000D268C">
        <w:rPr>
          <w:rFonts w:cstheme="minorHAnsi"/>
          <w:lang w:val="en-GB"/>
        </w:rPr>
        <w:t xml:space="preserve">institutional settings of the </w:t>
      </w:r>
      <w:r w:rsidRPr="000D268C">
        <w:rPr>
          <w:rFonts w:cstheme="minorHAnsi"/>
          <w:lang w:val="en-GB"/>
        </w:rPr>
        <w:t xml:space="preserve">six scenarios of legislative oversight identified in </w:t>
      </w:r>
      <w:r w:rsidR="00126DA6" w:rsidRPr="000D268C">
        <w:rPr>
          <w:rFonts w:cstheme="minorHAnsi"/>
          <w:lang w:val="en-GB"/>
        </w:rPr>
        <w:t>Table 2</w:t>
      </w:r>
      <w:r w:rsidRPr="000D268C">
        <w:rPr>
          <w:rFonts w:cstheme="minorHAnsi"/>
          <w:lang w:val="en-GB"/>
        </w:rPr>
        <w:t>.</w:t>
      </w:r>
      <w:r w:rsidR="00C82021" w:rsidRPr="000D268C">
        <w:rPr>
          <w:rFonts w:cstheme="minorHAnsi"/>
          <w:lang w:val="en-GB"/>
        </w:rPr>
        <w:t xml:space="preserve"> </w:t>
      </w:r>
      <w:r w:rsidR="00126DA6" w:rsidRPr="000D268C">
        <w:rPr>
          <w:rFonts w:cstheme="minorHAnsi"/>
          <w:lang w:val="en-GB"/>
        </w:rPr>
        <w:t xml:space="preserve">The effect of the four conditions </w:t>
      </w:r>
      <w:r w:rsidR="0040454D" w:rsidRPr="000D268C">
        <w:rPr>
          <w:rFonts w:cstheme="minorHAnsi"/>
          <w:lang w:val="en-GB"/>
        </w:rPr>
        <w:t xml:space="preserve">listed </w:t>
      </w:r>
      <w:r w:rsidR="00126DA6" w:rsidRPr="000D268C">
        <w:rPr>
          <w:rFonts w:cstheme="minorHAnsi"/>
          <w:lang w:val="en-GB"/>
        </w:rPr>
        <w:t>in column</w:t>
      </w:r>
      <w:r w:rsidR="003229E6" w:rsidRPr="000D268C">
        <w:rPr>
          <w:rFonts w:cstheme="minorHAnsi"/>
          <w:lang w:val="en-GB"/>
        </w:rPr>
        <w:t>s</w:t>
      </w:r>
      <w:r w:rsidR="00126DA6" w:rsidRPr="000D268C">
        <w:rPr>
          <w:rFonts w:cstheme="minorHAnsi"/>
          <w:lang w:val="en-GB"/>
        </w:rPr>
        <w:t xml:space="preserve"> 2-5 is additive, meaning that their simultaneous presence increases the chances for </w:t>
      </w:r>
      <w:r w:rsidR="00CB35D2" w:rsidRPr="000D268C">
        <w:rPr>
          <w:rFonts w:cstheme="minorHAnsi"/>
          <w:lang w:val="en-GB"/>
        </w:rPr>
        <w:t>one</w:t>
      </w:r>
      <w:r w:rsidR="00126DA6" w:rsidRPr="000D268C">
        <w:rPr>
          <w:rFonts w:cstheme="minorHAnsi"/>
          <w:lang w:val="en-GB"/>
        </w:rPr>
        <w:t xml:space="preserve"> scenario to occur. </w:t>
      </w:r>
      <w:r w:rsidR="00C82021" w:rsidRPr="000D268C">
        <w:rPr>
          <w:rFonts w:cstheme="minorHAnsi"/>
          <w:lang w:val="en-GB"/>
        </w:rPr>
        <w:t xml:space="preserve">The scenarios are </w:t>
      </w:r>
      <w:r w:rsidR="005B1029" w:rsidRPr="000D268C">
        <w:rPr>
          <w:rFonts w:cstheme="minorHAnsi"/>
          <w:lang w:val="en-GB"/>
        </w:rPr>
        <w:t>described</w:t>
      </w:r>
      <w:r w:rsidR="00C82021" w:rsidRPr="000D268C">
        <w:rPr>
          <w:rFonts w:cstheme="minorHAnsi"/>
          <w:lang w:val="en-GB"/>
        </w:rPr>
        <w:t xml:space="preserve"> in order:</w:t>
      </w:r>
    </w:p>
    <w:p w14:paraId="2698C805" w14:textId="57213392" w:rsidR="00CC722D" w:rsidRPr="000D268C" w:rsidRDefault="00CC722D" w:rsidP="002C54BF">
      <w:pPr>
        <w:pStyle w:val="ListParagraph"/>
        <w:numPr>
          <w:ilvl w:val="0"/>
          <w:numId w:val="29"/>
        </w:numPr>
        <w:spacing w:line="480" w:lineRule="auto"/>
        <w:jc w:val="both"/>
        <w:rPr>
          <w:rFonts w:cstheme="minorHAnsi"/>
          <w:i/>
          <w:iCs/>
          <w:lang w:val="en-GB"/>
        </w:rPr>
      </w:pPr>
      <w:r w:rsidRPr="000D268C">
        <w:rPr>
          <w:rFonts w:cstheme="minorHAnsi"/>
          <w:i/>
          <w:iCs/>
          <w:lang w:val="en-GB"/>
        </w:rPr>
        <w:t>Full control</w:t>
      </w:r>
    </w:p>
    <w:p w14:paraId="7863AA78" w14:textId="1FD71A74" w:rsidR="00126DA6" w:rsidRPr="000D268C" w:rsidRDefault="00CC722D" w:rsidP="0041418F">
      <w:pPr>
        <w:snapToGrid w:val="0"/>
        <w:spacing w:after="240" w:line="480" w:lineRule="auto"/>
        <w:jc w:val="both"/>
        <w:rPr>
          <w:rFonts w:cstheme="minorHAnsi"/>
          <w:lang w:val="en-GB"/>
        </w:rPr>
      </w:pPr>
      <w:r w:rsidRPr="000D268C">
        <w:rPr>
          <w:rFonts w:cstheme="minorHAnsi"/>
          <w:lang w:val="en-GB"/>
        </w:rPr>
        <w:t>The first scenario occurs when parliaments ask stronger questions as part of legislative oversight, requesting the executive to change its decisions or apply sanctions, while the executive answers through rectification, acknowledging that something needs to be changed or sanctions should be applied to the responsible parties (see Table 1). The scenario is expected in parliamentary systems</w:t>
      </w:r>
      <w:r w:rsidR="005B1029" w:rsidRPr="000D268C">
        <w:rPr>
          <w:rFonts w:cstheme="minorHAnsi"/>
          <w:lang w:val="en-GB"/>
        </w:rPr>
        <w:t xml:space="preserve"> (Table 2)</w:t>
      </w:r>
      <w:r w:rsidRPr="000D268C">
        <w:rPr>
          <w:rFonts w:cstheme="minorHAnsi"/>
          <w:lang w:val="en-GB"/>
        </w:rPr>
        <w:t xml:space="preserve">, where legislatures elect the cabinet and </w:t>
      </w:r>
      <w:r w:rsidR="00C82021" w:rsidRPr="000D268C">
        <w:rPr>
          <w:rFonts w:cstheme="minorHAnsi"/>
          <w:lang w:val="en-GB"/>
        </w:rPr>
        <w:t>the composition of the government</w:t>
      </w:r>
      <w:r w:rsidR="00401BD8" w:rsidRPr="000D268C">
        <w:rPr>
          <w:rFonts w:cstheme="minorHAnsi"/>
          <w:lang w:val="en-GB"/>
        </w:rPr>
        <w:t xml:space="preserve"> reflects parliamentary majorities</w:t>
      </w:r>
      <w:r w:rsidR="005B1029" w:rsidRPr="000D268C">
        <w:rPr>
          <w:rFonts w:cstheme="minorHAnsi"/>
          <w:lang w:val="en-GB"/>
        </w:rPr>
        <w:t xml:space="preserve"> – a feature generally perceived to increase the capacity for oversight </w:t>
      </w:r>
      <w:r w:rsidR="005B1029" w:rsidRPr="000D268C">
        <w:rPr>
          <w:rFonts w:cstheme="minorHAnsi"/>
          <w:lang w:val="en-GB"/>
        </w:rPr>
        <w:fldChar w:fldCharType="begin"/>
      </w:r>
      <w:r w:rsidR="005B1029" w:rsidRPr="000D268C">
        <w:rPr>
          <w:rFonts w:cstheme="minorHAnsi"/>
          <w:lang w:val="en-GB"/>
        </w:rPr>
        <w:instrText xml:space="preserve"> ADDIN ZOTERO_ITEM CSL_CITATION {"citationID":"wJOZL2E2","properties":{"formattedCitation":"(Pelizzo &amp; Stapenhurst, 2012, p. 52)","plainCitation":"(Pelizzo &amp; Stapenhurst, 2012, p. 52)","noteIndex":0},"citationItems":[{"id":6001,"uris":["http://zotero.org/users/1129714/items/5R3GL4TV"],"uri":["http://zotero.org/users/1129714/items/5R3GL4TV"],"itemData":{"id":6001,"type":"book","abstract":"This book investigates Parliaments’ capacity to oversee government activities, policies and expenditures. Utilising a comparative approach, the book presents a new examination of oversight tools and discusses the conditions under which such tools are employed effectively. The result of a 9-year collaboration between the authors, this book draws from the findings of survey data collected by the World Bank Institute and the Inter-Parliamentary Union, analysing information from 120 parliaments. The book represents a rigorous attempt to test whether international organizations are correct in claiming that the quality of democracy and good governance can be improved by strengthening the oversight capacity of legislatures. It discusses the tools available to parliaments worldwide, and taking a comparative approach considers which tools are more or less common, how oversight capacity can be estimated, how oversight capacity is related to other institutional and constitutional factors, and above all what ensures that oversight tools are used effectively. This analysis reveals that while the quality of democracy and good governance benefit from effective oversight, oversight effectiveness cannot be reduced to oversight capacity. The book urges policy makers and reformers to change their approach from strengthening capacity to securing that the capacity is put to good use. Parliamentary Oversight Tools will be of interest to students, scholars and practitioners of legislative politics and governance.","event-place":"London and New York, NY","ISBN":"978-1-136-51725-9","language":"en","note":"Google-Books-ID: GSFH8NdVbBgC","number-of-pages":"196","publisher":"Routledge","publisher-place":"London and New York, NY","source":"Google Books","title":"Parliamentary Oversight Tools: A Comparative Analysis","title-short":"Parliamentary Oversight Tools","author":[{"family":"Pelizzo","given":"Riccardo"},{"family":"Stapenhurst","given":"Frederick"}],"issued":{"date-parts":[["2012"]]}},"locator":"52"}],"schema":"https://github.com/citation-style-language/schema/raw/master/csl-citation.json"} </w:instrText>
      </w:r>
      <w:r w:rsidR="005B1029" w:rsidRPr="000D268C">
        <w:rPr>
          <w:rFonts w:cstheme="minorHAnsi"/>
          <w:lang w:val="en-GB"/>
        </w:rPr>
        <w:fldChar w:fldCharType="separate"/>
      </w:r>
      <w:r w:rsidR="000A5639" w:rsidRPr="000D268C">
        <w:rPr>
          <w:rFonts w:cstheme="minorHAnsi"/>
          <w:noProof/>
          <w:lang w:val="en-GB"/>
        </w:rPr>
        <w:t>(Pelizzo &amp; Stapenhurst, 2012, p. 52)</w:t>
      </w:r>
      <w:r w:rsidR="005B1029" w:rsidRPr="000D268C">
        <w:rPr>
          <w:rFonts w:cstheme="minorHAnsi"/>
          <w:lang w:val="en-GB"/>
        </w:rPr>
        <w:fldChar w:fldCharType="end"/>
      </w:r>
      <w:r w:rsidR="005E7FB2" w:rsidRPr="000D268C">
        <w:rPr>
          <w:rFonts w:cstheme="minorHAnsi"/>
          <w:lang w:val="en-GB"/>
        </w:rPr>
        <w:t>`</w:t>
      </w:r>
      <w:r w:rsidR="00C82021" w:rsidRPr="000D268C">
        <w:rPr>
          <w:rFonts w:cstheme="minorHAnsi"/>
          <w:lang w:val="en-GB"/>
        </w:rPr>
        <w:t xml:space="preserve">. The assumption is that cabinets will be responsive to parliamentary majorities because they are in a direct principal-agent relationship </w:t>
      </w:r>
      <w:r w:rsidR="00C82021" w:rsidRPr="000D268C">
        <w:rPr>
          <w:rFonts w:cstheme="minorHAnsi"/>
          <w:lang w:val="en-GB"/>
        </w:rPr>
        <w:fldChar w:fldCharType="begin"/>
      </w:r>
      <w:r w:rsidR="00C82021" w:rsidRPr="000D268C">
        <w:rPr>
          <w:rFonts w:cstheme="minorHAnsi"/>
          <w:lang w:val="en-GB"/>
        </w:rPr>
        <w:instrText xml:space="preserve"> ADDIN ZOTERO_ITEM CSL_CITATION {"citationID":"q6bpC6F1","properties":{"formattedCitation":"(Str\\uc0\\u248{}m, 2000, p. 267)","plainCitation":"(Strøm, 2000, p. 267)","noteIndex":0},"citationItems":[{"id":103,"uris":["http://zotero.org/users/1129714/items/LYFL8G9K"],"uri":["http://zotero.org/users/1129714/items/LYFL8G9K"],"itemData":{"id":103,"type":"article-journal","abstract":"Abstract.  Parliamentary democracy has been widely embraced by politicians and especially by the scholarly community but remains less widely understood. In this essay, I identify the institutional features that define parliamentary democracy and suggest how they can be understood as delegation relationships. I propose two definitions: one minimal and one maximal (or ideal–typical). In the latter sense, parliamentary democracy is a particular regime of delegation and accountability that can be understood with the help of agency theory, which allows us to identify the conditions under which democratic agency problems may occur. Parliamentarism is simple, indirect, and relies on lessons gradually acquired in the past. Compared to presidentialism, parliamentarism has certain advantages, such as decisional efficiency and the inducements it creates toward effort. On the other hand, parliamentarism also implies disadvantages such as ineffective accountability and a lack of transparency, which may cause informational inefficiencies. And whereas parliamentarism may be particularly suitable for problems of adverse selection, it is a less certain cure for moral hazard. In contemporary advanced societies, parliamentarism is facing the challenges of decaying screening devices and diverted accountabilities.","container-title":"European Journal of Political Research","ISSN":"1475-6765","issue":"3","language":"en","page":"261-289","source":"Wiley Online Library","title":"Delegation and accountability in parliamentary democracies","volume":"37","author":[{"family":"Strøm","given":"Kaare"}],"issued":{"date-parts":[["2000",5,1]]}},"locator":"267"}],"schema":"https://github.com/citation-style-language/schema/raw/master/csl-citation.json"} </w:instrText>
      </w:r>
      <w:r w:rsidR="00C82021" w:rsidRPr="000D268C">
        <w:rPr>
          <w:rFonts w:cstheme="minorHAnsi"/>
          <w:lang w:val="en-GB"/>
        </w:rPr>
        <w:fldChar w:fldCharType="separate"/>
      </w:r>
      <w:r w:rsidR="000A5639" w:rsidRPr="000D268C">
        <w:rPr>
          <w:rFonts w:cstheme="minorHAnsi"/>
          <w:lang w:val="en-GB"/>
        </w:rPr>
        <w:t>(Strøm, 2000, p. 267)</w:t>
      </w:r>
      <w:r w:rsidR="00C82021" w:rsidRPr="000D268C">
        <w:rPr>
          <w:rFonts w:cstheme="minorHAnsi"/>
          <w:lang w:val="en-GB"/>
        </w:rPr>
        <w:fldChar w:fldCharType="end"/>
      </w:r>
      <w:r w:rsidR="00401BD8" w:rsidRPr="000D268C">
        <w:rPr>
          <w:rFonts w:cstheme="minorHAnsi"/>
          <w:lang w:val="en-GB"/>
        </w:rPr>
        <w:t xml:space="preserve">. The likelihood for the first scenario to occur increases under conditions of a) high public pressure on an issue, b) </w:t>
      </w:r>
      <w:r w:rsidR="005B1029" w:rsidRPr="000D268C">
        <w:rPr>
          <w:rFonts w:cstheme="minorHAnsi"/>
          <w:lang w:val="en-GB"/>
        </w:rPr>
        <w:t>multiple</w:t>
      </w:r>
      <w:r w:rsidR="00401BD8" w:rsidRPr="000D268C">
        <w:rPr>
          <w:rFonts w:cstheme="minorHAnsi"/>
          <w:lang w:val="en-GB"/>
        </w:rPr>
        <w:t xml:space="preserve"> structural opportunities for legislative oversight (e.g. organisation of “Question Time” sessions, </w:t>
      </w:r>
      <w:r w:rsidR="00CB35D2" w:rsidRPr="000D268C">
        <w:rPr>
          <w:rFonts w:cstheme="minorHAnsi"/>
          <w:lang w:val="en-GB"/>
        </w:rPr>
        <w:t>regular/inquiry</w:t>
      </w:r>
      <w:r w:rsidR="00401BD8" w:rsidRPr="000D268C">
        <w:rPr>
          <w:rFonts w:cstheme="minorHAnsi"/>
          <w:lang w:val="en-GB"/>
        </w:rPr>
        <w:t xml:space="preserve"> committee hearings), c) </w:t>
      </w:r>
      <w:r w:rsidR="007564C1" w:rsidRPr="000D268C">
        <w:rPr>
          <w:rFonts w:cstheme="minorHAnsi"/>
          <w:lang w:val="en-GB"/>
        </w:rPr>
        <w:t>strong parliamentary powers focused</w:t>
      </w:r>
      <w:r w:rsidR="00401BD8" w:rsidRPr="000D268C">
        <w:rPr>
          <w:rFonts w:cstheme="minorHAnsi"/>
          <w:lang w:val="en-GB"/>
        </w:rPr>
        <w:t xml:space="preserve"> on </w:t>
      </w:r>
      <w:r w:rsidR="007564C1" w:rsidRPr="000D268C">
        <w:rPr>
          <w:rFonts w:cstheme="minorHAnsi"/>
          <w:lang w:val="en-GB"/>
        </w:rPr>
        <w:t xml:space="preserve">ex ante and </w:t>
      </w:r>
      <w:r w:rsidR="00401BD8" w:rsidRPr="000D268C">
        <w:rPr>
          <w:rFonts w:cstheme="minorHAnsi"/>
          <w:lang w:val="en-GB"/>
        </w:rPr>
        <w:t>ex post control of the executive</w:t>
      </w:r>
      <w:r w:rsidR="007564C1" w:rsidRPr="000D268C">
        <w:rPr>
          <w:rFonts w:cstheme="minorHAnsi"/>
          <w:lang w:val="en-GB"/>
        </w:rPr>
        <w:t xml:space="preserve"> (</w:t>
      </w:r>
      <w:r w:rsidR="00401BD8" w:rsidRPr="000D268C">
        <w:rPr>
          <w:rFonts w:cstheme="minorHAnsi"/>
          <w:lang w:val="en-GB"/>
        </w:rPr>
        <w:t xml:space="preserve">e.g. </w:t>
      </w:r>
      <w:r w:rsidR="005B1029" w:rsidRPr="000D268C">
        <w:rPr>
          <w:rFonts w:cstheme="minorHAnsi"/>
          <w:lang w:val="en-GB"/>
        </w:rPr>
        <w:t>Danish, Austrian, and Spanish parliaments</w:t>
      </w:r>
      <w:r w:rsidR="00401BD8" w:rsidRPr="000D268C">
        <w:rPr>
          <w:rFonts w:cstheme="minorHAnsi"/>
          <w:lang w:val="en-GB"/>
        </w:rPr>
        <w:t>)</w:t>
      </w:r>
      <w:r w:rsidR="007564C1" w:rsidRPr="000D268C">
        <w:rPr>
          <w:rFonts w:cstheme="minorHAnsi"/>
          <w:lang w:val="en-GB"/>
        </w:rPr>
        <w:t>,</w:t>
      </w:r>
      <w:r w:rsidR="00401BD8" w:rsidRPr="000D268C">
        <w:rPr>
          <w:rFonts w:cstheme="minorHAnsi"/>
          <w:lang w:val="en-GB"/>
        </w:rPr>
        <w:t xml:space="preserve"> and</w:t>
      </w:r>
      <w:r w:rsidR="005B1029" w:rsidRPr="000D268C">
        <w:rPr>
          <w:rFonts w:cstheme="minorHAnsi"/>
          <w:lang w:val="en-GB"/>
        </w:rPr>
        <w:t xml:space="preserve"> d) the presence of single-party cabinet</w:t>
      </w:r>
      <w:r w:rsidR="00C07C49" w:rsidRPr="000D268C">
        <w:rPr>
          <w:rFonts w:cstheme="minorHAnsi"/>
          <w:lang w:val="en-GB"/>
        </w:rPr>
        <w:t>s</w:t>
      </w:r>
      <w:r w:rsidR="005B1029" w:rsidRPr="000D268C">
        <w:rPr>
          <w:rFonts w:cstheme="minorHAnsi"/>
          <w:lang w:val="en-GB"/>
        </w:rPr>
        <w:t xml:space="preserve"> like in the United Kingdom </w:t>
      </w:r>
      <w:r w:rsidR="005B1029" w:rsidRPr="000D268C">
        <w:rPr>
          <w:rFonts w:cstheme="minorHAnsi"/>
          <w:lang w:val="en-GB"/>
        </w:rPr>
        <w:fldChar w:fldCharType="begin"/>
      </w:r>
      <w:r w:rsidR="002950A7" w:rsidRPr="000D268C">
        <w:rPr>
          <w:rFonts w:cstheme="minorHAnsi"/>
          <w:lang w:val="en-GB"/>
        </w:rPr>
        <w:instrText xml:space="preserve"> ADDIN ZOTERO_ITEM CSL_CITATION {"citationID":"9QG9Dqgo","properties":{"formattedCitation":"(Martin, 2011; McCubbins &amp; Schwartz, 1984; Ogul, 1976; Rockman, 1984; Russo &amp; Wiberg, 2010; Sieberer, 2011; Wiberg &amp; Koura, 1994)","plainCitation":"(Martin, 2011; McCubbins &amp; Schwartz, 1984; Ogul, 1976; Rockman, 1984; Russo &amp; Wiberg, 2010; Sieberer, 2011; Wiberg &amp; Koura, 1994)","dontUpdate":true,"noteIndex":0},"citationItems":[{"id":6287,"uris":["http://zotero.org/users/1129714/items/YBECNTPF"],"uri":["http://zotero.org/users/1129714/items/YBECNTPF"],"itemData":{"id":6287,"type":"article-journal","abstract":"Individual legislators differ in the degree to which they work to cultivate personal votes. While conventional wisdom declares that the electoral system typically motivates the choice of legislative role, researchers have found difficulty assessing empirically the role behaviour of legislators. This study suggests using the content analysis of parliamentary questions as a mechanism to measure variations in personal vote-earning strategies. To demonstrate the usefulness of this approach, and the constituency focus of Irish parliamentarians, 123,762 questions tabled by Dáil Deputies between 1997 and 2002 are analysed. While evidence of some orientation toward localism is apparent, the data suggest significant variations in role orientation among legislators. Competing electoral system and non-electoral system explanations of intra-system variation in personal vote-earning effort are hypothesised and tested. Characteristics such as district magnitude, intra-party competition, electoral vulnerability, geography, education, gender and career incentives only partially explain the variation. The results highlight the need to move beyond using electoral rules as a general proxy for role orientation and behaviour.","container-title":"Political Studies","ISSN":"1467-9248","issue":"2","language":"en","page":"472-488","source":"Wiley Online Library","title":"Using Parliamentary Questions to Measure Constituency Focus: An Application to the Irish Case","volume":"59","author":[{"family":"Martin","given":"Shane"}],"issued":{"date-parts":[["2011"]]}}},{"id":34,"uris":["http://zotero.org/users/1129714/items/NH638BN4"],"uri":["http://zotero.org/users/1129714/items/NH638BN4"],"itemData":{"id":34,"type":"article-journal","container-title":"American Journal of Political Science","ISSN":"00925853","issue":"1","page":"165","source":"CrossRef","title":"Congressional Oversight Overlooked: Police Patrols versus Fire Alarms","title-short":"Congressional Oversight Overlooked","volume":"28","author":[{"family":"McCubbins","given":"Mathew D."},{"family":"Schwartz","given":"Thomas"}],"issued":{"date-parts":[["1984",2]]}}},{"id":6074,"uris":["http://zotero.org/users/1129714/items/FQ3HHZN6"],"uri":["http://zotero.org/users/1129714/items/FQ3HHZN6"],"itemData":{"id":6074,"type":"book","abstract":"Congressional supervision of the way the executive implements legislative mandates-“oversight” of the bureaucracy-is one of the most complex and least understood functions of Congress. In this book, Morris Ogul clarifies the meaning of oversight and analyzes the elements that contribute to its success or neglect.    Ogul's work is based on case studies from nearly one hundred interviews with congressmen, committee staff members, lobbyists, and members of the executive branch., as well as an examination of relevant congressional documents.","edition":"1st edition","event-place":"Pittsburgh, PA","ISBN":"978-0-8229-8454-2","language":"English","number-of-pages":"252","publisher":"University of Pittsburgh Press","publisher-place":"Pittsburgh, PA","source":"Amazon","title":"Congress Oversees the Bureaucracy","author":[{"family":"Ogul","given":"Morris S."}],"issued":{"date-parts":[["1976",5,15]]}}},{"id":5994,"uris":["http://zotero.org/users/1129714/items/IC5W66QY"],"uri":["http://zotero.org/users/1129714/items/IC5W66QY"],"itemData":{"id":5994,"type":"article-journal","abstract":"[As a focus of scholarship, the subject of legislative-executive relations is both elusively broad and remarkably diverse. This essay attempts to make both the breadth and diversity of the field more comprehensible by examining and identifying: (1) attributes and characteristics of key legislative and executive \"players,\" (2) various points of intersection between legislative and executive \"players\" and their institutions, and, especially, (3) forms, conditions, and impacts of legislative supervision of the executive (oversight). Analysis of the research and scholarly literature on these topics is situated in a context of different normative perspectives toward governance.]","archive":"JSTOR","container-title":"Legislative Studies Quarterly","ISSN":"0362-9805","issue":"3","page":"387-440","source":"JSTOR","title":"Legislative-Executive Relations and Legislative Oversight","volume":"9","author":[{"family":"Rockman","given":"Bert A."}],"issued":{"date-parts":[["1984"]]}}},{"id":6055,"uris":["http://zotero.org/users/1129714/items/W4TEFL8U"],"uri":["http://zotero.org/users/1129714/items/W4TEFL8U"],"itemData":{"id":6055,"type":"article-journal","abstract":"All democratic parliaments have some procedures to allow representatives to put questions to ministers. However, there are no two parliaments with exactly the same procedures. Cross-national comparisons are hindered by the lack of agreed-upon scientific criteria to group similar procedures, which are too often classified on the basis of their names rather than on their substantive characteristics. To overcome this problem, this article devises a typology of parliamentary questions based on relevant procedural features in 17 European countries. A ranking of parliaments according to the criteria of the effectiveness of procedures is developed and a discussion of the relationship of this ranking to the coalitional characteristics of the parliaments is provided. Finally, the article develops some tentative arguments to explain what influences the development of more or less effective questioning procedures, testing the hypothesis that countries dominated by coalition governments tend to have more effective procedures. In contrast with the authors' expectations, with regard to the countries included in the present analysis, the frequent presence of coalition government is associated with weaker procedures.","container-title":"The Journal of Legislative Studies","DOI":"10.1080/13572331003740115","ISSN":"1357-2334","issue":"2","page":"215-232","source":"Taylor and Francis+NEJM","title":"Parliamentary Questioning in 17 European Parliaments: Some Steps towards Comparison","title-short":"Parliamentary Questioning in 17 European Parliaments","volume":"16","author":[{"family":"Russo","given":"Federico"},{"family":"Wiberg","given":"Matti"}],"issued":{"date-parts":[["2010",6,1]]}}},{"id":7039,"uris":["http://zotero.org/users/1129714/items/AVDIF2MN"],"uri":["http://zotero.org/users/1129714/items/AVDIF2MN"],"itemData":{"id":7039,"type":"article-journal","abstract":"Parliaments are more than legislative bodies. However, we lack an adequate understanding of the theoretical relationship between different facets of parliamentary activity or ‘parliamentary functions’. Relying on the principal–agent framework, this article argues theoretically that parliamentary power is a multidimensional concept comprising three distinct mechanisms to ensure policy outputs in line with the collective preferences of parliaments: direct influence on policymaking, the ex ante selection of external officeholders, and the ex post control of the cabinet. These mechanisms mirror the classic legislative, electoral, and control functions of parliaments. Empirically, the paper uses factor analysis of newly developed indicators for electoral powers and established measures of legislative and control resources to show that the institutional powers of 15 Western European parliaments comprise four distinct dimensions. These dimensions match the three theoretically derived mechanisms with committee power as an additional factor. Locating the 15 parliaments in this multidimensional space of parliamentary powers demonstrates that classifications based solely on lawmaking lead to biased assessments of parliamentary strength and weakness. Instead, the paper provides a more nuanced picture of the ways in which Western European parliaments can influence policymaking under the conditions of delegation.","container-title":"West European Politics","DOI":"10.1080/01402382.2011.572389","ISSN":"0140-2382","issue":"4","page":"731-754","source":"Taylor and Francis+NEJM","title":"The Institutional Power of Western European Parliaments: A Multidimensional Analysis","title-short":"The Institutional Power of Western European Parliaments","volume":"34","author":[{"family":"Sieberer","given":"Ulrich"}],"issued":{"date-parts":[["2011",7,1]]}}},{"id":6316,"uris":["http://zotero.org/users/1129714/items/MA8SGKCS"],"uri":["http://zotero.org/users/1129714/items/MA8SGKCS"],"itemData":{"id":6316,"type":"chapter","container-title":"Parliamentary control in the Nordic countries: forms of questioning and behavioural trends","event-place":"Helsinki","ISBN":"978-951-96131-7-8","page":"19-43","publisher":"The Finnish Political Science Association","publisher-place":"Helsinki","source":"EBSCOhost","title":"The logic of parliamentary questioning","editor":[{"family":"Wiberg","given":"Matti"}],"author":[{"family":"Wiberg","given":"Matti"},{"family":"Koura","given":"Antti"}],"issued":{"date-parts":[["1994"]]}}}],"schema":"https://github.com/citation-style-language/schema/raw/master/csl-citation.json"} </w:instrText>
      </w:r>
      <w:r w:rsidR="005B1029" w:rsidRPr="000D268C">
        <w:rPr>
          <w:rFonts w:cstheme="minorHAnsi"/>
          <w:lang w:val="en-GB"/>
        </w:rPr>
        <w:fldChar w:fldCharType="separate"/>
      </w:r>
      <w:r w:rsidR="005B1029" w:rsidRPr="000D268C">
        <w:rPr>
          <w:rFonts w:cstheme="minorHAnsi"/>
          <w:noProof/>
          <w:lang w:val="en-GB"/>
        </w:rPr>
        <w:t>(</w:t>
      </w:r>
      <w:r w:rsidR="00F2475E" w:rsidRPr="000D268C">
        <w:rPr>
          <w:rFonts w:cstheme="minorHAnsi"/>
          <w:noProof/>
          <w:lang w:val="en-GB"/>
        </w:rPr>
        <w:t xml:space="preserve">based on </w:t>
      </w:r>
      <w:r w:rsidR="005B1029" w:rsidRPr="000D268C">
        <w:rPr>
          <w:rFonts w:cstheme="minorHAnsi"/>
          <w:noProof/>
          <w:lang w:val="en-GB"/>
        </w:rPr>
        <w:t>Martin, 2011; McCubbins &amp; Schwartz, 1984; Ogul, 1976; Rockman, 1984; Russo &amp; Wiberg, 2010; Sieberer, 2011; Wiberg &amp; Koura, 1994)</w:t>
      </w:r>
      <w:r w:rsidR="005B1029" w:rsidRPr="000D268C">
        <w:rPr>
          <w:rFonts w:cstheme="minorHAnsi"/>
          <w:lang w:val="en-GB"/>
        </w:rPr>
        <w:fldChar w:fldCharType="end"/>
      </w:r>
      <w:r w:rsidR="005B1029" w:rsidRPr="000D268C">
        <w:rPr>
          <w:rFonts w:cstheme="minorHAnsi"/>
          <w:lang w:val="en-GB"/>
        </w:rPr>
        <w:t xml:space="preserve">. </w:t>
      </w:r>
    </w:p>
    <w:p w14:paraId="2EEE066A" w14:textId="2322D4AE" w:rsidR="0019165F" w:rsidRPr="000D268C" w:rsidRDefault="0019165F" w:rsidP="002C54BF">
      <w:pPr>
        <w:pStyle w:val="ListParagraph"/>
        <w:numPr>
          <w:ilvl w:val="0"/>
          <w:numId w:val="29"/>
        </w:numPr>
        <w:spacing w:line="480" w:lineRule="auto"/>
        <w:jc w:val="both"/>
        <w:rPr>
          <w:rFonts w:cstheme="minorHAnsi"/>
          <w:i/>
          <w:iCs/>
          <w:lang w:val="en-GB"/>
        </w:rPr>
      </w:pPr>
      <w:r w:rsidRPr="000D268C">
        <w:rPr>
          <w:rFonts w:cstheme="minorHAnsi"/>
          <w:i/>
          <w:iCs/>
          <w:lang w:val="en-GB"/>
        </w:rPr>
        <w:lastRenderedPageBreak/>
        <w:t>Answerability</w:t>
      </w:r>
    </w:p>
    <w:p w14:paraId="421F967C" w14:textId="3D176460" w:rsidR="002C54BF" w:rsidRPr="000D268C" w:rsidRDefault="00FB4F02" w:rsidP="002C54BF">
      <w:pPr>
        <w:spacing w:after="240" w:line="480" w:lineRule="auto"/>
        <w:jc w:val="both"/>
        <w:rPr>
          <w:rFonts w:cstheme="minorHAnsi"/>
          <w:lang w:val="en-GB"/>
        </w:rPr>
      </w:pPr>
      <w:r w:rsidRPr="000D268C">
        <w:rPr>
          <w:rFonts w:cstheme="minorHAnsi"/>
          <w:lang w:val="en-GB"/>
        </w:rPr>
        <w:t xml:space="preserve">The second scenario </w:t>
      </w:r>
      <w:r w:rsidR="007564C1" w:rsidRPr="000D268C">
        <w:rPr>
          <w:rFonts w:cstheme="minorHAnsi"/>
          <w:lang w:val="en-GB"/>
        </w:rPr>
        <w:t xml:space="preserve">also </w:t>
      </w:r>
      <w:r w:rsidRPr="000D268C">
        <w:rPr>
          <w:rFonts w:cstheme="minorHAnsi"/>
          <w:lang w:val="en-GB"/>
        </w:rPr>
        <w:t>occurs when parliaments ask strong</w:t>
      </w:r>
      <w:r w:rsidR="007564C1" w:rsidRPr="000D268C">
        <w:rPr>
          <w:rFonts w:cstheme="minorHAnsi"/>
          <w:lang w:val="en-GB"/>
        </w:rPr>
        <w:t>er</w:t>
      </w:r>
      <w:r w:rsidRPr="000D268C">
        <w:rPr>
          <w:rFonts w:cstheme="minorHAnsi"/>
          <w:lang w:val="en-GB"/>
        </w:rPr>
        <w:t xml:space="preserve"> oversight questions, </w:t>
      </w:r>
      <w:r w:rsidR="007564C1" w:rsidRPr="000D268C">
        <w:rPr>
          <w:rFonts w:cstheme="minorHAnsi"/>
          <w:lang w:val="en-GB"/>
        </w:rPr>
        <w:t>requesting</w:t>
      </w:r>
      <w:r w:rsidRPr="000D268C">
        <w:rPr>
          <w:rFonts w:cstheme="minorHAnsi"/>
          <w:lang w:val="en-GB"/>
        </w:rPr>
        <w:t xml:space="preserve"> </w:t>
      </w:r>
      <w:r w:rsidR="002950A7" w:rsidRPr="000D268C">
        <w:rPr>
          <w:rFonts w:cstheme="minorHAnsi"/>
          <w:lang w:val="en-GB"/>
        </w:rPr>
        <w:t>executive actors</w:t>
      </w:r>
      <w:r w:rsidRPr="000D268C">
        <w:rPr>
          <w:rFonts w:cstheme="minorHAnsi"/>
          <w:lang w:val="en-GB"/>
        </w:rPr>
        <w:t xml:space="preserve"> to change their decisions or impose sanctions, </w:t>
      </w:r>
      <w:r w:rsidR="007564C1" w:rsidRPr="000D268C">
        <w:rPr>
          <w:rFonts w:cstheme="minorHAnsi"/>
          <w:lang w:val="en-GB"/>
        </w:rPr>
        <w:t xml:space="preserve">but </w:t>
      </w:r>
      <w:r w:rsidR="002950A7" w:rsidRPr="000D268C">
        <w:rPr>
          <w:rFonts w:cstheme="minorHAnsi"/>
          <w:lang w:val="en-GB"/>
        </w:rPr>
        <w:t>executive a</w:t>
      </w:r>
      <w:r w:rsidR="0015722B" w:rsidRPr="000D268C">
        <w:rPr>
          <w:rFonts w:cstheme="minorHAnsi"/>
          <w:lang w:val="en-GB"/>
        </w:rPr>
        <w:t>c</w:t>
      </w:r>
      <w:r w:rsidR="002950A7" w:rsidRPr="000D268C">
        <w:rPr>
          <w:rFonts w:cstheme="minorHAnsi"/>
          <w:lang w:val="en-GB"/>
        </w:rPr>
        <w:t>tors</w:t>
      </w:r>
      <w:r w:rsidR="007564C1" w:rsidRPr="000D268C">
        <w:rPr>
          <w:rFonts w:cstheme="minorHAnsi"/>
          <w:lang w:val="en-GB"/>
        </w:rPr>
        <w:t xml:space="preserve"> answer through justification rather than rectification, i.e. they focus on</w:t>
      </w:r>
      <w:r w:rsidR="002950A7" w:rsidRPr="000D268C">
        <w:rPr>
          <w:rFonts w:cstheme="minorHAnsi"/>
          <w:lang w:val="en-GB"/>
        </w:rPr>
        <w:t xml:space="preserve"> </w:t>
      </w:r>
      <w:r w:rsidR="007564C1" w:rsidRPr="000D268C">
        <w:rPr>
          <w:rFonts w:cstheme="minorHAnsi"/>
          <w:lang w:val="en-GB"/>
        </w:rPr>
        <w:t xml:space="preserve">explaining </w:t>
      </w:r>
      <w:r w:rsidRPr="000D268C">
        <w:rPr>
          <w:rFonts w:cstheme="minorHAnsi"/>
          <w:lang w:val="en-GB"/>
        </w:rPr>
        <w:t>their decisions or defend</w:t>
      </w:r>
      <w:r w:rsidR="002950A7" w:rsidRPr="000D268C">
        <w:rPr>
          <w:rFonts w:cstheme="minorHAnsi"/>
          <w:lang w:val="en-GB"/>
        </w:rPr>
        <w:t>ing</w:t>
      </w:r>
      <w:r w:rsidRPr="000D268C">
        <w:rPr>
          <w:rFonts w:cstheme="minorHAnsi"/>
          <w:lang w:val="en-GB"/>
        </w:rPr>
        <w:t xml:space="preserve"> the conduct under scrutiny</w:t>
      </w:r>
      <w:r w:rsidR="002950A7" w:rsidRPr="000D268C">
        <w:rPr>
          <w:rFonts w:cstheme="minorHAnsi"/>
          <w:lang w:val="en-GB"/>
        </w:rPr>
        <w:t xml:space="preserve"> (Table 1)</w:t>
      </w:r>
      <w:r w:rsidRPr="000D268C">
        <w:rPr>
          <w:rFonts w:cstheme="minorHAnsi"/>
          <w:lang w:val="en-GB"/>
        </w:rPr>
        <w:t xml:space="preserve">. </w:t>
      </w:r>
      <w:r w:rsidR="0019165F" w:rsidRPr="000D268C">
        <w:rPr>
          <w:rFonts w:cstheme="minorHAnsi"/>
          <w:lang w:val="en-GB"/>
        </w:rPr>
        <w:t xml:space="preserve">The scenario is expected </w:t>
      </w:r>
      <w:r w:rsidR="007564C1" w:rsidRPr="000D268C">
        <w:rPr>
          <w:rFonts w:cstheme="minorHAnsi"/>
          <w:lang w:val="en-GB"/>
        </w:rPr>
        <w:t xml:space="preserve">in institutional contexts where the legislature </w:t>
      </w:r>
      <w:r w:rsidR="00433D27" w:rsidRPr="000D268C">
        <w:rPr>
          <w:rFonts w:cstheme="minorHAnsi"/>
          <w:lang w:val="en-GB"/>
        </w:rPr>
        <w:t>constitute</w:t>
      </w:r>
      <w:r w:rsidR="007564C1" w:rsidRPr="000D268C">
        <w:rPr>
          <w:rFonts w:cstheme="minorHAnsi"/>
          <w:lang w:val="en-GB"/>
        </w:rPr>
        <w:t>s</w:t>
      </w:r>
      <w:r w:rsidR="00433D27" w:rsidRPr="000D268C">
        <w:rPr>
          <w:rFonts w:cstheme="minorHAnsi"/>
          <w:lang w:val="en-GB"/>
        </w:rPr>
        <w:t xml:space="preserve"> an accountability forum for the executive but </w:t>
      </w:r>
      <w:r w:rsidR="001A5357" w:rsidRPr="000D268C">
        <w:rPr>
          <w:rFonts w:cstheme="minorHAnsi"/>
          <w:lang w:val="en-GB"/>
        </w:rPr>
        <w:t>is</w:t>
      </w:r>
      <w:r w:rsidR="00433D27" w:rsidRPr="000D268C">
        <w:rPr>
          <w:rFonts w:cstheme="minorHAnsi"/>
          <w:lang w:val="en-GB"/>
        </w:rPr>
        <w:t xml:space="preserve"> not necessarily its direct principal </w:t>
      </w:r>
      <w:r w:rsidR="00433D27" w:rsidRPr="000D268C">
        <w:rPr>
          <w:rFonts w:cstheme="minorHAnsi"/>
          <w:lang w:val="en-GB"/>
        </w:rPr>
        <w:fldChar w:fldCharType="begin"/>
      </w:r>
      <w:r w:rsidR="00433D27" w:rsidRPr="000D268C">
        <w:rPr>
          <w:rFonts w:cstheme="minorHAnsi"/>
          <w:lang w:val="en-GB"/>
        </w:rPr>
        <w:instrText xml:space="preserve"> ADDIN ZOTERO_ITEM CSL_CITATION {"citationID":"FkEksalg","properties":{"formattedCitation":"(Bovens, 2007, p. 451)","plainCitation":"(Bovens, 2007, p. 451)","noteIndex":0},"citationItems":[{"id":2255,"uris":["http://zotero.org/users/1129714/items/CZBQQUVE"],"uri":["http://zotero.org/users/1129714/items/CZBQQUVE"],"itemData":{"id":2255,"type":"article-journal","abstract":"Abstract:  It has been argued that the EU suffers from serious accountability deficits. But how can we establish the existence of accountability deficits? This article tries to get to grips with the appealing but elusive concept of accountability by asking three types of questions. First a conceptual one: what exactly is meant by accountability? In this article the concept of accountability is used in a rather narrow sense: a relationship between an actor and a forum, in which the actor has an obligation to explain and to justify his or her conduct, the forum can pose questions and pass judgement, and the actor may face consequences. The second question is analytical: what types of accountability are involved? A series of dimensions of accountability are discerned that can be used to describe the various accountability relations and arrangements that can be found in the different domains of European governance. The third question is evaluative: how should we assess these accountability arrangements? The article provides three evaluative perspectives: a democratic, a constitutional and a learning perspective. Each of these perspectives may produce different types of accountability deficits.","container-title":"European Law Journal","ISSN":"1468-0386","issue":"4","language":"en","page":"447-468","source":"Wiley Online Library","title":"Analysing and Assessing Accountability: A Conceptual Framework","title-short":"Analysing and Assessing Accountability","volume":"13","author":[{"family":"Bovens","given":"Mark"}],"issued":{"date-parts":[["2007",7,1]]}},"locator":"451"}],"schema":"https://github.com/citation-style-language/schema/raw/master/csl-citation.json"} </w:instrText>
      </w:r>
      <w:r w:rsidR="00433D27" w:rsidRPr="000D268C">
        <w:rPr>
          <w:rFonts w:cstheme="minorHAnsi"/>
          <w:lang w:val="en-GB"/>
        </w:rPr>
        <w:fldChar w:fldCharType="separate"/>
      </w:r>
      <w:r w:rsidR="000A5639" w:rsidRPr="000D268C">
        <w:rPr>
          <w:rFonts w:cstheme="minorHAnsi"/>
          <w:noProof/>
          <w:lang w:val="en-GB"/>
        </w:rPr>
        <w:t>(Bovens, 2007, p. 451)</w:t>
      </w:r>
      <w:r w:rsidR="00433D27" w:rsidRPr="000D268C">
        <w:rPr>
          <w:rFonts w:cstheme="minorHAnsi"/>
          <w:lang w:val="en-GB"/>
        </w:rPr>
        <w:fldChar w:fldCharType="end"/>
      </w:r>
      <w:r w:rsidR="00433D27" w:rsidRPr="000D268C">
        <w:rPr>
          <w:rFonts w:cstheme="minorHAnsi"/>
          <w:lang w:val="en-GB"/>
        </w:rPr>
        <w:t xml:space="preserve">. In fact, answerability is a core element in numerous definitions of accountability, captured in the ideas ‘to be called to account’ or ‘having to account to others’ </w:t>
      </w:r>
      <w:r w:rsidR="00433D27" w:rsidRPr="000D268C">
        <w:rPr>
          <w:rFonts w:cstheme="minorHAnsi"/>
          <w:lang w:val="en-GB"/>
        </w:rPr>
        <w:fldChar w:fldCharType="begin"/>
      </w:r>
      <w:r w:rsidR="00433D27" w:rsidRPr="000D268C">
        <w:rPr>
          <w:rFonts w:cstheme="minorHAnsi"/>
          <w:lang w:val="en-GB"/>
        </w:rPr>
        <w:instrText xml:space="preserve"> ADDIN ZOTERO_ITEM CSL_CITATION {"citationID":"IpHXErtp","properties":{"formattedCitation":"(Bovens et al., 2014, p. 7; Mulgan, 2000, p. 555; Romzek &amp; Dubnick, 1998, p. 6)","plainCitation":"(Bovens et al., 2014, p. 7; Mulgan, 2000, p. 555; Romzek &amp; Dubnick, 1998, p. 6)","noteIndex":0},"citationItems":[{"id":2517,"uris":["http://zotero.org/users/1129714/items/MHZAI6IG"],"uri":["http://zotero.org/users/1129714/items/MHZAI6IG"],"itemData":{"id":2517,"type":"chapter","abstract":"Over the past two decades public accountability has become not only an icon in political, managerial, and administrative discourse but also the object of much scholarly analysis across a broad range of social and administrative sciences. This handbook provides a state of the art overview of recent scholarship on public accountability. It collects, consolidates, and integrates an upsurge of inquiry currently scattered across many disciplines and subdisciplines. It provides a one-stop-shop on the subject, not only for academics who study accountability, but also for practitioners who are designing, adjusting, or struggling with mechanisms for accountable governance. Drawing on the best scholars in the field from around the world, The Oxford Handbook of Public Accountability showcases conceptual and normative as well as the empirical approaches in public accountability studies. In addition to giving an overview of scholarly research in a variety of disciplines, it takes stock of a wide range of accountability mechanisms and practices across the public, private and non-profit sectors, making this volume a must-have for both practitioners and scholars, both established and new to the field.","container-title":"The Oxford Handbook Public Accountability","event-place":"Oxford","note":"Google-Books-ID: pip8AwAAQBAJ","page":"1-22","publisher":"Oxford University Press","publisher-place":"Oxford","source":"Google Books","title":"Public Accountability","author":[{"family":"Bovens","given":"Mark"},{"family":"Schillemans","given":"Thomas"},{"family":"Goodin","given":"Robert E."}],"editor":[{"family":"Bovens","given":"Mark"},{"family":"Goodin","given":"Robert E."},{"family":"Schillemans","given":"Thomas"}],"issued":{"date-parts":[["2014",4]]}},"locator":"7"},{"id":119,"uris":["http://zotero.org/users/1129714/items/4SGF92HB"],"uri":["http://zotero.org/users/1129714/items/4SGF92HB"],"itemData":{"id":119,"type":"article-journal","abstract":"The scope and meaning of ‘accountability’ has been extended in a number of directions well beyond its core sense of being called to account for one’s actions. It has been applied to internal aspects of official behaviour, beyond the external focus implied by being called to account; to institutions that control official behaviour other than through calling officials to account; to means of making officials responsive to public wishes other than through calling them to account; and to democratic dialogue between citizens where no one is being called to account. In each case the extension is readily intelligible because it is into an area of activity closely relevant to the practice of core accountability. However, in each case the extension of meaning may be challenged as weakening the importance of external scrutiny","container-title":"Public Administration","ISSN":"1467-9299","issue":"3","language":"en","page":"555-573","source":"Wiley Online Library","title":"‘Accountability’: An Ever-Expanding Concept?","title-short":"‘Accountability’","volume":"78","author":[{"family":"Mulgan","given":"Richard"}],"issued":{"date-parts":[["2000",1,1]]}},"locator":"555"},{"id":2198,"uris":["http://zotero.org/users/1129714/items/BYD2PALD"],"uri":["http://zotero.org/users/1129714/items/BYD2PALD"],"itemData":{"id":2198,"type":"chapter","container-title":"International Encyclopedia of Public Policy and Administration","event-place":"Boulder, CO","page":"6-11","publisher":"Westview Press","publisher-place":"Boulder, CO","title":"Accountability","author":[{"family":"Romzek","given":"Barbara"},{"family":"Dubnick","given":"Melvin J."}],"editor":[{"family":"Shafritz","given":"Jay M."}],"issued":{"date-parts":[["1998",1,1]]}},"locator":"6"}],"schema":"https://github.com/citation-style-language/schema/raw/master/csl-citation.json"} </w:instrText>
      </w:r>
      <w:r w:rsidR="00433D27" w:rsidRPr="000D268C">
        <w:rPr>
          <w:rFonts w:cstheme="minorHAnsi"/>
          <w:lang w:val="en-GB"/>
        </w:rPr>
        <w:fldChar w:fldCharType="separate"/>
      </w:r>
      <w:r w:rsidR="000A5639" w:rsidRPr="000D268C">
        <w:rPr>
          <w:rFonts w:cstheme="minorHAnsi"/>
          <w:noProof/>
          <w:lang w:val="en-GB"/>
        </w:rPr>
        <w:t>(Bovens et al., 2014, p. 7; Mulgan, 2000, p. 555; Romzek &amp; Dubnick, 1998, p. 6)</w:t>
      </w:r>
      <w:r w:rsidR="00433D27" w:rsidRPr="000D268C">
        <w:rPr>
          <w:rFonts w:cstheme="minorHAnsi"/>
          <w:lang w:val="en-GB"/>
        </w:rPr>
        <w:fldChar w:fldCharType="end"/>
      </w:r>
      <w:r w:rsidR="00433D27" w:rsidRPr="000D268C">
        <w:rPr>
          <w:rFonts w:cstheme="minorHAnsi"/>
          <w:lang w:val="en-GB"/>
        </w:rPr>
        <w:t xml:space="preserve">. Accordingly, the scenario can be encountered in </w:t>
      </w:r>
      <w:r w:rsidR="0019165F" w:rsidRPr="000D268C">
        <w:rPr>
          <w:rFonts w:cstheme="minorHAnsi"/>
          <w:lang w:val="en-GB"/>
        </w:rPr>
        <w:t>parliamentary systems</w:t>
      </w:r>
      <w:r w:rsidR="00433D27" w:rsidRPr="000D268C">
        <w:rPr>
          <w:rFonts w:cstheme="minorHAnsi"/>
          <w:lang w:val="en-GB"/>
        </w:rPr>
        <w:t xml:space="preserve"> </w:t>
      </w:r>
      <w:r w:rsidR="0019165F" w:rsidRPr="000D268C">
        <w:rPr>
          <w:rFonts w:cstheme="minorHAnsi"/>
          <w:lang w:val="en-GB"/>
        </w:rPr>
        <w:t>in the relationship between legislatures and bureaucracies or independent agencies</w:t>
      </w:r>
      <w:r w:rsidR="00433D27" w:rsidRPr="000D268C">
        <w:rPr>
          <w:rFonts w:cstheme="minorHAnsi"/>
          <w:lang w:val="en-GB"/>
        </w:rPr>
        <w:t>;</w:t>
      </w:r>
      <w:r w:rsidR="0019165F" w:rsidRPr="000D268C">
        <w:rPr>
          <w:rFonts w:cstheme="minorHAnsi"/>
          <w:lang w:val="en-GB"/>
        </w:rPr>
        <w:t xml:space="preserve"> in presidential systems in the relationship between legislatures and cabinets</w:t>
      </w:r>
      <w:r w:rsidR="00433D27" w:rsidRPr="000D268C">
        <w:rPr>
          <w:rFonts w:cstheme="minorHAnsi"/>
          <w:lang w:val="en-GB"/>
        </w:rPr>
        <w:t>;</w:t>
      </w:r>
      <w:r w:rsidR="0019165F" w:rsidRPr="000D268C">
        <w:rPr>
          <w:rFonts w:cstheme="minorHAnsi"/>
          <w:lang w:val="en-GB"/>
        </w:rPr>
        <w:t xml:space="preserve"> as well as in multi-level settings like the European Union (EU) </w:t>
      </w:r>
      <w:r w:rsidR="002950A7" w:rsidRPr="000D268C">
        <w:rPr>
          <w:rFonts w:cstheme="minorHAnsi"/>
          <w:lang w:val="en-GB"/>
        </w:rPr>
        <w:t xml:space="preserve">– </w:t>
      </w:r>
      <w:r w:rsidR="0019165F" w:rsidRPr="000D268C">
        <w:rPr>
          <w:rFonts w:cstheme="minorHAnsi"/>
          <w:lang w:val="en-GB"/>
        </w:rPr>
        <w:t>where</w:t>
      </w:r>
      <w:r w:rsidR="002950A7" w:rsidRPr="000D268C">
        <w:rPr>
          <w:rFonts w:cstheme="minorHAnsi"/>
          <w:lang w:val="en-GB"/>
        </w:rPr>
        <w:t xml:space="preserve"> </w:t>
      </w:r>
      <w:r w:rsidR="0019165F" w:rsidRPr="000D268C">
        <w:rPr>
          <w:rFonts w:cstheme="minorHAnsi"/>
          <w:lang w:val="en-GB"/>
        </w:rPr>
        <w:t xml:space="preserve">supranational </w:t>
      </w:r>
      <w:r w:rsidR="002950A7" w:rsidRPr="000D268C">
        <w:rPr>
          <w:rFonts w:cstheme="minorHAnsi"/>
          <w:lang w:val="en-GB"/>
        </w:rPr>
        <w:t xml:space="preserve">executive </w:t>
      </w:r>
      <w:r w:rsidR="0019165F" w:rsidRPr="000D268C">
        <w:rPr>
          <w:rFonts w:cstheme="minorHAnsi"/>
          <w:lang w:val="en-GB"/>
        </w:rPr>
        <w:t>institutions are far</w:t>
      </w:r>
      <w:r w:rsidR="007564C1" w:rsidRPr="000D268C">
        <w:rPr>
          <w:rFonts w:cstheme="minorHAnsi"/>
          <w:lang w:val="en-GB"/>
        </w:rPr>
        <w:t>ther</w:t>
      </w:r>
      <w:r w:rsidR="0019165F" w:rsidRPr="000D268C">
        <w:rPr>
          <w:rFonts w:cstheme="minorHAnsi"/>
          <w:lang w:val="en-GB"/>
        </w:rPr>
        <w:t xml:space="preserve"> removed from the European Parliament or national parliaments </w:t>
      </w:r>
      <w:r w:rsidR="002950A7" w:rsidRPr="000D268C">
        <w:rPr>
          <w:rFonts w:cstheme="minorHAnsi"/>
          <w:lang w:val="en-GB"/>
        </w:rPr>
        <w:fldChar w:fldCharType="begin"/>
      </w:r>
      <w:r w:rsidR="002950A7" w:rsidRPr="000D268C">
        <w:rPr>
          <w:rFonts w:cstheme="minorHAnsi"/>
          <w:lang w:val="en-GB"/>
        </w:rPr>
        <w:instrText xml:space="preserve"> ADDIN ZOTERO_ITEM CSL_CITATION {"citationID":"0dYEvdWk","properties":{"formattedCitation":"(Bergman et al., 2006; Crum, 2018)","plainCitation":"(Bergman et al., 2006; Crum, 2018)","noteIndex":0},"citationItems":[{"id":6013,"uris":["http://zotero.org/users/1129714/items/EIM3WWHH"],"uri":["http://zotero.org/users/1129714/items/EIM3WWHH"],"itemData":{"id":6013,"type":"chapter","abstract":"Parliamentary government is the most common way to organize delegation and accountability in contemporary democracies. Parliamentary government is a system of government in which the prime minister and his or her cabinet are accountable to any majority of the members of parliament and can be voted out of office by the latter. Parliamentary democracy is a chain of delegation and accountability, from the voters to the ultimate policy makers, in which at each link (stage), a principal (in whom authority is originally) delegates to an agent, whom the principal has conditionally authorized to act in his or her name and place. The parliamentary chain of delegation is characterized by indirectness and singularity (i.e. at each link of the parliamentary chain, a single principal delegates to a single agent). At each stage of this chain, delegation problems (such as adverse selection and moral hazard) can occur.","container-title":"Parliamentary Democracy: Promise and Problems","event-place":"Oxford","ISBN":"978-0-19-160201-6","language":"en_US","page":"109-220","publisher":"Oxford University Press","publisher-place":"Oxford","source":"www.oxfordscholarship.com","title":"Democratic Delegation and Accountability: Cross-national Patterns","editor":[{"family":"Strøm","given":"Kaare"},{"family":"Müller","given":"Wolfgang C."},{"family":"Bergman","given":"Torbjörn"}],"author":[{"family":"Bergman","given":"Torbjörn"},{"family":"Müller","given":"Wolfgang C."},{"family":"Strøm","given":"Kaare"},{"family":"Blomgren","given":"Magnus"}],"issued":{"date-parts":[["2006"]]}}},{"id":2324,"uris":["http://zotero.org/users/1129714/items/VD23GTS7"],"uri":["http://zotero.org/users/1129714/items/VD23GTS7"],"itemData":{"id":2324,"type":"article-journal","abstract":"How has the new structure of European Union (EU) economic governance affected the ability of parliaments (national and European) to scrutinize and control economic policy? Departing from the premise that executive power needs to be matched by appropriate parliamentary control, this contribution argues that parliamentary powers have been compromised in EU economic governance. Although budgetary powers remain formally at the national level, governments’ decisions have become constrained and national parliaments find themselves on the losing side of a reinforced two-level game. This loss in parliamentary powers is not compensated at the European level, as at that level political authority is effectively left suspended between the national governments, who are unaccountable as a collective, and the European Commission, which lacks a political mandate of its own. Against this background, a final section identifies guidelines for organizing parliamentary accountability in settings, like EU economic governance, in which executive power has come to be shared across levels.","container-title":"Journal of European Public Policy","ISSN":"1350-1763","issue":"2","page":"268-286","source":"Taylor and Francis+NEJM","title":"Parliamentary accountability in multilevel governance: what role for parliaments in post-crisis EU economic governance?","title-short":"Parliamentary accountability in multilevel governance","volume":"25","author":[{"family":"Crum","given":"Ben"}],"issued":{"date-parts":[["2018"]]}}}],"schema":"https://github.com/citation-style-language/schema/raw/master/csl-citation.json"} </w:instrText>
      </w:r>
      <w:r w:rsidR="002950A7" w:rsidRPr="000D268C">
        <w:rPr>
          <w:rFonts w:cstheme="minorHAnsi"/>
          <w:lang w:val="en-GB"/>
        </w:rPr>
        <w:fldChar w:fldCharType="separate"/>
      </w:r>
      <w:r w:rsidR="000A5639" w:rsidRPr="000D268C">
        <w:rPr>
          <w:rFonts w:cstheme="minorHAnsi"/>
          <w:noProof/>
          <w:lang w:val="en-GB"/>
        </w:rPr>
        <w:t>(Bergman et al., 2006; Crum, 2018)</w:t>
      </w:r>
      <w:r w:rsidR="002950A7" w:rsidRPr="000D268C">
        <w:rPr>
          <w:rFonts w:cstheme="minorHAnsi"/>
          <w:lang w:val="en-GB"/>
        </w:rPr>
        <w:fldChar w:fldCharType="end"/>
      </w:r>
      <w:r w:rsidR="002950A7" w:rsidRPr="000D268C">
        <w:rPr>
          <w:rFonts w:cstheme="minorHAnsi"/>
          <w:lang w:val="en-GB"/>
        </w:rPr>
        <w:t>.</w:t>
      </w:r>
      <w:r w:rsidR="0015722B" w:rsidRPr="000D268C">
        <w:rPr>
          <w:rFonts w:cstheme="minorHAnsi"/>
          <w:lang w:val="en-GB"/>
        </w:rPr>
        <w:t xml:space="preserve"> </w:t>
      </w:r>
      <w:r w:rsidR="00433D27" w:rsidRPr="000D268C">
        <w:rPr>
          <w:rFonts w:cstheme="minorHAnsi"/>
          <w:lang w:val="en-GB"/>
        </w:rPr>
        <w:t xml:space="preserve">In terms of likelihood of occurrence, </w:t>
      </w:r>
      <w:r w:rsidR="001A5357" w:rsidRPr="000D268C">
        <w:rPr>
          <w:rFonts w:cstheme="minorHAnsi"/>
          <w:i/>
          <w:iCs/>
          <w:lang w:val="en-GB"/>
        </w:rPr>
        <w:t xml:space="preserve">Answerability </w:t>
      </w:r>
      <w:r w:rsidR="001A5357" w:rsidRPr="000D268C">
        <w:rPr>
          <w:rFonts w:cstheme="minorHAnsi"/>
          <w:lang w:val="en-GB"/>
        </w:rPr>
        <w:t>is</w:t>
      </w:r>
      <w:r w:rsidR="00433D27" w:rsidRPr="000D268C">
        <w:rPr>
          <w:rFonts w:cstheme="minorHAnsi"/>
          <w:lang w:val="en-GB"/>
        </w:rPr>
        <w:t xml:space="preserve"> expected when a) public pressure on the executive actor is high, </w:t>
      </w:r>
      <w:r w:rsidR="00CB35D2" w:rsidRPr="000D268C">
        <w:rPr>
          <w:rFonts w:cstheme="minorHAnsi"/>
          <w:lang w:val="en-GB"/>
        </w:rPr>
        <w:t>b</w:t>
      </w:r>
      <w:r w:rsidR="00433D27" w:rsidRPr="000D268C">
        <w:rPr>
          <w:rFonts w:cstheme="minorHAnsi"/>
          <w:lang w:val="en-GB"/>
        </w:rPr>
        <w:t xml:space="preserve">) there are multiple </w:t>
      </w:r>
      <w:r w:rsidR="00987443" w:rsidRPr="000D268C">
        <w:rPr>
          <w:rFonts w:cstheme="minorHAnsi"/>
          <w:lang w:val="en-GB"/>
        </w:rPr>
        <w:t xml:space="preserve">structural opportunities facilitating legislative oversight, </w:t>
      </w:r>
      <w:r w:rsidR="00CB35D2" w:rsidRPr="000D268C">
        <w:rPr>
          <w:rFonts w:cstheme="minorHAnsi"/>
          <w:lang w:val="en-GB"/>
        </w:rPr>
        <w:t>c</w:t>
      </w:r>
      <w:r w:rsidR="00987443" w:rsidRPr="000D268C">
        <w:rPr>
          <w:rFonts w:cstheme="minorHAnsi"/>
          <w:lang w:val="en-GB"/>
        </w:rPr>
        <w:t xml:space="preserve">) </w:t>
      </w:r>
      <w:r w:rsidR="001A5357" w:rsidRPr="000D268C">
        <w:rPr>
          <w:rFonts w:cstheme="minorHAnsi"/>
          <w:lang w:val="en-GB"/>
        </w:rPr>
        <w:t xml:space="preserve">parliaments have strong powers to control the executive ex ante or ex post (as opposed </w:t>
      </w:r>
      <w:r w:rsidR="00CB35D2" w:rsidRPr="000D268C">
        <w:rPr>
          <w:rFonts w:cstheme="minorHAnsi"/>
          <w:lang w:val="en-GB"/>
        </w:rPr>
        <w:t xml:space="preserve">to </w:t>
      </w:r>
      <w:r w:rsidR="001A5357" w:rsidRPr="000D268C">
        <w:rPr>
          <w:rFonts w:cstheme="minorHAnsi"/>
          <w:lang w:val="en-GB"/>
        </w:rPr>
        <w:t>or next to law-marking powers)</w:t>
      </w:r>
      <w:r w:rsidR="00987443" w:rsidRPr="000D268C">
        <w:rPr>
          <w:rFonts w:cstheme="minorHAnsi"/>
          <w:lang w:val="en-GB"/>
        </w:rPr>
        <w:t xml:space="preserve">, and </w:t>
      </w:r>
      <w:r w:rsidR="00CB35D2" w:rsidRPr="000D268C">
        <w:rPr>
          <w:rFonts w:cstheme="minorHAnsi"/>
          <w:lang w:val="en-GB"/>
        </w:rPr>
        <w:t>d</w:t>
      </w:r>
      <w:r w:rsidR="00987443" w:rsidRPr="000D268C">
        <w:rPr>
          <w:rFonts w:cstheme="minorHAnsi"/>
          <w:lang w:val="en-GB"/>
        </w:rPr>
        <w:t xml:space="preserve">) the party system is conducive to single-party governments that are strongly connected to parliamentary majorities </w:t>
      </w:r>
      <w:r w:rsidR="00987443" w:rsidRPr="000D268C">
        <w:rPr>
          <w:rFonts w:cstheme="minorHAnsi"/>
          <w:lang w:val="en-GB"/>
        </w:rPr>
        <w:fldChar w:fldCharType="begin"/>
      </w:r>
      <w:r w:rsidR="00A54206" w:rsidRPr="000D268C">
        <w:rPr>
          <w:rFonts w:cstheme="minorHAnsi"/>
          <w:lang w:val="en-GB"/>
        </w:rPr>
        <w:instrText xml:space="preserve"> ADDIN ZOTERO_ITEM CSL_CITATION {"citationID":"ALqfltt3","properties":{"formattedCitation":"(Martin, 2011; McCubbins &amp; Schwartz, 1984; Ogul, 1976; Rockman, 1984; Russo &amp; Wiberg, 2010; Sieberer, 2011; Wiberg &amp; Koura, 1994)","plainCitation":"(Martin, 2011; McCubbins &amp; Schwartz, 1984; Ogul, 1976; Rockman, 1984; Russo &amp; Wiberg, 2010; Sieberer, 2011; Wiberg &amp; Koura, 1994)","dontUpdate":true,"noteIndex":0},"citationItems":[{"id":6287,"uris":["http://zotero.org/users/1129714/items/YBECNTPF"],"uri":["http://zotero.org/users/1129714/items/YBECNTPF"],"itemData":{"id":6287,"type":"article-journal","abstract":"Individual legislators differ in the degree to which they work to cultivate personal votes. While conventional wisdom declares that the electoral system typically motivates the choice of legislative role, researchers have found difficulty assessing empirically the role behaviour of legislators. This study suggests using the content analysis of parliamentary questions as a mechanism to measure variations in personal vote-earning strategies. To demonstrate the usefulness of this approach, and the constituency focus of Irish parliamentarians, 123,762 questions tabled by Dáil Deputies between 1997 and 2002 are analysed. While evidence of some orientation toward localism is apparent, the data suggest significant variations in role orientation among legislators. Competing electoral system and non-electoral system explanations of intra-system variation in personal vote-earning effort are hypothesised and tested. Characteristics such as district magnitude, intra-party competition, electoral vulnerability, geography, education, gender and career incentives only partially explain the variation. The results highlight the need to move beyond using electoral rules as a general proxy for role orientation and behaviour.","container-title":"Political Studies","ISSN":"1467-9248","issue":"2","language":"en","page":"472-488","source":"Wiley Online Library","title":"Using Parliamentary Questions to Measure Constituency Focus: An Application to the Irish Case","volume":"59","author":[{"family":"Martin","given":"Shane"}],"issued":{"date-parts":[["2011"]]}}},{"id":34,"uris":["http://zotero.org/users/1129714/items/NH638BN4"],"uri":["http://zotero.org/users/1129714/items/NH638BN4"],"itemData":{"id":34,"type":"article-journal","container-title":"American Journal of Political Science","ISSN":"00925853","issue":"1","page":"165","source":"CrossRef","title":"Congressional Oversight Overlooked: Police Patrols versus Fire Alarms","title-short":"Congressional Oversight Overlooked","volume":"28","author":[{"family":"McCubbins","given":"Mathew D."},{"family":"Schwartz","given":"Thomas"}],"issued":{"date-parts":[["1984",2]]}}},{"id":6074,"uris":["http://zotero.org/users/1129714/items/FQ3HHZN6"],"uri":["http://zotero.org/users/1129714/items/FQ3HHZN6"],"itemData":{"id":6074,"type":"book","abstract":"Congressional supervision of the way the executive implements legislative mandates-“oversight” of the bureaucracy-is one of the most complex and least understood functions of Congress. In this book, Morris Ogul clarifies the meaning of oversight and analyzes the elements that contribute to its success or neglect.    Ogul's work is based on case studies from nearly one hundred interviews with congressmen, committee staff members, lobbyists, and members of the executive branch., as well as an examination of relevant congressional documents.","edition":"1st edition","event-place":"Pittsburgh, PA","ISBN":"978-0-8229-8454-2","language":"English","number-of-pages":"252","publisher":"University of Pittsburgh Press","publisher-place":"Pittsburgh, PA","source":"Amazon","title":"Congress Oversees the Bureaucracy","author":[{"family":"Ogul","given":"Morris S."}],"issued":{"date-parts":[["1976",5,15]]}}},{"id":5994,"uris":["http://zotero.org/users/1129714/items/IC5W66QY"],"uri":["http://zotero.org/users/1129714/items/IC5W66QY"],"itemData":{"id":5994,"type":"article-journal","abstract":"[As a focus of scholarship, the subject of legislative-executive relations is both elusively broad and remarkably diverse. This essay attempts to make both the breadth and diversity of the field more comprehensible by examining and identifying: (1) attributes and characteristics of key legislative and executive \"players,\" (2) various points of intersection between legislative and executive \"players\" and their institutions, and, especially, (3) forms, conditions, and impacts of legislative supervision of the executive (oversight). Analysis of the research and scholarly literature on these topics is situated in a context of different normative perspectives toward governance.]","archive":"JSTOR","container-title":"Legislative Studies Quarterly","ISSN":"0362-9805","issue":"3","page":"387-440","source":"JSTOR","title":"Legislative-Executive Relations and Legislative Oversight","volume":"9","author":[{"family":"Rockman","given":"Bert A."}],"issued":{"date-parts":[["1984"]]}}},{"id":6055,"uris":["http://zotero.org/users/1129714/items/W4TEFL8U"],"uri":["http://zotero.org/users/1129714/items/W4TEFL8U"],"itemData":{"id":6055,"type":"article-journal","abstract":"All democratic parliaments have some procedures to allow representatives to put questions to ministers. However, there are no two parliaments with exactly the same procedures. Cross-national comparisons are hindered by the lack of agreed-upon scientific criteria to group similar procedures, which are too often classified on the basis of their names rather than on their substantive characteristics. To overcome this problem, this article devises a typology of parliamentary questions based on relevant procedural features in 17 European countries. A ranking of parliaments according to the criteria of the effectiveness of procedures is developed and a discussion of the relationship of this ranking to the coalitional characteristics of the parliaments is provided. Finally, the article develops some tentative arguments to explain what influences the development of more or less effective questioning procedures, testing the hypothesis that countries dominated by coalition governments tend to have more effective procedures. In contrast with the authors' expectations, with regard to the countries included in the present analysis, the frequent presence of coalition government is associated with weaker procedures.","container-title":"The Journal of Legislative Studies","DOI":"10.1080/13572331003740115","ISSN":"1357-2334","issue":"2","page":"215-232","source":"Taylor and Francis+NEJM","title":"Parliamentary Questioning in 17 European Parliaments: Some Steps towards Comparison","title-short":"Parliamentary Questioning in 17 European Parliaments","volume":"16","author":[{"family":"Russo","given":"Federico"},{"family":"Wiberg","given":"Matti"}],"issued":{"date-parts":[["2010",6,1]]}}},{"id":7039,"uris":["http://zotero.org/users/1129714/items/AVDIF2MN"],"uri":["http://zotero.org/users/1129714/items/AVDIF2MN"],"itemData":{"id":7039,"type":"article-journal","abstract":"Parliaments are more than legislative bodies. However, we lack an adequate understanding of the theoretical relationship between different facets of parliamentary activity or ‘parliamentary functions’. Relying on the principal–agent framework, this article argues theoretically that parliamentary power is a multidimensional concept comprising three distinct mechanisms to ensure policy outputs in line with the collective preferences of parliaments: direct influence on policymaking, the ex ante selection of external officeholders, and the ex post control of the cabinet. These mechanisms mirror the classic legislative, electoral, and control functions of parliaments. Empirically, the paper uses factor analysis of newly developed indicators for electoral powers and established measures of legislative and control resources to show that the institutional powers of 15 Western European parliaments comprise four distinct dimensions. These dimensions match the three theoretically derived mechanisms with committee power as an additional factor. Locating the 15 parliaments in this multidimensional space of parliamentary powers demonstrates that classifications based solely on lawmaking lead to biased assessments of parliamentary strength and weakness. Instead, the paper provides a more nuanced picture of the ways in which Western European parliaments can influence policymaking under the conditions of delegation.","container-title":"West European Politics","DOI":"10.1080/01402382.2011.572389","ISSN":"0140-2382","issue":"4","page":"731-754","source":"Taylor and Francis+NEJM","title":"The Institutional Power of Western European Parliaments: A Multidimensional Analysis","title-short":"The Institutional Power of Western European Parliaments","volume":"34","author":[{"family":"Sieberer","given":"Ulrich"}],"issued":{"date-parts":[["2011",7,1]]}}},{"id":6316,"uris":["http://zotero.org/users/1129714/items/MA8SGKCS"],"uri":["http://zotero.org/users/1129714/items/MA8SGKCS"],"itemData":{"id":6316,"type":"chapter","container-title":"Parliamentary control in the Nordic countries: forms of questioning and behavioural trends","event-place":"Helsinki","ISBN":"978-951-96131-7-8","page":"19-43","publisher":"The Finnish Political Science Association","publisher-place":"Helsinki","source":"EBSCOhost","title":"The logic of parliamentary questioning","editor":[{"family":"Wiberg","given":"Matti"}],"author":[{"family":"Wiberg","given":"Matti"},{"family":"Koura","given":"Antti"}],"issued":{"date-parts":[["1994"]]}}}],"schema":"https://github.com/citation-style-language/schema/raw/master/csl-citation.json"} </w:instrText>
      </w:r>
      <w:r w:rsidR="00987443" w:rsidRPr="000D268C">
        <w:rPr>
          <w:rFonts w:cstheme="minorHAnsi"/>
          <w:lang w:val="en-GB"/>
        </w:rPr>
        <w:fldChar w:fldCharType="separate"/>
      </w:r>
      <w:r w:rsidR="00987443" w:rsidRPr="000D268C">
        <w:rPr>
          <w:rFonts w:cstheme="minorHAnsi"/>
          <w:noProof/>
          <w:lang w:val="en-GB"/>
        </w:rPr>
        <w:t>(based on Martin, 2011; McCubbins &amp; Schwartz, 1984; Ogul, 1976; Rockman, 1984; Russo &amp; Wiberg, 2010; Sieberer, 2011; Wiberg &amp; Koura, 1994)</w:t>
      </w:r>
      <w:r w:rsidR="00987443" w:rsidRPr="000D268C">
        <w:rPr>
          <w:rFonts w:cstheme="minorHAnsi"/>
          <w:lang w:val="en-GB"/>
        </w:rPr>
        <w:fldChar w:fldCharType="end"/>
      </w:r>
      <w:r w:rsidR="00987443" w:rsidRPr="000D268C">
        <w:rPr>
          <w:rFonts w:cstheme="minorHAnsi"/>
          <w:lang w:val="en-GB"/>
        </w:rPr>
        <w:t>.</w:t>
      </w:r>
    </w:p>
    <w:p w14:paraId="1C036F09" w14:textId="29AB627C" w:rsidR="00C07C49" w:rsidRPr="000D268C" w:rsidRDefault="00C07C49" w:rsidP="002C54BF">
      <w:pPr>
        <w:pStyle w:val="ListParagraph"/>
        <w:numPr>
          <w:ilvl w:val="0"/>
          <w:numId w:val="29"/>
        </w:numPr>
        <w:spacing w:line="480" w:lineRule="auto"/>
        <w:jc w:val="both"/>
        <w:rPr>
          <w:rFonts w:cstheme="minorHAnsi"/>
          <w:i/>
          <w:iCs/>
          <w:lang w:val="en-GB"/>
        </w:rPr>
      </w:pPr>
      <w:r w:rsidRPr="000D268C">
        <w:rPr>
          <w:rFonts w:cstheme="minorHAnsi"/>
          <w:i/>
          <w:iCs/>
          <w:lang w:val="en-GB"/>
        </w:rPr>
        <w:t>Voluntary accountability</w:t>
      </w:r>
    </w:p>
    <w:p w14:paraId="238E1978" w14:textId="3906F71F" w:rsidR="00BF57D7" w:rsidRPr="000D268C" w:rsidRDefault="00C07C49" w:rsidP="002C54BF">
      <w:pPr>
        <w:spacing w:after="240" w:line="480" w:lineRule="auto"/>
        <w:jc w:val="both"/>
        <w:rPr>
          <w:rFonts w:cstheme="minorHAnsi"/>
          <w:lang w:val="en-GB"/>
        </w:rPr>
      </w:pPr>
      <w:r w:rsidRPr="000D268C">
        <w:rPr>
          <w:rFonts w:cstheme="minorHAnsi"/>
          <w:lang w:val="en-GB"/>
        </w:rPr>
        <w:t xml:space="preserve">The </w:t>
      </w:r>
      <w:r w:rsidR="0019165F" w:rsidRPr="000D268C">
        <w:rPr>
          <w:rFonts w:cstheme="minorHAnsi"/>
          <w:lang w:val="en-GB"/>
        </w:rPr>
        <w:t>third</w:t>
      </w:r>
      <w:r w:rsidRPr="000D268C">
        <w:rPr>
          <w:rFonts w:cstheme="minorHAnsi"/>
          <w:lang w:val="en-GB"/>
        </w:rPr>
        <w:t xml:space="preserve"> scenario occurs when parliaments ask weaker questions as part of legislative oversight, mostly requesting information and justification of conduct from </w:t>
      </w:r>
      <w:r w:rsidR="0019165F" w:rsidRPr="000D268C">
        <w:rPr>
          <w:rFonts w:cstheme="minorHAnsi"/>
          <w:lang w:val="en-GB"/>
        </w:rPr>
        <w:t xml:space="preserve">bureaucracies and </w:t>
      </w:r>
      <w:r w:rsidR="0019165F" w:rsidRPr="000D268C">
        <w:rPr>
          <w:rFonts w:cstheme="minorHAnsi"/>
          <w:lang w:val="en-GB"/>
        </w:rPr>
        <w:lastRenderedPageBreak/>
        <w:t>independent agencies</w:t>
      </w:r>
      <w:r w:rsidR="00F2475E" w:rsidRPr="000D268C">
        <w:rPr>
          <w:rFonts w:cstheme="minorHAnsi"/>
          <w:lang w:val="en-GB"/>
        </w:rPr>
        <w:t xml:space="preserve"> (Table 1)</w:t>
      </w:r>
      <w:r w:rsidR="0019165F" w:rsidRPr="000D268C">
        <w:rPr>
          <w:rFonts w:cstheme="minorHAnsi"/>
          <w:lang w:val="en-GB"/>
        </w:rPr>
        <w:t>. These executive actors</w:t>
      </w:r>
      <w:r w:rsidRPr="000D268C">
        <w:rPr>
          <w:rFonts w:cstheme="minorHAnsi"/>
          <w:lang w:val="en-GB"/>
        </w:rPr>
        <w:t xml:space="preserve"> acknowledge on their own the need for rectification and promise to change </w:t>
      </w:r>
      <w:r w:rsidR="0019165F" w:rsidRPr="000D268C">
        <w:rPr>
          <w:rFonts w:cstheme="minorHAnsi"/>
          <w:lang w:val="en-GB"/>
        </w:rPr>
        <w:t xml:space="preserve">problematic decisions or sanction </w:t>
      </w:r>
      <w:r w:rsidR="00F12747" w:rsidRPr="000D268C">
        <w:rPr>
          <w:rFonts w:cstheme="minorHAnsi"/>
          <w:lang w:val="en-GB"/>
        </w:rPr>
        <w:t>individuals found responsible</w:t>
      </w:r>
      <w:r w:rsidRPr="000D268C">
        <w:rPr>
          <w:rFonts w:cstheme="minorHAnsi"/>
          <w:lang w:val="en-GB"/>
        </w:rPr>
        <w:t xml:space="preserve"> </w:t>
      </w:r>
      <w:r w:rsidR="0019165F" w:rsidRPr="000D268C">
        <w:rPr>
          <w:rFonts w:cstheme="minorHAnsi"/>
          <w:lang w:val="en-GB"/>
        </w:rPr>
        <w:t xml:space="preserve">for past errors. The assumption is that </w:t>
      </w:r>
      <w:r w:rsidR="00CA12AD" w:rsidRPr="000D268C">
        <w:rPr>
          <w:rFonts w:cstheme="minorHAnsi"/>
          <w:lang w:val="en-GB"/>
        </w:rPr>
        <w:t>bureaucracies and independent agencies suffer from a lack of ‘input legitimacy’ because they are no</w:t>
      </w:r>
      <w:r w:rsidR="00F2475E" w:rsidRPr="000D268C">
        <w:rPr>
          <w:rFonts w:cstheme="minorHAnsi"/>
          <w:lang w:val="en-GB"/>
        </w:rPr>
        <w:t>t</w:t>
      </w:r>
      <w:r w:rsidR="00CA12AD" w:rsidRPr="000D268C">
        <w:rPr>
          <w:rFonts w:cstheme="minorHAnsi"/>
          <w:lang w:val="en-GB"/>
        </w:rPr>
        <w:t xml:space="preserve"> directly elected, i.e. they are non-majoritarian institutions </w:t>
      </w:r>
      <w:r w:rsidR="00CA12AD" w:rsidRPr="000D268C">
        <w:rPr>
          <w:rFonts w:cstheme="minorHAnsi"/>
          <w:lang w:val="en-GB"/>
        </w:rPr>
        <w:fldChar w:fldCharType="begin"/>
      </w:r>
      <w:r w:rsidR="00CA12AD" w:rsidRPr="000D268C">
        <w:rPr>
          <w:rFonts w:cstheme="minorHAnsi"/>
          <w:lang w:val="en-GB"/>
        </w:rPr>
        <w:instrText xml:space="preserve"> ADDIN ZOTERO_ITEM CSL_CITATION {"citationID":"MUzSiAye","properties":{"formattedCitation":"(Thatcher &amp; Sweet, 2002)","plainCitation":"(Thatcher &amp; Sweet, 2002)","noteIndex":0},"citationItems":[{"id":143,"uris":["http://zotero.org/users/1129714/items/U4SKKJ44"],"uri":["http://zotero.org/users/1129714/items/U4SKKJ44"],"itemData":{"id":143,"type":"article-journal","abstract":"The article summarises the analytical frameworks, questions, and empirical findings of the volume. It defines the key concepts used. It then sets out the principal-agent framework that explains delegation to NMIs through functional logics for principals. It sets out alternative explanations based on sociological and historical institutionalism. Thereafter, it relates the empirical findings of the volume to these wider debates about delegation. It argues that although functional demands for delegation can almost always be identified, purely functional accounts of delegation to NMIs are inadequate. Explaining the decision to delegate and the institutional forms of that delegation involves including and specifying interests, policy learning/institutional isomorphism and institutional inheritances. Delegation has also had major consequences on the distribution of power, policy making processes and substantive policy choices, both through its direct effects, and via feedback effects. Finally, delegation has raised questions about the legitimacy and accountability of NMIs.","container-title":"West European Politics","ISSN":"0140-2382","issue":"1","page":"1-22","source":"Taylor and Francis+NEJM","title":"Theory and Practice of Delegation to Non-Majoritarian Institutions","volume":"25","author":[{"family":"Thatcher","given":"Mark"},{"family":"Sweet","given":"Alec Stone"}],"issued":{"date-parts":[["2002",1,1]]}}}],"schema":"https://github.com/citation-style-language/schema/raw/master/csl-citation.json"} </w:instrText>
      </w:r>
      <w:r w:rsidR="00CA12AD" w:rsidRPr="000D268C">
        <w:rPr>
          <w:rFonts w:cstheme="minorHAnsi"/>
          <w:lang w:val="en-GB"/>
        </w:rPr>
        <w:fldChar w:fldCharType="separate"/>
      </w:r>
      <w:r w:rsidR="000A5639" w:rsidRPr="000D268C">
        <w:rPr>
          <w:rFonts w:cstheme="minorHAnsi"/>
          <w:noProof/>
          <w:lang w:val="en-GB"/>
        </w:rPr>
        <w:t>(Thatcher &amp; Sweet, 2002)</w:t>
      </w:r>
      <w:r w:rsidR="00CA12AD" w:rsidRPr="000D268C">
        <w:rPr>
          <w:rFonts w:cstheme="minorHAnsi"/>
          <w:lang w:val="en-GB"/>
        </w:rPr>
        <w:fldChar w:fldCharType="end"/>
      </w:r>
      <w:r w:rsidR="00CA12AD" w:rsidRPr="000D268C">
        <w:rPr>
          <w:rFonts w:cstheme="minorHAnsi"/>
          <w:lang w:val="en-GB"/>
        </w:rPr>
        <w:t>. Consequently, they can be expected to seek self-legitimation through voluntary means in any system of government</w:t>
      </w:r>
      <w:r w:rsidR="00F2475E" w:rsidRPr="000D268C">
        <w:rPr>
          <w:rFonts w:cstheme="minorHAnsi"/>
          <w:lang w:val="en-GB"/>
        </w:rPr>
        <w:t xml:space="preserve"> (Table 2)</w:t>
      </w:r>
      <w:r w:rsidR="00CA12AD" w:rsidRPr="000D268C">
        <w:rPr>
          <w:rFonts w:cstheme="minorHAnsi"/>
          <w:lang w:val="en-GB"/>
        </w:rPr>
        <w:t xml:space="preserve">, but especially when dealing with politically salient issues </w:t>
      </w:r>
      <w:r w:rsidR="00CA12AD" w:rsidRPr="000D268C">
        <w:rPr>
          <w:rFonts w:cstheme="minorHAnsi"/>
          <w:lang w:val="en-GB"/>
        </w:rPr>
        <w:fldChar w:fldCharType="begin"/>
      </w:r>
      <w:r w:rsidR="00CA12AD" w:rsidRPr="000D268C">
        <w:rPr>
          <w:rFonts w:cstheme="minorHAnsi"/>
          <w:lang w:val="en-GB"/>
        </w:rPr>
        <w:instrText xml:space="preserve"> ADDIN ZOTERO_ITEM CSL_CITATION {"citationID":"SGNjkiPu","properties":{"formattedCitation":"(Koop, 2014; Schillemans &amp; Busuioc, 2015)","plainCitation":"(Koop, 2014; Schillemans &amp; Busuioc, 2015)","noteIndex":0},"citationItems":[{"id":5584,"uris":["http://zotero.org/users/1129714/items/V7JCADHJ"],"uri":["http://zotero.org/users/1129714/items/V7JCADHJ"],"itemData":{"id":5584,"type":"article-journal","abstract":"Public organizations are not only subject to statutory obligations to give account, but they also commit themselves voluntarily to additional accountability practices. What motivates the organizations to do so? After all, such practices are costly to the organizations in a number of ways. This study argues that public organizations opt for voluntary accountability for two main reasons: they regard it as an appropriate practice and they respond to perceived legislative threats. Building on these explanations, hypotheses are formulated on the variation in the degree to which organizations voluntarily render account. These hypotheses are tested using new data on voluntary accountability of 103 independent agencies in the Netherlands. The study finds that more voluntary account is rendered by agencies which deal with more salient policy issues, by agencies which depend on public funds, and by agencies with more staff. Agencies without legal personality render less voluntary account.","container-title":"Public Administration","ISSN":"1467-9299","issue":"3","language":"en","page":"565-581","source":"Wiley Online Library","title":"Theorizing and Explaining Voluntary Accountability","volume":"92","author":[{"family":"Koop","given":"Christel"}],"issued":{"date-parts":[["2014",9,1]]}}},{"id":2557,"uris":["http://zotero.org/users/1129714/items/XAJRZE5X"],"uri":["http://zotero.org/users/1129714/items/XAJRZE5X"],"itemData":{"id":2557,"type":"article-journal","abstract":"Abstract.  Principal-agent theory has been the dominant theory at the heart of public sector accountability research. The notion of the potentially drifting age","container-title":"Journal of Public Administration Research and Theory","ISSN":"1053-1858","issue":"1","journalAbbreviation":"J Public Adm Res Theory","language":"en","page":"191-215","source":"academic.oup.com","title":"Predicting Public Sector Accountability: From Agency Drift to Forum Drift","title-short":"Predicting Public Sector Accountability","volume":"25","author":[{"family":"Schillemans","given":"Thomas"},{"family":"Busuioc","given":"Madalina"}],"issued":{"date-parts":[["2015",1,1]]}}}],"schema":"https://github.com/citation-style-language/schema/raw/master/csl-citation.json"} </w:instrText>
      </w:r>
      <w:r w:rsidR="00CA12AD" w:rsidRPr="000D268C">
        <w:rPr>
          <w:rFonts w:cstheme="minorHAnsi"/>
          <w:lang w:val="en-GB"/>
        </w:rPr>
        <w:fldChar w:fldCharType="separate"/>
      </w:r>
      <w:r w:rsidR="000A5639" w:rsidRPr="000D268C">
        <w:rPr>
          <w:rFonts w:cstheme="minorHAnsi"/>
          <w:noProof/>
          <w:lang w:val="en-GB"/>
        </w:rPr>
        <w:t>(Koop, 2014; Schillemans &amp; Busuioc, 2015)</w:t>
      </w:r>
      <w:r w:rsidR="00CA12AD" w:rsidRPr="000D268C">
        <w:rPr>
          <w:rFonts w:cstheme="minorHAnsi"/>
          <w:lang w:val="en-GB"/>
        </w:rPr>
        <w:fldChar w:fldCharType="end"/>
      </w:r>
      <w:r w:rsidR="00F2475E" w:rsidRPr="000D268C">
        <w:rPr>
          <w:rFonts w:cstheme="minorHAnsi"/>
          <w:lang w:val="en-GB"/>
        </w:rPr>
        <w:t xml:space="preserve">. The third scenario is thus expected when a) public pressure on an issue is high, but otherwise there are b) fewer structural opportunities for legislative oversight, c) the parliament has </w:t>
      </w:r>
      <w:r w:rsidR="00A54206" w:rsidRPr="000D268C">
        <w:rPr>
          <w:rFonts w:cstheme="minorHAnsi"/>
          <w:lang w:val="en-GB"/>
        </w:rPr>
        <w:t>strong law-making powers</w:t>
      </w:r>
      <w:r w:rsidR="00F2475E" w:rsidRPr="000D268C">
        <w:rPr>
          <w:rFonts w:cstheme="minorHAnsi"/>
          <w:lang w:val="en-GB"/>
        </w:rPr>
        <w:t xml:space="preserve"> in a given institutional context</w:t>
      </w:r>
      <w:r w:rsidR="00A54206" w:rsidRPr="000D268C">
        <w:rPr>
          <w:rFonts w:cstheme="minorHAnsi"/>
          <w:lang w:val="en-GB"/>
        </w:rPr>
        <w:t xml:space="preserve"> (as opposed to strong </w:t>
      </w:r>
      <w:r w:rsidR="00CB35D2" w:rsidRPr="000D268C">
        <w:rPr>
          <w:rFonts w:cstheme="minorHAnsi"/>
          <w:lang w:val="en-GB"/>
        </w:rPr>
        <w:t>elective and</w:t>
      </w:r>
      <w:r w:rsidR="00A54206" w:rsidRPr="000D268C">
        <w:rPr>
          <w:rFonts w:cstheme="minorHAnsi"/>
          <w:lang w:val="en-GB"/>
        </w:rPr>
        <w:t xml:space="preserve"> control powers o</w:t>
      </w:r>
      <w:r w:rsidR="001A5357" w:rsidRPr="000D268C">
        <w:rPr>
          <w:rFonts w:cstheme="minorHAnsi"/>
          <w:lang w:val="en-GB"/>
        </w:rPr>
        <w:t>ver</w:t>
      </w:r>
      <w:r w:rsidR="00A54206" w:rsidRPr="000D268C">
        <w:rPr>
          <w:rFonts w:cstheme="minorHAnsi"/>
          <w:lang w:val="en-GB"/>
        </w:rPr>
        <w:t xml:space="preserve"> the executive)</w:t>
      </w:r>
      <w:r w:rsidR="00F2475E" w:rsidRPr="000D268C">
        <w:rPr>
          <w:rFonts w:cstheme="minorHAnsi"/>
          <w:lang w:val="en-GB"/>
        </w:rPr>
        <w:t xml:space="preserve">, whereas d) the party system is conducive to coalition governments </w:t>
      </w:r>
      <w:r w:rsidR="00F2475E" w:rsidRPr="000D268C">
        <w:rPr>
          <w:rFonts w:cstheme="minorHAnsi"/>
          <w:lang w:val="en-GB"/>
        </w:rPr>
        <w:fldChar w:fldCharType="begin"/>
      </w:r>
      <w:r w:rsidR="002950A7" w:rsidRPr="000D268C">
        <w:rPr>
          <w:rFonts w:cstheme="minorHAnsi"/>
          <w:lang w:val="en-GB"/>
        </w:rPr>
        <w:instrText xml:space="preserve"> ADDIN ZOTERO_ITEM CSL_CITATION {"citationID":"S5s4QUor","properties":{"formattedCitation":"(Martin, 2011; McCubbins &amp; Schwartz, 1984; Ogul, 1976; Rockman, 1984; Russo &amp; Wiberg, 2010; Sieberer, 2011; Wiberg &amp; Koura, 1994)","plainCitation":"(Martin, 2011; McCubbins &amp; Schwartz, 1984; Ogul, 1976; Rockman, 1984; Russo &amp; Wiberg, 2010; Sieberer, 2011; Wiberg &amp; Koura, 1994)","dontUpdate":true,"noteIndex":0},"citationItems":[{"id":6287,"uris":["http://zotero.org/users/1129714/items/YBECNTPF"],"uri":["http://zotero.org/users/1129714/items/YBECNTPF"],"itemData":{"id":6287,"type":"article-journal","abstract":"Individual legislators differ in the degree to which they work to cultivate personal votes. While conventional wisdom declares that the electoral system typically motivates the choice of legislative role, researchers have found difficulty assessing empirically the role behaviour of legislators. This study suggests using the content analysis of parliamentary questions as a mechanism to measure variations in personal vote-earning strategies. To demonstrate the usefulness of this approach, and the constituency focus of Irish parliamentarians, 123,762 questions tabled by Dáil Deputies between 1997 and 2002 are analysed. While evidence of some orientation toward localism is apparent, the data suggest significant variations in role orientation among legislators. Competing electoral system and non-electoral system explanations of intra-system variation in personal vote-earning effort are hypothesised and tested. Characteristics such as district magnitude, intra-party competition, electoral vulnerability, geography, education, gender and career incentives only partially explain the variation. The results highlight the need to move beyond using electoral rules as a general proxy for role orientation and behaviour.","container-title":"Political Studies","ISSN":"1467-9248","issue":"2","language":"en","page":"472-488","source":"Wiley Online Library","title":"Using Parliamentary Questions to Measure Constituency Focus: An Application to the Irish Case","volume":"59","author":[{"family":"Martin","given":"Shane"}],"issued":{"date-parts":[["2011"]]}}},{"id":34,"uris":["http://zotero.org/users/1129714/items/NH638BN4"],"uri":["http://zotero.org/users/1129714/items/NH638BN4"],"itemData":{"id":34,"type":"article-journal","container-title":"American Journal of Political Science","ISSN":"00925853","issue":"1","page":"165","source":"CrossRef","title":"Congressional Oversight Overlooked: Police Patrols versus Fire Alarms","title-short":"Congressional Oversight Overlooked","volume":"28","author":[{"family":"McCubbins","given":"Mathew D."},{"family":"Schwartz","given":"Thomas"}],"issued":{"date-parts":[["1984",2]]}}},{"id":6074,"uris":["http://zotero.org/users/1129714/items/FQ3HHZN6"],"uri":["http://zotero.org/users/1129714/items/FQ3HHZN6"],"itemData":{"id":6074,"type":"book","abstract":"Congressional supervision of the way the executive implements legislative mandates-“oversight” of the bureaucracy-is one of the most complex and least understood functions of Congress. In this book, Morris Ogul clarifies the meaning of oversight and analyzes the elements that contribute to its success or neglect.    Ogul's work is based on case studies from nearly one hundred interviews with congressmen, committee staff members, lobbyists, and members of the executive branch., as well as an examination of relevant congressional documents.","edition":"1st edition","event-place":"Pittsburgh, PA","ISBN":"978-0-8229-8454-2","language":"English","number-of-pages":"252","publisher":"University of Pittsburgh Press","publisher-place":"Pittsburgh, PA","source":"Amazon","title":"Congress Oversees the Bureaucracy","author":[{"family":"Ogul","given":"Morris S."}],"issued":{"date-parts":[["1976",5,15]]}}},{"id":5994,"uris":["http://zotero.org/users/1129714/items/IC5W66QY"],"uri":["http://zotero.org/users/1129714/items/IC5W66QY"],"itemData":{"id":5994,"type":"article-journal","abstract":"[As a focus of scholarship, the subject of legislative-executive relations is both elusively broad and remarkably diverse. This essay attempts to make both the breadth and diversity of the field more comprehensible by examining and identifying: (1) attributes and characteristics of key legislative and executive \"players,\" (2) various points of intersection between legislative and executive \"players\" and their institutions, and, especially, (3) forms, conditions, and impacts of legislative supervision of the executive (oversight). Analysis of the research and scholarly literature on these topics is situated in a context of different normative perspectives toward governance.]","archive":"JSTOR","container-title":"Legislative Studies Quarterly","ISSN":"0362-9805","issue":"3","page":"387-440","source":"JSTOR","title":"Legislative-Executive Relations and Legislative Oversight","volume":"9","author":[{"family":"Rockman","given":"Bert A."}],"issued":{"date-parts":[["1984"]]}}},{"id":6055,"uris":["http://zotero.org/users/1129714/items/W4TEFL8U"],"uri":["http://zotero.org/users/1129714/items/W4TEFL8U"],"itemData":{"id":6055,"type":"article-journal","abstract":"All democratic parliaments have some procedures to allow representatives to put questions to ministers. However, there are no two parliaments with exactly the same procedures. Cross-national comparisons are hindered by the lack of agreed-upon scientific criteria to group similar procedures, which are too often classified on the basis of their names rather than on their substantive characteristics. To overcome this problem, this article devises a typology of parliamentary questions based on relevant procedural features in 17 European countries. A ranking of parliaments according to the criteria of the effectiveness of procedures is developed and a discussion of the relationship of this ranking to the coalitional characteristics of the parliaments is provided. Finally, the article develops some tentative arguments to explain what influences the development of more or less effective questioning procedures, testing the hypothesis that countries dominated by coalition governments tend to have more effective procedures. In contrast with the authors' expectations, with regard to the countries included in the present analysis, the frequent presence of coalition government is associated with weaker procedures.","container-title":"The Journal of Legislative Studies","DOI":"10.1080/13572331003740115","ISSN":"1357-2334","issue":"2","page":"215-232","source":"Taylor and Francis+NEJM","title":"Parliamentary Questioning in 17 European Parliaments: Some Steps towards Comparison","title-short":"Parliamentary Questioning in 17 European Parliaments","volume":"16","author":[{"family":"Russo","given":"Federico"},{"family":"Wiberg","given":"Matti"}],"issued":{"date-parts":[["2010",6,1]]}}},{"id":7039,"uris":["http://zotero.org/users/1129714/items/AVDIF2MN"],"uri":["http://zotero.org/users/1129714/items/AVDIF2MN"],"itemData":{"id":7039,"type":"article-journal","abstract":"Parliaments are more than legislative bodies. However, we lack an adequate understanding of the theoretical relationship between different facets of parliamentary activity or ‘parliamentary functions’. Relying on the principal–agent framework, this article argues theoretically that parliamentary power is a multidimensional concept comprising three distinct mechanisms to ensure policy outputs in line with the collective preferences of parliaments: direct influence on policymaking, the ex ante selection of external officeholders, and the ex post control of the cabinet. These mechanisms mirror the classic legislative, electoral, and control functions of parliaments. Empirically, the paper uses factor analysis of newly developed indicators for electoral powers and established measures of legislative and control resources to show that the institutional powers of 15 Western European parliaments comprise four distinct dimensions. These dimensions match the three theoretically derived mechanisms with committee power as an additional factor. Locating the 15 parliaments in this multidimensional space of parliamentary powers demonstrates that classifications based solely on lawmaking lead to biased assessments of parliamentary strength and weakness. Instead, the paper provides a more nuanced picture of the ways in which Western European parliaments can influence policymaking under the conditions of delegation.","container-title":"West European Politics","DOI":"10.1080/01402382.2011.572389","ISSN":"0140-2382","issue":"4","page":"731-754","source":"Taylor and Francis+NEJM","title":"The Institutional Power of Western European Parliaments: A Multidimensional Analysis","title-short":"The Institutional Power of Western European Parliaments","volume":"34","author":[{"family":"Sieberer","given":"Ulrich"}],"issued":{"date-parts":[["2011",7,1]]}}},{"id":6316,"uris":["http://zotero.org/users/1129714/items/MA8SGKCS"],"uri":["http://zotero.org/users/1129714/items/MA8SGKCS"],"itemData":{"id":6316,"type":"chapter","container-title":"Parliamentary control in the Nordic countries: forms of questioning and behavioural trends","event-place":"Helsinki","ISBN":"978-951-96131-7-8","page":"19-43","publisher":"The Finnish Political Science Association","publisher-place":"Helsinki","source":"EBSCOhost","title":"The logic of parliamentary questioning","editor":[{"family":"Wiberg","given":"Matti"}],"author":[{"family":"Wiberg","given":"Matti"},{"family":"Koura","given":"Antti"}],"issued":{"date-parts":[["1994"]]}}}],"schema":"https://github.com/citation-style-language/schema/raw/master/csl-citation.json"} </w:instrText>
      </w:r>
      <w:r w:rsidR="00F2475E" w:rsidRPr="000D268C">
        <w:rPr>
          <w:rFonts w:cstheme="minorHAnsi"/>
          <w:lang w:val="en-GB"/>
        </w:rPr>
        <w:fldChar w:fldCharType="separate"/>
      </w:r>
      <w:r w:rsidR="00F2475E" w:rsidRPr="000D268C">
        <w:rPr>
          <w:rFonts w:cstheme="minorHAnsi"/>
          <w:noProof/>
          <w:lang w:val="en-GB"/>
        </w:rPr>
        <w:t>(based on Martin, 2011; McCubbins &amp; Schwartz, 1984; Ogul, 1976; Rockman, 1984; Russo &amp; Wiberg, 2010; Sieberer, 2011; Wiberg &amp; Koura, 1994)</w:t>
      </w:r>
      <w:r w:rsidR="00F2475E" w:rsidRPr="000D268C">
        <w:rPr>
          <w:rFonts w:cstheme="minorHAnsi"/>
          <w:lang w:val="en-GB"/>
        </w:rPr>
        <w:fldChar w:fldCharType="end"/>
      </w:r>
      <w:r w:rsidR="00F2475E" w:rsidRPr="000D268C">
        <w:rPr>
          <w:rFonts w:cstheme="minorHAnsi"/>
          <w:lang w:val="en-GB"/>
        </w:rPr>
        <w:t>.</w:t>
      </w:r>
    </w:p>
    <w:p w14:paraId="4A98A728" w14:textId="335C7AA1" w:rsidR="00926F9D" w:rsidRPr="000D268C" w:rsidRDefault="00926F9D" w:rsidP="002C54BF">
      <w:pPr>
        <w:pStyle w:val="ListParagraph"/>
        <w:numPr>
          <w:ilvl w:val="0"/>
          <w:numId w:val="29"/>
        </w:numPr>
        <w:spacing w:line="480" w:lineRule="auto"/>
        <w:jc w:val="both"/>
        <w:rPr>
          <w:rFonts w:cstheme="minorHAnsi"/>
          <w:i/>
          <w:iCs/>
          <w:lang w:val="en-GB"/>
        </w:rPr>
      </w:pPr>
      <w:r w:rsidRPr="000D268C">
        <w:rPr>
          <w:rFonts w:cstheme="minorHAnsi"/>
          <w:i/>
          <w:iCs/>
          <w:lang w:val="en-GB"/>
        </w:rPr>
        <w:t>Transparency</w:t>
      </w:r>
    </w:p>
    <w:p w14:paraId="4332620A" w14:textId="3A4A2973" w:rsidR="00BF57D7" w:rsidRPr="000D268C" w:rsidRDefault="00B058AB" w:rsidP="002C54BF">
      <w:pPr>
        <w:spacing w:after="240" w:line="480" w:lineRule="auto"/>
        <w:jc w:val="both"/>
        <w:rPr>
          <w:rFonts w:cstheme="minorHAnsi"/>
          <w:lang w:val="en-GB"/>
        </w:rPr>
      </w:pPr>
      <w:r w:rsidRPr="000D268C">
        <w:rPr>
          <w:rFonts w:cstheme="minorHAnsi"/>
          <w:lang w:val="en-GB"/>
        </w:rPr>
        <w:t xml:space="preserve">The fourth scenario occurs when parliaments ask weaker questions as part of legislative oversight, focusing on requests for information and justification of conduct from executive actors (Table 1). For their part, executive actors acknowledge the substance of questions and answer by justifying their decisions or defending the conduct under scrutiny. Similar to </w:t>
      </w:r>
      <w:r w:rsidRPr="000D268C">
        <w:rPr>
          <w:rFonts w:cstheme="minorHAnsi"/>
          <w:i/>
          <w:iCs/>
          <w:lang w:val="en-GB"/>
        </w:rPr>
        <w:t>Answerability</w:t>
      </w:r>
      <w:r w:rsidRPr="000D268C">
        <w:rPr>
          <w:rFonts w:cstheme="minorHAnsi"/>
          <w:lang w:val="en-GB"/>
        </w:rPr>
        <w:t xml:space="preserve">, this scenario is expected when legislatures and executive actors are not in a direct principal-agent relationship </w:t>
      </w:r>
      <w:r w:rsidRPr="000D268C">
        <w:rPr>
          <w:rFonts w:cstheme="minorHAnsi"/>
          <w:lang w:val="en-GB"/>
        </w:rPr>
        <w:fldChar w:fldCharType="begin"/>
      </w:r>
      <w:r w:rsidR="00A54206" w:rsidRPr="000D268C">
        <w:rPr>
          <w:rFonts w:cstheme="minorHAnsi"/>
          <w:lang w:val="en-GB"/>
        </w:rPr>
        <w:instrText xml:space="preserve"> ADDIN ZOTERO_ITEM CSL_CITATION {"citationID":"fMYkgAy4","properties":{"formattedCitation":"(Bovens, 2007, p. 451)","plainCitation":"(Bovens, 2007, p. 451)","noteIndex":0},"citationItems":[{"id":2255,"uris":["http://zotero.org/users/1129714/items/CZBQQUVE"],"uri":["http://zotero.org/users/1129714/items/CZBQQUVE"],"itemData":{"id":2255,"type":"article-journal","abstract":"Abstract:  It has been argued that the EU suffers from serious accountability deficits. But how can we establish the existence of accountability deficits? This article tries to get to grips with the appealing but elusive concept of accountability by asking three types of questions. First a conceptual one: what exactly is meant by accountability? In this article the concept of accountability is used in a rather narrow sense: a relationship between an actor and a forum, in which the actor has an obligation to explain and to justify his or her conduct, the forum can pose questions and pass judgement, and the actor may face consequences. The second question is analytical: what types of accountability are involved? A series of dimensions of accountability are discerned that can be used to describe the various accountability relations and arrangements that can be found in the different domains of European governance. The third question is evaluative: how should we assess these accountability arrangements? The article provides three evaluative perspectives: a democratic, a constitutional and a learning perspective. Each of these perspectives may produce different types of accountability deficits.","container-title":"European Law Journal","ISSN":"1468-0386","issue":"4","language":"en","page":"447-468","source":"Wiley Online Library","title":"Analysing and Assessing Accountability: A Conceptual Framework","title-short":"Analysing and Assessing Accountability","volume":"13","author":[{"family":"Bovens","given":"Mark"}],"issued":{"date-parts":[["2007",7,1]]}},"locator":"451"}],"schema":"https://github.com/citation-style-language/schema/raw/master/csl-citation.json"} </w:instrText>
      </w:r>
      <w:r w:rsidRPr="000D268C">
        <w:rPr>
          <w:rFonts w:cstheme="minorHAnsi"/>
          <w:lang w:val="en-GB"/>
        </w:rPr>
        <w:fldChar w:fldCharType="separate"/>
      </w:r>
      <w:r w:rsidR="000A5639" w:rsidRPr="000D268C">
        <w:rPr>
          <w:rFonts w:cstheme="minorHAnsi"/>
          <w:noProof/>
          <w:lang w:val="en-GB"/>
        </w:rPr>
        <w:t>(Bovens, 2007, p. 451)</w:t>
      </w:r>
      <w:r w:rsidRPr="000D268C">
        <w:rPr>
          <w:rFonts w:cstheme="minorHAnsi"/>
          <w:lang w:val="en-GB"/>
        </w:rPr>
        <w:fldChar w:fldCharType="end"/>
      </w:r>
      <w:r w:rsidRPr="000D268C">
        <w:rPr>
          <w:rFonts w:cstheme="minorHAnsi"/>
          <w:lang w:val="en-GB"/>
        </w:rPr>
        <w:t>. Since parliaments cannot control governments by changing their composition (especially in t</w:t>
      </w:r>
      <w:r w:rsidR="00BF57D7" w:rsidRPr="000D268C">
        <w:rPr>
          <w:rFonts w:cstheme="minorHAnsi"/>
          <w:lang w:val="en-GB"/>
        </w:rPr>
        <w:t xml:space="preserve">he </w:t>
      </w:r>
      <w:r w:rsidRPr="000D268C">
        <w:rPr>
          <w:rFonts w:cstheme="minorHAnsi"/>
          <w:lang w:val="en-GB"/>
        </w:rPr>
        <w:t xml:space="preserve">case of cabinets) or the legal framework in which they act (especially in the case of agencies or bureaucracies), the legislative-executive relationship focuses on transparency, i.e. the exchange of information </w:t>
      </w:r>
      <w:r w:rsidR="00A54206" w:rsidRPr="000D268C">
        <w:rPr>
          <w:rFonts w:cstheme="minorHAnsi"/>
          <w:lang w:val="en-GB"/>
        </w:rPr>
        <w:t>between the two parties</w:t>
      </w:r>
      <w:r w:rsidR="00BF57D7" w:rsidRPr="000D268C">
        <w:rPr>
          <w:rFonts w:cstheme="minorHAnsi"/>
          <w:lang w:val="en-GB"/>
        </w:rPr>
        <w:t xml:space="preserve"> (Table 2)</w:t>
      </w:r>
      <w:r w:rsidR="00A54206" w:rsidRPr="000D268C">
        <w:rPr>
          <w:rFonts w:cstheme="minorHAnsi"/>
          <w:lang w:val="en-GB"/>
        </w:rPr>
        <w:t xml:space="preserve">. The scenario is more likely to be encountered when a) </w:t>
      </w:r>
      <w:r w:rsidR="00A54206" w:rsidRPr="000D268C">
        <w:rPr>
          <w:rFonts w:cstheme="minorHAnsi"/>
          <w:lang w:val="en-GB"/>
        </w:rPr>
        <w:lastRenderedPageBreak/>
        <w:t xml:space="preserve">there is moderate public attention given to </w:t>
      </w:r>
      <w:r w:rsidR="00BF57D7" w:rsidRPr="000D268C">
        <w:rPr>
          <w:rFonts w:cstheme="minorHAnsi"/>
          <w:lang w:val="en-GB"/>
        </w:rPr>
        <w:t>the</w:t>
      </w:r>
      <w:r w:rsidR="00A54206" w:rsidRPr="000D268C">
        <w:rPr>
          <w:rFonts w:cstheme="minorHAnsi"/>
          <w:lang w:val="en-GB"/>
        </w:rPr>
        <w:t xml:space="preserve"> issue or </w:t>
      </w:r>
      <w:r w:rsidR="00EB2D62" w:rsidRPr="000D268C">
        <w:rPr>
          <w:rFonts w:cstheme="minorHAnsi"/>
          <w:lang w:val="en-GB"/>
        </w:rPr>
        <w:t xml:space="preserve">the </w:t>
      </w:r>
      <w:r w:rsidR="00A54206" w:rsidRPr="000D268C">
        <w:rPr>
          <w:rFonts w:cstheme="minorHAnsi"/>
          <w:lang w:val="en-GB"/>
        </w:rPr>
        <w:t>executive actor</w:t>
      </w:r>
      <w:r w:rsidR="00BF57D7" w:rsidRPr="000D268C">
        <w:rPr>
          <w:rFonts w:cstheme="minorHAnsi"/>
          <w:lang w:val="en-GB"/>
        </w:rPr>
        <w:t xml:space="preserve"> under scrutiny</w:t>
      </w:r>
      <w:r w:rsidR="00A54206" w:rsidRPr="000D268C">
        <w:rPr>
          <w:rFonts w:cstheme="minorHAnsi"/>
          <w:lang w:val="en-GB"/>
        </w:rPr>
        <w:t xml:space="preserve">, b) there are fewer structural opportunities for legislative oversight, while the institutional context is characterised by c) parliaments with strong law-making powers and d) a multi-party system conducive to coalition governments </w:t>
      </w:r>
      <w:r w:rsidR="00A54206" w:rsidRPr="000D268C">
        <w:rPr>
          <w:rFonts w:cstheme="minorHAnsi"/>
          <w:lang w:val="en-GB"/>
        </w:rPr>
        <w:fldChar w:fldCharType="begin"/>
      </w:r>
      <w:r w:rsidR="00973A56" w:rsidRPr="000D268C">
        <w:rPr>
          <w:rFonts w:cstheme="minorHAnsi"/>
          <w:lang w:val="en-GB"/>
        </w:rPr>
        <w:instrText xml:space="preserve"> ADDIN ZOTERO_ITEM CSL_CITATION {"citationID":"7ugNKunL","properties":{"formattedCitation":"(Martin, 2011; McCubbins &amp; Schwartz, 1984; Ogul, 1976; Rockman, 1984; Russo &amp; Wiberg, 2010; Sieberer, 2011; Wiberg &amp; Koura, 1994)","plainCitation":"(Martin, 2011; McCubbins &amp; Schwartz, 1984; Ogul, 1976; Rockman, 1984; Russo &amp; Wiberg, 2010; Sieberer, 2011; Wiberg &amp; Koura, 1994)","dontUpdate":true,"noteIndex":0},"citationItems":[{"id":6287,"uris":["http://zotero.org/users/1129714/items/YBECNTPF"],"uri":["http://zotero.org/users/1129714/items/YBECNTPF"],"itemData":{"id":6287,"type":"article-journal","abstract":"Individual legislators differ in the degree to which they work to cultivate personal votes. While conventional wisdom declares that the electoral system typically motivates the choice of legislative role, researchers have found difficulty assessing empirically the role behaviour of legislators. This study suggests using the content analysis of parliamentary questions as a mechanism to measure variations in personal vote-earning strategies. To demonstrate the usefulness of this approach, and the constituency focus of Irish parliamentarians, 123,762 questions tabled by Dáil Deputies between 1997 and 2002 are analysed. While evidence of some orientation toward localism is apparent, the data suggest significant variations in role orientation among legislators. Competing electoral system and non-electoral system explanations of intra-system variation in personal vote-earning effort are hypothesised and tested. Characteristics such as district magnitude, intra-party competition, electoral vulnerability, geography, education, gender and career incentives only partially explain the variation. The results highlight the need to move beyond using electoral rules as a general proxy for role orientation and behaviour.","container-title":"Political Studies","ISSN":"1467-9248","issue":"2","language":"en","page":"472-488","source":"Wiley Online Library","title":"Using Parliamentary Questions to Measure Constituency Focus: An Application to the Irish Case","volume":"59","author":[{"family":"Martin","given":"Shane"}],"issued":{"date-parts":[["2011"]]}}},{"id":34,"uris":["http://zotero.org/users/1129714/items/NH638BN4"],"uri":["http://zotero.org/users/1129714/items/NH638BN4"],"itemData":{"id":34,"type":"article-journal","container-title":"American Journal of Political Science","ISSN":"00925853","issue":"1","page":"165","source":"CrossRef","title":"Congressional Oversight Overlooked: Police Patrols versus Fire Alarms","title-short":"Congressional Oversight Overlooked","volume":"28","author":[{"family":"McCubbins","given":"Mathew D."},{"family":"Schwartz","given":"Thomas"}],"issued":{"date-parts":[["1984",2]]}}},{"id":6074,"uris":["http://zotero.org/users/1129714/items/FQ3HHZN6"],"uri":["http://zotero.org/users/1129714/items/FQ3HHZN6"],"itemData":{"id":6074,"type":"book","abstract":"Congressional supervision of the way the executive implements legislative mandates-“oversight” of the bureaucracy-is one of the most complex and least understood functions of Congress. In this book, Morris Ogul clarifies the meaning of oversight and analyzes the elements that contribute to its success or neglect.    Ogul's work is based on case studies from nearly one hundred interviews with congressmen, committee staff members, lobbyists, and members of the executive branch., as well as an examination of relevant congressional documents.","edition":"1st edition","event-place":"Pittsburgh, PA","ISBN":"978-0-8229-8454-2","language":"English","number-of-pages":"252","publisher":"University of Pittsburgh Press","publisher-place":"Pittsburgh, PA","source":"Amazon","title":"Congress Oversees the Bureaucracy","author":[{"family":"Ogul","given":"Morris S."}],"issued":{"date-parts":[["1976",5,15]]}}},{"id":5994,"uris":["http://zotero.org/users/1129714/items/IC5W66QY"],"uri":["http://zotero.org/users/1129714/items/IC5W66QY"],"itemData":{"id":5994,"type":"article-journal","abstract":"[As a focus of scholarship, the subject of legislative-executive relations is both elusively broad and remarkably diverse. This essay attempts to make both the breadth and diversity of the field more comprehensible by examining and identifying: (1) attributes and characteristics of key legislative and executive \"players,\" (2) various points of intersection between legislative and executive \"players\" and their institutions, and, especially, (3) forms, conditions, and impacts of legislative supervision of the executive (oversight). Analysis of the research and scholarly literature on these topics is situated in a context of different normative perspectives toward governance.]","archive":"JSTOR","container-title":"Legislative Studies Quarterly","ISSN":"0362-9805","issue":"3","page":"387-440","source":"JSTOR","title":"Legislative-Executive Relations and Legislative Oversight","volume":"9","author":[{"family":"Rockman","given":"Bert A."}],"issued":{"date-parts":[["1984"]]}}},{"id":6055,"uris":["http://zotero.org/users/1129714/items/W4TEFL8U"],"uri":["http://zotero.org/users/1129714/items/W4TEFL8U"],"itemData":{"id":6055,"type":"article-journal","abstract":"All democratic parliaments have some procedures to allow representatives to put questions to ministers. However, there are no two parliaments with exactly the same procedures. Cross-national comparisons are hindered by the lack of agreed-upon scientific criteria to group similar procedures, which are too often classified on the basis of their names rather than on their substantive characteristics. To overcome this problem, this article devises a typology of parliamentary questions based on relevant procedural features in 17 European countries. A ranking of parliaments according to the criteria of the effectiveness of procedures is developed and a discussion of the relationship of this ranking to the coalitional characteristics of the parliaments is provided. Finally, the article develops some tentative arguments to explain what influences the development of more or less effective questioning procedures, testing the hypothesis that countries dominated by coalition governments tend to have more effective procedures. In contrast with the authors' expectations, with regard to the countries included in the present analysis, the frequent presence of coalition government is associated with weaker procedures.","container-title":"The Journal of Legislative Studies","DOI":"10.1080/13572331003740115","ISSN":"1357-2334","issue":"2","page":"215-232","source":"Taylor and Francis+NEJM","title":"Parliamentary Questioning in 17 European Parliaments: Some Steps towards Comparison","title-short":"Parliamentary Questioning in 17 European Parliaments","volume":"16","author":[{"family":"Russo","given":"Federico"},{"family":"Wiberg","given":"Matti"}],"issued":{"date-parts":[["2010",6,1]]}}},{"id":7039,"uris":["http://zotero.org/users/1129714/items/AVDIF2MN"],"uri":["http://zotero.org/users/1129714/items/AVDIF2MN"],"itemData":{"id":7039,"type":"article-journal","abstract":"Parliaments are more than legislative bodies. However, we lack an adequate understanding of the theoretical relationship between different facets of parliamentary activity or ‘parliamentary functions’. Relying on the principal–agent framework, this article argues theoretically that parliamentary power is a multidimensional concept comprising three distinct mechanisms to ensure policy outputs in line with the collective preferences of parliaments: direct influence on policymaking, the ex ante selection of external officeholders, and the ex post control of the cabinet. These mechanisms mirror the classic legislative, electoral, and control functions of parliaments. Empirically, the paper uses factor analysis of newly developed indicators for electoral powers and established measures of legislative and control resources to show that the institutional powers of 15 Western European parliaments comprise four distinct dimensions. These dimensions match the three theoretically derived mechanisms with committee power as an additional factor. Locating the 15 parliaments in this multidimensional space of parliamentary powers demonstrates that classifications based solely on lawmaking lead to biased assessments of parliamentary strength and weakness. Instead, the paper provides a more nuanced picture of the ways in which Western European parliaments can influence policymaking under the conditions of delegation.","container-title":"West European Politics","DOI":"10.1080/01402382.2011.572389","ISSN":"0140-2382","issue":"4","page":"731-754","source":"Taylor and Francis+NEJM","title":"The Institutional Power of Western European Parliaments: A Multidimensional Analysis","title-short":"The Institutional Power of Western European Parliaments","volume":"34","author":[{"family":"Sieberer","given":"Ulrich"}],"issued":{"date-parts":[["2011",7,1]]}}},{"id":6316,"uris":["http://zotero.org/users/1129714/items/MA8SGKCS"],"uri":["http://zotero.org/users/1129714/items/MA8SGKCS"],"itemData":{"id":6316,"type":"chapter","container-title":"Parliamentary control in the Nordic countries: forms of questioning and behavioural trends","event-place":"Helsinki","ISBN":"978-951-96131-7-8","page":"19-43","publisher":"The Finnish Political Science Association","publisher-place":"Helsinki","source":"EBSCOhost","title":"The logic of parliamentary questioning","editor":[{"family":"Wiberg","given":"Matti"}],"author":[{"family":"Wiberg","given":"Matti"},{"family":"Koura","given":"Antti"}],"issued":{"date-parts":[["1994"]]}}}],"schema":"https://github.com/citation-style-language/schema/raw/master/csl-citation.json"} </w:instrText>
      </w:r>
      <w:r w:rsidR="00A54206" w:rsidRPr="000D268C">
        <w:rPr>
          <w:rFonts w:cstheme="minorHAnsi"/>
          <w:lang w:val="en-GB"/>
        </w:rPr>
        <w:fldChar w:fldCharType="separate"/>
      </w:r>
      <w:r w:rsidR="00A54206" w:rsidRPr="000D268C">
        <w:rPr>
          <w:rFonts w:cstheme="minorHAnsi"/>
          <w:noProof/>
          <w:lang w:val="en-GB"/>
        </w:rPr>
        <w:t>(based on Martin, 2011; McCubbins &amp; Schwartz, 1984; Ogul, 1976; Rockman, 1984; Russo &amp; Wiberg, 2010; Sieberer, 2011; Wiberg &amp; Koura, 1994)</w:t>
      </w:r>
      <w:r w:rsidR="00A54206" w:rsidRPr="000D268C">
        <w:rPr>
          <w:rFonts w:cstheme="minorHAnsi"/>
          <w:lang w:val="en-GB"/>
        </w:rPr>
        <w:fldChar w:fldCharType="end"/>
      </w:r>
      <w:r w:rsidR="00A54206" w:rsidRPr="000D268C">
        <w:rPr>
          <w:rFonts w:cstheme="minorHAnsi"/>
          <w:lang w:val="en-GB"/>
        </w:rPr>
        <w:t>.</w:t>
      </w:r>
    </w:p>
    <w:p w14:paraId="233D8BD8" w14:textId="0D7F1199" w:rsidR="00FB4F02" w:rsidRPr="000D268C" w:rsidRDefault="00BF57D7" w:rsidP="002C54BF">
      <w:pPr>
        <w:pStyle w:val="ListParagraph"/>
        <w:numPr>
          <w:ilvl w:val="0"/>
          <w:numId w:val="29"/>
        </w:numPr>
        <w:spacing w:line="480" w:lineRule="auto"/>
        <w:jc w:val="both"/>
        <w:rPr>
          <w:rFonts w:cstheme="minorHAnsi"/>
          <w:i/>
          <w:iCs/>
          <w:lang w:val="en-GB"/>
        </w:rPr>
      </w:pPr>
      <w:r w:rsidRPr="000D268C">
        <w:rPr>
          <w:rFonts w:cstheme="minorHAnsi"/>
          <w:i/>
          <w:iCs/>
          <w:lang w:val="en-GB"/>
        </w:rPr>
        <w:t>Drift</w:t>
      </w:r>
    </w:p>
    <w:p w14:paraId="216579DD" w14:textId="1D128078" w:rsidR="00D416A4" w:rsidRPr="000D268C" w:rsidRDefault="00BF57D7" w:rsidP="002C54BF">
      <w:pPr>
        <w:spacing w:after="240" w:line="480" w:lineRule="auto"/>
        <w:jc w:val="both"/>
        <w:rPr>
          <w:rFonts w:cstheme="minorHAnsi"/>
          <w:lang w:val="en-GB"/>
        </w:rPr>
      </w:pPr>
      <w:r w:rsidRPr="000D268C">
        <w:rPr>
          <w:rFonts w:cstheme="minorHAnsi"/>
          <w:lang w:val="en-GB"/>
        </w:rPr>
        <w:t>The fifth scenario occurs when parliaments ask stronger oversight questions focus</w:t>
      </w:r>
      <w:r w:rsidR="00DB0EE1" w:rsidRPr="000D268C">
        <w:rPr>
          <w:rFonts w:cstheme="minorHAnsi"/>
          <w:lang w:val="en-GB"/>
        </w:rPr>
        <w:t>ed</w:t>
      </w:r>
      <w:r w:rsidRPr="000D268C">
        <w:rPr>
          <w:rFonts w:cstheme="minorHAnsi"/>
          <w:lang w:val="en-GB"/>
        </w:rPr>
        <w:t xml:space="preserve"> on </w:t>
      </w:r>
      <w:r w:rsidR="00DB0EE1" w:rsidRPr="000D268C">
        <w:rPr>
          <w:rFonts w:cstheme="minorHAnsi"/>
          <w:lang w:val="en-GB"/>
        </w:rPr>
        <w:t>changing</w:t>
      </w:r>
      <w:r w:rsidRPr="000D268C">
        <w:rPr>
          <w:rFonts w:cstheme="minorHAnsi"/>
          <w:lang w:val="en-GB"/>
        </w:rPr>
        <w:t xml:space="preserve"> decisions and </w:t>
      </w:r>
      <w:r w:rsidR="00DB0EE1" w:rsidRPr="000D268C">
        <w:rPr>
          <w:rFonts w:cstheme="minorHAnsi"/>
          <w:lang w:val="en-GB"/>
        </w:rPr>
        <w:t>imposing</w:t>
      </w:r>
      <w:r w:rsidRPr="000D268C">
        <w:rPr>
          <w:rFonts w:cstheme="minorHAnsi"/>
          <w:lang w:val="en-GB"/>
        </w:rPr>
        <w:t xml:space="preserve"> sanctions, </w:t>
      </w:r>
      <w:r w:rsidR="00DB0EE1" w:rsidRPr="000D268C">
        <w:rPr>
          <w:rFonts w:cstheme="minorHAnsi"/>
          <w:lang w:val="en-GB"/>
        </w:rPr>
        <w:t>to which</w:t>
      </w:r>
      <w:r w:rsidRPr="000D268C">
        <w:rPr>
          <w:rFonts w:cstheme="minorHAnsi"/>
          <w:lang w:val="en-GB"/>
        </w:rPr>
        <w:t xml:space="preserve"> executive actors respond through equivocation, evading </w:t>
      </w:r>
      <w:r w:rsidR="00DB0EE1" w:rsidRPr="000D268C">
        <w:rPr>
          <w:rFonts w:cstheme="minorHAnsi"/>
          <w:lang w:val="en-GB"/>
        </w:rPr>
        <w:t xml:space="preserve">or failing to address </w:t>
      </w:r>
      <w:r w:rsidRPr="000D268C">
        <w:rPr>
          <w:rFonts w:cstheme="minorHAnsi"/>
          <w:lang w:val="en-GB"/>
        </w:rPr>
        <w:t xml:space="preserve">the </w:t>
      </w:r>
      <w:r w:rsidR="00DB0EE1" w:rsidRPr="000D268C">
        <w:rPr>
          <w:rFonts w:cstheme="minorHAnsi"/>
          <w:lang w:val="en-GB"/>
        </w:rPr>
        <w:t xml:space="preserve">substance of </w:t>
      </w:r>
      <w:r w:rsidRPr="000D268C">
        <w:rPr>
          <w:rFonts w:cstheme="minorHAnsi"/>
          <w:lang w:val="en-GB"/>
        </w:rPr>
        <w:t>question</w:t>
      </w:r>
      <w:r w:rsidR="00DB0EE1" w:rsidRPr="000D268C">
        <w:rPr>
          <w:rFonts w:cstheme="minorHAnsi"/>
          <w:lang w:val="en-GB"/>
        </w:rPr>
        <w:t>s</w:t>
      </w:r>
      <w:r w:rsidRPr="000D268C">
        <w:rPr>
          <w:rFonts w:cstheme="minorHAnsi"/>
          <w:lang w:val="en-GB"/>
        </w:rPr>
        <w:t xml:space="preserve"> (Table 1). This scenario follows classical principal-agent expectations regarding legislative oversight, based on assumptions of asymmetric information between parliaments and government agencies with specialised knowledge, which can explain any question away regardless of the system of government </w:t>
      </w:r>
      <w:r w:rsidRPr="000D268C">
        <w:rPr>
          <w:rFonts w:cstheme="minorHAnsi"/>
          <w:lang w:val="en-GB"/>
        </w:rPr>
        <w:fldChar w:fldCharType="begin"/>
      </w:r>
      <w:r w:rsidRPr="000D268C">
        <w:rPr>
          <w:rFonts w:cstheme="minorHAnsi"/>
          <w:lang w:val="en-GB"/>
        </w:rPr>
        <w:instrText xml:space="preserve"> ADDIN ZOTERO_ITEM CSL_CITATION {"citationID":"mOAKAqpw","properties":{"formattedCitation":"(Lupia &amp; McCubbins, 1994; Moe, 1984)","plainCitation":"(Lupia &amp; McCubbins, 1994; Moe, 1984)","noteIndex":0},"citationItems":[{"id":6340,"uris":["http://zotero.org/users/1129714/items/V8L6ZSF3"],"uri":["http://zotero.org/users/1129714/items/V8L6ZSF3"],"itemData":{"id":6340,"type":"article-journal","abstract":"[While the delegation of policy-making authority from legislators to bureaucrats is ubiquitous in modern democracies, there is considerable disagreement about the consequences of this type of delegation. Some scholars point to the fact that bureaucrats tend to have policy-relevant expertise, assume that bureaucrats will use their expertise to systematically mislead legislators, and conclude that delegation and abdication are equivalent. Other scholars point to the extensive use of legislative oversight, assume that oversight is sufficient to abate the problems associated with bureaucratic expertise, and conclude that delegation produces more effective governance. We depart from previous scholarship by developing models of delegation and oversight that allow us to derive, rather than assume, conditions under which legislators can adapt successfully to bureaucratic expertise. With these conditions in hand, we identify conditions under which delegation to the bureaucracy produces more effective governance and conditions under which delegation and abdication are equivalent.]","archive":"JSTOR","container-title":"Journal of Law, Economics, &amp; Organization","ISSN":"8756-6222","issue":"1","page":"96-125","source":"JSTOR","title":"Learning from Oversight: Fire Alarms and Police Patrols Reconstructed","title-short":"Learning from Oversight","volume":"10","author":[{"family":"Lupia","given":"Arthur"},{"family":"McCubbins","given":"Mathew D."}],"issued":{"date-parts":[["1994"]]}}},{"id":474,"uris":["http://zotero.org/users/1129714/items/KXGRRIK4"],"uri":["http://zotero.org/users/1129714/items/KXGRRIK4"],"itemData":{"id":474,"type":"article-journal","abstract":"Over the last ten years or so, an important new approach to the study of organizations has emerged within economics. It is perhaps best characterized by three elements: a contractual perspective on organizational relationships, a theoretical focus on hierarchical control, and formal analysis via principal-agent models. This paper provides political scientists with an overview of the \"new economics of organization\" and explores its implications for the study of public bureaucracy.","container-title":"American Journal of Political Science","ISSN":"0092-5853","issue":"4","journalAbbreviation":"American Journal of Political Science","page":"739-777","source":"JSTOR","title":"The New Economics of Organization","volume":"28","author":[{"family":"Moe","given":"Terry M."}],"issued":{"date-parts":[["1984",11,1]]}}}],"schema":"https://github.com/citation-style-language/schema/raw/master/csl-citation.json"} </w:instrText>
      </w:r>
      <w:r w:rsidRPr="000D268C">
        <w:rPr>
          <w:rFonts w:cstheme="minorHAnsi"/>
          <w:lang w:val="en-GB"/>
        </w:rPr>
        <w:fldChar w:fldCharType="separate"/>
      </w:r>
      <w:r w:rsidR="000A5639" w:rsidRPr="000D268C">
        <w:rPr>
          <w:rFonts w:cstheme="minorHAnsi"/>
          <w:noProof/>
          <w:lang w:val="en-GB"/>
        </w:rPr>
        <w:t>(Lupia &amp; McCubbins, 1994; Moe, 1984)</w:t>
      </w:r>
      <w:r w:rsidRPr="000D268C">
        <w:rPr>
          <w:rFonts w:cstheme="minorHAnsi"/>
          <w:lang w:val="en-GB"/>
        </w:rPr>
        <w:fldChar w:fldCharType="end"/>
      </w:r>
      <w:r w:rsidRPr="000D268C">
        <w:rPr>
          <w:rFonts w:cstheme="minorHAnsi"/>
          <w:lang w:val="en-GB"/>
        </w:rPr>
        <w:t xml:space="preserve">. Moreover, </w:t>
      </w:r>
      <w:r w:rsidRPr="000D268C">
        <w:rPr>
          <w:rFonts w:cstheme="minorHAnsi"/>
          <w:i/>
          <w:iCs/>
          <w:lang w:val="en-GB"/>
        </w:rPr>
        <w:t>Drift</w:t>
      </w:r>
      <w:r w:rsidRPr="000D268C">
        <w:rPr>
          <w:rFonts w:cstheme="minorHAnsi"/>
          <w:lang w:val="en-GB"/>
        </w:rPr>
        <w:t xml:space="preserve"> is likely to occur in institutional contexts where executive decisions are taken collectively across different agencies or levels of government, </w:t>
      </w:r>
      <w:r w:rsidR="00EB2D62" w:rsidRPr="000D268C">
        <w:rPr>
          <w:rFonts w:cstheme="minorHAnsi"/>
          <w:lang w:val="en-GB"/>
        </w:rPr>
        <w:t xml:space="preserve">thus </w:t>
      </w:r>
      <w:r w:rsidR="00D416A4" w:rsidRPr="000D268C">
        <w:rPr>
          <w:rFonts w:cstheme="minorHAnsi"/>
          <w:lang w:val="en-GB"/>
        </w:rPr>
        <w:t xml:space="preserve">opening the space for blame-shifting from one actor to another </w:t>
      </w:r>
      <w:r w:rsidR="00D416A4" w:rsidRPr="000D268C">
        <w:rPr>
          <w:rFonts w:cstheme="minorHAnsi"/>
          <w:lang w:val="en-GB"/>
        </w:rPr>
        <w:fldChar w:fldCharType="begin"/>
      </w:r>
      <w:r w:rsidR="00D416A4" w:rsidRPr="000D268C">
        <w:rPr>
          <w:rFonts w:cstheme="minorHAnsi"/>
          <w:lang w:val="en-GB"/>
        </w:rPr>
        <w:instrText xml:space="preserve"> ADDIN ZOTERO_ITEM CSL_CITATION {"citationID":"kHW3HWwi","properties":{"formattedCitation":"(Hobolt &amp; Tilley, 2014; Hood, 2010)","plainCitation":"(Hobolt &amp; Tilley, 2014; Hood, 2010)","noteIndex":0},"citationItems":[{"id":166,"uris":["http://zotero.org/users/1129714/items/GNGP8IAS"],"uri":["http://zotero.org/users/1129714/items/GNGP8IAS"],"itemData":{"id":166,"type":"book","abstract":"A key component of democratic accountability is that citizens understand 'who is to blame'. Nonetheless, little is known about how citizens attribute responsibility in the European Union or how those perceptions of responsibility matter. This book presents the first comprehensive account of how citizens assign blame to the EU, how politicians and the media attempt to shift blame and finally, how it matters for electoral democracy. Based on rich and unique data sources, Blaming Europe? sheds light on all three aspects of responsibility in the EU. First, it shows that while institutional differences between countries shape citizen judgements of EU responsibility, those judgements are also highly determined by pre-existing attitudes towards the EU. Second, it demonstrates that neither politicians nor the media assign much blame to the EU. Third, it establishes that regardless of whether voters are capable of accurately assigning responsibility, they are not able to hold their EU representatives to account via the ballot box in European elections due to the lack of an identifiable 'European government' to reward or punish. As a consequence, when citizens hold the EU responsible for poor performance, but are unable to sanction an EU incumbent, they lose trust in the EU as a whole instead. In conclusion, it argues that this 'accountability deficit' has significant implications for the future of the European Union.","ISBN":"978-0-19-966568-6","language":"en","note":"Google-Books-ID: l9TQAgAAQBAJ","number-of-pages":"209","publisher":"Oxford University Press","source":"Google Books","title":"Blaming Europe?: Responsibility Without Accountability in the European Union","title-short":"Blaming Europe?","author":[{"family":"Hobolt","given":"Sara B."},{"family":"Tilley","given":"James"}],"issued":{"date-parts":[["2014",2]]}}},{"id":2556,"uris":["http://zotero.org/users/1129714/items/GXNLU6VX"],"uri":["http://zotero.org/users/1129714/items/GXNLU6VX"],"itemData":{"id":2556,"type":"book","abstract":"The blame game, with its finger-pointing and mutual buck-passing, is a familiar feature of politics and organizational life, and blame avoidance pervades government and public organizations at every level. Political and bureaucratic blame games and blame avoidance are more often condemned than analyzed. In The Blame Game, Christopher Hood takes a different approach by showing how blame avoidance shapes the workings of government and public services. Arguing that the blaming phenomenon is not all bad, Hood demonstrates that it can actually help to pin down responsibility, and he examines different kinds of blame avoidance, both positive and negative. Hood traces how the main forms of blame avoidance manifest themselves in presentational and \"spin\" activity, the architecture of organizations, and the shaping of standard operating routines. He analyzes the scope and limits of blame avoidance, and he considers how it plays out in old and new areas, such as those offered by the digital age of websites and e-mail. Hood assesses the effects of this behavior, from high-level problems of democratic accountability trails going cold to the frustrations of dealing with organizations whose procedures seem to ensure that no one is responsible for anything. Delving into the inner workings of complex institutions, The Blame Game proves how a better understanding of blame avoidance can improve the quality of modern governance, management, and organizational design.","event-place":"Princeton, NJ","ISBN":"978-1-4008-3681-9","language":"en","note":"Google-Books-ID: PF4KrRXumpgC","number-of-pages":"239","publisher":"Princeton University Press","publisher-place":"Princeton, NJ","source":"Google Books","title":"The Blame Game: Spin, Bureaucracy, and Self-Preservation in Government","title-short":"The Blame Game","author":[{"family":"Hood","given":"Christopher"}],"issued":{"date-parts":[["2010",11,15]]}}}],"schema":"https://github.com/citation-style-language/schema/raw/master/csl-citation.json"} </w:instrText>
      </w:r>
      <w:r w:rsidR="00D416A4" w:rsidRPr="000D268C">
        <w:rPr>
          <w:rFonts w:cstheme="minorHAnsi"/>
          <w:lang w:val="en-GB"/>
        </w:rPr>
        <w:fldChar w:fldCharType="separate"/>
      </w:r>
      <w:r w:rsidR="000A5639" w:rsidRPr="000D268C">
        <w:rPr>
          <w:rFonts w:cstheme="minorHAnsi"/>
          <w:noProof/>
          <w:lang w:val="en-GB"/>
        </w:rPr>
        <w:t>(Hobolt &amp; Tilley, 2014; Hood, 2010)</w:t>
      </w:r>
      <w:r w:rsidR="00D416A4" w:rsidRPr="000D268C">
        <w:rPr>
          <w:rFonts w:cstheme="minorHAnsi"/>
          <w:lang w:val="en-GB"/>
        </w:rPr>
        <w:fldChar w:fldCharType="end"/>
      </w:r>
      <w:r w:rsidR="00D416A4" w:rsidRPr="000D268C">
        <w:rPr>
          <w:rFonts w:cstheme="minorHAnsi"/>
          <w:lang w:val="en-GB"/>
        </w:rPr>
        <w:t xml:space="preserve">. </w:t>
      </w:r>
      <w:r w:rsidR="00EB2D62" w:rsidRPr="000D268C">
        <w:rPr>
          <w:rFonts w:cstheme="minorHAnsi"/>
          <w:lang w:val="en-GB"/>
        </w:rPr>
        <w:t xml:space="preserve">Legislative relationships with bureaucracies and specialised agencies are predicted to fulfil the criteria, as well as multi-level settings which mix decision-making competences, e.g. the EU (Table 2). </w:t>
      </w:r>
      <w:r w:rsidR="00D416A4" w:rsidRPr="000D268C">
        <w:rPr>
          <w:rFonts w:cstheme="minorHAnsi"/>
          <w:lang w:val="en-GB"/>
        </w:rPr>
        <w:t xml:space="preserve">Moreover, the scenario is expected under the following conditions: a) </w:t>
      </w:r>
      <w:r w:rsidR="00FA5AB6" w:rsidRPr="000D268C">
        <w:rPr>
          <w:rFonts w:cstheme="minorHAnsi"/>
          <w:lang w:val="en-GB"/>
        </w:rPr>
        <w:t xml:space="preserve">a moderate </w:t>
      </w:r>
      <w:r w:rsidR="00D416A4" w:rsidRPr="000D268C">
        <w:rPr>
          <w:rFonts w:cstheme="minorHAnsi"/>
          <w:lang w:val="en-GB"/>
        </w:rPr>
        <w:t xml:space="preserve">level of public pressure on the executive actor or the issue at stake; b) </w:t>
      </w:r>
      <w:r w:rsidR="00FA5AB6" w:rsidRPr="000D268C">
        <w:rPr>
          <w:rFonts w:cstheme="minorHAnsi"/>
          <w:lang w:val="en-GB"/>
        </w:rPr>
        <w:t>multiple</w:t>
      </w:r>
      <w:r w:rsidR="00D416A4" w:rsidRPr="000D268C">
        <w:rPr>
          <w:rFonts w:cstheme="minorHAnsi"/>
          <w:lang w:val="en-GB"/>
        </w:rPr>
        <w:t xml:space="preserve"> structural opportunities for </w:t>
      </w:r>
      <w:r w:rsidR="00720ABA" w:rsidRPr="000D268C">
        <w:rPr>
          <w:rFonts w:cstheme="minorHAnsi"/>
          <w:lang w:val="en-GB"/>
        </w:rPr>
        <w:t>legislative oversight</w:t>
      </w:r>
      <w:r w:rsidR="00D416A4" w:rsidRPr="000D268C">
        <w:rPr>
          <w:rFonts w:cstheme="minorHAnsi"/>
          <w:lang w:val="en-GB"/>
        </w:rPr>
        <w:t xml:space="preserve">, c) </w:t>
      </w:r>
      <w:r w:rsidR="00FA5AB6" w:rsidRPr="000D268C">
        <w:rPr>
          <w:rFonts w:cstheme="minorHAnsi"/>
          <w:lang w:val="en-GB"/>
        </w:rPr>
        <w:t xml:space="preserve">strong parliamentary powers in respect to </w:t>
      </w:r>
      <w:r w:rsidR="00D416A4" w:rsidRPr="000D268C">
        <w:rPr>
          <w:rFonts w:cstheme="minorHAnsi"/>
          <w:lang w:val="en-GB"/>
        </w:rPr>
        <w:t>control</w:t>
      </w:r>
      <w:r w:rsidR="00FA5AB6" w:rsidRPr="000D268C">
        <w:rPr>
          <w:rFonts w:cstheme="minorHAnsi"/>
          <w:lang w:val="en-GB"/>
        </w:rPr>
        <w:t>ling</w:t>
      </w:r>
      <w:r w:rsidR="00D416A4" w:rsidRPr="000D268C">
        <w:rPr>
          <w:rFonts w:cstheme="minorHAnsi"/>
          <w:lang w:val="en-GB"/>
        </w:rPr>
        <w:t xml:space="preserve"> the executive, </w:t>
      </w:r>
      <w:r w:rsidR="00EB2D62" w:rsidRPr="000D268C">
        <w:rPr>
          <w:rFonts w:cstheme="minorHAnsi"/>
          <w:lang w:val="en-GB"/>
        </w:rPr>
        <w:t xml:space="preserve">and </w:t>
      </w:r>
      <w:r w:rsidR="00D416A4" w:rsidRPr="000D268C">
        <w:rPr>
          <w:rFonts w:cstheme="minorHAnsi"/>
          <w:lang w:val="en-GB"/>
        </w:rPr>
        <w:t xml:space="preserve">d) a </w:t>
      </w:r>
      <w:r w:rsidR="00EB2D62" w:rsidRPr="000D268C">
        <w:rPr>
          <w:rFonts w:cstheme="minorHAnsi"/>
          <w:lang w:val="en-GB"/>
        </w:rPr>
        <w:t xml:space="preserve">party </w:t>
      </w:r>
      <w:r w:rsidR="00D416A4" w:rsidRPr="000D268C">
        <w:rPr>
          <w:rFonts w:cstheme="minorHAnsi"/>
          <w:lang w:val="en-GB"/>
        </w:rPr>
        <w:t xml:space="preserve">system conducive to </w:t>
      </w:r>
      <w:r w:rsidR="00FA5AB6" w:rsidRPr="000D268C">
        <w:rPr>
          <w:rFonts w:cstheme="minorHAnsi"/>
          <w:lang w:val="en-GB"/>
        </w:rPr>
        <w:t>single-party</w:t>
      </w:r>
      <w:r w:rsidR="00D416A4" w:rsidRPr="000D268C">
        <w:rPr>
          <w:rFonts w:cstheme="minorHAnsi"/>
          <w:lang w:val="en-GB"/>
        </w:rPr>
        <w:t xml:space="preserve"> governments </w:t>
      </w:r>
      <w:r w:rsidR="00D416A4" w:rsidRPr="000D268C">
        <w:rPr>
          <w:rFonts w:cstheme="minorHAnsi"/>
          <w:lang w:val="en-GB"/>
        </w:rPr>
        <w:fldChar w:fldCharType="begin"/>
      </w:r>
      <w:r w:rsidR="00973A56" w:rsidRPr="000D268C">
        <w:rPr>
          <w:rFonts w:cstheme="minorHAnsi"/>
          <w:lang w:val="en-GB"/>
        </w:rPr>
        <w:instrText xml:space="preserve"> ADDIN ZOTERO_ITEM CSL_CITATION {"citationID":"Qs5SGYwe","properties":{"formattedCitation":"(Martin, 2011; McCubbins &amp; Schwartz, 1984; Ogul, 1976; Rockman, 1984; Russo &amp; Wiberg, 2010; Sieberer, 2011; Wiberg &amp; Koura, 1994)","plainCitation":"(Martin, 2011; McCubbins &amp; Schwartz, 1984; Ogul, 1976; Rockman, 1984; Russo &amp; Wiberg, 2010; Sieberer, 2011; Wiberg &amp; Koura, 1994)","dontUpdate":true,"noteIndex":0},"citationItems":[{"id":6287,"uris":["http://zotero.org/users/1129714/items/YBECNTPF"],"uri":["http://zotero.org/users/1129714/items/YBECNTPF"],"itemData":{"id":6287,"type":"article-journal","abstract":"Individual legislators differ in the degree to which they work to cultivate personal votes. While conventional wisdom declares that the electoral system typically motivates the choice of legislative role, researchers have found difficulty assessing empirically the role behaviour of legislators. This study suggests using the content analysis of parliamentary questions as a mechanism to measure variations in personal vote-earning strategies. To demonstrate the usefulness of this approach, and the constituency focus of Irish parliamentarians, 123,762 questions tabled by Dáil Deputies between 1997 and 2002 are analysed. While evidence of some orientation toward localism is apparent, the data suggest significant variations in role orientation among legislators. Competing electoral system and non-electoral system explanations of intra-system variation in personal vote-earning effort are hypothesised and tested. Characteristics such as district magnitude, intra-party competition, electoral vulnerability, geography, education, gender and career incentives only partially explain the variation. The results highlight the need to move beyond using electoral rules as a general proxy for role orientation and behaviour.","container-title":"Political Studies","ISSN":"1467-9248","issue":"2","language":"en","page":"472-488","source":"Wiley Online Library","title":"Using Parliamentary Questions to Measure Constituency Focus: An Application to the Irish Case","volume":"59","author":[{"family":"Martin","given":"Shane"}],"issued":{"date-parts":[["2011"]]}}},{"id":34,"uris":["http://zotero.org/users/1129714/items/NH638BN4"],"uri":["http://zotero.org/users/1129714/items/NH638BN4"],"itemData":{"id":34,"type":"article-journal","container-title":"American Journal of Political Science","ISSN":"00925853","issue":"1","page":"165","source":"CrossRef","title":"Congressional Oversight Overlooked: Police Patrols versus Fire Alarms","title-short":"Congressional Oversight Overlooked","volume":"28","author":[{"family":"McCubbins","given":"Mathew D."},{"family":"Schwartz","given":"Thomas"}],"issued":{"date-parts":[["1984",2]]}}},{"id":6074,"uris":["http://zotero.org/users/1129714/items/FQ3HHZN6"],"uri":["http://zotero.org/users/1129714/items/FQ3HHZN6"],"itemData":{"id":6074,"type":"book","abstract":"Congressional supervision of the way the executive implements legislative mandates-“oversight” of the bureaucracy-is one of the most complex and least understood functions of Congress. In this book, Morris Ogul clarifies the meaning of oversight and analyzes the elements that contribute to its success or neglect.    Ogul's work is based on case studies from nearly one hundred interviews with congressmen, committee staff members, lobbyists, and members of the executive branch., as well as an examination of relevant congressional documents.","edition":"1st edition","event-place":"Pittsburgh, PA","ISBN":"978-0-8229-8454-2","language":"English","number-of-pages":"252","publisher":"University of Pittsburgh Press","publisher-place":"Pittsburgh, PA","source":"Amazon","title":"Congress Oversees the Bureaucracy","author":[{"family":"Ogul","given":"Morris S."}],"issued":{"date-parts":[["1976",5,15]]}}},{"id":5994,"uris":["http://zotero.org/users/1129714/items/IC5W66QY"],"uri":["http://zotero.org/users/1129714/items/IC5W66QY"],"itemData":{"id":5994,"type":"article-journal","abstract":"[As a focus of scholarship, the subject of legislative-executive relations is both elusively broad and remarkably diverse. This essay attempts to make both the breadth and diversity of the field more comprehensible by examining and identifying: (1) attributes and characteristics of key legislative and executive \"players,\" (2) various points of intersection between legislative and executive \"players\" and their institutions, and, especially, (3) forms, conditions, and impacts of legislative supervision of the executive (oversight). Analysis of the research and scholarly literature on these topics is situated in a context of different normative perspectives toward governance.]","archive":"JSTOR","container-title":"Legislative Studies Quarterly","ISSN":"0362-9805","issue":"3","page":"387-440","source":"JSTOR","title":"Legislative-Executive Relations and Legislative Oversight","volume":"9","author":[{"family":"Rockman","given":"Bert A."}],"issued":{"date-parts":[["1984"]]}}},{"id":6055,"uris":["http://zotero.org/users/1129714/items/W4TEFL8U"],"uri":["http://zotero.org/users/1129714/items/W4TEFL8U"],"itemData":{"id":6055,"type":"article-journal","abstract":"All democratic parliaments have some procedures to allow representatives to put questions to ministers. However, there are no two parliaments with exactly the same procedures. Cross-national comparisons are hindered by the lack of agreed-upon scientific criteria to group similar procedures, which are too often classified on the basis of their names rather than on their substantive characteristics. To overcome this problem, this article devises a typology of parliamentary questions based on relevant procedural features in 17 European countries. A ranking of parliaments according to the criteria of the effectiveness of procedures is developed and a discussion of the relationship of this ranking to the coalitional characteristics of the parliaments is provided. Finally, the article develops some tentative arguments to explain what influences the development of more or less effective questioning procedures, testing the hypothesis that countries dominated by coalition governments tend to have more effective procedures. In contrast with the authors' expectations, with regard to the countries included in the present analysis, the frequent presence of coalition government is associated with weaker procedures.","container-title":"The Journal of Legislative Studies","DOI":"10.1080/13572331003740115","ISSN":"1357-2334","issue":"2","page":"215-232","source":"Taylor and Francis+NEJM","title":"Parliamentary Questioning in 17 European Parliaments: Some Steps towards Comparison","title-short":"Parliamentary Questioning in 17 European Parliaments","volume":"16","author":[{"family":"Russo","given":"Federico"},{"family":"Wiberg","given":"Matti"}],"issued":{"date-parts":[["2010",6,1]]}}},{"id":7039,"uris":["http://zotero.org/users/1129714/items/AVDIF2MN"],"uri":["http://zotero.org/users/1129714/items/AVDIF2MN"],"itemData":{"id":7039,"type":"article-journal","abstract":"Parliaments are more than legislative bodies. However, we lack an adequate understanding of the theoretical relationship between different facets of parliamentary activity or ‘parliamentary functions’. Relying on the principal–agent framework, this article argues theoretically that parliamentary power is a multidimensional concept comprising three distinct mechanisms to ensure policy outputs in line with the collective preferences of parliaments: direct influence on policymaking, the ex ante selection of external officeholders, and the ex post control of the cabinet. These mechanisms mirror the classic legislative, electoral, and control functions of parliaments. Empirically, the paper uses factor analysis of newly developed indicators for electoral powers and established measures of legislative and control resources to show that the institutional powers of 15 Western European parliaments comprise four distinct dimensions. These dimensions match the three theoretically derived mechanisms with committee power as an additional factor. Locating the 15 parliaments in this multidimensional space of parliamentary powers demonstrates that classifications based solely on lawmaking lead to biased assessments of parliamentary strength and weakness. Instead, the paper provides a more nuanced picture of the ways in which Western European parliaments can influence policymaking under the conditions of delegation.","container-title":"West European Politics","DOI":"10.1080/01402382.2011.572389","ISSN":"0140-2382","issue":"4","page":"731-754","source":"Taylor and Francis+NEJM","title":"The Institutional Power of Western European Parliaments: A Multidimensional Analysis","title-short":"The Institutional Power of Western European Parliaments","volume":"34","author":[{"family":"Sieberer","given":"Ulrich"}],"issued":{"date-parts":[["2011",7,1]]}}},{"id":6316,"uris":["http://zotero.org/users/1129714/items/MA8SGKCS"],"uri":["http://zotero.org/users/1129714/items/MA8SGKCS"],"itemData":{"id":6316,"type":"chapter","container-title":"Parliamentary control in the Nordic countries: forms of questioning and behavioural trends","event-place":"Helsinki","ISBN":"978-951-96131-7-8","page":"19-43","publisher":"The Finnish Political Science Association","publisher-place":"Helsinki","source":"EBSCOhost","title":"The logic of parliamentary questioning","editor":[{"family":"Wiberg","given":"Matti"}],"author":[{"family":"Wiberg","given":"Matti"},{"family":"Koura","given":"Antti"}],"issued":{"date-parts":[["1994"]]}}}],"schema":"https://github.com/citation-style-language/schema/raw/master/csl-citation.json"} </w:instrText>
      </w:r>
      <w:r w:rsidR="00D416A4" w:rsidRPr="000D268C">
        <w:rPr>
          <w:rFonts w:cstheme="minorHAnsi"/>
          <w:lang w:val="en-GB"/>
        </w:rPr>
        <w:fldChar w:fldCharType="separate"/>
      </w:r>
      <w:r w:rsidR="00D416A4" w:rsidRPr="000D268C">
        <w:rPr>
          <w:rFonts w:cstheme="minorHAnsi"/>
          <w:noProof/>
          <w:lang w:val="en-GB"/>
        </w:rPr>
        <w:t>(based on Martin, 2011; McCubbins &amp; Schwartz, 1984; Ogul, 1976; Rockman, 1984; Russo &amp; Wiberg, 2010; Sieberer, 2011; Wiberg &amp; Koura, 1994)</w:t>
      </w:r>
      <w:r w:rsidR="00D416A4" w:rsidRPr="000D268C">
        <w:rPr>
          <w:rFonts w:cstheme="minorHAnsi"/>
          <w:lang w:val="en-GB"/>
        </w:rPr>
        <w:fldChar w:fldCharType="end"/>
      </w:r>
      <w:r w:rsidR="00D416A4" w:rsidRPr="000D268C">
        <w:rPr>
          <w:rFonts w:cstheme="minorHAnsi"/>
          <w:lang w:val="en-GB"/>
        </w:rPr>
        <w:t>.</w:t>
      </w:r>
      <w:r w:rsidR="00FA5AB6" w:rsidRPr="000D268C">
        <w:rPr>
          <w:rFonts w:cstheme="minorHAnsi"/>
          <w:lang w:val="en-GB"/>
        </w:rPr>
        <w:t xml:space="preserve"> The </w:t>
      </w:r>
      <w:r w:rsidR="00FA5AB6" w:rsidRPr="000D268C">
        <w:rPr>
          <w:rFonts w:cstheme="minorHAnsi"/>
          <w:lang w:val="en-GB"/>
        </w:rPr>
        <w:lastRenderedPageBreak/>
        <w:t xml:space="preserve">point here is that the legislature has both the means (structural opportunities, direct connections to the government) and the willingness to control the executive, but the latter fails to engage </w:t>
      </w:r>
      <w:r w:rsidR="00EB2D62" w:rsidRPr="000D268C">
        <w:rPr>
          <w:rFonts w:cstheme="minorHAnsi"/>
          <w:lang w:val="en-GB"/>
        </w:rPr>
        <w:t xml:space="preserve">with oversight </w:t>
      </w:r>
      <w:r w:rsidR="0040454D" w:rsidRPr="000D268C">
        <w:rPr>
          <w:rFonts w:cstheme="minorHAnsi"/>
          <w:lang w:val="en-GB"/>
        </w:rPr>
        <w:t>appropriately</w:t>
      </w:r>
      <w:r w:rsidR="00EB2D62" w:rsidRPr="000D268C">
        <w:rPr>
          <w:rFonts w:cstheme="minorHAnsi"/>
          <w:lang w:val="en-GB"/>
        </w:rPr>
        <w:t>.</w:t>
      </w:r>
    </w:p>
    <w:p w14:paraId="359BCD0F" w14:textId="2879DD28" w:rsidR="00D416A4" w:rsidRPr="000D268C" w:rsidRDefault="00D416A4" w:rsidP="002C54BF">
      <w:pPr>
        <w:pStyle w:val="ListParagraph"/>
        <w:numPr>
          <w:ilvl w:val="0"/>
          <w:numId w:val="29"/>
        </w:numPr>
        <w:spacing w:line="480" w:lineRule="auto"/>
        <w:jc w:val="both"/>
        <w:rPr>
          <w:rFonts w:cstheme="minorHAnsi"/>
          <w:i/>
          <w:iCs/>
          <w:lang w:val="en-GB"/>
        </w:rPr>
      </w:pPr>
      <w:r w:rsidRPr="000D268C">
        <w:rPr>
          <w:rFonts w:cstheme="minorHAnsi"/>
          <w:i/>
          <w:iCs/>
          <w:lang w:val="en-GB"/>
        </w:rPr>
        <w:t>Lack of control</w:t>
      </w:r>
    </w:p>
    <w:p w14:paraId="377B039C" w14:textId="49998548" w:rsidR="00DB0EE1" w:rsidRPr="000D268C" w:rsidRDefault="00D416A4" w:rsidP="0041418F">
      <w:pPr>
        <w:spacing w:line="480" w:lineRule="auto"/>
        <w:jc w:val="both"/>
        <w:rPr>
          <w:rFonts w:cstheme="minorHAnsi"/>
          <w:lang w:val="en-GB"/>
        </w:rPr>
      </w:pPr>
      <w:r w:rsidRPr="000D268C">
        <w:rPr>
          <w:rFonts w:cstheme="minorHAnsi"/>
          <w:lang w:val="en-GB"/>
        </w:rPr>
        <w:t xml:space="preserve">The sixth and final scenario occurs when parliaments ask weaker oversight questions centred on access to information and justification of governing decisions. Yet executive actors </w:t>
      </w:r>
      <w:r w:rsidR="0064276E" w:rsidRPr="000D268C">
        <w:rPr>
          <w:rFonts w:cstheme="minorHAnsi"/>
          <w:lang w:val="en-GB"/>
        </w:rPr>
        <w:t>equivocate</w:t>
      </w:r>
      <w:r w:rsidR="00973A56" w:rsidRPr="000D268C">
        <w:rPr>
          <w:rFonts w:cstheme="minorHAnsi"/>
          <w:lang w:val="en-GB"/>
        </w:rPr>
        <w:t xml:space="preserve"> </w:t>
      </w:r>
      <w:r w:rsidR="0064276E" w:rsidRPr="000D268C">
        <w:rPr>
          <w:rFonts w:cstheme="minorHAnsi"/>
          <w:lang w:val="en-GB"/>
        </w:rPr>
        <w:t>even these</w:t>
      </w:r>
      <w:r w:rsidR="00973A56" w:rsidRPr="000D268C">
        <w:rPr>
          <w:rFonts w:cstheme="minorHAnsi"/>
          <w:lang w:val="en-GB"/>
        </w:rPr>
        <w:t xml:space="preserve"> questions, avoiding to answer </w:t>
      </w:r>
      <w:r w:rsidR="00FA5AB6" w:rsidRPr="000D268C">
        <w:rPr>
          <w:rFonts w:cstheme="minorHAnsi"/>
          <w:lang w:val="en-GB"/>
        </w:rPr>
        <w:t xml:space="preserve">or </w:t>
      </w:r>
      <w:r w:rsidR="00973A56" w:rsidRPr="000D268C">
        <w:rPr>
          <w:rFonts w:cstheme="minorHAnsi"/>
          <w:lang w:val="en-GB"/>
        </w:rPr>
        <w:t xml:space="preserve">failing to </w:t>
      </w:r>
      <w:r w:rsidR="00FA5AB6" w:rsidRPr="000D268C">
        <w:rPr>
          <w:rFonts w:cstheme="minorHAnsi"/>
          <w:lang w:val="en-GB"/>
        </w:rPr>
        <w:t xml:space="preserve">substantively </w:t>
      </w:r>
      <w:r w:rsidR="00973A56" w:rsidRPr="000D268C">
        <w:rPr>
          <w:rFonts w:cstheme="minorHAnsi"/>
          <w:lang w:val="en-GB"/>
        </w:rPr>
        <w:t>engage with the legislature (</w:t>
      </w:r>
      <w:r w:rsidR="0064276E" w:rsidRPr="000D268C">
        <w:rPr>
          <w:rFonts w:cstheme="minorHAnsi"/>
          <w:lang w:val="en-GB"/>
        </w:rPr>
        <w:t>Table 1).</w:t>
      </w:r>
      <w:r w:rsidR="00973A56" w:rsidRPr="000D268C">
        <w:rPr>
          <w:rFonts w:cstheme="minorHAnsi"/>
          <w:lang w:val="en-GB"/>
        </w:rPr>
        <w:t xml:space="preserve"> Similar to </w:t>
      </w:r>
      <w:r w:rsidR="00973A56" w:rsidRPr="000D268C">
        <w:rPr>
          <w:rFonts w:cstheme="minorHAnsi"/>
          <w:i/>
          <w:iCs/>
          <w:lang w:val="en-GB"/>
        </w:rPr>
        <w:t xml:space="preserve">Drift, </w:t>
      </w:r>
      <w:r w:rsidR="00973A56" w:rsidRPr="000D268C">
        <w:rPr>
          <w:rFonts w:cstheme="minorHAnsi"/>
          <w:lang w:val="en-GB"/>
        </w:rPr>
        <w:t xml:space="preserve">this scenario is expected under conditions of asymmetric information and collective decision-making in </w:t>
      </w:r>
      <w:r w:rsidR="0064276E" w:rsidRPr="000D268C">
        <w:rPr>
          <w:rFonts w:cstheme="minorHAnsi"/>
          <w:lang w:val="en-GB"/>
        </w:rPr>
        <w:t>various</w:t>
      </w:r>
      <w:r w:rsidR="00973A56" w:rsidRPr="000D268C">
        <w:rPr>
          <w:rFonts w:cstheme="minorHAnsi"/>
          <w:lang w:val="en-GB"/>
        </w:rPr>
        <w:t xml:space="preserve"> institutional settings </w:t>
      </w:r>
      <w:r w:rsidR="00973A56" w:rsidRPr="000D268C">
        <w:rPr>
          <w:rFonts w:cstheme="minorHAnsi"/>
          <w:lang w:val="en-GB"/>
        </w:rPr>
        <w:fldChar w:fldCharType="begin"/>
      </w:r>
      <w:r w:rsidR="00973A56" w:rsidRPr="000D268C">
        <w:rPr>
          <w:rFonts w:cstheme="minorHAnsi"/>
          <w:lang w:val="en-GB"/>
        </w:rPr>
        <w:instrText xml:space="preserve"> ADDIN ZOTERO_ITEM CSL_CITATION {"citationID":"ibxfP6N6","properties":{"formattedCitation":"(Hobolt &amp; Tilley, 2014; Hood, 2010; Lupia &amp; McCubbins, 1994; Moe, 1984)","plainCitation":"(Hobolt &amp; Tilley, 2014; Hood, 2010; Lupia &amp; McCubbins, 1994; Moe, 1984)","noteIndex":0},"citationItems":[{"id":166,"uris":["http://zotero.org/users/1129714/items/GNGP8IAS"],"uri":["http://zotero.org/users/1129714/items/GNGP8IAS"],"itemData":{"id":166,"type":"book","abstract":"A key component of democratic accountability is that citizens understand 'who is to blame'. Nonetheless, little is known about how citizens attribute responsibility in the European Union or how those perceptions of responsibility matter. This book presents the first comprehensive account of how citizens assign blame to the EU, how politicians and the media attempt to shift blame and finally, how it matters for electoral democracy. Based on rich and unique data sources, Blaming Europe? sheds light on all three aspects of responsibility in the EU. First, it shows that while institutional differences between countries shape citizen judgements of EU responsibility, those judgements are also highly determined by pre-existing attitudes towards the EU. Second, it demonstrates that neither politicians nor the media assign much blame to the EU. Third, it establishes that regardless of whether voters are capable of accurately assigning responsibility, they are not able to hold their EU representatives to account via the ballot box in European elections due to the lack of an identifiable 'European government' to reward or punish. As a consequence, when citizens hold the EU responsible for poor performance, but are unable to sanction an EU incumbent, they lose trust in the EU as a whole instead. In conclusion, it argues that this 'accountability deficit' has significant implications for the future of the European Union.","ISBN":"978-0-19-966568-6","language":"en","note":"Google-Books-ID: l9TQAgAAQBAJ","number-of-pages":"209","publisher":"Oxford University Press","source":"Google Books","title":"Blaming Europe?: Responsibility Without Accountability in the European Union","title-short":"Blaming Europe?","author":[{"family":"Hobolt","given":"Sara B."},{"family":"Tilley","given":"James"}],"issued":{"date-parts":[["2014",2]]}}},{"id":2556,"uris":["http://zotero.org/users/1129714/items/GXNLU6VX"],"uri":["http://zotero.org/users/1129714/items/GXNLU6VX"],"itemData":{"id":2556,"type":"book","abstract":"The blame game, with its finger-pointing and mutual buck-passing, is a familiar feature of politics and organizational life, and blame avoidance pervades government and public organizations at every level. Political and bureaucratic blame games and blame avoidance are more often condemned than analyzed. In The Blame Game, Christopher Hood takes a different approach by showing how blame avoidance shapes the workings of government and public services. Arguing that the blaming phenomenon is not all bad, Hood demonstrates that it can actually help to pin down responsibility, and he examines different kinds of blame avoidance, both positive and negative. Hood traces how the main forms of blame avoidance manifest themselves in presentational and \"spin\" activity, the architecture of organizations, and the shaping of standard operating routines. He analyzes the scope and limits of blame avoidance, and he considers how it plays out in old and new areas, such as those offered by the digital age of websites and e-mail. Hood assesses the effects of this behavior, from high-level problems of democratic accountability trails going cold to the frustrations of dealing with organizations whose procedures seem to ensure that no one is responsible for anything. Delving into the inner workings of complex institutions, The Blame Game proves how a better understanding of blame avoidance can improve the quality of modern governance, management, and organizational design.","event-place":"Princeton, NJ","ISBN":"978-1-4008-3681-9","language":"en","note":"Google-Books-ID: PF4KrRXumpgC","number-of-pages":"239","publisher":"Princeton University Press","publisher-place":"Princeton, NJ","source":"Google Books","title":"The Blame Game: Spin, Bureaucracy, and Self-Preservation in Government","title-short":"The Blame Game","author":[{"family":"Hood","given":"Christopher"}],"issued":{"date-parts":[["2010",11,15]]}}},{"id":6340,"uris":["http://zotero.org/users/1129714/items/V8L6ZSF3"],"uri":["http://zotero.org/users/1129714/items/V8L6ZSF3"],"itemData":{"id":6340,"type":"article-journal","abstract":"[While the delegation of policy-making authority from legislators to bureaucrats is ubiquitous in modern democracies, there is considerable disagreement about the consequences of this type of delegation. Some scholars point to the fact that bureaucrats tend to have policy-relevant expertise, assume that bureaucrats will use their expertise to systematically mislead legislators, and conclude that delegation and abdication are equivalent. Other scholars point to the extensive use of legislative oversight, assume that oversight is sufficient to abate the problems associated with bureaucratic expertise, and conclude that delegation produces more effective governance. We depart from previous scholarship by developing models of delegation and oversight that allow us to derive, rather than assume, conditions under which legislators can adapt successfully to bureaucratic expertise. With these conditions in hand, we identify conditions under which delegation to the bureaucracy produces more effective governance and conditions under which delegation and abdication are equivalent.]","archive":"JSTOR","container-title":"Journal of Law, Economics, &amp; Organization","ISSN":"8756-6222","issue":"1","page":"96-125","source":"JSTOR","title":"Learning from Oversight: Fire Alarms and Police Patrols Reconstructed","title-short":"Learning from Oversight","volume":"10","author":[{"family":"Lupia","given":"Arthur"},{"family":"McCubbins","given":"Mathew D."}],"issued":{"date-parts":[["1994"]]}}},{"id":474,"uris":["http://zotero.org/users/1129714/items/KXGRRIK4"],"uri":["http://zotero.org/users/1129714/items/KXGRRIK4"],"itemData":{"id":474,"type":"article-journal","abstract":"Over the last ten years or so, an important new approach to the study of organizations has emerged within economics. It is perhaps best characterized by three elements: a contractual perspective on organizational relationships, a theoretical focus on hierarchical control, and formal analysis via principal-agent models. This paper provides political scientists with an overview of the \"new economics of organization\" and explores its implications for the study of public bureaucracy.","container-title":"American Journal of Political Science","ISSN":"0092-5853","issue":"4","journalAbbreviation":"American Journal of Political Science","page":"739-777","source":"JSTOR","title":"The New Economics of Organization","volume":"28","author":[{"family":"Moe","given":"Terry M."}],"issued":{"date-parts":[["1984",11,1]]}}}],"schema":"https://github.com/citation-style-language/schema/raw/master/csl-citation.json"} </w:instrText>
      </w:r>
      <w:r w:rsidR="00973A56" w:rsidRPr="000D268C">
        <w:rPr>
          <w:rFonts w:cstheme="minorHAnsi"/>
          <w:lang w:val="en-GB"/>
        </w:rPr>
        <w:fldChar w:fldCharType="separate"/>
      </w:r>
      <w:r w:rsidR="000A5639" w:rsidRPr="000D268C">
        <w:rPr>
          <w:rFonts w:cstheme="minorHAnsi"/>
          <w:noProof/>
          <w:lang w:val="en-GB"/>
        </w:rPr>
        <w:t>(Hobolt &amp; Tilley, 2014; Hood, 2010; Lupia &amp; McCubbins, 1994; Moe, 1984)</w:t>
      </w:r>
      <w:r w:rsidR="00973A56" w:rsidRPr="000D268C">
        <w:rPr>
          <w:rFonts w:cstheme="minorHAnsi"/>
          <w:lang w:val="en-GB"/>
        </w:rPr>
        <w:fldChar w:fldCharType="end"/>
      </w:r>
      <w:r w:rsidR="00973A56" w:rsidRPr="000D268C">
        <w:rPr>
          <w:rFonts w:cstheme="minorHAnsi"/>
          <w:lang w:val="en-GB"/>
        </w:rPr>
        <w:t xml:space="preserve">. Relationships between parliaments and bureaucracies </w:t>
      </w:r>
      <w:r w:rsidR="00FA5AB6" w:rsidRPr="000D268C">
        <w:rPr>
          <w:rFonts w:cstheme="minorHAnsi"/>
          <w:lang w:val="en-GB"/>
        </w:rPr>
        <w:t>or specialised</w:t>
      </w:r>
      <w:r w:rsidR="00973A56" w:rsidRPr="000D268C">
        <w:rPr>
          <w:rFonts w:cstheme="minorHAnsi"/>
          <w:lang w:val="en-GB"/>
        </w:rPr>
        <w:t xml:space="preserve"> agencies fall in this category </w:t>
      </w:r>
      <w:r w:rsidR="00FA5AB6" w:rsidRPr="000D268C">
        <w:rPr>
          <w:rFonts w:cstheme="minorHAnsi"/>
          <w:lang w:val="en-GB"/>
        </w:rPr>
        <w:t xml:space="preserve">(Table 2) </w:t>
      </w:r>
      <w:r w:rsidR="00973A56" w:rsidRPr="000D268C">
        <w:rPr>
          <w:rFonts w:cstheme="minorHAnsi"/>
          <w:lang w:val="en-GB"/>
        </w:rPr>
        <w:t>because the</w:t>
      </w:r>
      <w:r w:rsidR="00FA5AB6" w:rsidRPr="000D268C">
        <w:rPr>
          <w:rFonts w:cstheme="minorHAnsi"/>
          <w:lang w:val="en-GB"/>
        </w:rPr>
        <w:t xml:space="preserve"> latter</w:t>
      </w:r>
      <w:r w:rsidR="00973A56" w:rsidRPr="000D268C">
        <w:rPr>
          <w:rFonts w:cstheme="minorHAnsi"/>
          <w:lang w:val="en-GB"/>
        </w:rPr>
        <w:t xml:space="preserve"> can exploit the legislature’s knowledge gaps and lack of time/attention to understand</w:t>
      </w:r>
      <w:r w:rsidR="00EB2D62" w:rsidRPr="000D268C">
        <w:rPr>
          <w:rFonts w:cstheme="minorHAnsi"/>
          <w:lang w:val="en-GB"/>
        </w:rPr>
        <w:t xml:space="preserve"> complex</w:t>
      </w:r>
      <w:r w:rsidR="0064276E" w:rsidRPr="000D268C">
        <w:rPr>
          <w:rFonts w:cstheme="minorHAnsi"/>
          <w:lang w:val="en-GB"/>
        </w:rPr>
        <w:t xml:space="preserve"> policy issues</w:t>
      </w:r>
      <w:r w:rsidR="00FA5AB6" w:rsidRPr="000D268C">
        <w:rPr>
          <w:rFonts w:cstheme="minorHAnsi"/>
          <w:lang w:val="en-GB"/>
        </w:rPr>
        <w:t xml:space="preserve"> </w:t>
      </w:r>
      <w:r w:rsidR="00FA5AB6" w:rsidRPr="000D268C">
        <w:rPr>
          <w:rFonts w:cstheme="minorHAnsi"/>
          <w:lang w:val="en-GB"/>
        </w:rPr>
        <w:fldChar w:fldCharType="begin"/>
      </w:r>
      <w:r w:rsidR="00FA5AB6" w:rsidRPr="000D268C">
        <w:rPr>
          <w:rFonts w:cstheme="minorHAnsi"/>
          <w:lang w:val="en-GB"/>
        </w:rPr>
        <w:instrText xml:space="preserve"> ADDIN ZOTERO_ITEM CSL_CITATION {"citationID":"CYdXhDrO","properties":{"formattedCitation":"(Majone, 1999, pp. 3\\uc0\\u8211{}4)","plainCitation":"(Majone, 1999, pp. 3–4)","noteIndex":0},"citationItems":[{"id":2284,"uris":["http://zotero.org/users/1129714/items/ZRVPLS99"],"uri":["http://zotero.org/users/1129714/items/ZRVPLS99"],"itemData":{"id":2284,"type":"article-journal","abstract":"While the interventionist state was characterised by a high level of centralisation in administration and policy making, the regulatory state relies on extensive delegation of powers to independent institutions: regulatory agencies or commissions, but also the judiciary which is becoming an increasingly active player in the regulatory game. Delegation of important policy‐making powers to non‐majoritarian institutions raises novel problems of democratic legitimacy. This article argues that such problems should be tackled not by limiting the independence of the regulators, but rather by strengthening the accountability structure. Similar problems arise at the European level. Here, too, the correct solution is a better accountability structure rather than increased politicisation. The de‐politicisation of European policy making is a consequence of the fact that the large majority of Europe's voters support far‐reaching economic integration but oppose true political integration.","container-title":"West European Politics","ISSN":"0140-2382","issue":"1","page":"1-24","source":"Taylor and Francis+NEJM","title":"The regulatory state and its legitimacy problems","volume":"22","author":[{"family":"Majone","given":"Giandomenico"}],"issued":{"date-parts":[["1999",1,1]]}},"locator":"3-4"}],"schema":"https://github.com/citation-style-language/schema/raw/master/csl-citation.json"} </w:instrText>
      </w:r>
      <w:r w:rsidR="00FA5AB6" w:rsidRPr="000D268C">
        <w:rPr>
          <w:rFonts w:cstheme="minorHAnsi"/>
          <w:lang w:val="en-GB"/>
        </w:rPr>
        <w:fldChar w:fldCharType="separate"/>
      </w:r>
      <w:r w:rsidR="000A5639" w:rsidRPr="000D268C">
        <w:rPr>
          <w:rFonts w:cstheme="minorHAnsi"/>
          <w:lang w:val="en-GB"/>
        </w:rPr>
        <w:t>(Majone, 1999, pp. 3–4)</w:t>
      </w:r>
      <w:r w:rsidR="00FA5AB6" w:rsidRPr="000D268C">
        <w:rPr>
          <w:rFonts w:cstheme="minorHAnsi"/>
          <w:lang w:val="en-GB"/>
        </w:rPr>
        <w:fldChar w:fldCharType="end"/>
      </w:r>
      <w:r w:rsidR="00FA5AB6" w:rsidRPr="000D268C">
        <w:rPr>
          <w:rFonts w:cstheme="minorHAnsi"/>
          <w:lang w:val="en-GB"/>
        </w:rPr>
        <w:t xml:space="preserve">. Moreover, </w:t>
      </w:r>
      <w:r w:rsidR="00FA5AB6" w:rsidRPr="000D268C">
        <w:rPr>
          <w:rFonts w:cstheme="minorHAnsi"/>
          <w:i/>
          <w:iCs/>
          <w:lang w:val="en-GB"/>
        </w:rPr>
        <w:t xml:space="preserve">Lack of control </w:t>
      </w:r>
      <w:r w:rsidR="00FA5AB6" w:rsidRPr="000D268C">
        <w:rPr>
          <w:rFonts w:cstheme="minorHAnsi"/>
          <w:lang w:val="en-GB"/>
        </w:rPr>
        <w:t xml:space="preserve">is facilitated by: a) low levels of public pressure on the executive actor and </w:t>
      </w:r>
      <w:r w:rsidR="000315D2" w:rsidRPr="000D268C">
        <w:rPr>
          <w:rFonts w:cstheme="minorHAnsi"/>
          <w:lang w:val="en-GB"/>
        </w:rPr>
        <w:t>the</w:t>
      </w:r>
      <w:r w:rsidR="00FA5AB6" w:rsidRPr="000D268C">
        <w:rPr>
          <w:rFonts w:cstheme="minorHAnsi"/>
          <w:lang w:val="en-GB"/>
        </w:rPr>
        <w:t xml:space="preserve"> policy issues</w:t>
      </w:r>
      <w:r w:rsidR="000315D2" w:rsidRPr="000D268C">
        <w:rPr>
          <w:rFonts w:cstheme="minorHAnsi"/>
          <w:lang w:val="en-GB"/>
        </w:rPr>
        <w:t xml:space="preserve"> under its jurisdiction</w:t>
      </w:r>
      <w:r w:rsidR="00FA5AB6" w:rsidRPr="000D268C">
        <w:rPr>
          <w:rFonts w:cstheme="minorHAnsi"/>
          <w:lang w:val="en-GB"/>
        </w:rPr>
        <w:t xml:space="preserve">; b) fewer structural opportunities for legislative oversight, c) a parliamentary tradition focused on law-making rather than </w:t>
      </w:r>
      <w:r w:rsidR="00DB0EE1" w:rsidRPr="000D268C">
        <w:rPr>
          <w:rFonts w:cstheme="minorHAnsi"/>
          <w:lang w:val="en-GB"/>
        </w:rPr>
        <w:t xml:space="preserve">[s]election and </w:t>
      </w:r>
      <w:r w:rsidR="00FA5AB6" w:rsidRPr="000D268C">
        <w:rPr>
          <w:rFonts w:cstheme="minorHAnsi"/>
          <w:lang w:val="en-GB"/>
        </w:rPr>
        <w:t xml:space="preserve">control of the executive, and d) a multi-party system conducive to coalition governments </w:t>
      </w:r>
      <w:r w:rsidR="00FA5AB6" w:rsidRPr="000D268C">
        <w:rPr>
          <w:rFonts w:cstheme="minorHAnsi"/>
          <w:lang w:val="en-GB"/>
        </w:rPr>
        <w:fldChar w:fldCharType="begin"/>
      </w:r>
      <w:r w:rsidR="00DB0EE1" w:rsidRPr="000D268C">
        <w:rPr>
          <w:rFonts w:cstheme="minorHAnsi"/>
          <w:lang w:val="en-GB"/>
        </w:rPr>
        <w:instrText xml:space="preserve"> ADDIN ZOTERO_ITEM CSL_CITATION {"citationID":"afZ1gAfB","properties":{"formattedCitation":"(Martin, 2011; McCubbins &amp; Schwartz, 1984; Ogul, 1976; Rockman, 1984; Russo &amp; Wiberg, 2010; Sieberer, 2011; Wiberg &amp; Koura, 1994)","plainCitation":"(Martin, 2011; McCubbins &amp; Schwartz, 1984; Ogul, 1976; Rockman, 1984; Russo &amp; Wiberg, 2010; Sieberer, 2011; Wiberg &amp; Koura, 1994)","dontUpdate":true,"noteIndex":0},"citationItems":[{"id":6287,"uris":["http://zotero.org/users/1129714/items/YBECNTPF"],"uri":["http://zotero.org/users/1129714/items/YBECNTPF"],"itemData":{"id":6287,"type":"article-journal","abstract":"Individual legislators differ in the degree to which they work to cultivate personal votes. While conventional wisdom declares that the electoral system typically motivates the choice of legislative role, researchers have found difficulty assessing empirically the role behaviour of legislators. This study suggests using the content analysis of parliamentary questions as a mechanism to measure variations in personal vote-earning strategies. To demonstrate the usefulness of this approach, and the constituency focus of Irish parliamentarians, 123,762 questions tabled by Dáil Deputies between 1997 and 2002 are analysed. While evidence of some orientation toward localism is apparent, the data suggest significant variations in role orientation among legislators. Competing electoral system and non-electoral system explanations of intra-system variation in personal vote-earning effort are hypothesised and tested. Characteristics such as district magnitude, intra-party competition, electoral vulnerability, geography, education, gender and career incentives only partially explain the variation. The results highlight the need to move beyond using electoral rules as a general proxy for role orientation and behaviour.","container-title":"Political Studies","ISSN":"1467-9248","issue":"2","language":"en","page":"472-488","source":"Wiley Online Library","title":"Using Parliamentary Questions to Measure Constituency Focus: An Application to the Irish Case","volume":"59","author":[{"family":"Martin","given":"Shane"}],"issued":{"date-parts":[["2011"]]}}},{"id":34,"uris":["http://zotero.org/users/1129714/items/NH638BN4"],"uri":["http://zotero.org/users/1129714/items/NH638BN4"],"itemData":{"id":34,"type":"article-journal","container-title":"American Journal of Political Science","ISSN":"00925853","issue":"1","page":"165","source":"CrossRef","title":"Congressional Oversight Overlooked: Police Patrols versus Fire Alarms","title-short":"Congressional Oversight Overlooked","volume":"28","author":[{"family":"McCubbins","given":"Mathew D."},{"family":"Schwartz","given":"Thomas"}],"issued":{"date-parts":[["1984",2]]}}},{"id":6074,"uris":["http://zotero.org/users/1129714/items/FQ3HHZN6"],"uri":["http://zotero.org/users/1129714/items/FQ3HHZN6"],"itemData":{"id":6074,"type":"book","abstract":"Congressional supervision of the way the executive implements legislative mandates-“oversight” of the bureaucracy-is one of the most complex and least understood functions of Congress. In this book, Morris Ogul clarifies the meaning of oversight and analyzes the elements that contribute to its success or neglect.    Ogul's work is based on case studies from nearly one hundred interviews with congressmen, committee staff members, lobbyists, and members of the executive branch., as well as an examination of relevant congressional documents.","edition":"1st edition","event-place":"Pittsburgh, PA","ISBN":"978-0-8229-8454-2","language":"English","number-of-pages":"252","publisher":"University of Pittsburgh Press","publisher-place":"Pittsburgh, PA","source":"Amazon","title":"Congress Oversees the Bureaucracy","author":[{"family":"Ogul","given":"Morris S."}],"issued":{"date-parts":[["1976",5,15]]}}},{"id":5994,"uris":["http://zotero.org/users/1129714/items/IC5W66QY"],"uri":["http://zotero.org/users/1129714/items/IC5W66QY"],"itemData":{"id":5994,"type":"article-journal","abstract":"[As a focus of scholarship, the subject of legislative-executive relations is both elusively broad and remarkably diverse. This essay attempts to make both the breadth and diversity of the field more comprehensible by examining and identifying: (1) attributes and characteristics of key legislative and executive \"players,\" (2) various points of intersection between legislative and executive \"players\" and their institutions, and, especially, (3) forms, conditions, and impacts of legislative supervision of the executive (oversight). Analysis of the research and scholarly literature on these topics is situated in a context of different normative perspectives toward governance.]","archive":"JSTOR","container-title":"Legislative Studies Quarterly","ISSN":"0362-9805","issue":"3","page":"387-440","source":"JSTOR","title":"Legislative-Executive Relations and Legislative Oversight","volume":"9","author":[{"family":"Rockman","given":"Bert A."}],"issued":{"date-parts":[["1984"]]}}},{"id":6055,"uris":["http://zotero.org/users/1129714/items/W4TEFL8U"],"uri":["http://zotero.org/users/1129714/items/W4TEFL8U"],"itemData":{"id":6055,"type":"article-journal","abstract":"All democratic parliaments have some procedures to allow representatives to put questions to ministers. However, there are no two parliaments with exactly the same procedures. Cross-national comparisons are hindered by the lack of agreed-upon scientific criteria to group similar procedures, which are too often classified on the basis of their names rather than on their substantive characteristics. To overcome this problem, this article devises a typology of parliamentary questions based on relevant procedural features in 17 European countries. A ranking of parliaments according to the criteria of the effectiveness of procedures is developed and a discussion of the relationship of this ranking to the coalitional characteristics of the parliaments is provided. Finally, the article develops some tentative arguments to explain what influences the development of more or less effective questioning procedures, testing the hypothesis that countries dominated by coalition governments tend to have more effective procedures. In contrast with the authors' expectations, with regard to the countries included in the present analysis, the frequent presence of coalition government is associated with weaker procedures.","container-title":"The Journal of Legislative Studies","DOI":"10.1080/13572331003740115","ISSN":"1357-2334","issue":"2","page":"215-232","source":"Taylor and Francis+NEJM","title":"Parliamentary Questioning in 17 European Parliaments: Some Steps towards Comparison","title-short":"Parliamentary Questioning in 17 European Parliaments","volume":"16","author":[{"family":"Russo","given":"Federico"},{"family":"Wiberg","given":"Matti"}],"issued":{"date-parts":[["2010",6,1]]}}},{"id":7039,"uris":["http://zotero.org/users/1129714/items/AVDIF2MN"],"uri":["http://zotero.org/users/1129714/items/AVDIF2MN"],"itemData":{"id":7039,"type":"article-journal","abstract":"Parliaments are more than legislative bodies. However, we lack an adequate understanding of the theoretical relationship between different facets of parliamentary activity or ‘parliamentary functions’. Relying on the principal–agent framework, this article argues theoretically that parliamentary power is a multidimensional concept comprising three distinct mechanisms to ensure policy outputs in line with the collective preferences of parliaments: direct influence on policymaking, the ex ante selection of external officeholders, and the ex post control of the cabinet. These mechanisms mirror the classic legislative, electoral, and control functions of parliaments. Empirically, the paper uses factor analysis of newly developed indicators for electoral powers and established measures of legislative and control resources to show that the institutional powers of 15 Western European parliaments comprise four distinct dimensions. These dimensions match the three theoretically derived mechanisms with committee power as an additional factor. Locating the 15 parliaments in this multidimensional space of parliamentary powers demonstrates that classifications based solely on lawmaking lead to biased assessments of parliamentary strength and weakness. Instead, the paper provides a more nuanced picture of the ways in which Western European parliaments can influence policymaking under the conditions of delegation.","container-title":"West European Politics","DOI":"10.1080/01402382.2011.572389","ISSN":"0140-2382","issue":"4","page":"731-754","source":"Taylor and Francis+NEJM","title":"The Institutional Power of Western European Parliaments: A Multidimensional Analysis","title-short":"The Institutional Power of Western European Parliaments","volume":"34","author":[{"family":"Sieberer","given":"Ulrich"}],"issued":{"date-parts":[["2011",7,1]]}}},{"id":6316,"uris":["http://zotero.org/users/1129714/items/MA8SGKCS"],"uri":["http://zotero.org/users/1129714/items/MA8SGKCS"],"itemData":{"id":6316,"type":"chapter","container-title":"Parliamentary control in the Nordic countries: forms of questioning and behavioural trends","event-place":"Helsinki","ISBN":"978-951-96131-7-8","page":"19-43","publisher":"The Finnish Political Science Association","publisher-place":"Helsinki","source":"EBSCOhost","title":"The logic of parliamentary questioning","editor":[{"family":"Wiberg","given":"Matti"}],"author":[{"family":"Wiberg","given":"Matti"},{"family":"Koura","given":"Antti"}],"issued":{"date-parts":[["1994"]]}}}],"schema":"https://github.com/citation-style-language/schema/raw/master/csl-citation.json"} </w:instrText>
      </w:r>
      <w:r w:rsidR="00FA5AB6" w:rsidRPr="000D268C">
        <w:rPr>
          <w:rFonts w:cstheme="minorHAnsi"/>
          <w:lang w:val="en-GB"/>
        </w:rPr>
        <w:fldChar w:fldCharType="separate"/>
      </w:r>
      <w:r w:rsidR="00FA5AB6" w:rsidRPr="000D268C">
        <w:rPr>
          <w:rFonts w:cstheme="minorHAnsi"/>
          <w:noProof/>
          <w:lang w:val="en-GB"/>
        </w:rPr>
        <w:t>(based on Martin, 2011; McCubbins &amp; Schwartz, 1984; Ogul, 1976; Rockman, 1984; Russo &amp; Wiberg, 2010; Sieberer, 2011; Wiberg &amp; Koura, 1994)</w:t>
      </w:r>
      <w:r w:rsidR="00FA5AB6" w:rsidRPr="000D268C">
        <w:rPr>
          <w:rFonts w:cstheme="minorHAnsi"/>
          <w:lang w:val="en-GB"/>
        </w:rPr>
        <w:fldChar w:fldCharType="end"/>
      </w:r>
      <w:r w:rsidR="00FA5AB6" w:rsidRPr="000D268C">
        <w:rPr>
          <w:rFonts w:cstheme="minorHAnsi"/>
          <w:lang w:val="en-GB"/>
        </w:rPr>
        <w:t xml:space="preserve">. The point here is that </w:t>
      </w:r>
      <w:r w:rsidR="000315D2" w:rsidRPr="000D268C">
        <w:rPr>
          <w:rFonts w:cstheme="minorHAnsi"/>
          <w:lang w:val="en-GB"/>
        </w:rPr>
        <w:t xml:space="preserve">parliaments lack both the means and willingness to ask strong oversight questions, while </w:t>
      </w:r>
      <w:r w:rsidR="00EB2D62" w:rsidRPr="000D268C">
        <w:rPr>
          <w:rFonts w:cstheme="minorHAnsi"/>
          <w:lang w:val="en-GB"/>
        </w:rPr>
        <w:t>executives</w:t>
      </w:r>
      <w:r w:rsidR="000315D2" w:rsidRPr="000D268C">
        <w:rPr>
          <w:rFonts w:cstheme="minorHAnsi"/>
          <w:lang w:val="en-GB"/>
        </w:rPr>
        <w:t xml:space="preserve"> seek to obscure their conduct or shift responsibility to other actors.</w:t>
      </w:r>
    </w:p>
    <w:p w14:paraId="76CB7657" w14:textId="369C87F4" w:rsidR="00DB0EE1" w:rsidRDefault="00DB0EE1" w:rsidP="0041418F">
      <w:pPr>
        <w:pStyle w:val="ListParagraph"/>
        <w:spacing w:line="480" w:lineRule="auto"/>
        <w:ind w:left="0" w:firstLine="720"/>
        <w:jc w:val="both"/>
        <w:rPr>
          <w:rFonts w:cstheme="minorHAnsi"/>
          <w:lang w:val="en-GB"/>
        </w:rPr>
      </w:pPr>
      <w:r w:rsidRPr="000D268C">
        <w:rPr>
          <w:rFonts w:cstheme="minorHAnsi"/>
          <w:lang w:val="en-GB"/>
        </w:rPr>
        <w:t>From a normative perspective, the order of the scenario</w:t>
      </w:r>
      <w:r w:rsidR="00E26D17" w:rsidRPr="000D268C">
        <w:rPr>
          <w:rFonts w:cstheme="minorHAnsi"/>
          <w:lang w:val="en-GB"/>
        </w:rPr>
        <w:t>s</w:t>
      </w:r>
      <w:r w:rsidRPr="000D268C">
        <w:rPr>
          <w:rFonts w:cstheme="minorHAnsi"/>
          <w:lang w:val="en-GB"/>
        </w:rPr>
        <w:t xml:space="preserve"> is consistent with principal-agent expectations regarding the purpose of legislative oversight and accountability more generally, namely to ensure that agents are responsive to the principals that </w:t>
      </w:r>
      <w:r w:rsidRPr="000D268C">
        <w:rPr>
          <w:rFonts w:cstheme="minorHAnsi"/>
          <w:lang w:val="en-GB"/>
        </w:rPr>
        <w:lastRenderedPageBreak/>
        <w:t xml:space="preserve">elected/appointed them </w:t>
      </w:r>
      <w:r w:rsidRPr="000D268C">
        <w:rPr>
          <w:rFonts w:cstheme="minorHAnsi"/>
          <w:lang w:val="en-GB"/>
        </w:rPr>
        <w:fldChar w:fldCharType="begin"/>
      </w:r>
      <w:r w:rsidRPr="000D268C">
        <w:rPr>
          <w:rFonts w:cstheme="minorHAnsi"/>
          <w:lang w:val="en-GB"/>
        </w:rPr>
        <w:instrText xml:space="preserve"> ADDIN ZOTERO_ITEM CSL_CITATION {"citationID":"6sBFMqCQ","properties":{"formattedCitation":"(Przeworski et al., 1999)","plainCitation":"(Przeworski et al., 1999)","noteIndex":0},"citationItems":[{"id":5592,"uris":["http://zotero.org/users/1129714/items/U2P82TGI"],"uri":["http://zotero.org/users/1129714/items/U2P82TGI"],"itemData":{"id":5592,"type":"book","abstract":"This book examines whether mechanisms of accountability characteristic of democratic systems are sufficient to induce the representatives to act in the best interest of the represented. The first part of the volume focuses on the role of elections, distinguishing different ways in which they may cause representation. The second part is devoted to the role of checks and balances, between the government and the parliament as well as between the government and the bureaucracy. Overall, the essays combine theoretical discussions, game-theoretic models, case studies, and statistical analyses, within a shared analytical approach and a standardized terminology. The empirical material is drawn from the well established democracies as well as from new democracies.","ISBN":"978-0-521-64616-1","language":"en","note":"Google-Books-ID: aid08OpvF5gC","number-of-pages":"368","publisher":"Cambridge University Press","source":"Google Books","title":"Democracy, Accountability, and Representation","author":[{"family":"Przeworski","given":"Adam"},{"family":"Stokes","given":"Susan C."},{"family":"Manin","given":"Bernard"}],"issued":{"date-parts":[["1999",9,13]]}}}],"schema":"https://github.com/citation-style-language/schema/raw/master/csl-citation.json"} </w:instrText>
      </w:r>
      <w:r w:rsidRPr="000D268C">
        <w:rPr>
          <w:rFonts w:cstheme="minorHAnsi"/>
          <w:lang w:val="en-GB"/>
        </w:rPr>
        <w:fldChar w:fldCharType="separate"/>
      </w:r>
      <w:r w:rsidR="000A5639" w:rsidRPr="000D268C">
        <w:rPr>
          <w:rFonts w:cstheme="minorHAnsi"/>
          <w:noProof/>
          <w:lang w:val="en-GB"/>
        </w:rPr>
        <w:t>(Przeworski et al., 1999)</w:t>
      </w:r>
      <w:r w:rsidRPr="000D268C">
        <w:rPr>
          <w:rFonts w:cstheme="minorHAnsi"/>
          <w:lang w:val="en-GB"/>
        </w:rPr>
        <w:fldChar w:fldCharType="end"/>
      </w:r>
      <w:r w:rsidRPr="000D268C">
        <w:rPr>
          <w:rFonts w:cstheme="minorHAnsi"/>
          <w:lang w:val="en-GB"/>
        </w:rPr>
        <w:t xml:space="preserve">. </w:t>
      </w:r>
      <w:r w:rsidR="00ED01A8" w:rsidRPr="000D268C">
        <w:rPr>
          <w:rFonts w:cstheme="minorHAnsi"/>
          <w:lang w:val="en-GB"/>
        </w:rPr>
        <w:t xml:space="preserve">However, </w:t>
      </w:r>
      <w:r w:rsidR="00FA4024" w:rsidRPr="000D268C">
        <w:rPr>
          <w:rFonts w:cstheme="minorHAnsi"/>
          <w:lang w:val="en-GB"/>
        </w:rPr>
        <w:t>in some instances</w:t>
      </w:r>
      <w:r w:rsidRPr="000D268C">
        <w:rPr>
          <w:rFonts w:cstheme="minorHAnsi"/>
          <w:lang w:val="en-GB"/>
        </w:rPr>
        <w:t xml:space="preserve"> </w:t>
      </w:r>
      <w:r w:rsidRPr="000D268C">
        <w:rPr>
          <w:rFonts w:cstheme="minorHAnsi"/>
          <w:i/>
          <w:iCs/>
          <w:lang w:val="en-GB"/>
        </w:rPr>
        <w:t xml:space="preserve">Answerability </w:t>
      </w:r>
      <w:r w:rsidR="00FA4024" w:rsidRPr="000D268C">
        <w:rPr>
          <w:rFonts w:cstheme="minorHAnsi"/>
          <w:lang w:val="en-GB"/>
        </w:rPr>
        <w:t xml:space="preserve">can be </w:t>
      </w:r>
      <w:r w:rsidRPr="000D268C">
        <w:rPr>
          <w:rFonts w:cstheme="minorHAnsi"/>
          <w:lang w:val="en-GB"/>
        </w:rPr>
        <w:t xml:space="preserve">as important as </w:t>
      </w:r>
      <w:r w:rsidRPr="000D268C">
        <w:rPr>
          <w:rFonts w:cstheme="minorHAnsi"/>
          <w:i/>
          <w:iCs/>
          <w:lang w:val="en-GB"/>
        </w:rPr>
        <w:t>Full control</w:t>
      </w:r>
      <w:r w:rsidR="00E26D17" w:rsidRPr="000D268C">
        <w:rPr>
          <w:rFonts w:cstheme="minorHAnsi"/>
          <w:lang w:val="en-GB"/>
        </w:rPr>
        <w:t>, depending on the</w:t>
      </w:r>
      <w:r w:rsidR="001E4EB9" w:rsidRPr="000D268C">
        <w:rPr>
          <w:rFonts w:cstheme="minorHAnsi"/>
          <w:lang w:val="en-GB"/>
        </w:rPr>
        <w:t xml:space="preserve"> specificities</w:t>
      </w:r>
      <w:r w:rsidR="00E26D17" w:rsidRPr="000D268C">
        <w:rPr>
          <w:rFonts w:cstheme="minorHAnsi"/>
          <w:lang w:val="en-GB"/>
        </w:rPr>
        <w:t xml:space="preserve"> of the political and organisational setting under consideration </w:t>
      </w:r>
      <w:r w:rsidR="00E26D17" w:rsidRPr="000D268C">
        <w:rPr>
          <w:rFonts w:cstheme="minorHAnsi"/>
          <w:lang w:val="en-GB"/>
        </w:rPr>
        <w:fldChar w:fldCharType="begin"/>
      </w:r>
      <w:r w:rsidR="00E26D17" w:rsidRPr="000D268C">
        <w:rPr>
          <w:rFonts w:cstheme="minorHAnsi"/>
          <w:lang w:val="en-GB"/>
        </w:rPr>
        <w:instrText xml:space="preserve"> ADDIN ZOTERO_ITEM CSL_CITATION {"citationID":"xekSevzF","properties":{"formattedCitation":"(Dubnick, 2014, p. 33)","plainCitation":"(Dubnick, 2014, p. 33)","noteIndex":0},"citationItems":[{"id":2190,"uris":["http://zotero.org/users/1129714/items/U6R5H25T"],"uri":["http://zotero.org/users/1129714/items/U6R5H25T"],"itemData":{"id":2190,"type":"chapter","abstract":"Over the past two decades public accountability has become not only an icon in political, managerial, and administrative discourse but also the object of much scholarly analysis across a broad range of social and administrative sciences. This handbook provides a state of the art overview of recent scholarship on public accountability. It collects, consolidates, and integrates an upsurge of inquiry currently scattered across many disciplines and subdisciplines. It provides a one-stop-shop on the subject, not only for academics who study accountability, but also for practitioners who are designing, adjusting, or struggling with mechanisms for accountable governance. Drawing on the best scholars in the field from around the world, The Oxford Handbook of Public Accountability showcases conceptual and normative as well as the empirical approaches in public accountability studies. In addition to giving an overview of scholarly research in a variety of disciplines, it takes stock of a wide range of accountability mechanisms and practices across the public, private and non-profit sectors, making this volume a must-have for both practitioners and scholars, both established and new to the field.","container-title":"The Oxford Handbook Public Accountability","event-place":"Oxford","ISBN":"978-0-19-964125-3","language":"en","note":"Google-Books-ID: pip8AwAAQBAJ","page":"23-38","publisher":"Oxford University Press","publisher-place":"Oxford","source":"Google Books","title":"Accountability as a cultural keyword","author":[{"family":"Dubnick","given":"Melvin J."}],"editor":[{"family":"Bovens","given":"Mark"},{"family":"Goodin","given":"Robert E."},{"family":"Schillemans","given":"Thomas"}],"issued":{"date-parts":[["2014",4]]}},"locator":"33"}],"schema":"https://github.com/citation-style-language/schema/raw/master/csl-citation.json"} </w:instrText>
      </w:r>
      <w:r w:rsidR="00E26D17" w:rsidRPr="000D268C">
        <w:rPr>
          <w:rFonts w:cstheme="minorHAnsi"/>
          <w:lang w:val="en-GB"/>
        </w:rPr>
        <w:fldChar w:fldCharType="separate"/>
      </w:r>
      <w:r w:rsidR="000A5639" w:rsidRPr="000D268C">
        <w:rPr>
          <w:rFonts w:cstheme="minorHAnsi"/>
          <w:noProof/>
          <w:lang w:val="en-GB"/>
        </w:rPr>
        <w:t>(Dubnick, 2014, p. 33)</w:t>
      </w:r>
      <w:r w:rsidR="00E26D17" w:rsidRPr="000D268C">
        <w:rPr>
          <w:rFonts w:cstheme="minorHAnsi"/>
          <w:lang w:val="en-GB"/>
        </w:rPr>
        <w:fldChar w:fldCharType="end"/>
      </w:r>
      <w:r w:rsidR="00E26D17" w:rsidRPr="000D268C">
        <w:rPr>
          <w:rFonts w:cstheme="minorHAnsi"/>
          <w:lang w:val="en-GB"/>
        </w:rPr>
        <w:t xml:space="preserve">. </w:t>
      </w:r>
      <w:r w:rsidR="00FA4024" w:rsidRPr="000D268C">
        <w:rPr>
          <w:rFonts w:cstheme="minorHAnsi"/>
          <w:lang w:val="en-GB"/>
        </w:rPr>
        <w:t xml:space="preserve">For example, </w:t>
      </w:r>
      <w:r w:rsidR="00ED01A8" w:rsidRPr="000D268C">
        <w:rPr>
          <w:rFonts w:cstheme="minorHAnsi"/>
          <w:lang w:val="en-GB"/>
        </w:rPr>
        <w:t xml:space="preserve">if governments </w:t>
      </w:r>
      <w:r w:rsidR="00FA4024" w:rsidRPr="000D268C">
        <w:rPr>
          <w:rFonts w:cstheme="minorHAnsi"/>
          <w:lang w:val="en-GB"/>
        </w:rPr>
        <w:t xml:space="preserve">are seen </w:t>
      </w:r>
      <w:r w:rsidR="001B2DF3" w:rsidRPr="000D268C">
        <w:rPr>
          <w:rFonts w:cstheme="minorHAnsi"/>
          <w:lang w:val="en-GB"/>
        </w:rPr>
        <w:t>‘</w:t>
      </w:r>
      <w:r w:rsidR="00FA4024" w:rsidRPr="000D268C">
        <w:rPr>
          <w:rFonts w:cstheme="minorHAnsi"/>
          <w:lang w:val="en-GB"/>
        </w:rPr>
        <w:t>to do a good job</w:t>
      </w:r>
      <w:r w:rsidR="001B2DF3" w:rsidRPr="000D268C">
        <w:rPr>
          <w:rFonts w:cstheme="minorHAnsi"/>
          <w:lang w:val="en-GB"/>
        </w:rPr>
        <w:t>’</w:t>
      </w:r>
      <w:r w:rsidR="00ED01A8" w:rsidRPr="000D268C">
        <w:rPr>
          <w:rFonts w:cstheme="minorHAnsi"/>
          <w:lang w:val="en-GB"/>
        </w:rPr>
        <w:t>, then the need for rectification w</w:t>
      </w:r>
      <w:r w:rsidR="001B2DF3" w:rsidRPr="000D268C">
        <w:rPr>
          <w:rFonts w:cstheme="minorHAnsi"/>
          <w:lang w:val="en-GB"/>
        </w:rPr>
        <w:t>ill</w:t>
      </w:r>
      <w:r w:rsidR="00ED01A8" w:rsidRPr="000D268C">
        <w:rPr>
          <w:rFonts w:cstheme="minorHAnsi"/>
          <w:lang w:val="en-GB"/>
        </w:rPr>
        <w:t xml:space="preserve"> automatically be weaker than in contexts where executives deviate from legislative intent and hence </w:t>
      </w:r>
      <w:r w:rsidR="001B2DF3" w:rsidRPr="000D268C">
        <w:rPr>
          <w:rFonts w:cstheme="minorHAnsi"/>
          <w:lang w:val="en-GB"/>
        </w:rPr>
        <w:t>have</w:t>
      </w:r>
      <w:r w:rsidR="00ED01A8" w:rsidRPr="000D268C">
        <w:rPr>
          <w:rFonts w:cstheme="minorHAnsi"/>
          <w:lang w:val="en-GB"/>
        </w:rPr>
        <w:t xml:space="preserve"> to be </w:t>
      </w:r>
      <w:r w:rsidR="00FA4024" w:rsidRPr="000D268C">
        <w:rPr>
          <w:rFonts w:cstheme="minorHAnsi"/>
          <w:lang w:val="en-GB"/>
        </w:rPr>
        <w:t xml:space="preserve">regularly </w:t>
      </w:r>
      <w:r w:rsidR="00ED01A8" w:rsidRPr="000D268C">
        <w:rPr>
          <w:rFonts w:cstheme="minorHAnsi"/>
          <w:lang w:val="en-GB"/>
        </w:rPr>
        <w:t xml:space="preserve">‘controlled’. Moreover, there is also the question </w:t>
      </w:r>
      <w:r w:rsidR="001E4EB9" w:rsidRPr="000D268C">
        <w:rPr>
          <w:rFonts w:cstheme="minorHAnsi"/>
          <w:lang w:val="en-GB"/>
        </w:rPr>
        <w:t xml:space="preserve">whether rectification or executive responsiveness to legislatures is </w:t>
      </w:r>
      <w:r w:rsidR="00ED01A8" w:rsidRPr="000D268C">
        <w:rPr>
          <w:rFonts w:cstheme="minorHAnsi"/>
          <w:lang w:val="en-GB"/>
        </w:rPr>
        <w:t>always</w:t>
      </w:r>
      <w:r w:rsidR="001E4EB9" w:rsidRPr="000D268C">
        <w:rPr>
          <w:rFonts w:cstheme="minorHAnsi"/>
          <w:lang w:val="en-GB"/>
        </w:rPr>
        <w:t xml:space="preserve"> desirable: for example, </w:t>
      </w:r>
      <w:r w:rsidR="00E26D17" w:rsidRPr="000D268C">
        <w:rPr>
          <w:rFonts w:cstheme="minorHAnsi"/>
          <w:lang w:val="en-GB"/>
        </w:rPr>
        <w:t>independent [regulatory] agencies were delegated to fulfil specific tasks not least in order to be insulated from political changes over time</w:t>
      </w:r>
      <w:r w:rsidR="001B2DF3" w:rsidRPr="000D268C">
        <w:rPr>
          <w:rFonts w:cstheme="minorHAnsi"/>
          <w:lang w:val="en-GB"/>
        </w:rPr>
        <w:t xml:space="preserve"> </w:t>
      </w:r>
      <w:r w:rsidR="001B2DF3" w:rsidRPr="000D268C">
        <w:rPr>
          <w:rFonts w:cstheme="minorHAnsi"/>
          <w:lang w:val="en-GB"/>
        </w:rPr>
        <w:fldChar w:fldCharType="begin"/>
      </w:r>
      <w:r w:rsidR="001B2DF3" w:rsidRPr="000D268C">
        <w:rPr>
          <w:rFonts w:cstheme="minorHAnsi"/>
          <w:lang w:val="en-GB"/>
        </w:rPr>
        <w:instrText xml:space="preserve"> ADDIN ZOTERO_ITEM CSL_CITATION {"citationID":"8SgzABGz","properties":{"formattedCitation":"(Majone, 1999, pp. 13\\uc0\\u8211{}14)","plainCitation":"(Majone, 1999, pp. 13–14)","noteIndex":0},"citationItems":[{"id":2284,"uris":["http://zotero.org/users/1129714/items/ZRVPLS99"],"uri":["http://zotero.org/users/1129714/items/ZRVPLS99"],"itemData":{"id":2284,"type":"article-journal","abstract":"While the interventionist state was characterised by a high level of centralisation in administration and policy making, the regulatory state relies on extensive delegation of powers to independent institutions: regulatory agencies or commissions, but also the judiciary which is becoming an increasingly active player in the regulatory game. Delegation of important policy‐making powers to non‐majoritarian institutions raises novel problems of democratic legitimacy. This article argues that such problems should be tackled not by limiting the independence of the regulators, but rather by strengthening the accountability structure. Similar problems arise at the European level. Here, too, the correct solution is a better accountability structure rather than increased politicisation. The de‐politicisation of European policy making is a consequence of the fact that the large majority of Europe's voters support far‐reaching economic integration but oppose true political integration.","container-title":"West European Politics","ISSN":"0140-2382","issue":"1","page":"1-24","source":"Taylor and Francis+NEJM","title":"The regulatory state and its legitimacy problems","volume":"22","author":[{"family":"Majone","given":"Giandomenico"}],"issued":{"date-parts":[["1999",1,1]]}},"locator":"13-14"}],"schema":"https://github.com/citation-style-language/schema/raw/master/csl-citation.json"} </w:instrText>
      </w:r>
      <w:r w:rsidR="001B2DF3" w:rsidRPr="000D268C">
        <w:rPr>
          <w:rFonts w:cstheme="minorHAnsi"/>
          <w:lang w:val="en-GB"/>
        </w:rPr>
        <w:fldChar w:fldCharType="separate"/>
      </w:r>
      <w:r w:rsidR="000A5639" w:rsidRPr="000D268C">
        <w:rPr>
          <w:rFonts w:cstheme="minorHAnsi"/>
          <w:lang w:val="en-GB"/>
        </w:rPr>
        <w:t>(Majone, 1999, pp. 13–14)</w:t>
      </w:r>
      <w:r w:rsidR="001B2DF3" w:rsidRPr="000D268C">
        <w:rPr>
          <w:rFonts w:cstheme="minorHAnsi"/>
          <w:lang w:val="en-GB"/>
        </w:rPr>
        <w:fldChar w:fldCharType="end"/>
      </w:r>
      <w:r w:rsidR="00E26D17" w:rsidRPr="000D268C">
        <w:rPr>
          <w:rFonts w:cstheme="minorHAnsi"/>
          <w:lang w:val="en-GB"/>
        </w:rPr>
        <w:t xml:space="preserve">; </w:t>
      </w:r>
      <w:r w:rsidR="001E4EB9" w:rsidRPr="000D268C">
        <w:rPr>
          <w:rFonts w:cstheme="minorHAnsi"/>
          <w:lang w:val="en-GB"/>
        </w:rPr>
        <w:t xml:space="preserve">in these cases, </w:t>
      </w:r>
      <w:r w:rsidR="001B2DF3" w:rsidRPr="000D268C">
        <w:rPr>
          <w:rFonts w:cstheme="minorHAnsi"/>
          <w:lang w:val="en-GB"/>
        </w:rPr>
        <w:t xml:space="preserve">the justification of </w:t>
      </w:r>
      <w:r w:rsidR="00CF5670" w:rsidRPr="000D268C">
        <w:rPr>
          <w:rFonts w:cstheme="minorHAnsi"/>
          <w:lang w:val="en-GB"/>
        </w:rPr>
        <w:t xml:space="preserve">executive </w:t>
      </w:r>
      <w:r w:rsidR="001B2DF3" w:rsidRPr="000D268C">
        <w:rPr>
          <w:rFonts w:cstheme="minorHAnsi"/>
          <w:lang w:val="en-GB"/>
        </w:rPr>
        <w:t xml:space="preserve">decisions </w:t>
      </w:r>
      <w:r w:rsidR="00ED01A8" w:rsidRPr="000D268C">
        <w:rPr>
          <w:rFonts w:cstheme="minorHAnsi"/>
          <w:lang w:val="en-GB"/>
        </w:rPr>
        <w:t>might</w:t>
      </w:r>
      <w:r w:rsidR="001E4EB9" w:rsidRPr="000D268C">
        <w:rPr>
          <w:rFonts w:cstheme="minorHAnsi"/>
          <w:lang w:val="en-GB"/>
        </w:rPr>
        <w:t xml:space="preserve"> be </w:t>
      </w:r>
      <w:r w:rsidR="001B2DF3" w:rsidRPr="000D268C">
        <w:rPr>
          <w:rFonts w:cstheme="minorHAnsi"/>
          <w:lang w:val="en-GB"/>
        </w:rPr>
        <w:t xml:space="preserve">more valuable than their rectification or appearing responsive to parliamentary pressure. </w:t>
      </w:r>
      <w:r w:rsidR="00ED01A8" w:rsidRPr="000D268C">
        <w:rPr>
          <w:rFonts w:cstheme="minorHAnsi"/>
          <w:lang w:val="en-GB"/>
        </w:rPr>
        <w:t xml:space="preserve">The point is that researchers </w:t>
      </w:r>
      <w:r w:rsidR="001B2DF3" w:rsidRPr="000D268C">
        <w:rPr>
          <w:rFonts w:cstheme="minorHAnsi"/>
          <w:lang w:val="en-GB"/>
        </w:rPr>
        <w:t>must</w:t>
      </w:r>
      <w:r w:rsidR="00FA4024" w:rsidRPr="000D268C">
        <w:rPr>
          <w:rFonts w:cstheme="minorHAnsi"/>
          <w:lang w:val="en-GB"/>
        </w:rPr>
        <w:t xml:space="preserve"> decide on a case-by-case basis whether </w:t>
      </w:r>
      <w:r w:rsidR="00FA4024" w:rsidRPr="000D268C">
        <w:rPr>
          <w:rFonts w:cstheme="minorHAnsi"/>
          <w:i/>
          <w:iCs/>
          <w:lang w:val="en-GB"/>
        </w:rPr>
        <w:t>Full control</w:t>
      </w:r>
      <w:r w:rsidR="00FA4024" w:rsidRPr="000D268C">
        <w:rPr>
          <w:rFonts w:cstheme="minorHAnsi"/>
          <w:lang w:val="en-GB"/>
        </w:rPr>
        <w:t xml:space="preserve"> or </w:t>
      </w:r>
      <w:r w:rsidR="00FA4024" w:rsidRPr="000D268C">
        <w:rPr>
          <w:rFonts w:cstheme="minorHAnsi"/>
          <w:i/>
          <w:iCs/>
          <w:lang w:val="en-GB"/>
        </w:rPr>
        <w:t xml:space="preserve">Answerability </w:t>
      </w:r>
      <w:r w:rsidR="00FA4024" w:rsidRPr="000D268C">
        <w:rPr>
          <w:rFonts w:cstheme="minorHAnsi"/>
          <w:lang w:val="en-GB"/>
        </w:rPr>
        <w:t xml:space="preserve">is the ‘best-case’ scenario in a given oversight context. For the case study in the article, </w:t>
      </w:r>
      <w:r w:rsidR="00FA4024" w:rsidRPr="000D268C">
        <w:rPr>
          <w:rFonts w:cstheme="minorHAnsi"/>
          <w:i/>
          <w:iCs/>
          <w:lang w:val="en-GB"/>
        </w:rPr>
        <w:t>Full control</w:t>
      </w:r>
      <w:r w:rsidR="00FA4024" w:rsidRPr="000D268C">
        <w:rPr>
          <w:rFonts w:cstheme="minorHAnsi"/>
          <w:lang w:val="en-GB"/>
        </w:rPr>
        <w:t xml:space="preserve"> would have </w:t>
      </w:r>
      <w:r w:rsidR="00CF5670" w:rsidRPr="000D268C">
        <w:rPr>
          <w:rFonts w:cstheme="minorHAnsi"/>
          <w:lang w:val="en-GB"/>
        </w:rPr>
        <w:t xml:space="preserve">been </w:t>
      </w:r>
      <w:r w:rsidR="001B2DF3" w:rsidRPr="000D268C">
        <w:rPr>
          <w:rFonts w:cstheme="minorHAnsi"/>
          <w:lang w:val="en-GB"/>
        </w:rPr>
        <w:t>unfeasible</w:t>
      </w:r>
      <w:r w:rsidR="00FA4024" w:rsidRPr="000D268C">
        <w:rPr>
          <w:rFonts w:cstheme="minorHAnsi"/>
          <w:lang w:val="en-GB"/>
        </w:rPr>
        <w:t xml:space="preserve"> because the executive actor was a strongly independent central bank deliberately insulated from political influence.</w:t>
      </w:r>
    </w:p>
    <w:p w14:paraId="2E1866A5" w14:textId="77777777" w:rsidR="00D0499B" w:rsidRPr="000D268C" w:rsidRDefault="00D0499B" w:rsidP="0041418F">
      <w:pPr>
        <w:pStyle w:val="ListParagraph"/>
        <w:spacing w:line="480" w:lineRule="auto"/>
        <w:ind w:left="0" w:firstLine="720"/>
        <w:jc w:val="both"/>
        <w:rPr>
          <w:rFonts w:cstheme="minorHAnsi"/>
          <w:lang w:val="en-GB"/>
        </w:rPr>
      </w:pPr>
    </w:p>
    <w:p w14:paraId="7D0B889F" w14:textId="66DB821B" w:rsidR="002C54BF" w:rsidRPr="000D268C" w:rsidRDefault="00F813C3" w:rsidP="002C54BF">
      <w:pPr>
        <w:pStyle w:val="Heading1"/>
        <w:numPr>
          <w:ilvl w:val="0"/>
          <w:numId w:val="30"/>
        </w:numPr>
        <w:spacing w:line="480" w:lineRule="auto"/>
        <w:rPr>
          <w:rFonts w:asciiTheme="minorHAnsi" w:hAnsiTheme="minorHAnsi" w:cstheme="minorHAnsi"/>
          <w:b/>
          <w:bCs/>
          <w:color w:val="auto"/>
          <w:sz w:val="28"/>
          <w:szCs w:val="28"/>
          <w:lang w:val="en-GB"/>
        </w:rPr>
      </w:pPr>
      <w:bookmarkStart w:id="1" w:name="_Toc45885394"/>
      <w:r w:rsidRPr="000D268C">
        <w:rPr>
          <w:rFonts w:asciiTheme="minorHAnsi" w:hAnsiTheme="minorHAnsi" w:cstheme="minorHAnsi"/>
          <w:b/>
          <w:bCs/>
          <w:color w:val="auto"/>
          <w:sz w:val="28"/>
          <w:szCs w:val="28"/>
          <w:lang w:val="en-GB"/>
        </w:rPr>
        <w:t>Additional figures</w:t>
      </w:r>
      <w:bookmarkEnd w:id="1"/>
    </w:p>
    <w:p w14:paraId="33A367DB" w14:textId="571E689B" w:rsidR="00F813C3" w:rsidRPr="000D268C" w:rsidRDefault="002F14D6" w:rsidP="002C54BF">
      <w:pPr>
        <w:pStyle w:val="Heading2"/>
        <w:spacing w:line="480" w:lineRule="auto"/>
        <w:rPr>
          <w:rFonts w:asciiTheme="minorHAnsi" w:hAnsiTheme="minorHAnsi" w:cstheme="minorHAnsi"/>
          <w:color w:val="auto"/>
          <w:lang w:val="en-GB"/>
        </w:rPr>
      </w:pPr>
      <w:bookmarkStart w:id="2" w:name="_Toc45885395"/>
      <w:r w:rsidRPr="000D268C">
        <w:rPr>
          <w:rFonts w:asciiTheme="minorHAnsi" w:hAnsiTheme="minorHAnsi" w:cstheme="minorHAnsi"/>
          <w:color w:val="auto"/>
          <w:lang w:val="en-GB"/>
        </w:rPr>
        <w:t>European Parliament (EP) oversight of the European Central Bank (ECB)</w:t>
      </w:r>
      <w:r w:rsidR="002C54BF" w:rsidRPr="000D268C">
        <w:rPr>
          <w:rFonts w:asciiTheme="minorHAnsi" w:hAnsiTheme="minorHAnsi" w:cstheme="minorHAnsi"/>
          <w:color w:val="auto"/>
          <w:lang w:val="en-GB"/>
        </w:rPr>
        <w:t xml:space="preserve">: </w:t>
      </w:r>
      <w:r w:rsidRPr="000D268C">
        <w:rPr>
          <w:rFonts w:asciiTheme="minorHAnsi" w:hAnsiTheme="minorHAnsi" w:cstheme="minorHAnsi"/>
          <w:color w:val="auto"/>
          <w:lang w:val="en-GB"/>
        </w:rPr>
        <w:t>frequency of questions and answers over time</w:t>
      </w:r>
      <w:bookmarkEnd w:id="2"/>
    </w:p>
    <w:p w14:paraId="3E537FCD" w14:textId="77777777" w:rsidR="004545AB" w:rsidRDefault="004545AB" w:rsidP="002C54BF">
      <w:pPr>
        <w:spacing w:line="480" w:lineRule="auto"/>
        <w:jc w:val="both"/>
        <w:rPr>
          <w:rFonts w:cstheme="minorHAnsi"/>
          <w:lang w:val="en-GB"/>
        </w:rPr>
      </w:pPr>
    </w:p>
    <w:p w14:paraId="0207BA7E" w14:textId="55552404" w:rsidR="0080135A" w:rsidRPr="000D268C" w:rsidRDefault="0080135A" w:rsidP="002C54BF">
      <w:pPr>
        <w:spacing w:line="480" w:lineRule="auto"/>
        <w:jc w:val="both"/>
        <w:rPr>
          <w:rFonts w:cstheme="minorHAnsi"/>
          <w:lang w:val="en-GB"/>
        </w:rPr>
      </w:pPr>
      <w:r w:rsidRPr="000D268C">
        <w:rPr>
          <w:rFonts w:cstheme="minorHAnsi"/>
          <w:lang w:val="en-GB"/>
        </w:rPr>
        <w:t xml:space="preserve">The data behind the figures </w:t>
      </w:r>
      <w:r w:rsidR="0041418F" w:rsidRPr="000D268C">
        <w:rPr>
          <w:rFonts w:cstheme="minorHAnsi"/>
          <w:lang w:val="en-GB"/>
        </w:rPr>
        <w:t>is available in the Excel file part of the Online Appendix</w:t>
      </w:r>
      <w:r w:rsidR="00C73216" w:rsidRPr="000D268C">
        <w:rPr>
          <w:rFonts w:cstheme="minorHAnsi"/>
          <w:lang w:val="en-GB"/>
        </w:rPr>
        <w:t>.</w:t>
      </w:r>
    </w:p>
    <w:p w14:paraId="35C7B300" w14:textId="1BAC701D" w:rsidR="00B11DC5" w:rsidRPr="000D268C" w:rsidRDefault="0060651D" w:rsidP="002C54BF">
      <w:pPr>
        <w:snapToGrid w:val="0"/>
        <w:spacing w:line="480" w:lineRule="auto"/>
        <w:jc w:val="both"/>
        <w:rPr>
          <w:rFonts w:cstheme="minorHAnsi"/>
          <w:lang w:val="en-GB"/>
        </w:rPr>
      </w:pPr>
      <w:r w:rsidRPr="000D268C">
        <w:rPr>
          <w:rFonts w:cstheme="minorHAnsi"/>
          <w:noProof/>
          <w:lang w:val="en-GB"/>
        </w:rPr>
        <w:lastRenderedPageBreak/>
        <w:drawing>
          <wp:inline distT="0" distB="0" distL="0" distR="0" wp14:anchorId="564162B0" wp14:editId="1DB5B343">
            <wp:extent cx="5756910" cy="365379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Appendix_Figure A.png"/>
                    <pic:cNvPicPr/>
                  </pic:nvPicPr>
                  <pic:blipFill>
                    <a:blip r:embed="rId8">
                      <a:extLst>
                        <a:ext uri="{28A0092B-C50C-407E-A947-70E740481C1C}">
                          <a14:useLocalDpi xmlns:a14="http://schemas.microsoft.com/office/drawing/2010/main" val="0"/>
                        </a:ext>
                      </a:extLst>
                    </a:blip>
                    <a:stretch>
                      <a:fillRect/>
                    </a:stretch>
                  </pic:blipFill>
                  <pic:spPr>
                    <a:xfrm>
                      <a:off x="0" y="0"/>
                      <a:ext cx="5756910" cy="3653790"/>
                    </a:xfrm>
                    <a:prstGeom prst="rect">
                      <a:avLst/>
                    </a:prstGeom>
                  </pic:spPr>
                </pic:pic>
              </a:graphicData>
            </a:graphic>
          </wp:inline>
        </w:drawing>
      </w:r>
    </w:p>
    <w:p w14:paraId="43B9DF76" w14:textId="6C16D384" w:rsidR="005E6358" w:rsidRPr="000D268C" w:rsidRDefault="005E6358" w:rsidP="002C54BF">
      <w:pPr>
        <w:snapToGrid w:val="0"/>
        <w:spacing w:line="480" w:lineRule="auto"/>
        <w:jc w:val="both"/>
        <w:rPr>
          <w:rFonts w:cstheme="minorHAnsi"/>
          <w:i/>
          <w:lang w:val="en-GB"/>
        </w:rPr>
      </w:pPr>
      <w:r w:rsidRPr="000D268C">
        <w:rPr>
          <w:rFonts w:cstheme="minorHAnsi"/>
          <w:i/>
          <w:lang w:val="en-GB"/>
        </w:rPr>
        <w:t>Figure A</w:t>
      </w:r>
      <w:r w:rsidR="00B53EF7" w:rsidRPr="000D268C">
        <w:rPr>
          <w:rFonts w:cstheme="minorHAnsi"/>
          <w:i/>
          <w:lang w:val="en-GB"/>
        </w:rPr>
        <w:t>1</w:t>
      </w:r>
      <w:r w:rsidRPr="000D268C">
        <w:rPr>
          <w:rFonts w:cstheme="minorHAnsi"/>
          <w:i/>
          <w:lang w:val="en-GB"/>
        </w:rPr>
        <w:t>: Types of questions per year addressed by Members of the European Parliament (MEPs) to the ECB in banking supervision, in letters and hearings (October 2013 to April 2018).</w:t>
      </w:r>
    </w:p>
    <w:p w14:paraId="24C20EAE" w14:textId="77777777" w:rsidR="005E6358" w:rsidRPr="000D268C" w:rsidRDefault="005E6358" w:rsidP="002C54BF">
      <w:pPr>
        <w:snapToGrid w:val="0"/>
        <w:spacing w:line="480" w:lineRule="auto"/>
        <w:jc w:val="both"/>
        <w:rPr>
          <w:rFonts w:cstheme="minorHAnsi"/>
          <w:lang w:val="en-GB"/>
        </w:rPr>
      </w:pPr>
    </w:p>
    <w:p w14:paraId="3B0794E5" w14:textId="0FBD902D" w:rsidR="00505620" w:rsidRPr="000D268C" w:rsidRDefault="00505620" w:rsidP="002C54BF">
      <w:pPr>
        <w:spacing w:after="120" w:line="480" w:lineRule="auto"/>
        <w:jc w:val="both"/>
        <w:rPr>
          <w:rFonts w:cstheme="minorHAnsi"/>
          <w:lang w:val="en-GB"/>
        </w:rPr>
      </w:pPr>
      <w:r w:rsidRPr="000D268C">
        <w:rPr>
          <w:rFonts w:cstheme="minorHAnsi"/>
          <w:lang w:val="en-GB"/>
        </w:rPr>
        <w:t>The most significant finding is the steady increase in the number of follow-up questions, parallel to the development of the SSM. In the first years (2013-2014), questions concerned the organisation of banking supervision in the euro area and the first ‘Comprehensive Assessment’</w:t>
      </w:r>
      <w:r w:rsidR="00B219C8" w:rsidRPr="000D268C">
        <w:rPr>
          <w:rStyle w:val="FootnoteReference"/>
          <w:rFonts w:cstheme="minorHAnsi"/>
          <w:lang w:val="en-GB"/>
        </w:rPr>
        <w:footnoteReference w:id="1"/>
      </w:r>
      <w:r w:rsidRPr="000D268C">
        <w:rPr>
          <w:rFonts w:cstheme="minorHAnsi"/>
          <w:lang w:val="en-GB"/>
        </w:rPr>
        <w:t xml:space="preserve"> of the largest banks envisaged to be supervised directly by the ECB. As the complexity of SSM tasks increased, so did the interest of MEPs in specific issues, on which they could follow up. 2017 was a special year because in June the ECB declared three of the banks it supervises ‘failing or likely to fail’</w:t>
      </w:r>
      <w:r w:rsidR="00355E94" w:rsidRPr="000D268C">
        <w:rPr>
          <w:rFonts w:cstheme="minorHAnsi"/>
          <w:lang w:val="en-GB"/>
        </w:rPr>
        <w:t>—</w:t>
      </w:r>
      <w:r w:rsidR="00B219C8" w:rsidRPr="000D268C">
        <w:rPr>
          <w:rFonts w:cstheme="minorHAnsi"/>
          <w:lang w:val="en-GB"/>
        </w:rPr>
        <w:t>using for the first time what is</w:t>
      </w:r>
      <w:r w:rsidRPr="000D268C">
        <w:rPr>
          <w:rFonts w:cstheme="minorHAnsi"/>
          <w:lang w:val="en-GB"/>
        </w:rPr>
        <w:t xml:space="preserve"> arguably the ultimate power of a bank supervisor </w:t>
      </w:r>
      <w:r w:rsidRPr="000D268C">
        <w:rPr>
          <w:rFonts w:cstheme="minorHAnsi"/>
          <w:lang w:val="en-GB"/>
        </w:rPr>
        <w:fldChar w:fldCharType="begin"/>
      </w:r>
      <w:r w:rsidR="00C82021" w:rsidRPr="000D268C">
        <w:rPr>
          <w:rFonts w:cstheme="minorHAnsi"/>
          <w:lang w:val="en-GB"/>
        </w:rPr>
        <w:instrText xml:space="preserve"> ADDIN ZOTERO_ITEM CSL_CITATION {"citationID":"xt9YQbTK","properties":{"formattedCitation":"(European Central Bank, 2018b, pp. 47\\uc0\\u8211{}56)","plainCitation":"(European Central Bank, 2018b, pp. 47–56)","noteIndex":0},"citationItems":[{"id":2414,"uris":["http://zotero.org/users/1129714/items/7TG67QNM"],"uri":["http://zotero.org/users/1129714/items/7TG67QNM"],"itemData":{"id":2414,"type":"webpage","language":"en","title":"ECB Annual Report on supervisory activities 2017","URL":"https://www.bankingsupervision.europa.eu/press/publications/annual-report/html/ssm.ar2017.en.html#toc26","author":[{"family":"European Central Bank","given":""}],"accessed":{"date-parts":[["2018",6,29]]},"issued":{"date-parts":[["2018",3,15]]}},"locator":"47-56"}],"schema":"https://github.com/citation-style-language/schema/raw/master/csl-citation.json"} </w:instrText>
      </w:r>
      <w:r w:rsidRPr="000D268C">
        <w:rPr>
          <w:rFonts w:cstheme="minorHAnsi"/>
          <w:lang w:val="en-GB"/>
        </w:rPr>
        <w:fldChar w:fldCharType="separate"/>
      </w:r>
      <w:r w:rsidR="000A5639" w:rsidRPr="000D268C">
        <w:rPr>
          <w:rFonts w:cstheme="minorHAnsi"/>
          <w:lang w:val="en-GB"/>
        </w:rPr>
        <w:t>(European Central Bank, 2018b, pp. 47–56)</w:t>
      </w:r>
      <w:r w:rsidRPr="000D268C">
        <w:rPr>
          <w:rFonts w:cstheme="minorHAnsi"/>
          <w:lang w:val="en-GB"/>
        </w:rPr>
        <w:fldChar w:fldCharType="end"/>
      </w:r>
      <w:r w:rsidRPr="000D268C">
        <w:rPr>
          <w:rFonts w:cstheme="minorHAnsi"/>
          <w:lang w:val="en-GB"/>
        </w:rPr>
        <w:t xml:space="preserve">. In November, the EP </w:t>
      </w:r>
      <w:r w:rsidRPr="000D268C">
        <w:rPr>
          <w:rFonts w:cstheme="minorHAnsi"/>
          <w:lang w:val="en-GB"/>
        </w:rPr>
        <w:lastRenderedPageBreak/>
        <w:t xml:space="preserve">clashed with the ECB over its competence to set targets for banks for reducing ‘bad loans’ </w:t>
      </w:r>
      <w:r w:rsidRPr="000D268C">
        <w:rPr>
          <w:rFonts w:cstheme="minorHAnsi"/>
          <w:lang w:val="en-GB"/>
        </w:rPr>
        <w:fldChar w:fldCharType="begin"/>
      </w:r>
      <w:r w:rsidR="00C82021" w:rsidRPr="000D268C">
        <w:rPr>
          <w:rFonts w:cstheme="minorHAnsi"/>
          <w:lang w:val="en-GB"/>
        </w:rPr>
        <w:instrText xml:space="preserve"> ADDIN ZOTERO_ITEM CSL_CITATION {"citationID":"u9cQihG1","properties":{"formattedCitation":"(European Central Bank, 2018a)","plainCitation":"(European Central Bank, 2018a)","noteIndex":0},"citationItems":[{"id":2547,"uris":["http://zotero.org/users/1129714/items/28VN4CKD"],"uri":["http://zotero.org/users/1129714/items/28VN4CKD"],"itemData":{"id":2547,"type":"webpage","container-title":"ECB Banking Supervision","title":"Comparison of pre- and post-consultation versions of the addendum","URL":"https://www.bankingsupervision.europa.eu/legalframework/publiccons/pdf/npl2/ssm.npl_addendum_compare.en.pdf","author":[{"family":"European Central Bank","given":""}],"accessed":{"date-parts":[["2018",8,29]]},"issued":{"date-parts":[["2018",3]]}}}],"schema":"https://github.com/citation-style-language/schema/raw/master/csl-citation.json"} </w:instrText>
      </w:r>
      <w:r w:rsidRPr="000D268C">
        <w:rPr>
          <w:rFonts w:cstheme="minorHAnsi"/>
          <w:lang w:val="en-GB"/>
        </w:rPr>
        <w:fldChar w:fldCharType="separate"/>
      </w:r>
      <w:r w:rsidR="000A5639" w:rsidRPr="000D268C">
        <w:rPr>
          <w:rFonts w:cstheme="minorHAnsi"/>
          <w:noProof/>
          <w:lang w:val="en-GB"/>
        </w:rPr>
        <w:t>(European Central Bank, 2018a)</w:t>
      </w:r>
      <w:r w:rsidRPr="000D268C">
        <w:rPr>
          <w:rFonts w:cstheme="minorHAnsi"/>
          <w:lang w:val="en-GB"/>
        </w:rPr>
        <w:fldChar w:fldCharType="end"/>
      </w:r>
      <w:r w:rsidRPr="000D268C">
        <w:rPr>
          <w:rFonts w:cstheme="minorHAnsi"/>
          <w:lang w:val="en-GB"/>
        </w:rPr>
        <w:t xml:space="preserve">. Hearings in June and November 2017 were fierce, as suggested by the exponential increase of follow-up questions addressed orally. </w:t>
      </w:r>
    </w:p>
    <w:p w14:paraId="75E33BCE" w14:textId="1FCB7376" w:rsidR="00C645F8" w:rsidRPr="000D268C" w:rsidRDefault="006F2FD2" w:rsidP="002C54BF">
      <w:pPr>
        <w:spacing w:line="480" w:lineRule="auto"/>
        <w:rPr>
          <w:rFonts w:cstheme="minorHAnsi"/>
          <w:lang w:val="en-GB"/>
        </w:rPr>
      </w:pPr>
      <w:r w:rsidRPr="000D268C">
        <w:rPr>
          <w:rFonts w:cstheme="minorHAnsi"/>
          <w:noProof/>
          <w:lang w:val="en-GB"/>
        </w:rPr>
        <w:drawing>
          <wp:inline distT="0" distB="0" distL="0" distR="0" wp14:anchorId="5AE7BE85" wp14:editId="28BDD323">
            <wp:extent cx="5756910" cy="3590290"/>
            <wp:effectExtent l="0" t="0" r="8890" b="16510"/>
            <wp:docPr id="1" name="Chart 1">
              <a:extLst xmlns:a="http://schemas.openxmlformats.org/drawingml/2006/main">
                <a:ext uri="{FF2B5EF4-FFF2-40B4-BE49-F238E27FC236}">
                  <a16:creationId xmlns:a16="http://schemas.microsoft.com/office/drawing/2014/main" id="{226E0373-FFC2-5146-AD57-1FCBEEB7B44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4521489" w14:textId="6C9AF25E" w:rsidR="00316C63" w:rsidRPr="000D268C" w:rsidRDefault="00316C63" w:rsidP="002C54BF">
      <w:pPr>
        <w:widowControl w:val="0"/>
        <w:spacing w:line="480" w:lineRule="auto"/>
        <w:jc w:val="both"/>
        <w:rPr>
          <w:rFonts w:cstheme="minorHAnsi"/>
          <w:i/>
          <w:lang w:val="en-GB"/>
        </w:rPr>
      </w:pPr>
      <w:r w:rsidRPr="000D268C">
        <w:rPr>
          <w:rFonts w:cstheme="minorHAnsi"/>
          <w:i/>
          <w:lang w:val="en-GB"/>
        </w:rPr>
        <w:t xml:space="preserve">Figure </w:t>
      </w:r>
      <w:r w:rsidR="00B53EF7" w:rsidRPr="000D268C">
        <w:rPr>
          <w:rFonts w:cstheme="minorHAnsi"/>
          <w:i/>
          <w:lang w:val="en-GB"/>
        </w:rPr>
        <w:t>A2</w:t>
      </w:r>
      <w:r w:rsidRPr="000D268C">
        <w:rPr>
          <w:rFonts w:cstheme="minorHAnsi"/>
          <w:i/>
          <w:lang w:val="en-GB"/>
        </w:rPr>
        <w:t>: Types of answers per year provided by the ECB to MEPs in banking supervision in both letters and hearings (October 2013-April 2018)</w:t>
      </w:r>
    </w:p>
    <w:p w14:paraId="065A1962" w14:textId="498C71EF" w:rsidR="00B11DC5" w:rsidRPr="000D268C" w:rsidRDefault="00B11DC5" w:rsidP="002C54BF">
      <w:pPr>
        <w:spacing w:line="480" w:lineRule="auto"/>
        <w:rPr>
          <w:rFonts w:cstheme="minorHAnsi"/>
          <w:lang w:val="en-GB"/>
        </w:rPr>
      </w:pPr>
    </w:p>
    <w:p w14:paraId="1F1F4B41" w14:textId="77777777" w:rsidR="00A4538F" w:rsidRPr="000D268C" w:rsidRDefault="00B219C8" w:rsidP="002C54BF">
      <w:pPr>
        <w:spacing w:after="120" w:line="480" w:lineRule="auto"/>
        <w:jc w:val="both"/>
        <w:rPr>
          <w:rFonts w:cstheme="minorHAnsi"/>
          <w:lang w:val="en-GB"/>
        </w:rPr>
        <w:sectPr w:rsidR="00A4538F" w:rsidRPr="000D268C" w:rsidSect="00144620">
          <w:headerReference w:type="default" r:id="rId10"/>
          <w:footerReference w:type="even" r:id="rId11"/>
          <w:footerReference w:type="default" r:id="rId12"/>
          <w:pgSz w:w="11900" w:h="16840"/>
          <w:pgMar w:top="1417" w:right="1417" w:bottom="1134" w:left="1417" w:header="708" w:footer="708" w:gutter="0"/>
          <w:cols w:space="708"/>
          <w:docGrid w:linePitch="360"/>
        </w:sectPr>
      </w:pPr>
      <w:r w:rsidRPr="000D268C">
        <w:rPr>
          <w:rFonts w:cstheme="minorHAnsi"/>
          <w:lang w:val="en-GB"/>
        </w:rPr>
        <w:t xml:space="preserve">In respect to answers, there is no obvious pattern to explicit, intermediate, and non-replies, suggesting a consistent </w:t>
      </w:r>
      <w:r w:rsidR="00316C63" w:rsidRPr="000D268C">
        <w:rPr>
          <w:rFonts w:cstheme="minorHAnsi"/>
          <w:lang w:val="en-GB"/>
        </w:rPr>
        <w:t>level of responsiveness from the ECB over time.</w:t>
      </w:r>
      <w:r w:rsidRPr="000D268C">
        <w:rPr>
          <w:rFonts w:cstheme="minorHAnsi"/>
          <w:lang w:val="en-GB"/>
        </w:rPr>
        <w:t xml:space="preserve"> </w:t>
      </w:r>
    </w:p>
    <w:p w14:paraId="61630CA6" w14:textId="2D43B3B9" w:rsidR="00F813C3" w:rsidRPr="000D268C" w:rsidRDefault="00F813C3" w:rsidP="002C54BF">
      <w:pPr>
        <w:pStyle w:val="Heading1"/>
        <w:numPr>
          <w:ilvl w:val="0"/>
          <w:numId w:val="30"/>
        </w:numPr>
        <w:spacing w:line="480" w:lineRule="auto"/>
        <w:rPr>
          <w:rFonts w:asciiTheme="minorHAnsi" w:hAnsiTheme="minorHAnsi" w:cstheme="minorHAnsi"/>
          <w:b/>
          <w:bCs/>
          <w:color w:val="auto"/>
          <w:sz w:val="28"/>
          <w:szCs w:val="28"/>
          <w:lang w:val="en-GB"/>
        </w:rPr>
      </w:pPr>
      <w:bookmarkStart w:id="3" w:name="_Toc45885396"/>
      <w:r w:rsidRPr="000D268C">
        <w:rPr>
          <w:rFonts w:asciiTheme="minorHAnsi" w:hAnsiTheme="minorHAnsi" w:cstheme="minorHAnsi"/>
          <w:b/>
          <w:bCs/>
          <w:color w:val="auto"/>
          <w:sz w:val="28"/>
          <w:szCs w:val="28"/>
          <w:lang w:val="en-GB"/>
        </w:rPr>
        <w:lastRenderedPageBreak/>
        <w:t>Codebook</w:t>
      </w:r>
      <w:bookmarkEnd w:id="3"/>
    </w:p>
    <w:p w14:paraId="19529A0C" w14:textId="1275BBFE" w:rsidR="002C54BF" w:rsidRPr="000D268C" w:rsidRDefault="002C54BF" w:rsidP="002C54BF">
      <w:pPr>
        <w:rPr>
          <w:i/>
          <w:iCs/>
          <w:lang w:val="en-GB"/>
        </w:rPr>
      </w:pPr>
      <w:r w:rsidRPr="000D268C">
        <w:rPr>
          <w:i/>
          <w:iCs/>
          <w:lang w:val="en-GB"/>
        </w:rPr>
        <w:t>Table of contents</w:t>
      </w:r>
    </w:p>
    <w:p w14:paraId="2F959605" w14:textId="6C2C887E" w:rsidR="002C54BF" w:rsidRPr="000D268C" w:rsidRDefault="001219C3" w:rsidP="002C54BF">
      <w:pPr>
        <w:pStyle w:val="TOC1"/>
        <w:tabs>
          <w:tab w:val="left" w:pos="720"/>
        </w:tabs>
        <w:rPr>
          <w:rFonts w:asciiTheme="minorHAnsi" w:eastAsiaTheme="minorEastAsia" w:hAnsiTheme="minorHAnsi" w:cstheme="minorBidi"/>
          <w:b w:val="0"/>
          <w:bCs w:val="0"/>
          <w:lang w:eastAsia="en-GB"/>
        </w:rPr>
      </w:pPr>
      <w:hyperlink w:anchor="_Toc45885396" w:history="1">
        <w:r w:rsidR="002C54BF" w:rsidRPr="000D268C">
          <w:rPr>
            <w:rStyle w:val="Hyperlink"/>
            <w:rFonts w:cstheme="minorHAnsi"/>
            <w:color w:val="auto"/>
            <w:u w:val="none"/>
          </w:rPr>
          <w:t>III.</w:t>
        </w:r>
        <w:r w:rsidR="002C54BF" w:rsidRPr="000D268C">
          <w:rPr>
            <w:rFonts w:asciiTheme="minorHAnsi" w:eastAsiaTheme="minorEastAsia" w:hAnsiTheme="minorHAnsi" w:cstheme="minorBidi"/>
            <w:b w:val="0"/>
            <w:bCs w:val="0"/>
            <w:lang w:eastAsia="en-GB"/>
          </w:rPr>
          <w:tab/>
        </w:r>
        <w:r w:rsidR="002C54BF" w:rsidRPr="000D268C">
          <w:rPr>
            <w:rStyle w:val="Hyperlink"/>
            <w:rFonts w:cstheme="minorHAnsi"/>
            <w:color w:val="auto"/>
            <w:u w:val="none"/>
          </w:rPr>
          <w:t>Codebook</w:t>
        </w:r>
        <w:r w:rsidR="002C54BF" w:rsidRPr="000D268C">
          <w:rPr>
            <w:webHidden/>
          </w:rPr>
          <w:tab/>
        </w:r>
        <w:r w:rsidR="002C54BF" w:rsidRPr="000D268C">
          <w:rPr>
            <w:webHidden/>
          </w:rPr>
          <w:fldChar w:fldCharType="begin"/>
        </w:r>
        <w:r w:rsidR="002C54BF" w:rsidRPr="000D268C">
          <w:rPr>
            <w:webHidden/>
          </w:rPr>
          <w:instrText xml:space="preserve"> PAGEREF _Toc45885396 \h </w:instrText>
        </w:r>
        <w:r w:rsidR="002C54BF" w:rsidRPr="000D268C">
          <w:rPr>
            <w:webHidden/>
          </w:rPr>
        </w:r>
        <w:r w:rsidR="002C54BF" w:rsidRPr="000D268C">
          <w:rPr>
            <w:webHidden/>
          </w:rPr>
          <w:fldChar w:fldCharType="separate"/>
        </w:r>
        <w:r w:rsidR="0016669C" w:rsidRPr="000D268C">
          <w:rPr>
            <w:webHidden/>
          </w:rPr>
          <w:t>9</w:t>
        </w:r>
        <w:r w:rsidR="002C54BF" w:rsidRPr="000D268C">
          <w:rPr>
            <w:webHidden/>
          </w:rPr>
          <w:fldChar w:fldCharType="end"/>
        </w:r>
      </w:hyperlink>
    </w:p>
    <w:p w14:paraId="18A901A1" w14:textId="78BCAB4A" w:rsidR="002C54BF" w:rsidRPr="000D268C" w:rsidRDefault="001219C3" w:rsidP="002C54BF">
      <w:pPr>
        <w:pStyle w:val="TOC2"/>
        <w:tabs>
          <w:tab w:val="right" w:leader="dot" w:pos="9056"/>
        </w:tabs>
        <w:rPr>
          <w:rFonts w:eastAsiaTheme="minorEastAsia" w:cstheme="minorBidi"/>
          <w:b w:val="0"/>
          <w:bCs w:val="0"/>
          <w:noProof/>
          <w:sz w:val="24"/>
          <w:szCs w:val="24"/>
          <w:lang w:val="en-GB" w:eastAsia="en-GB"/>
        </w:rPr>
      </w:pPr>
      <w:hyperlink w:anchor="_Toc45885397" w:history="1">
        <w:r w:rsidR="002C54BF" w:rsidRPr="000D268C">
          <w:rPr>
            <w:rStyle w:val="Hyperlink"/>
            <w:noProof/>
            <w:color w:val="auto"/>
            <w:sz w:val="24"/>
            <w:szCs w:val="24"/>
            <w:u w:val="none"/>
            <w:lang w:val="en-GB"/>
          </w:rPr>
          <w:t>Introduction</w:t>
        </w:r>
        <w:r w:rsidR="002C54BF" w:rsidRPr="000D268C">
          <w:rPr>
            <w:noProof/>
            <w:webHidden/>
            <w:sz w:val="24"/>
            <w:szCs w:val="24"/>
            <w:lang w:val="en-GB"/>
          </w:rPr>
          <w:tab/>
        </w:r>
        <w:r w:rsidR="002C54BF" w:rsidRPr="000D268C">
          <w:rPr>
            <w:noProof/>
            <w:webHidden/>
            <w:sz w:val="24"/>
            <w:szCs w:val="24"/>
            <w:lang w:val="en-GB"/>
          </w:rPr>
          <w:fldChar w:fldCharType="begin"/>
        </w:r>
        <w:r w:rsidR="002C54BF" w:rsidRPr="000D268C">
          <w:rPr>
            <w:noProof/>
            <w:webHidden/>
            <w:sz w:val="24"/>
            <w:szCs w:val="24"/>
            <w:lang w:val="en-GB"/>
          </w:rPr>
          <w:instrText xml:space="preserve"> PAGEREF _Toc45885397 \h </w:instrText>
        </w:r>
        <w:r w:rsidR="002C54BF" w:rsidRPr="000D268C">
          <w:rPr>
            <w:noProof/>
            <w:webHidden/>
            <w:sz w:val="24"/>
            <w:szCs w:val="24"/>
            <w:lang w:val="en-GB"/>
          </w:rPr>
        </w:r>
        <w:r w:rsidR="002C54BF" w:rsidRPr="000D268C">
          <w:rPr>
            <w:noProof/>
            <w:webHidden/>
            <w:sz w:val="24"/>
            <w:szCs w:val="24"/>
            <w:lang w:val="en-GB"/>
          </w:rPr>
          <w:fldChar w:fldCharType="separate"/>
        </w:r>
        <w:r w:rsidR="0016669C" w:rsidRPr="000D268C">
          <w:rPr>
            <w:noProof/>
            <w:webHidden/>
            <w:sz w:val="24"/>
            <w:szCs w:val="24"/>
            <w:lang w:val="en-GB"/>
          </w:rPr>
          <w:t>9</w:t>
        </w:r>
        <w:r w:rsidR="002C54BF" w:rsidRPr="000D268C">
          <w:rPr>
            <w:noProof/>
            <w:webHidden/>
            <w:sz w:val="24"/>
            <w:szCs w:val="24"/>
            <w:lang w:val="en-GB"/>
          </w:rPr>
          <w:fldChar w:fldCharType="end"/>
        </w:r>
      </w:hyperlink>
    </w:p>
    <w:p w14:paraId="26B03FBA" w14:textId="328A5115" w:rsidR="002C54BF" w:rsidRPr="000D268C" w:rsidRDefault="001219C3" w:rsidP="002C54BF">
      <w:pPr>
        <w:pStyle w:val="TOC2"/>
        <w:tabs>
          <w:tab w:val="right" w:leader="dot" w:pos="9056"/>
        </w:tabs>
        <w:rPr>
          <w:rFonts w:eastAsiaTheme="minorEastAsia" w:cstheme="minorBidi"/>
          <w:b w:val="0"/>
          <w:bCs w:val="0"/>
          <w:noProof/>
          <w:sz w:val="24"/>
          <w:szCs w:val="24"/>
          <w:lang w:val="en-GB" w:eastAsia="en-GB"/>
        </w:rPr>
      </w:pPr>
      <w:hyperlink w:anchor="_Toc45885398" w:history="1">
        <w:r w:rsidR="002C54BF" w:rsidRPr="000D268C">
          <w:rPr>
            <w:rStyle w:val="Hyperlink"/>
            <w:noProof/>
            <w:color w:val="auto"/>
            <w:sz w:val="24"/>
            <w:szCs w:val="24"/>
            <w:u w:val="none"/>
            <w:lang w:val="en-GB"/>
          </w:rPr>
          <w:t>Recognising a claim</w:t>
        </w:r>
        <w:r w:rsidR="002C54BF" w:rsidRPr="000D268C">
          <w:rPr>
            <w:noProof/>
            <w:webHidden/>
            <w:sz w:val="24"/>
            <w:szCs w:val="24"/>
            <w:lang w:val="en-GB"/>
          </w:rPr>
          <w:tab/>
        </w:r>
        <w:r w:rsidR="002C54BF" w:rsidRPr="000D268C">
          <w:rPr>
            <w:noProof/>
            <w:webHidden/>
            <w:sz w:val="24"/>
            <w:szCs w:val="24"/>
            <w:lang w:val="en-GB"/>
          </w:rPr>
          <w:fldChar w:fldCharType="begin"/>
        </w:r>
        <w:r w:rsidR="002C54BF" w:rsidRPr="000D268C">
          <w:rPr>
            <w:noProof/>
            <w:webHidden/>
            <w:sz w:val="24"/>
            <w:szCs w:val="24"/>
            <w:lang w:val="en-GB"/>
          </w:rPr>
          <w:instrText xml:space="preserve"> PAGEREF _Toc45885398 \h </w:instrText>
        </w:r>
        <w:r w:rsidR="002C54BF" w:rsidRPr="000D268C">
          <w:rPr>
            <w:noProof/>
            <w:webHidden/>
            <w:sz w:val="24"/>
            <w:szCs w:val="24"/>
            <w:lang w:val="en-GB"/>
          </w:rPr>
        </w:r>
        <w:r w:rsidR="002C54BF" w:rsidRPr="000D268C">
          <w:rPr>
            <w:noProof/>
            <w:webHidden/>
            <w:sz w:val="24"/>
            <w:szCs w:val="24"/>
            <w:lang w:val="en-GB"/>
          </w:rPr>
          <w:fldChar w:fldCharType="separate"/>
        </w:r>
        <w:r w:rsidR="0016669C" w:rsidRPr="000D268C">
          <w:rPr>
            <w:noProof/>
            <w:webHidden/>
            <w:sz w:val="24"/>
            <w:szCs w:val="24"/>
            <w:lang w:val="en-GB"/>
          </w:rPr>
          <w:t>10</w:t>
        </w:r>
        <w:r w:rsidR="002C54BF" w:rsidRPr="000D268C">
          <w:rPr>
            <w:noProof/>
            <w:webHidden/>
            <w:sz w:val="24"/>
            <w:szCs w:val="24"/>
            <w:lang w:val="en-GB"/>
          </w:rPr>
          <w:fldChar w:fldCharType="end"/>
        </w:r>
      </w:hyperlink>
    </w:p>
    <w:p w14:paraId="52898BED" w14:textId="07F32E84" w:rsidR="002C54BF" w:rsidRPr="000D268C" w:rsidRDefault="001219C3" w:rsidP="002C54BF">
      <w:pPr>
        <w:pStyle w:val="TOC2"/>
        <w:tabs>
          <w:tab w:val="right" w:leader="dot" w:pos="9056"/>
        </w:tabs>
        <w:rPr>
          <w:rFonts w:eastAsiaTheme="minorEastAsia" w:cstheme="minorBidi"/>
          <w:b w:val="0"/>
          <w:bCs w:val="0"/>
          <w:noProof/>
          <w:sz w:val="24"/>
          <w:szCs w:val="24"/>
          <w:lang w:val="en-GB" w:eastAsia="en-GB"/>
        </w:rPr>
      </w:pPr>
      <w:hyperlink w:anchor="_Toc45885399" w:history="1">
        <w:r w:rsidR="002C54BF" w:rsidRPr="000D268C">
          <w:rPr>
            <w:rStyle w:val="Hyperlink"/>
            <w:noProof/>
            <w:color w:val="auto"/>
            <w:sz w:val="24"/>
            <w:szCs w:val="24"/>
            <w:u w:val="none"/>
            <w:lang w:val="en-GB"/>
          </w:rPr>
          <w:t>Coding a claim</w:t>
        </w:r>
        <w:r w:rsidR="002C54BF" w:rsidRPr="000D268C">
          <w:rPr>
            <w:noProof/>
            <w:webHidden/>
            <w:sz w:val="24"/>
            <w:szCs w:val="24"/>
            <w:lang w:val="en-GB"/>
          </w:rPr>
          <w:tab/>
        </w:r>
        <w:r w:rsidR="002C54BF" w:rsidRPr="000D268C">
          <w:rPr>
            <w:noProof/>
            <w:webHidden/>
            <w:sz w:val="24"/>
            <w:szCs w:val="24"/>
            <w:lang w:val="en-GB"/>
          </w:rPr>
          <w:fldChar w:fldCharType="begin"/>
        </w:r>
        <w:r w:rsidR="002C54BF" w:rsidRPr="000D268C">
          <w:rPr>
            <w:noProof/>
            <w:webHidden/>
            <w:sz w:val="24"/>
            <w:szCs w:val="24"/>
            <w:lang w:val="en-GB"/>
          </w:rPr>
          <w:instrText xml:space="preserve"> PAGEREF _Toc45885399 \h </w:instrText>
        </w:r>
        <w:r w:rsidR="002C54BF" w:rsidRPr="000D268C">
          <w:rPr>
            <w:noProof/>
            <w:webHidden/>
            <w:sz w:val="24"/>
            <w:szCs w:val="24"/>
            <w:lang w:val="en-GB"/>
          </w:rPr>
        </w:r>
        <w:r w:rsidR="002C54BF" w:rsidRPr="000D268C">
          <w:rPr>
            <w:noProof/>
            <w:webHidden/>
            <w:sz w:val="24"/>
            <w:szCs w:val="24"/>
            <w:lang w:val="en-GB"/>
          </w:rPr>
          <w:fldChar w:fldCharType="separate"/>
        </w:r>
        <w:r w:rsidR="0016669C" w:rsidRPr="000D268C">
          <w:rPr>
            <w:noProof/>
            <w:webHidden/>
            <w:sz w:val="24"/>
            <w:szCs w:val="24"/>
            <w:lang w:val="en-GB"/>
          </w:rPr>
          <w:t>13</w:t>
        </w:r>
        <w:r w:rsidR="002C54BF" w:rsidRPr="000D268C">
          <w:rPr>
            <w:noProof/>
            <w:webHidden/>
            <w:sz w:val="24"/>
            <w:szCs w:val="24"/>
            <w:lang w:val="en-GB"/>
          </w:rPr>
          <w:fldChar w:fldCharType="end"/>
        </w:r>
      </w:hyperlink>
    </w:p>
    <w:p w14:paraId="01C9D646" w14:textId="60A99F49" w:rsidR="002C54BF" w:rsidRPr="000D268C" w:rsidRDefault="001219C3" w:rsidP="002C54BF">
      <w:pPr>
        <w:pStyle w:val="TOC3"/>
        <w:tabs>
          <w:tab w:val="left" w:pos="960"/>
          <w:tab w:val="right" w:leader="dot" w:pos="9056"/>
        </w:tabs>
        <w:rPr>
          <w:rFonts w:eastAsiaTheme="minorEastAsia" w:cstheme="minorBidi"/>
          <w:noProof/>
          <w:sz w:val="24"/>
          <w:szCs w:val="24"/>
          <w:lang w:val="en-GB" w:eastAsia="en-GB"/>
        </w:rPr>
      </w:pPr>
      <w:hyperlink w:anchor="_Toc45885400" w:history="1">
        <w:r w:rsidR="002C54BF" w:rsidRPr="000D268C">
          <w:rPr>
            <w:rStyle w:val="Hyperlink"/>
            <w:noProof/>
            <w:color w:val="auto"/>
            <w:sz w:val="24"/>
            <w:szCs w:val="24"/>
            <w:u w:val="none"/>
            <w:lang w:val="en-GB"/>
          </w:rPr>
          <w:t>1.</w:t>
        </w:r>
        <w:r w:rsidR="002C54BF" w:rsidRPr="000D268C">
          <w:rPr>
            <w:rFonts w:eastAsiaTheme="minorEastAsia" w:cstheme="minorBidi"/>
            <w:noProof/>
            <w:sz w:val="24"/>
            <w:szCs w:val="24"/>
            <w:lang w:val="en-GB" w:eastAsia="en-GB"/>
          </w:rPr>
          <w:tab/>
        </w:r>
        <w:r w:rsidR="002C54BF" w:rsidRPr="000D268C">
          <w:rPr>
            <w:rStyle w:val="Hyperlink"/>
            <w:noProof/>
            <w:color w:val="auto"/>
            <w:sz w:val="24"/>
            <w:szCs w:val="24"/>
            <w:u w:val="none"/>
            <w:lang w:val="en-GB"/>
          </w:rPr>
          <w:t>Year</w:t>
        </w:r>
        <w:r w:rsidR="002C54BF" w:rsidRPr="000D268C">
          <w:rPr>
            <w:noProof/>
            <w:webHidden/>
            <w:sz w:val="24"/>
            <w:szCs w:val="24"/>
            <w:lang w:val="en-GB"/>
          </w:rPr>
          <w:tab/>
        </w:r>
        <w:r w:rsidR="002C54BF" w:rsidRPr="000D268C">
          <w:rPr>
            <w:noProof/>
            <w:webHidden/>
            <w:sz w:val="24"/>
            <w:szCs w:val="24"/>
            <w:lang w:val="en-GB"/>
          </w:rPr>
          <w:fldChar w:fldCharType="begin"/>
        </w:r>
        <w:r w:rsidR="002C54BF" w:rsidRPr="000D268C">
          <w:rPr>
            <w:noProof/>
            <w:webHidden/>
            <w:sz w:val="24"/>
            <w:szCs w:val="24"/>
            <w:lang w:val="en-GB"/>
          </w:rPr>
          <w:instrText xml:space="preserve"> PAGEREF _Toc45885400 \h </w:instrText>
        </w:r>
        <w:r w:rsidR="002C54BF" w:rsidRPr="000D268C">
          <w:rPr>
            <w:noProof/>
            <w:webHidden/>
            <w:sz w:val="24"/>
            <w:szCs w:val="24"/>
            <w:lang w:val="en-GB"/>
          </w:rPr>
        </w:r>
        <w:r w:rsidR="002C54BF" w:rsidRPr="000D268C">
          <w:rPr>
            <w:noProof/>
            <w:webHidden/>
            <w:sz w:val="24"/>
            <w:szCs w:val="24"/>
            <w:lang w:val="en-GB"/>
          </w:rPr>
          <w:fldChar w:fldCharType="separate"/>
        </w:r>
        <w:r w:rsidR="0016669C" w:rsidRPr="000D268C">
          <w:rPr>
            <w:noProof/>
            <w:webHidden/>
            <w:sz w:val="24"/>
            <w:szCs w:val="24"/>
            <w:lang w:val="en-GB"/>
          </w:rPr>
          <w:t>14</w:t>
        </w:r>
        <w:r w:rsidR="002C54BF" w:rsidRPr="000D268C">
          <w:rPr>
            <w:noProof/>
            <w:webHidden/>
            <w:sz w:val="24"/>
            <w:szCs w:val="24"/>
            <w:lang w:val="en-GB"/>
          </w:rPr>
          <w:fldChar w:fldCharType="end"/>
        </w:r>
      </w:hyperlink>
    </w:p>
    <w:p w14:paraId="372DE05F" w14:textId="4036DB73" w:rsidR="002C54BF" w:rsidRPr="000D268C" w:rsidRDefault="001219C3" w:rsidP="002C54BF">
      <w:pPr>
        <w:pStyle w:val="TOC3"/>
        <w:tabs>
          <w:tab w:val="left" w:pos="960"/>
          <w:tab w:val="right" w:leader="dot" w:pos="9056"/>
        </w:tabs>
        <w:rPr>
          <w:rFonts w:eastAsiaTheme="minorEastAsia" w:cstheme="minorBidi"/>
          <w:noProof/>
          <w:sz w:val="24"/>
          <w:szCs w:val="24"/>
          <w:lang w:val="en-GB" w:eastAsia="en-GB"/>
        </w:rPr>
      </w:pPr>
      <w:hyperlink w:anchor="_Toc45885401" w:history="1">
        <w:r w:rsidR="002C54BF" w:rsidRPr="000D268C">
          <w:rPr>
            <w:rStyle w:val="Hyperlink"/>
            <w:noProof/>
            <w:color w:val="auto"/>
            <w:sz w:val="24"/>
            <w:szCs w:val="24"/>
            <w:u w:val="none"/>
            <w:lang w:val="en-GB"/>
          </w:rPr>
          <w:t>2.</w:t>
        </w:r>
        <w:r w:rsidR="002C54BF" w:rsidRPr="000D268C">
          <w:rPr>
            <w:rFonts w:eastAsiaTheme="minorEastAsia" w:cstheme="minorBidi"/>
            <w:noProof/>
            <w:sz w:val="24"/>
            <w:szCs w:val="24"/>
            <w:lang w:val="en-GB" w:eastAsia="en-GB"/>
          </w:rPr>
          <w:tab/>
        </w:r>
        <w:r w:rsidR="002C54BF" w:rsidRPr="000D268C">
          <w:rPr>
            <w:rStyle w:val="Hyperlink"/>
            <w:noProof/>
            <w:color w:val="auto"/>
            <w:sz w:val="24"/>
            <w:szCs w:val="24"/>
            <w:u w:val="none"/>
            <w:lang w:val="en-GB"/>
          </w:rPr>
          <w:t>Source</w:t>
        </w:r>
        <w:r w:rsidR="002C54BF" w:rsidRPr="000D268C">
          <w:rPr>
            <w:noProof/>
            <w:webHidden/>
            <w:sz w:val="24"/>
            <w:szCs w:val="24"/>
            <w:lang w:val="en-GB"/>
          </w:rPr>
          <w:tab/>
        </w:r>
        <w:r w:rsidR="002C54BF" w:rsidRPr="000D268C">
          <w:rPr>
            <w:noProof/>
            <w:webHidden/>
            <w:sz w:val="24"/>
            <w:szCs w:val="24"/>
            <w:lang w:val="en-GB"/>
          </w:rPr>
          <w:fldChar w:fldCharType="begin"/>
        </w:r>
        <w:r w:rsidR="002C54BF" w:rsidRPr="000D268C">
          <w:rPr>
            <w:noProof/>
            <w:webHidden/>
            <w:sz w:val="24"/>
            <w:szCs w:val="24"/>
            <w:lang w:val="en-GB"/>
          </w:rPr>
          <w:instrText xml:space="preserve"> PAGEREF _Toc45885401 \h </w:instrText>
        </w:r>
        <w:r w:rsidR="002C54BF" w:rsidRPr="000D268C">
          <w:rPr>
            <w:noProof/>
            <w:webHidden/>
            <w:sz w:val="24"/>
            <w:szCs w:val="24"/>
            <w:lang w:val="en-GB"/>
          </w:rPr>
        </w:r>
        <w:r w:rsidR="002C54BF" w:rsidRPr="000D268C">
          <w:rPr>
            <w:noProof/>
            <w:webHidden/>
            <w:sz w:val="24"/>
            <w:szCs w:val="24"/>
            <w:lang w:val="en-GB"/>
          </w:rPr>
          <w:fldChar w:fldCharType="separate"/>
        </w:r>
        <w:r w:rsidR="0016669C" w:rsidRPr="000D268C">
          <w:rPr>
            <w:noProof/>
            <w:webHidden/>
            <w:sz w:val="24"/>
            <w:szCs w:val="24"/>
            <w:lang w:val="en-GB"/>
          </w:rPr>
          <w:t>15</w:t>
        </w:r>
        <w:r w:rsidR="002C54BF" w:rsidRPr="000D268C">
          <w:rPr>
            <w:noProof/>
            <w:webHidden/>
            <w:sz w:val="24"/>
            <w:szCs w:val="24"/>
            <w:lang w:val="en-GB"/>
          </w:rPr>
          <w:fldChar w:fldCharType="end"/>
        </w:r>
      </w:hyperlink>
    </w:p>
    <w:p w14:paraId="7605650B" w14:textId="3B951736" w:rsidR="002C54BF" w:rsidRPr="000D268C" w:rsidRDefault="001219C3" w:rsidP="002C54BF">
      <w:pPr>
        <w:pStyle w:val="TOC3"/>
        <w:tabs>
          <w:tab w:val="left" w:pos="960"/>
          <w:tab w:val="right" w:leader="dot" w:pos="9056"/>
        </w:tabs>
        <w:rPr>
          <w:rFonts w:eastAsiaTheme="minorEastAsia" w:cstheme="minorBidi"/>
          <w:noProof/>
          <w:sz w:val="24"/>
          <w:szCs w:val="24"/>
          <w:lang w:val="en-GB" w:eastAsia="en-GB"/>
        </w:rPr>
      </w:pPr>
      <w:hyperlink w:anchor="_Toc45885402" w:history="1">
        <w:r w:rsidR="002C54BF" w:rsidRPr="000D268C">
          <w:rPr>
            <w:rStyle w:val="Hyperlink"/>
            <w:noProof/>
            <w:color w:val="auto"/>
            <w:sz w:val="24"/>
            <w:szCs w:val="24"/>
            <w:u w:val="none"/>
            <w:lang w:val="en-GB"/>
          </w:rPr>
          <w:t>3.</w:t>
        </w:r>
        <w:r w:rsidR="002C54BF" w:rsidRPr="000D268C">
          <w:rPr>
            <w:rFonts w:eastAsiaTheme="minorEastAsia" w:cstheme="minorBidi"/>
            <w:noProof/>
            <w:sz w:val="24"/>
            <w:szCs w:val="24"/>
            <w:lang w:val="en-GB" w:eastAsia="en-GB"/>
          </w:rPr>
          <w:tab/>
        </w:r>
        <w:r w:rsidR="002C54BF" w:rsidRPr="000D268C">
          <w:rPr>
            <w:rStyle w:val="Hyperlink"/>
            <w:noProof/>
            <w:color w:val="auto"/>
            <w:sz w:val="24"/>
            <w:szCs w:val="24"/>
            <w:u w:val="none"/>
            <w:lang w:val="en-GB"/>
          </w:rPr>
          <w:t>Claimant</w:t>
        </w:r>
        <w:r w:rsidR="002C54BF" w:rsidRPr="000D268C">
          <w:rPr>
            <w:noProof/>
            <w:webHidden/>
            <w:sz w:val="24"/>
            <w:szCs w:val="24"/>
            <w:lang w:val="en-GB"/>
          </w:rPr>
          <w:tab/>
        </w:r>
        <w:r w:rsidR="002C54BF" w:rsidRPr="000D268C">
          <w:rPr>
            <w:noProof/>
            <w:webHidden/>
            <w:sz w:val="24"/>
            <w:szCs w:val="24"/>
            <w:lang w:val="en-GB"/>
          </w:rPr>
          <w:fldChar w:fldCharType="begin"/>
        </w:r>
        <w:r w:rsidR="002C54BF" w:rsidRPr="000D268C">
          <w:rPr>
            <w:noProof/>
            <w:webHidden/>
            <w:sz w:val="24"/>
            <w:szCs w:val="24"/>
            <w:lang w:val="en-GB"/>
          </w:rPr>
          <w:instrText xml:space="preserve"> PAGEREF _Toc45885402 \h </w:instrText>
        </w:r>
        <w:r w:rsidR="002C54BF" w:rsidRPr="000D268C">
          <w:rPr>
            <w:noProof/>
            <w:webHidden/>
            <w:sz w:val="24"/>
            <w:szCs w:val="24"/>
            <w:lang w:val="en-GB"/>
          </w:rPr>
        </w:r>
        <w:r w:rsidR="002C54BF" w:rsidRPr="000D268C">
          <w:rPr>
            <w:noProof/>
            <w:webHidden/>
            <w:sz w:val="24"/>
            <w:szCs w:val="24"/>
            <w:lang w:val="en-GB"/>
          </w:rPr>
          <w:fldChar w:fldCharType="separate"/>
        </w:r>
        <w:r w:rsidR="0016669C" w:rsidRPr="000D268C">
          <w:rPr>
            <w:noProof/>
            <w:webHidden/>
            <w:sz w:val="24"/>
            <w:szCs w:val="24"/>
            <w:lang w:val="en-GB"/>
          </w:rPr>
          <w:t>15</w:t>
        </w:r>
        <w:r w:rsidR="002C54BF" w:rsidRPr="000D268C">
          <w:rPr>
            <w:noProof/>
            <w:webHidden/>
            <w:sz w:val="24"/>
            <w:szCs w:val="24"/>
            <w:lang w:val="en-GB"/>
          </w:rPr>
          <w:fldChar w:fldCharType="end"/>
        </w:r>
      </w:hyperlink>
    </w:p>
    <w:p w14:paraId="4802413F" w14:textId="0D3CDC33" w:rsidR="002C54BF" w:rsidRPr="000D268C" w:rsidRDefault="001219C3" w:rsidP="002C54BF">
      <w:pPr>
        <w:pStyle w:val="TOC3"/>
        <w:tabs>
          <w:tab w:val="left" w:pos="960"/>
          <w:tab w:val="right" w:leader="dot" w:pos="9056"/>
        </w:tabs>
        <w:rPr>
          <w:rFonts w:eastAsiaTheme="minorEastAsia" w:cstheme="minorBidi"/>
          <w:noProof/>
          <w:sz w:val="24"/>
          <w:szCs w:val="24"/>
          <w:lang w:val="en-GB" w:eastAsia="en-GB"/>
        </w:rPr>
      </w:pPr>
      <w:hyperlink w:anchor="_Toc45885403" w:history="1">
        <w:r w:rsidR="002C54BF" w:rsidRPr="000D268C">
          <w:rPr>
            <w:rStyle w:val="Hyperlink"/>
            <w:noProof/>
            <w:color w:val="auto"/>
            <w:sz w:val="24"/>
            <w:szCs w:val="24"/>
            <w:u w:val="none"/>
            <w:lang w:val="en-GB"/>
          </w:rPr>
          <w:t>4.</w:t>
        </w:r>
        <w:r w:rsidR="002C54BF" w:rsidRPr="000D268C">
          <w:rPr>
            <w:rFonts w:eastAsiaTheme="minorEastAsia" w:cstheme="minorBidi"/>
            <w:noProof/>
            <w:sz w:val="24"/>
            <w:szCs w:val="24"/>
            <w:lang w:val="en-GB" w:eastAsia="en-GB"/>
          </w:rPr>
          <w:tab/>
        </w:r>
        <w:r w:rsidR="002C54BF" w:rsidRPr="000D268C">
          <w:rPr>
            <w:rStyle w:val="Hyperlink"/>
            <w:noProof/>
            <w:color w:val="auto"/>
            <w:sz w:val="24"/>
            <w:szCs w:val="24"/>
            <w:u w:val="none"/>
            <w:lang w:val="en-GB"/>
          </w:rPr>
          <w:t>Addressee</w:t>
        </w:r>
        <w:r w:rsidR="002C54BF" w:rsidRPr="000D268C">
          <w:rPr>
            <w:noProof/>
            <w:webHidden/>
            <w:sz w:val="24"/>
            <w:szCs w:val="24"/>
            <w:lang w:val="en-GB"/>
          </w:rPr>
          <w:tab/>
        </w:r>
        <w:r w:rsidR="002C54BF" w:rsidRPr="000D268C">
          <w:rPr>
            <w:noProof/>
            <w:webHidden/>
            <w:sz w:val="24"/>
            <w:szCs w:val="24"/>
            <w:lang w:val="en-GB"/>
          </w:rPr>
          <w:fldChar w:fldCharType="begin"/>
        </w:r>
        <w:r w:rsidR="002C54BF" w:rsidRPr="000D268C">
          <w:rPr>
            <w:noProof/>
            <w:webHidden/>
            <w:sz w:val="24"/>
            <w:szCs w:val="24"/>
            <w:lang w:val="en-GB"/>
          </w:rPr>
          <w:instrText xml:space="preserve"> PAGEREF _Toc45885403 \h </w:instrText>
        </w:r>
        <w:r w:rsidR="002C54BF" w:rsidRPr="000D268C">
          <w:rPr>
            <w:noProof/>
            <w:webHidden/>
            <w:sz w:val="24"/>
            <w:szCs w:val="24"/>
            <w:lang w:val="en-GB"/>
          </w:rPr>
        </w:r>
        <w:r w:rsidR="002C54BF" w:rsidRPr="000D268C">
          <w:rPr>
            <w:noProof/>
            <w:webHidden/>
            <w:sz w:val="24"/>
            <w:szCs w:val="24"/>
            <w:lang w:val="en-GB"/>
          </w:rPr>
          <w:fldChar w:fldCharType="separate"/>
        </w:r>
        <w:r w:rsidR="0016669C" w:rsidRPr="000D268C">
          <w:rPr>
            <w:noProof/>
            <w:webHidden/>
            <w:sz w:val="24"/>
            <w:szCs w:val="24"/>
            <w:lang w:val="en-GB"/>
          </w:rPr>
          <w:t>17</w:t>
        </w:r>
        <w:r w:rsidR="002C54BF" w:rsidRPr="000D268C">
          <w:rPr>
            <w:noProof/>
            <w:webHidden/>
            <w:sz w:val="24"/>
            <w:szCs w:val="24"/>
            <w:lang w:val="en-GB"/>
          </w:rPr>
          <w:fldChar w:fldCharType="end"/>
        </w:r>
      </w:hyperlink>
    </w:p>
    <w:p w14:paraId="198DD73F" w14:textId="70FD0645" w:rsidR="002C54BF" w:rsidRPr="000D268C" w:rsidRDefault="001219C3" w:rsidP="002C54BF">
      <w:pPr>
        <w:pStyle w:val="TOC3"/>
        <w:tabs>
          <w:tab w:val="left" w:pos="960"/>
          <w:tab w:val="right" w:leader="dot" w:pos="9056"/>
        </w:tabs>
        <w:rPr>
          <w:rFonts w:eastAsiaTheme="minorEastAsia" w:cstheme="minorBidi"/>
          <w:noProof/>
          <w:sz w:val="24"/>
          <w:szCs w:val="24"/>
          <w:lang w:val="en-GB" w:eastAsia="en-GB"/>
        </w:rPr>
      </w:pPr>
      <w:hyperlink w:anchor="_Toc45885404" w:history="1">
        <w:r w:rsidR="002C54BF" w:rsidRPr="000D268C">
          <w:rPr>
            <w:rStyle w:val="Hyperlink"/>
            <w:noProof/>
            <w:color w:val="auto"/>
            <w:sz w:val="24"/>
            <w:szCs w:val="24"/>
            <w:u w:val="none"/>
            <w:lang w:val="en-GB"/>
          </w:rPr>
          <w:t>5.</w:t>
        </w:r>
        <w:r w:rsidR="002C54BF" w:rsidRPr="000D268C">
          <w:rPr>
            <w:rFonts w:eastAsiaTheme="minorEastAsia" w:cstheme="minorBidi"/>
            <w:noProof/>
            <w:sz w:val="24"/>
            <w:szCs w:val="24"/>
            <w:lang w:val="en-GB" w:eastAsia="en-GB"/>
          </w:rPr>
          <w:tab/>
        </w:r>
        <w:r w:rsidR="002C54BF" w:rsidRPr="000D268C">
          <w:rPr>
            <w:rStyle w:val="Hyperlink"/>
            <w:noProof/>
            <w:color w:val="auto"/>
            <w:sz w:val="24"/>
            <w:szCs w:val="24"/>
            <w:u w:val="none"/>
            <w:lang w:val="en-GB"/>
          </w:rPr>
          <w:t>Issue</w:t>
        </w:r>
        <w:r w:rsidR="002C54BF" w:rsidRPr="000D268C">
          <w:rPr>
            <w:noProof/>
            <w:webHidden/>
            <w:sz w:val="24"/>
            <w:szCs w:val="24"/>
            <w:lang w:val="en-GB"/>
          </w:rPr>
          <w:tab/>
        </w:r>
        <w:r w:rsidR="002C54BF" w:rsidRPr="000D268C">
          <w:rPr>
            <w:noProof/>
            <w:webHidden/>
            <w:sz w:val="24"/>
            <w:szCs w:val="24"/>
            <w:lang w:val="en-GB"/>
          </w:rPr>
          <w:fldChar w:fldCharType="begin"/>
        </w:r>
        <w:r w:rsidR="002C54BF" w:rsidRPr="000D268C">
          <w:rPr>
            <w:noProof/>
            <w:webHidden/>
            <w:sz w:val="24"/>
            <w:szCs w:val="24"/>
            <w:lang w:val="en-GB"/>
          </w:rPr>
          <w:instrText xml:space="preserve"> PAGEREF _Toc45885404 \h </w:instrText>
        </w:r>
        <w:r w:rsidR="002C54BF" w:rsidRPr="000D268C">
          <w:rPr>
            <w:noProof/>
            <w:webHidden/>
            <w:sz w:val="24"/>
            <w:szCs w:val="24"/>
            <w:lang w:val="en-GB"/>
          </w:rPr>
        </w:r>
        <w:r w:rsidR="002C54BF" w:rsidRPr="000D268C">
          <w:rPr>
            <w:noProof/>
            <w:webHidden/>
            <w:sz w:val="24"/>
            <w:szCs w:val="24"/>
            <w:lang w:val="en-GB"/>
          </w:rPr>
          <w:fldChar w:fldCharType="separate"/>
        </w:r>
        <w:r w:rsidR="0016669C" w:rsidRPr="000D268C">
          <w:rPr>
            <w:noProof/>
            <w:webHidden/>
            <w:sz w:val="24"/>
            <w:szCs w:val="24"/>
            <w:lang w:val="en-GB"/>
          </w:rPr>
          <w:t>17</w:t>
        </w:r>
        <w:r w:rsidR="002C54BF" w:rsidRPr="000D268C">
          <w:rPr>
            <w:noProof/>
            <w:webHidden/>
            <w:sz w:val="24"/>
            <w:szCs w:val="24"/>
            <w:lang w:val="en-GB"/>
          </w:rPr>
          <w:fldChar w:fldCharType="end"/>
        </w:r>
      </w:hyperlink>
    </w:p>
    <w:p w14:paraId="718738B1" w14:textId="656B92A4" w:rsidR="002C54BF" w:rsidRPr="000D268C" w:rsidRDefault="001219C3" w:rsidP="002C54BF">
      <w:pPr>
        <w:pStyle w:val="TOC3"/>
        <w:tabs>
          <w:tab w:val="left" w:pos="960"/>
          <w:tab w:val="right" w:leader="dot" w:pos="9056"/>
        </w:tabs>
        <w:rPr>
          <w:rFonts w:eastAsiaTheme="minorEastAsia" w:cstheme="minorBidi"/>
          <w:noProof/>
          <w:sz w:val="24"/>
          <w:szCs w:val="24"/>
          <w:lang w:val="en-GB" w:eastAsia="en-GB"/>
        </w:rPr>
      </w:pPr>
      <w:hyperlink w:anchor="_Toc45885405" w:history="1">
        <w:r w:rsidR="002C54BF" w:rsidRPr="000D268C">
          <w:rPr>
            <w:rStyle w:val="Hyperlink"/>
            <w:noProof/>
            <w:color w:val="auto"/>
            <w:sz w:val="24"/>
            <w:szCs w:val="24"/>
            <w:u w:val="none"/>
            <w:lang w:val="en-GB"/>
          </w:rPr>
          <w:t>6.</w:t>
        </w:r>
        <w:r w:rsidR="002C54BF" w:rsidRPr="000D268C">
          <w:rPr>
            <w:rFonts w:eastAsiaTheme="minorEastAsia" w:cstheme="minorBidi"/>
            <w:noProof/>
            <w:sz w:val="24"/>
            <w:szCs w:val="24"/>
            <w:lang w:val="en-GB" w:eastAsia="en-GB"/>
          </w:rPr>
          <w:tab/>
        </w:r>
        <w:r w:rsidR="002C54BF" w:rsidRPr="000D268C">
          <w:rPr>
            <w:rStyle w:val="Hyperlink"/>
            <w:noProof/>
            <w:color w:val="auto"/>
            <w:sz w:val="24"/>
            <w:szCs w:val="24"/>
            <w:u w:val="none"/>
            <w:lang w:val="en-GB"/>
          </w:rPr>
          <w:t>Initial question by legislative</w:t>
        </w:r>
        <w:r w:rsidR="002C54BF" w:rsidRPr="000D268C">
          <w:rPr>
            <w:noProof/>
            <w:webHidden/>
            <w:sz w:val="24"/>
            <w:szCs w:val="24"/>
            <w:lang w:val="en-GB"/>
          </w:rPr>
          <w:tab/>
        </w:r>
        <w:r w:rsidR="002C54BF" w:rsidRPr="000D268C">
          <w:rPr>
            <w:noProof/>
            <w:webHidden/>
            <w:sz w:val="24"/>
            <w:szCs w:val="24"/>
            <w:lang w:val="en-GB"/>
          </w:rPr>
          <w:fldChar w:fldCharType="begin"/>
        </w:r>
        <w:r w:rsidR="002C54BF" w:rsidRPr="000D268C">
          <w:rPr>
            <w:noProof/>
            <w:webHidden/>
            <w:sz w:val="24"/>
            <w:szCs w:val="24"/>
            <w:lang w:val="en-GB"/>
          </w:rPr>
          <w:instrText xml:space="preserve"> PAGEREF _Toc45885405 \h </w:instrText>
        </w:r>
        <w:r w:rsidR="002C54BF" w:rsidRPr="000D268C">
          <w:rPr>
            <w:noProof/>
            <w:webHidden/>
            <w:sz w:val="24"/>
            <w:szCs w:val="24"/>
            <w:lang w:val="en-GB"/>
          </w:rPr>
        </w:r>
        <w:r w:rsidR="002C54BF" w:rsidRPr="000D268C">
          <w:rPr>
            <w:noProof/>
            <w:webHidden/>
            <w:sz w:val="24"/>
            <w:szCs w:val="24"/>
            <w:lang w:val="en-GB"/>
          </w:rPr>
          <w:fldChar w:fldCharType="separate"/>
        </w:r>
        <w:r w:rsidR="0016669C" w:rsidRPr="000D268C">
          <w:rPr>
            <w:noProof/>
            <w:webHidden/>
            <w:sz w:val="24"/>
            <w:szCs w:val="24"/>
            <w:lang w:val="en-GB"/>
          </w:rPr>
          <w:t>19</w:t>
        </w:r>
        <w:r w:rsidR="002C54BF" w:rsidRPr="000D268C">
          <w:rPr>
            <w:noProof/>
            <w:webHidden/>
            <w:sz w:val="24"/>
            <w:szCs w:val="24"/>
            <w:lang w:val="en-GB"/>
          </w:rPr>
          <w:fldChar w:fldCharType="end"/>
        </w:r>
      </w:hyperlink>
    </w:p>
    <w:p w14:paraId="6B96CFF7" w14:textId="04B500E9" w:rsidR="002C54BF" w:rsidRPr="000D268C" w:rsidRDefault="001219C3" w:rsidP="002C54BF">
      <w:pPr>
        <w:pStyle w:val="TOC3"/>
        <w:tabs>
          <w:tab w:val="left" w:pos="960"/>
          <w:tab w:val="right" w:leader="dot" w:pos="9056"/>
        </w:tabs>
        <w:rPr>
          <w:rFonts w:eastAsiaTheme="minorEastAsia" w:cstheme="minorBidi"/>
          <w:noProof/>
          <w:sz w:val="24"/>
          <w:szCs w:val="24"/>
          <w:lang w:val="en-GB" w:eastAsia="en-GB"/>
        </w:rPr>
      </w:pPr>
      <w:hyperlink w:anchor="_Toc45885406" w:history="1">
        <w:r w:rsidR="002C54BF" w:rsidRPr="000D268C">
          <w:rPr>
            <w:rStyle w:val="Hyperlink"/>
            <w:noProof/>
            <w:color w:val="auto"/>
            <w:sz w:val="24"/>
            <w:szCs w:val="24"/>
            <w:u w:val="none"/>
            <w:lang w:val="en-GB"/>
          </w:rPr>
          <w:t>7.</w:t>
        </w:r>
        <w:r w:rsidR="002C54BF" w:rsidRPr="000D268C">
          <w:rPr>
            <w:rFonts w:eastAsiaTheme="minorEastAsia" w:cstheme="minorBidi"/>
            <w:noProof/>
            <w:sz w:val="24"/>
            <w:szCs w:val="24"/>
            <w:lang w:val="en-GB" w:eastAsia="en-GB"/>
          </w:rPr>
          <w:tab/>
        </w:r>
        <w:r w:rsidR="002C54BF" w:rsidRPr="000D268C">
          <w:rPr>
            <w:rStyle w:val="Hyperlink"/>
            <w:noProof/>
            <w:color w:val="auto"/>
            <w:sz w:val="24"/>
            <w:szCs w:val="24"/>
            <w:u w:val="none"/>
            <w:lang w:val="en-GB"/>
          </w:rPr>
          <w:t>Response by executive</w:t>
        </w:r>
        <w:r w:rsidR="002C54BF" w:rsidRPr="000D268C">
          <w:rPr>
            <w:noProof/>
            <w:webHidden/>
            <w:sz w:val="24"/>
            <w:szCs w:val="24"/>
            <w:lang w:val="en-GB"/>
          </w:rPr>
          <w:tab/>
        </w:r>
        <w:r w:rsidR="002C54BF" w:rsidRPr="000D268C">
          <w:rPr>
            <w:noProof/>
            <w:webHidden/>
            <w:sz w:val="24"/>
            <w:szCs w:val="24"/>
            <w:lang w:val="en-GB"/>
          </w:rPr>
          <w:fldChar w:fldCharType="begin"/>
        </w:r>
        <w:r w:rsidR="002C54BF" w:rsidRPr="000D268C">
          <w:rPr>
            <w:noProof/>
            <w:webHidden/>
            <w:sz w:val="24"/>
            <w:szCs w:val="24"/>
            <w:lang w:val="en-GB"/>
          </w:rPr>
          <w:instrText xml:space="preserve"> PAGEREF _Toc45885406 \h </w:instrText>
        </w:r>
        <w:r w:rsidR="002C54BF" w:rsidRPr="000D268C">
          <w:rPr>
            <w:noProof/>
            <w:webHidden/>
            <w:sz w:val="24"/>
            <w:szCs w:val="24"/>
            <w:lang w:val="en-GB"/>
          </w:rPr>
        </w:r>
        <w:r w:rsidR="002C54BF" w:rsidRPr="000D268C">
          <w:rPr>
            <w:noProof/>
            <w:webHidden/>
            <w:sz w:val="24"/>
            <w:szCs w:val="24"/>
            <w:lang w:val="en-GB"/>
          </w:rPr>
          <w:fldChar w:fldCharType="separate"/>
        </w:r>
        <w:r w:rsidR="0016669C" w:rsidRPr="000D268C">
          <w:rPr>
            <w:noProof/>
            <w:webHidden/>
            <w:sz w:val="24"/>
            <w:szCs w:val="24"/>
            <w:lang w:val="en-GB"/>
          </w:rPr>
          <w:t>21</w:t>
        </w:r>
        <w:r w:rsidR="002C54BF" w:rsidRPr="000D268C">
          <w:rPr>
            <w:noProof/>
            <w:webHidden/>
            <w:sz w:val="24"/>
            <w:szCs w:val="24"/>
            <w:lang w:val="en-GB"/>
          </w:rPr>
          <w:fldChar w:fldCharType="end"/>
        </w:r>
      </w:hyperlink>
    </w:p>
    <w:p w14:paraId="13B525B4" w14:textId="617B8B16" w:rsidR="002C54BF" w:rsidRPr="000D268C" w:rsidRDefault="001219C3" w:rsidP="002C54BF">
      <w:pPr>
        <w:pStyle w:val="TOC3"/>
        <w:tabs>
          <w:tab w:val="left" w:pos="960"/>
          <w:tab w:val="right" w:leader="dot" w:pos="9056"/>
        </w:tabs>
        <w:rPr>
          <w:rFonts w:eastAsiaTheme="minorEastAsia" w:cstheme="minorBidi"/>
          <w:noProof/>
          <w:sz w:val="24"/>
          <w:szCs w:val="24"/>
          <w:lang w:val="en-GB" w:eastAsia="en-GB"/>
        </w:rPr>
      </w:pPr>
      <w:hyperlink w:anchor="_Toc45885407" w:history="1">
        <w:r w:rsidR="002C54BF" w:rsidRPr="000D268C">
          <w:rPr>
            <w:rStyle w:val="Hyperlink"/>
            <w:noProof/>
            <w:color w:val="auto"/>
            <w:sz w:val="24"/>
            <w:szCs w:val="24"/>
            <w:u w:val="none"/>
            <w:lang w:val="en-GB"/>
          </w:rPr>
          <w:t>8.</w:t>
        </w:r>
        <w:r w:rsidR="002C54BF" w:rsidRPr="000D268C">
          <w:rPr>
            <w:rFonts w:eastAsiaTheme="minorEastAsia" w:cstheme="minorBidi"/>
            <w:noProof/>
            <w:sz w:val="24"/>
            <w:szCs w:val="24"/>
            <w:lang w:val="en-GB" w:eastAsia="en-GB"/>
          </w:rPr>
          <w:tab/>
        </w:r>
        <w:r w:rsidR="002C54BF" w:rsidRPr="000D268C">
          <w:rPr>
            <w:rStyle w:val="Hyperlink"/>
            <w:noProof/>
            <w:color w:val="auto"/>
            <w:sz w:val="24"/>
            <w:szCs w:val="24"/>
            <w:u w:val="none"/>
            <w:lang w:val="en-GB"/>
          </w:rPr>
          <w:t>Follow-up by legislative</w:t>
        </w:r>
        <w:r w:rsidR="002C54BF" w:rsidRPr="000D268C">
          <w:rPr>
            <w:noProof/>
            <w:webHidden/>
            <w:sz w:val="24"/>
            <w:szCs w:val="24"/>
            <w:lang w:val="en-GB"/>
          </w:rPr>
          <w:tab/>
        </w:r>
        <w:r w:rsidR="002C54BF" w:rsidRPr="000D268C">
          <w:rPr>
            <w:noProof/>
            <w:webHidden/>
            <w:sz w:val="24"/>
            <w:szCs w:val="24"/>
            <w:lang w:val="en-GB"/>
          </w:rPr>
          <w:fldChar w:fldCharType="begin"/>
        </w:r>
        <w:r w:rsidR="002C54BF" w:rsidRPr="000D268C">
          <w:rPr>
            <w:noProof/>
            <w:webHidden/>
            <w:sz w:val="24"/>
            <w:szCs w:val="24"/>
            <w:lang w:val="en-GB"/>
          </w:rPr>
          <w:instrText xml:space="preserve"> PAGEREF _Toc45885407 \h </w:instrText>
        </w:r>
        <w:r w:rsidR="002C54BF" w:rsidRPr="000D268C">
          <w:rPr>
            <w:noProof/>
            <w:webHidden/>
            <w:sz w:val="24"/>
            <w:szCs w:val="24"/>
            <w:lang w:val="en-GB"/>
          </w:rPr>
        </w:r>
        <w:r w:rsidR="002C54BF" w:rsidRPr="000D268C">
          <w:rPr>
            <w:noProof/>
            <w:webHidden/>
            <w:sz w:val="24"/>
            <w:szCs w:val="24"/>
            <w:lang w:val="en-GB"/>
          </w:rPr>
          <w:fldChar w:fldCharType="separate"/>
        </w:r>
        <w:r w:rsidR="0016669C" w:rsidRPr="000D268C">
          <w:rPr>
            <w:noProof/>
            <w:webHidden/>
            <w:sz w:val="24"/>
            <w:szCs w:val="24"/>
            <w:lang w:val="en-GB"/>
          </w:rPr>
          <w:t>25</w:t>
        </w:r>
        <w:r w:rsidR="002C54BF" w:rsidRPr="000D268C">
          <w:rPr>
            <w:noProof/>
            <w:webHidden/>
            <w:sz w:val="24"/>
            <w:szCs w:val="24"/>
            <w:lang w:val="en-GB"/>
          </w:rPr>
          <w:fldChar w:fldCharType="end"/>
        </w:r>
      </w:hyperlink>
    </w:p>
    <w:p w14:paraId="27741E51" w14:textId="4B18C630" w:rsidR="002C54BF" w:rsidRPr="000D268C" w:rsidRDefault="001219C3" w:rsidP="002C54BF">
      <w:pPr>
        <w:pStyle w:val="TOC2"/>
        <w:tabs>
          <w:tab w:val="right" w:leader="dot" w:pos="9056"/>
        </w:tabs>
        <w:rPr>
          <w:rFonts w:eastAsiaTheme="minorEastAsia" w:cstheme="minorBidi"/>
          <w:b w:val="0"/>
          <w:bCs w:val="0"/>
          <w:noProof/>
          <w:sz w:val="24"/>
          <w:szCs w:val="24"/>
          <w:lang w:val="en-GB" w:eastAsia="en-GB"/>
        </w:rPr>
      </w:pPr>
      <w:hyperlink w:anchor="_Toc45885408" w:history="1">
        <w:r w:rsidR="002C54BF" w:rsidRPr="000D268C">
          <w:rPr>
            <w:rStyle w:val="Hyperlink"/>
            <w:noProof/>
            <w:color w:val="auto"/>
            <w:sz w:val="24"/>
            <w:szCs w:val="24"/>
            <w:u w:val="none"/>
            <w:lang w:val="en-GB"/>
          </w:rPr>
          <w:t>Examples of coding</w:t>
        </w:r>
        <w:r w:rsidR="002C54BF" w:rsidRPr="000D268C">
          <w:rPr>
            <w:noProof/>
            <w:webHidden/>
            <w:sz w:val="24"/>
            <w:szCs w:val="24"/>
            <w:lang w:val="en-GB"/>
          </w:rPr>
          <w:tab/>
        </w:r>
        <w:r w:rsidR="002C54BF" w:rsidRPr="000D268C">
          <w:rPr>
            <w:noProof/>
            <w:webHidden/>
            <w:sz w:val="24"/>
            <w:szCs w:val="24"/>
            <w:lang w:val="en-GB"/>
          </w:rPr>
          <w:fldChar w:fldCharType="begin"/>
        </w:r>
        <w:r w:rsidR="002C54BF" w:rsidRPr="000D268C">
          <w:rPr>
            <w:noProof/>
            <w:webHidden/>
            <w:sz w:val="24"/>
            <w:szCs w:val="24"/>
            <w:lang w:val="en-GB"/>
          </w:rPr>
          <w:instrText xml:space="preserve"> PAGEREF _Toc45885408 \h </w:instrText>
        </w:r>
        <w:r w:rsidR="002C54BF" w:rsidRPr="000D268C">
          <w:rPr>
            <w:noProof/>
            <w:webHidden/>
            <w:sz w:val="24"/>
            <w:szCs w:val="24"/>
            <w:lang w:val="en-GB"/>
          </w:rPr>
        </w:r>
        <w:r w:rsidR="002C54BF" w:rsidRPr="000D268C">
          <w:rPr>
            <w:noProof/>
            <w:webHidden/>
            <w:sz w:val="24"/>
            <w:szCs w:val="24"/>
            <w:lang w:val="en-GB"/>
          </w:rPr>
          <w:fldChar w:fldCharType="separate"/>
        </w:r>
        <w:r w:rsidR="0016669C" w:rsidRPr="000D268C">
          <w:rPr>
            <w:noProof/>
            <w:webHidden/>
            <w:sz w:val="24"/>
            <w:szCs w:val="24"/>
            <w:lang w:val="en-GB"/>
          </w:rPr>
          <w:t>26</w:t>
        </w:r>
        <w:r w:rsidR="002C54BF" w:rsidRPr="000D268C">
          <w:rPr>
            <w:noProof/>
            <w:webHidden/>
            <w:sz w:val="24"/>
            <w:szCs w:val="24"/>
            <w:lang w:val="en-GB"/>
          </w:rPr>
          <w:fldChar w:fldCharType="end"/>
        </w:r>
      </w:hyperlink>
    </w:p>
    <w:p w14:paraId="2CBBDE8C" w14:textId="656F2CCA" w:rsidR="002C54BF" w:rsidRPr="000D268C" w:rsidRDefault="001219C3" w:rsidP="002C54BF">
      <w:pPr>
        <w:pStyle w:val="TOC3"/>
        <w:tabs>
          <w:tab w:val="right" w:leader="dot" w:pos="9056"/>
        </w:tabs>
        <w:rPr>
          <w:rFonts w:eastAsiaTheme="minorEastAsia" w:cstheme="minorBidi"/>
          <w:noProof/>
          <w:sz w:val="24"/>
          <w:szCs w:val="24"/>
          <w:lang w:val="en-GB" w:eastAsia="en-GB"/>
        </w:rPr>
      </w:pPr>
      <w:hyperlink w:anchor="_Toc45885409" w:history="1">
        <w:r w:rsidR="002C54BF" w:rsidRPr="000D268C">
          <w:rPr>
            <w:rStyle w:val="Hyperlink"/>
            <w:noProof/>
            <w:color w:val="auto"/>
            <w:sz w:val="24"/>
            <w:szCs w:val="24"/>
            <w:u w:val="none"/>
            <w:lang w:val="en-GB"/>
          </w:rPr>
          <w:t>Example 1—written questionnaire</w:t>
        </w:r>
        <w:r w:rsidR="002C54BF" w:rsidRPr="000D268C">
          <w:rPr>
            <w:noProof/>
            <w:webHidden/>
            <w:sz w:val="24"/>
            <w:szCs w:val="24"/>
            <w:lang w:val="en-GB"/>
          </w:rPr>
          <w:tab/>
        </w:r>
        <w:r w:rsidR="002C54BF" w:rsidRPr="000D268C">
          <w:rPr>
            <w:noProof/>
            <w:webHidden/>
            <w:sz w:val="24"/>
            <w:szCs w:val="24"/>
            <w:lang w:val="en-GB"/>
          </w:rPr>
          <w:fldChar w:fldCharType="begin"/>
        </w:r>
        <w:r w:rsidR="002C54BF" w:rsidRPr="000D268C">
          <w:rPr>
            <w:noProof/>
            <w:webHidden/>
            <w:sz w:val="24"/>
            <w:szCs w:val="24"/>
            <w:lang w:val="en-GB"/>
          </w:rPr>
          <w:instrText xml:space="preserve"> PAGEREF _Toc45885409 \h </w:instrText>
        </w:r>
        <w:r w:rsidR="002C54BF" w:rsidRPr="000D268C">
          <w:rPr>
            <w:noProof/>
            <w:webHidden/>
            <w:sz w:val="24"/>
            <w:szCs w:val="24"/>
            <w:lang w:val="en-GB"/>
          </w:rPr>
        </w:r>
        <w:r w:rsidR="002C54BF" w:rsidRPr="000D268C">
          <w:rPr>
            <w:noProof/>
            <w:webHidden/>
            <w:sz w:val="24"/>
            <w:szCs w:val="24"/>
            <w:lang w:val="en-GB"/>
          </w:rPr>
          <w:fldChar w:fldCharType="separate"/>
        </w:r>
        <w:r w:rsidR="0016669C" w:rsidRPr="000D268C">
          <w:rPr>
            <w:noProof/>
            <w:webHidden/>
            <w:sz w:val="24"/>
            <w:szCs w:val="24"/>
            <w:lang w:val="en-GB"/>
          </w:rPr>
          <w:t>27</w:t>
        </w:r>
        <w:r w:rsidR="002C54BF" w:rsidRPr="000D268C">
          <w:rPr>
            <w:noProof/>
            <w:webHidden/>
            <w:sz w:val="24"/>
            <w:szCs w:val="24"/>
            <w:lang w:val="en-GB"/>
          </w:rPr>
          <w:fldChar w:fldCharType="end"/>
        </w:r>
      </w:hyperlink>
    </w:p>
    <w:p w14:paraId="3E556186" w14:textId="716BEE56" w:rsidR="002C54BF" w:rsidRPr="000D268C" w:rsidRDefault="001219C3" w:rsidP="002C54BF">
      <w:pPr>
        <w:pStyle w:val="TOC3"/>
        <w:tabs>
          <w:tab w:val="right" w:leader="dot" w:pos="9056"/>
        </w:tabs>
        <w:rPr>
          <w:rFonts w:eastAsiaTheme="minorEastAsia" w:cstheme="minorBidi"/>
          <w:noProof/>
          <w:sz w:val="24"/>
          <w:szCs w:val="24"/>
          <w:lang w:val="en-GB" w:eastAsia="en-GB"/>
        </w:rPr>
      </w:pPr>
      <w:hyperlink w:anchor="_Toc45885410" w:history="1">
        <w:r w:rsidR="002C54BF" w:rsidRPr="000D268C">
          <w:rPr>
            <w:rStyle w:val="Hyperlink"/>
            <w:noProof/>
            <w:color w:val="auto"/>
            <w:sz w:val="24"/>
            <w:szCs w:val="24"/>
            <w:u w:val="none"/>
            <w:lang w:val="en-GB"/>
          </w:rPr>
          <w:t>Example 2 – written question, written answer</w:t>
        </w:r>
        <w:r w:rsidR="002C54BF" w:rsidRPr="000D268C">
          <w:rPr>
            <w:noProof/>
            <w:webHidden/>
            <w:sz w:val="24"/>
            <w:szCs w:val="24"/>
            <w:lang w:val="en-GB"/>
          </w:rPr>
          <w:tab/>
        </w:r>
        <w:r w:rsidR="002C54BF" w:rsidRPr="000D268C">
          <w:rPr>
            <w:noProof/>
            <w:webHidden/>
            <w:sz w:val="24"/>
            <w:szCs w:val="24"/>
            <w:lang w:val="en-GB"/>
          </w:rPr>
          <w:fldChar w:fldCharType="begin"/>
        </w:r>
        <w:r w:rsidR="002C54BF" w:rsidRPr="000D268C">
          <w:rPr>
            <w:noProof/>
            <w:webHidden/>
            <w:sz w:val="24"/>
            <w:szCs w:val="24"/>
            <w:lang w:val="en-GB"/>
          </w:rPr>
          <w:instrText xml:space="preserve"> PAGEREF _Toc45885410 \h </w:instrText>
        </w:r>
        <w:r w:rsidR="002C54BF" w:rsidRPr="000D268C">
          <w:rPr>
            <w:noProof/>
            <w:webHidden/>
            <w:sz w:val="24"/>
            <w:szCs w:val="24"/>
            <w:lang w:val="en-GB"/>
          </w:rPr>
        </w:r>
        <w:r w:rsidR="002C54BF" w:rsidRPr="000D268C">
          <w:rPr>
            <w:noProof/>
            <w:webHidden/>
            <w:sz w:val="24"/>
            <w:szCs w:val="24"/>
            <w:lang w:val="en-GB"/>
          </w:rPr>
          <w:fldChar w:fldCharType="separate"/>
        </w:r>
        <w:r w:rsidR="0016669C" w:rsidRPr="000D268C">
          <w:rPr>
            <w:noProof/>
            <w:webHidden/>
            <w:sz w:val="24"/>
            <w:szCs w:val="24"/>
            <w:lang w:val="en-GB"/>
          </w:rPr>
          <w:t>28</w:t>
        </w:r>
        <w:r w:rsidR="002C54BF" w:rsidRPr="000D268C">
          <w:rPr>
            <w:noProof/>
            <w:webHidden/>
            <w:sz w:val="24"/>
            <w:szCs w:val="24"/>
            <w:lang w:val="en-GB"/>
          </w:rPr>
          <w:fldChar w:fldCharType="end"/>
        </w:r>
      </w:hyperlink>
    </w:p>
    <w:p w14:paraId="6C8B2226" w14:textId="1594EB3D" w:rsidR="002C54BF" w:rsidRPr="000D268C" w:rsidRDefault="001219C3" w:rsidP="002C54BF">
      <w:pPr>
        <w:pStyle w:val="TOC3"/>
        <w:tabs>
          <w:tab w:val="right" w:leader="dot" w:pos="9056"/>
        </w:tabs>
        <w:rPr>
          <w:rFonts w:eastAsiaTheme="minorEastAsia" w:cstheme="minorBidi"/>
          <w:noProof/>
          <w:sz w:val="24"/>
          <w:szCs w:val="24"/>
          <w:lang w:val="en-GB" w:eastAsia="en-GB"/>
        </w:rPr>
      </w:pPr>
      <w:hyperlink w:anchor="_Toc45885411" w:history="1">
        <w:r w:rsidR="002C54BF" w:rsidRPr="000D268C">
          <w:rPr>
            <w:rStyle w:val="Hyperlink"/>
            <w:noProof/>
            <w:color w:val="auto"/>
            <w:sz w:val="24"/>
            <w:szCs w:val="24"/>
            <w:u w:val="none"/>
            <w:lang w:val="en-GB"/>
          </w:rPr>
          <w:t>Example 3 – hearing</w:t>
        </w:r>
        <w:r w:rsidR="002C54BF" w:rsidRPr="000D268C">
          <w:rPr>
            <w:noProof/>
            <w:webHidden/>
            <w:sz w:val="24"/>
            <w:szCs w:val="24"/>
            <w:lang w:val="en-GB"/>
          </w:rPr>
          <w:tab/>
        </w:r>
        <w:r w:rsidR="002C54BF" w:rsidRPr="000D268C">
          <w:rPr>
            <w:noProof/>
            <w:webHidden/>
            <w:sz w:val="24"/>
            <w:szCs w:val="24"/>
            <w:lang w:val="en-GB"/>
          </w:rPr>
          <w:fldChar w:fldCharType="begin"/>
        </w:r>
        <w:r w:rsidR="002C54BF" w:rsidRPr="000D268C">
          <w:rPr>
            <w:noProof/>
            <w:webHidden/>
            <w:sz w:val="24"/>
            <w:szCs w:val="24"/>
            <w:lang w:val="en-GB"/>
          </w:rPr>
          <w:instrText xml:space="preserve"> PAGEREF _Toc45885411 \h </w:instrText>
        </w:r>
        <w:r w:rsidR="002C54BF" w:rsidRPr="000D268C">
          <w:rPr>
            <w:noProof/>
            <w:webHidden/>
            <w:sz w:val="24"/>
            <w:szCs w:val="24"/>
            <w:lang w:val="en-GB"/>
          </w:rPr>
        </w:r>
        <w:r w:rsidR="002C54BF" w:rsidRPr="000D268C">
          <w:rPr>
            <w:noProof/>
            <w:webHidden/>
            <w:sz w:val="24"/>
            <w:szCs w:val="24"/>
            <w:lang w:val="en-GB"/>
          </w:rPr>
          <w:fldChar w:fldCharType="separate"/>
        </w:r>
        <w:r w:rsidR="0016669C" w:rsidRPr="000D268C">
          <w:rPr>
            <w:noProof/>
            <w:webHidden/>
            <w:sz w:val="24"/>
            <w:szCs w:val="24"/>
            <w:lang w:val="en-GB"/>
          </w:rPr>
          <w:t>29</w:t>
        </w:r>
        <w:r w:rsidR="002C54BF" w:rsidRPr="000D268C">
          <w:rPr>
            <w:noProof/>
            <w:webHidden/>
            <w:sz w:val="24"/>
            <w:szCs w:val="24"/>
            <w:lang w:val="en-GB"/>
          </w:rPr>
          <w:fldChar w:fldCharType="end"/>
        </w:r>
      </w:hyperlink>
    </w:p>
    <w:p w14:paraId="0714350C" w14:textId="69F96AE8" w:rsidR="002C54BF" w:rsidRPr="000D268C" w:rsidRDefault="001219C3" w:rsidP="002C54BF">
      <w:pPr>
        <w:pStyle w:val="TOC2"/>
        <w:tabs>
          <w:tab w:val="right" w:leader="dot" w:pos="9056"/>
        </w:tabs>
        <w:rPr>
          <w:rFonts w:eastAsiaTheme="minorEastAsia" w:cstheme="minorBidi"/>
          <w:b w:val="0"/>
          <w:bCs w:val="0"/>
          <w:noProof/>
          <w:sz w:val="24"/>
          <w:szCs w:val="24"/>
          <w:lang w:val="en-GB" w:eastAsia="en-GB"/>
        </w:rPr>
      </w:pPr>
      <w:hyperlink w:anchor="_Toc45885413" w:history="1">
        <w:r w:rsidR="002C54BF" w:rsidRPr="000D268C">
          <w:rPr>
            <w:rStyle w:val="Hyperlink"/>
            <w:noProof/>
            <w:color w:val="auto"/>
            <w:sz w:val="24"/>
            <w:szCs w:val="24"/>
            <w:u w:val="none"/>
            <w:lang w:val="en-GB"/>
          </w:rPr>
          <w:t>References</w:t>
        </w:r>
        <w:r w:rsidR="002C54BF" w:rsidRPr="000D268C">
          <w:rPr>
            <w:noProof/>
            <w:webHidden/>
            <w:sz w:val="24"/>
            <w:szCs w:val="24"/>
            <w:lang w:val="en-GB"/>
          </w:rPr>
          <w:tab/>
        </w:r>
        <w:r w:rsidR="002C54BF" w:rsidRPr="000D268C">
          <w:rPr>
            <w:noProof/>
            <w:webHidden/>
            <w:sz w:val="24"/>
            <w:szCs w:val="24"/>
            <w:lang w:val="en-GB"/>
          </w:rPr>
          <w:fldChar w:fldCharType="begin"/>
        </w:r>
        <w:r w:rsidR="002C54BF" w:rsidRPr="000D268C">
          <w:rPr>
            <w:noProof/>
            <w:webHidden/>
            <w:sz w:val="24"/>
            <w:szCs w:val="24"/>
            <w:lang w:val="en-GB"/>
          </w:rPr>
          <w:instrText xml:space="preserve"> PAGEREF _Toc45885413 \h </w:instrText>
        </w:r>
        <w:r w:rsidR="002C54BF" w:rsidRPr="000D268C">
          <w:rPr>
            <w:noProof/>
            <w:webHidden/>
            <w:sz w:val="24"/>
            <w:szCs w:val="24"/>
            <w:lang w:val="en-GB"/>
          </w:rPr>
        </w:r>
        <w:r w:rsidR="002C54BF" w:rsidRPr="000D268C">
          <w:rPr>
            <w:noProof/>
            <w:webHidden/>
            <w:sz w:val="24"/>
            <w:szCs w:val="24"/>
            <w:lang w:val="en-GB"/>
          </w:rPr>
          <w:fldChar w:fldCharType="separate"/>
        </w:r>
        <w:r w:rsidR="0016669C" w:rsidRPr="000D268C">
          <w:rPr>
            <w:noProof/>
            <w:webHidden/>
            <w:sz w:val="24"/>
            <w:szCs w:val="24"/>
            <w:lang w:val="en-GB"/>
          </w:rPr>
          <w:t>44</w:t>
        </w:r>
        <w:r w:rsidR="002C54BF" w:rsidRPr="000D268C">
          <w:rPr>
            <w:noProof/>
            <w:webHidden/>
            <w:sz w:val="24"/>
            <w:szCs w:val="24"/>
            <w:lang w:val="en-GB"/>
          </w:rPr>
          <w:fldChar w:fldCharType="end"/>
        </w:r>
      </w:hyperlink>
    </w:p>
    <w:p w14:paraId="54330EEA" w14:textId="77777777" w:rsidR="002C54BF" w:rsidRPr="000D268C" w:rsidRDefault="002C54BF" w:rsidP="002C54BF">
      <w:pPr>
        <w:rPr>
          <w:lang w:val="en-GB"/>
        </w:rPr>
      </w:pPr>
    </w:p>
    <w:p w14:paraId="65D1F267" w14:textId="77777777" w:rsidR="00F813C3" w:rsidRPr="000D268C" w:rsidRDefault="00F813C3" w:rsidP="002C54BF">
      <w:pPr>
        <w:spacing w:line="480" w:lineRule="auto"/>
        <w:rPr>
          <w:rFonts w:cstheme="minorHAnsi"/>
          <w:lang w:val="en-GB"/>
        </w:rPr>
      </w:pPr>
    </w:p>
    <w:p w14:paraId="1BED970B" w14:textId="7A19FF70" w:rsidR="00F813C3" w:rsidRPr="004545AB" w:rsidRDefault="00F813C3" w:rsidP="002C54BF">
      <w:pPr>
        <w:pStyle w:val="Heading2"/>
        <w:spacing w:line="480" w:lineRule="auto"/>
        <w:rPr>
          <w:rFonts w:asciiTheme="minorHAnsi" w:hAnsiTheme="minorHAnsi" w:cstheme="minorHAnsi"/>
          <w:b/>
          <w:bCs/>
          <w:color w:val="auto"/>
          <w:lang w:val="en-GB"/>
        </w:rPr>
      </w:pPr>
      <w:bookmarkStart w:id="4" w:name="_Toc45885397"/>
      <w:r w:rsidRPr="004545AB">
        <w:rPr>
          <w:rFonts w:asciiTheme="minorHAnsi" w:hAnsiTheme="minorHAnsi" w:cstheme="minorHAnsi"/>
          <w:b/>
          <w:bCs/>
          <w:color w:val="auto"/>
          <w:lang w:val="en-GB"/>
        </w:rPr>
        <w:t>Introduction</w:t>
      </w:r>
      <w:bookmarkEnd w:id="4"/>
    </w:p>
    <w:p w14:paraId="04C83620" w14:textId="327ED168" w:rsidR="00F813C3" w:rsidRPr="000D268C" w:rsidRDefault="00F813C3" w:rsidP="002C54BF">
      <w:pPr>
        <w:spacing w:line="480" w:lineRule="auto"/>
        <w:jc w:val="both"/>
        <w:rPr>
          <w:rFonts w:cstheme="minorHAnsi"/>
          <w:lang w:val="en-GB"/>
        </w:rPr>
      </w:pPr>
      <w:r w:rsidRPr="000D268C">
        <w:rPr>
          <w:rFonts w:cstheme="minorHAnsi"/>
          <w:lang w:val="en-GB"/>
        </w:rPr>
        <w:t xml:space="preserve">This is the methodological guide used for analysing questions and answers (Q&amp;A) in the case of legislative oversight presented in the article. The guide loosely follows the template of the codebook provided by De Wilde and colleagues in their application of representative claim analysis in the research project </w:t>
      </w:r>
      <w:r w:rsidR="00355E94" w:rsidRPr="000D268C">
        <w:rPr>
          <w:rFonts w:cstheme="minorHAnsi"/>
          <w:lang w:val="en-GB"/>
        </w:rPr>
        <w:t>‘</w:t>
      </w:r>
      <w:r w:rsidRPr="000D268C">
        <w:rPr>
          <w:rFonts w:cstheme="minorHAnsi"/>
          <w:lang w:val="en-GB"/>
        </w:rPr>
        <w:t>The Political Sociology of Cosmopolitanism and Communitarianism</w:t>
      </w:r>
      <w:r w:rsidR="00355E94" w:rsidRPr="000D268C">
        <w:rPr>
          <w:rFonts w:cstheme="minorHAnsi"/>
          <w:lang w:val="en-GB"/>
        </w:rPr>
        <w:t>’</w:t>
      </w:r>
      <w:r w:rsidRPr="000D268C">
        <w:rPr>
          <w:rFonts w:cstheme="minorHAnsi"/>
          <w:lang w:val="en-GB"/>
        </w:rPr>
        <w:t xml:space="preserve"> </w:t>
      </w:r>
      <w:r w:rsidRPr="000D268C">
        <w:rPr>
          <w:rFonts w:cstheme="minorHAnsi"/>
          <w:lang w:val="en-GB"/>
        </w:rPr>
        <w:fldChar w:fldCharType="begin"/>
      </w:r>
      <w:r w:rsidR="00C82021" w:rsidRPr="000D268C">
        <w:rPr>
          <w:rFonts w:cstheme="minorHAnsi"/>
          <w:lang w:val="en-GB"/>
        </w:rPr>
        <w:instrText xml:space="preserve"> ADDIN ZOTERO_ITEM CSL_CITATION {"citationID":"QHVaR3de","properties":{"formattedCitation":"(De Wilde et al., 2014)","plainCitation":"(De Wilde et al., 2014)","noteIndex":0},"citationItems":[{"id":1561,"uris":["http://zotero.org/users/1129714/items/UQUZVFFI"],"uri":["http://zotero.org/users/1129714/items/UQUZVFFI"],"itemData":{"id":1561,"type":"article-journal","abstract":"This WZB Discussion Paper documents in detail the representative claims analysis conducted within the WZB bridging project 'The Political Sociology of Cosmopolitanism and Communitarianism'. It serves as methodological background for interpreting the dataset and findings based upon it. The paper includes the aims of this empirical mod-ule in relation to the project, the sampling strategy, the codebook with descriptive statistics from the database, and the results of the intercoder reliability test. The annexes include examples of coded claims and a guide to the database, both in its more qualitative and in its fully quantitative forms.","container-title":"WZB Discussion Paper","issue":"SP IV 2014-102","source":"RePEc - IDEAS","title":"The political sociology of cosmopolitanism and communitarianism: Representative claims analysis","title-short":"The political sociology of cosmopolitanism and communitarianism","author":[{"family":"De Wilde","given":"Pieter"},{"family":"Koopmans","given":"Ruud"},{"family":"Zürn","given":"Michael"}],"accessed":{"date-parts":[["2015",2,17]]},"issued":{"date-parts":[["2014"]]}}}],"schema":"https://github.com/citation-style-language/schema/raw/master/csl-citation.json"} </w:instrText>
      </w:r>
      <w:r w:rsidRPr="000D268C">
        <w:rPr>
          <w:rFonts w:cstheme="minorHAnsi"/>
          <w:lang w:val="en-GB"/>
        </w:rPr>
        <w:fldChar w:fldCharType="separate"/>
      </w:r>
      <w:r w:rsidR="000A5639" w:rsidRPr="000D268C">
        <w:rPr>
          <w:rFonts w:cstheme="minorHAnsi"/>
          <w:noProof/>
          <w:lang w:val="en-GB"/>
        </w:rPr>
        <w:t>(De Wilde et al., 2014)</w:t>
      </w:r>
      <w:r w:rsidRPr="000D268C">
        <w:rPr>
          <w:rFonts w:cstheme="minorHAnsi"/>
          <w:lang w:val="en-GB"/>
        </w:rPr>
        <w:fldChar w:fldCharType="end"/>
      </w:r>
      <w:r w:rsidRPr="000D268C">
        <w:rPr>
          <w:rFonts w:cstheme="minorHAnsi"/>
          <w:lang w:val="en-GB"/>
        </w:rPr>
        <w:t xml:space="preserve">. The framework proposed in the article also uses claim analysis in order to identify and classify types of questions asked and answers provided in specific </w:t>
      </w:r>
      <w:r w:rsidR="00720ABA" w:rsidRPr="000D268C">
        <w:rPr>
          <w:rFonts w:cstheme="minorHAnsi"/>
          <w:lang w:val="en-GB"/>
        </w:rPr>
        <w:t>legislative oversight</w:t>
      </w:r>
      <w:r w:rsidRPr="000D268C">
        <w:rPr>
          <w:rFonts w:cstheme="minorHAnsi"/>
          <w:lang w:val="en-GB"/>
        </w:rPr>
        <w:t xml:space="preserve"> interactions. The classification is done manually by human coders and is thus both time- and labour-intensive </w:t>
      </w:r>
      <w:r w:rsidRPr="000D268C">
        <w:rPr>
          <w:rFonts w:cstheme="minorHAnsi"/>
          <w:lang w:val="en-GB"/>
        </w:rPr>
        <w:fldChar w:fldCharType="begin"/>
      </w:r>
      <w:r w:rsidR="00C82021" w:rsidRPr="000D268C">
        <w:rPr>
          <w:rFonts w:cstheme="minorHAnsi"/>
          <w:lang w:val="en-GB"/>
        </w:rPr>
        <w:instrText xml:space="preserve"> ADDIN ZOTERO_ITEM CSL_CITATION {"citationID":"okakjbTu","properties":{"formattedCitation":"(Slapin &amp; Proksch, 2014, p. 128)","plainCitation":"(Slapin &amp; Proksch, 2014, p. 128)","noteIndex":0},"citationItems":[{"id":6374,"uris":["http://zotero.org/users/1129714/items/GC36W2PG"],"uri":["http://zotero.org/users/1129714/items/GC36W2PG"],"itemData":{"id":6374,"type":"chapter","abstract":"Legislatures in democratic countries generate tons of documents ranging from draft bills to amendments to bills, adopted legislation, committee reports, and transcripts of floor debates. Sifting through the entire legislative record is a challenging task. Thanks to the advent of digital technology, parliamentary records can now be stored in easily searchable on-line databases, making them more accessible to researchers and available for large-scale data analysis. Moreover, political scientists can use these documents to study representation, party politics, policy-making, and legislative behavior. This chapter examines recent technological advances that have allowed scholars to analyze the vast amounts of textual data produced by legislatures year in and year out. It describescontent analysis, focusing on recent approaches that treat “words as data.” It also considers some important applications to comparative study of political parties and legislatures and discusses the challenges faced by scholars moving forward before concluding with a look at the continuing trends in the field.","container-title":"The Oxford Handbook of Legislative Studies","event-place":"Oxford","language":"en","page":"126-144","publisher":"Oxford University Press","publisher-place":"Oxford","source":"www.oxfordhandbooks.com","title":"Words as Data: Content Analysis in Legislative Studies","author":[{"family":"Slapin","given":"Jonathan B."},{"family":"Proksch","given":"Sven-Oliver"}],"editor":[{"family":"Martin","given":"Shane"},{"family":"Saalfeld","given":"Thomas"},{"family":"Strøm","given":"Kaare"}],"accessed":{"date-parts":[["2019",5,3]]},"issued":{"date-parts":[["2014",6,19]]}},"locator":"128"}],"schema":"https://github.com/citation-style-language/schema/raw/master/csl-citation.json"} </w:instrText>
      </w:r>
      <w:r w:rsidRPr="000D268C">
        <w:rPr>
          <w:rFonts w:cstheme="minorHAnsi"/>
          <w:lang w:val="en-GB"/>
        </w:rPr>
        <w:fldChar w:fldCharType="separate"/>
      </w:r>
      <w:r w:rsidR="000A5639" w:rsidRPr="000D268C">
        <w:rPr>
          <w:rFonts w:cstheme="minorHAnsi"/>
          <w:noProof/>
          <w:lang w:val="en-GB"/>
        </w:rPr>
        <w:t>(Slapin &amp; Proksch, 2014, p. 128)</w:t>
      </w:r>
      <w:r w:rsidRPr="000D268C">
        <w:rPr>
          <w:rFonts w:cstheme="minorHAnsi"/>
          <w:lang w:val="en-GB"/>
        </w:rPr>
        <w:fldChar w:fldCharType="end"/>
      </w:r>
      <w:r w:rsidRPr="000D268C">
        <w:rPr>
          <w:rFonts w:cstheme="minorHAnsi"/>
          <w:lang w:val="en-GB"/>
        </w:rPr>
        <w:t>. For the purposes of replication, the following pages illustrate the coding process and discuss intercoder reliability.</w:t>
      </w:r>
    </w:p>
    <w:p w14:paraId="0FD114C9" w14:textId="14DBB3B9" w:rsidR="00F813C3" w:rsidRPr="000D268C" w:rsidRDefault="00F813C3" w:rsidP="002C54BF">
      <w:pPr>
        <w:snapToGrid w:val="0"/>
        <w:spacing w:after="120" w:line="480" w:lineRule="auto"/>
        <w:jc w:val="both"/>
        <w:rPr>
          <w:rFonts w:cstheme="minorHAnsi"/>
          <w:lang w:val="en-GB"/>
        </w:rPr>
      </w:pPr>
      <w:r w:rsidRPr="000D268C">
        <w:rPr>
          <w:rFonts w:cstheme="minorHAnsi"/>
          <w:lang w:val="en-GB"/>
        </w:rPr>
        <w:lastRenderedPageBreak/>
        <w:tab/>
        <w:t>The case study included in the article covered questions addressed by Members of the European Parliament (MEPs) to the European Central Bank (ECB) in the area of banking supervision between October 2013 and April 2018. The dataset comprises written questions identified in letters and oral questions asked during hearings with the head of the ECB in banking supervision</w:t>
      </w:r>
      <w:r w:rsidR="00355E94" w:rsidRPr="000D268C">
        <w:rPr>
          <w:rFonts w:cstheme="minorHAnsi"/>
          <w:lang w:val="en-GB"/>
        </w:rPr>
        <w:t>—</w:t>
      </w:r>
      <w:r w:rsidRPr="000D268C">
        <w:rPr>
          <w:rFonts w:cstheme="minorHAnsi"/>
          <w:lang w:val="en-GB"/>
        </w:rPr>
        <w:t>known as the ‘Chair of the Supervisory Board.’ Data was collected from the websites of the European Parliament (EP) and of ECB Banking Supervision (the official name of the institution).</w:t>
      </w:r>
      <w:r w:rsidRPr="000D268C">
        <w:rPr>
          <w:rStyle w:val="FootnoteReference"/>
          <w:rFonts w:cstheme="minorHAnsi"/>
          <w:lang w:val="en-GB"/>
        </w:rPr>
        <w:footnoteReference w:id="2"/>
      </w:r>
      <w:r w:rsidRPr="000D268C">
        <w:rPr>
          <w:rFonts w:cstheme="minorHAnsi"/>
          <w:lang w:val="en-GB"/>
        </w:rPr>
        <w:t xml:space="preserve"> </w:t>
      </w:r>
    </w:p>
    <w:p w14:paraId="63172E78" w14:textId="3B9D0FB4" w:rsidR="00F813C3" w:rsidRPr="000D268C" w:rsidRDefault="00F813C3" w:rsidP="002C54BF">
      <w:pPr>
        <w:pStyle w:val="Heading2"/>
        <w:spacing w:before="0" w:line="480" w:lineRule="auto"/>
        <w:rPr>
          <w:rFonts w:asciiTheme="minorHAnsi" w:hAnsiTheme="minorHAnsi" w:cstheme="minorHAnsi"/>
          <w:b/>
          <w:bCs/>
          <w:color w:val="auto"/>
          <w:sz w:val="24"/>
          <w:szCs w:val="24"/>
          <w:lang w:val="en-GB"/>
        </w:rPr>
      </w:pPr>
      <w:bookmarkStart w:id="5" w:name="_Toc45885398"/>
      <w:r w:rsidRPr="000D268C">
        <w:rPr>
          <w:rFonts w:asciiTheme="minorHAnsi" w:hAnsiTheme="minorHAnsi" w:cstheme="minorHAnsi"/>
          <w:b/>
          <w:bCs/>
          <w:color w:val="auto"/>
          <w:sz w:val="24"/>
          <w:szCs w:val="24"/>
          <w:lang w:val="en-GB"/>
        </w:rPr>
        <w:t>Recogn</w:t>
      </w:r>
      <w:r w:rsidR="00355E94" w:rsidRPr="000D268C">
        <w:rPr>
          <w:rFonts w:asciiTheme="minorHAnsi" w:hAnsiTheme="minorHAnsi" w:cstheme="minorHAnsi"/>
          <w:b/>
          <w:bCs/>
          <w:color w:val="auto"/>
          <w:sz w:val="24"/>
          <w:szCs w:val="24"/>
          <w:lang w:val="en-GB"/>
        </w:rPr>
        <w:t>isi</w:t>
      </w:r>
      <w:r w:rsidRPr="000D268C">
        <w:rPr>
          <w:rFonts w:asciiTheme="minorHAnsi" w:hAnsiTheme="minorHAnsi" w:cstheme="minorHAnsi"/>
          <w:b/>
          <w:bCs/>
          <w:color w:val="auto"/>
          <w:sz w:val="24"/>
          <w:szCs w:val="24"/>
          <w:lang w:val="en-GB"/>
        </w:rPr>
        <w:t>ng a claim</w:t>
      </w:r>
      <w:bookmarkEnd w:id="5"/>
      <w:r w:rsidRPr="000D268C">
        <w:rPr>
          <w:rFonts w:asciiTheme="minorHAnsi" w:hAnsiTheme="minorHAnsi" w:cstheme="minorHAnsi"/>
          <w:b/>
          <w:bCs/>
          <w:color w:val="auto"/>
          <w:sz w:val="24"/>
          <w:szCs w:val="24"/>
          <w:lang w:val="en-GB"/>
        </w:rPr>
        <w:t xml:space="preserve">  </w:t>
      </w:r>
    </w:p>
    <w:p w14:paraId="0B5EAE6E" w14:textId="77777777" w:rsidR="00F813C3" w:rsidRPr="000D268C" w:rsidRDefault="00F813C3" w:rsidP="002C54BF">
      <w:pPr>
        <w:spacing w:line="480" w:lineRule="auto"/>
        <w:jc w:val="both"/>
        <w:rPr>
          <w:rFonts w:cstheme="minorHAnsi"/>
          <w:lang w:val="en-GB"/>
        </w:rPr>
      </w:pPr>
      <w:r w:rsidRPr="000D268C">
        <w:rPr>
          <w:rFonts w:cstheme="minorHAnsi"/>
          <w:lang w:val="en-GB"/>
        </w:rPr>
        <w:t xml:space="preserve">The unit of analysis is the </w:t>
      </w:r>
      <w:r w:rsidRPr="000D268C">
        <w:rPr>
          <w:rFonts w:cstheme="minorHAnsi"/>
          <w:i/>
          <w:lang w:val="en-GB"/>
        </w:rPr>
        <w:t>claim</w:t>
      </w:r>
      <w:r w:rsidRPr="000D268C">
        <w:rPr>
          <w:rFonts w:cstheme="minorHAnsi"/>
          <w:lang w:val="en-GB"/>
        </w:rPr>
        <w:t xml:space="preserve">, which is a sentence or a set of sentences on a particular topic. Questions-as-claims include interrogative sentences and are often preceded by a short paragraph introducing the topic. Answers-as-claims typically include more sentences and can go on for paragraphs, elaborating on the topic. </w:t>
      </w:r>
    </w:p>
    <w:p w14:paraId="4A56569A" w14:textId="77777777" w:rsidR="00F813C3" w:rsidRPr="000D268C" w:rsidRDefault="00F813C3" w:rsidP="002C54BF">
      <w:pPr>
        <w:spacing w:line="480" w:lineRule="auto"/>
        <w:ind w:firstLine="720"/>
        <w:jc w:val="both"/>
        <w:rPr>
          <w:rFonts w:cstheme="minorHAnsi"/>
          <w:lang w:val="en-GB"/>
        </w:rPr>
      </w:pPr>
      <w:r w:rsidRPr="000D268C">
        <w:rPr>
          <w:rFonts w:cstheme="minorHAnsi"/>
          <w:lang w:val="en-GB"/>
        </w:rPr>
        <w:t>The dataset compiled for the article consists of letters with written questions, written replies, and transcripts of public, hearings where oral questions were posed and answered. Here is an example of a question from a written letter:</w:t>
      </w:r>
    </w:p>
    <w:p w14:paraId="6D4524F7" w14:textId="626A3635" w:rsidR="00F813C3" w:rsidRPr="000D268C" w:rsidRDefault="00355E94" w:rsidP="002C54BF">
      <w:pPr>
        <w:spacing w:after="240"/>
        <w:ind w:left="720"/>
        <w:rPr>
          <w:rFonts w:cstheme="minorHAnsi"/>
          <w:lang w:val="en-GB"/>
        </w:rPr>
      </w:pPr>
      <w:r w:rsidRPr="000D268C">
        <w:rPr>
          <w:rFonts w:cstheme="minorHAnsi"/>
          <w:lang w:val="en-GB"/>
        </w:rPr>
        <w:t>‘</w:t>
      </w:r>
      <w:r w:rsidR="00F813C3" w:rsidRPr="000D268C">
        <w:rPr>
          <w:rFonts w:cstheme="minorHAnsi"/>
          <w:lang w:val="en-GB"/>
        </w:rPr>
        <w:t>6. How is the ECB planning to ensure that monetary and supervisory policy are strictly separated in terms of staff, reporting lines and career paths in the ECB?</w:t>
      </w:r>
      <w:r w:rsidRPr="000D268C">
        <w:rPr>
          <w:rFonts w:cstheme="minorHAnsi"/>
          <w:lang w:val="en-GB"/>
        </w:rPr>
        <w:t>’</w:t>
      </w:r>
      <w:r w:rsidR="00F813C3" w:rsidRPr="000D268C">
        <w:rPr>
          <w:rFonts w:cstheme="minorHAnsi"/>
          <w:lang w:val="en-GB"/>
        </w:rPr>
        <w:t xml:space="preserve"> </w:t>
      </w:r>
      <w:r w:rsidR="00F813C3" w:rsidRPr="000D268C">
        <w:rPr>
          <w:rFonts w:cstheme="minorHAnsi"/>
          <w:lang w:val="en-GB"/>
        </w:rPr>
        <w:fldChar w:fldCharType="begin"/>
      </w:r>
      <w:r w:rsidR="00C82021" w:rsidRPr="000D268C">
        <w:rPr>
          <w:rFonts w:cstheme="minorHAnsi"/>
          <w:lang w:val="en-GB"/>
        </w:rPr>
        <w:instrText xml:space="preserve"> ADDIN ZOTERO_ITEM CSL_CITATION {"citationID":"PSxoWPNw","properties":{"formattedCitation":"(Draghi, 2013)","plainCitation":"(Draghi, 2013)","noteIndex":0},"citationItems":[{"id":6764,"uris":["http://zotero.org/users/1129714/items/GUKKBSTY"],"uri":["http://zotero.org/users/1129714/items/GUKKBSTY"],"itemData":{"id":6764,"type":"webpage","container-title":"European Parliament","title":"Reply by the ECB President to the letter of the ECON Chair of 28 October 2013","URL":"http://www.europarl.europa.eu/document/activities/cont/201311/20131119ATT74688/20131119ATT74688EN.pdf","author":[{"family":"Draghi","given":"Mario"}],"accessed":{"date-parts":[["2019",7,23]]},"issued":{"date-parts":[["2013",11,15]]}}}],"schema":"https://github.com/citation-style-language/schema/raw/master/csl-citation.json"} </w:instrText>
      </w:r>
      <w:r w:rsidR="00F813C3" w:rsidRPr="000D268C">
        <w:rPr>
          <w:rFonts w:cstheme="minorHAnsi"/>
          <w:lang w:val="en-GB"/>
        </w:rPr>
        <w:fldChar w:fldCharType="separate"/>
      </w:r>
      <w:r w:rsidR="000A5639" w:rsidRPr="000D268C">
        <w:rPr>
          <w:rFonts w:cstheme="minorHAnsi"/>
          <w:noProof/>
          <w:lang w:val="en-GB"/>
        </w:rPr>
        <w:t>(Draghi, 2013)</w:t>
      </w:r>
      <w:r w:rsidR="00F813C3" w:rsidRPr="000D268C">
        <w:rPr>
          <w:rFonts w:cstheme="minorHAnsi"/>
          <w:lang w:val="en-GB"/>
        </w:rPr>
        <w:fldChar w:fldCharType="end"/>
      </w:r>
    </w:p>
    <w:p w14:paraId="10A7FB77" w14:textId="77777777" w:rsidR="00F813C3" w:rsidRPr="000D268C" w:rsidRDefault="00F813C3" w:rsidP="002C54BF">
      <w:pPr>
        <w:spacing w:line="480" w:lineRule="auto"/>
        <w:rPr>
          <w:rFonts w:cstheme="minorHAnsi"/>
          <w:lang w:val="en-GB"/>
        </w:rPr>
      </w:pPr>
      <w:r w:rsidRPr="000D268C">
        <w:rPr>
          <w:rFonts w:cstheme="minorHAnsi"/>
          <w:lang w:val="en-GB"/>
        </w:rPr>
        <w:t>The answer is comprehensive, as illustrated below:</w:t>
      </w:r>
    </w:p>
    <w:p w14:paraId="1766AEB8" w14:textId="1126EDB8" w:rsidR="00F813C3" w:rsidRPr="000D268C" w:rsidRDefault="00355E94" w:rsidP="002C54BF">
      <w:pPr>
        <w:ind w:left="720" w:right="844"/>
        <w:jc w:val="both"/>
        <w:rPr>
          <w:rFonts w:cstheme="minorHAnsi"/>
          <w:lang w:val="en-GB"/>
        </w:rPr>
      </w:pPr>
      <w:r w:rsidRPr="000D268C">
        <w:rPr>
          <w:rFonts w:cstheme="minorHAnsi"/>
          <w:lang w:val="en-GB"/>
        </w:rPr>
        <w:t>‘</w:t>
      </w:r>
      <w:r w:rsidR="00F813C3" w:rsidRPr="000D268C">
        <w:rPr>
          <w:rFonts w:cstheme="minorHAnsi"/>
          <w:lang w:val="en-GB"/>
        </w:rPr>
        <w:t xml:space="preserve">To avoid any possible conflict of interest, the ECB is committed to strictly respect the principle of separation between monetary policy and banking </w:t>
      </w:r>
      <w:r w:rsidR="00F813C3" w:rsidRPr="000D268C">
        <w:rPr>
          <w:rFonts w:cstheme="minorHAnsi"/>
          <w:lang w:val="en-GB"/>
        </w:rPr>
        <w:lastRenderedPageBreak/>
        <w:t xml:space="preserve">supervision, as foreseen in the SSM Council Regulation. Such separation will ensure that the ECB will continue to fulfil its primary mandate of price stability in complete independence, in line with the Treaty. In line with the Regulation, work has started on drafting internal rules to ensure the separation, namely through measures combining organisational separation and the segregation of information flows. </w:t>
      </w:r>
    </w:p>
    <w:p w14:paraId="59497BF2" w14:textId="77777777" w:rsidR="00F813C3" w:rsidRPr="000D268C" w:rsidRDefault="00F813C3" w:rsidP="00AD7CB1">
      <w:pPr>
        <w:ind w:left="720" w:right="844" w:firstLine="720"/>
        <w:jc w:val="both"/>
        <w:rPr>
          <w:rFonts w:cstheme="minorHAnsi"/>
          <w:lang w:val="en-GB"/>
        </w:rPr>
      </w:pPr>
      <w:r w:rsidRPr="000D268C">
        <w:rPr>
          <w:rFonts w:cstheme="minorHAnsi"/>
          <w:lang w:val="en-GB"/>
        </w:rPr>
        <w:t xml:space="preserve">Organisational separation will be applied both at the decision-making level and at staff level. An independent Supervisory Board - separate from the Governing Council - will be created to draft and enforce decisions. Its deliberations of the Governing Council on supervisory matters will be strictly separated, including separated agendas and meetings. At staff level, the four new directorates general and the Secretariat of the Supervisory Board which form part of the supervisory function will report to the Chair of the Supervisory Board. </w:t>
      </w:r>
    </w:p>
    <w:p w14:paraId="7324C81B" w14:textId="02A63C83" w:rsidR="00F813C3" w:rsidRPr="000D268C" w:rsidRDefault="00F813C3" w:rsidP="00AD7CB1">
      <w:pPr>
        <w:spacing w:after="240"/>
        <w:ind w:left="720" w:right="845" w:firstLine="720"/>
        <w:jc w:val="both"/>
        <w:rPr>
          <w:rFonts w:cstheme="minorHAnsi"/>
          <w:lang w:val="en-GB"/>
        </w:rPr>
      </w:pPr>
      <w:r w:rsidRPr="000D268C">
        <w:rPr>
          <w:rFonts w:cstheme="minorHAnsi"/>
          <w:lang w:val="en-GB"/>
        </w:rPr>
        <w:t>Concerning the segregation of information flows, the ECB has experience in developing &amp; delivering solutions that securely segregate information (e.g. to ensure the separation/Chinese wall between the ECB &amp; ESRB related information). For the separation between monetary and supervisory policy, the ‘internal rules’ will draw in particular on (</w:t>
      </w:r>
      <w:proofErr w:type="spellStart"/>
      <w:r w:rsidRPr="000D268C">
        <w:rPr>
          <w:rFonts w:cstheme="minorHAnsi"/>
          <w:lang w:val="en-GB"/>
        </w:rPr>
        <w:t>i</w:t>
      </w:r>
      <w:proofErr w:type="spellEnd"/>
      <w:r w:rsidRPr="000D268C">
        <w:rPr>
          <w:rFonts w:cstheme="minorHAnsi"/>
          <w:lang w:val="en-GB"/>
        </w:rPr>
        <w:t>) the ECB’s document &amp; records management systems which provide security features (such as access groups/rights) to grant/restrict access to documents and folders, as well as (ii) the ECB’s Confidentiality Regime, which defines how to classify and handle sensitive ECB information.</w:t>
      </w:r>
      <w:r w:rsidR="00355E94" w:rsidRPr="000D268C">
        <w:rPr>
          <w:rFonts w:cstheme="minorHAnsi"/>
          <w:lang w:val="en-GB"/>
        </w:rPr>
        <w:t>’</w:t>
      </w:r>
      <w:r w:rsidRPr="000D268C">
        <w:rPr>
          <w:rFonts w:cstheme="minorHAnsi"/>
          <w:lang w:val="en-GB"/>
        </w:rPr>
        <w:t xml:space="preserve"> </w:t>
      </w:r>
      <w:r w:rsidRPr="000D268C">
        <w:rPr>
          <w:rFonts w:cstheme="minorHAnsi"/>
          <w:lang w:val="en-GB"/>
        </w:rPr>
        <w:fldChar w:fldCharType="begin"/>
      </w:r>
      <w:r w:rsidR="00C82021" w:rsidRPr="000D268C">
        <w:rPr>
          <w:rFonts w:cstheme="minorHAnsi"/>
          <w:lang w:val="en-GB"/>
        </w:rPr>
        <w:instrText xml:space="preserve"> ADDIN ZOTERO_ITEM CSL_CITATION {"citationID":"2cCeN5gK","properties":{"formattedCitation":"(Draghi, 2013)","plainCitation":"(Draghi, 2013)","noteIndex":0},"citationItems":[{"id":6764,"uris":["http://zotero.org/users/1129714/items/GUKKBSTY"],"uri":["http://zotero.org/users/1129714/items/GUKKBSTY"],"itemData":{"id":6764,"type":"webpage","container-title":"European Parliament","title":"Reply by the ECB President to the letter of the ECON Chair of 28 October 2013","URL":"http://www.europarl.europa.eu/document/activities/cont/201311/20131119ATT74688/20131119ATT74688EN.pdf","author":[{"family":"Draghi","given":"Mario"}],"accessed":{"date-parts":[["2019",7,23]]},"issued":{"date-parts":[["2013",11,15]]}}}],"schema":"https://github.com/citation-style-language/schema/raw/master/csl-citation.json"} </w:instrText>
      </w:r>
      <w:r w:rsidRPr="000D268C">
        <w:rPr>
          <w:rFonts w:cstheme="minorHAnsi"/>
          <w:lang w:val="en-GB"/>
        </w:rPr>
        <w:fldChar w:fldCharType="separate"/>
      </w:r>
      <w:r w:rsidR="000A5639" w:rsidRPr="000D268C">
        <w:rPr>
          <w:rFonts w:cstheme="minorHAnsi"/>
          <w:noProof/>
          <w:lang w:val="en-GB"/>
        </w:rPr>
        <w:t>(Draghi, 2013)</w:t>
      </w:r>
      <w:r w:rsidRPr="000D268C">
        <w:rPr>
          <w:rFonts w:cstheme="minorHAnsi"/>
          <w:lang w:val="en-GB"/>
        </w:rPr>
        <w:fldChar w:fldCharType="end"/>
      </w:r>
    </w:p>
    <w:p w14:paraId="651DA1CD" w14:textId="10D493C0" w:rsidR="00F813C3" w:rsidRPr="000D268C" w:rsidRDefault="00F813C3" w:rsidP="002C54BF">
      <w:pPr>
        <w:spacing w:line="480" w:lineRule="auto"/>
        <w:rPr>
          <w:rFonts w:cstheme="minorHAnsi"/>
          <w:lang w:val="en-GB"/>
        </w:rPr>
      </w:pPr>
      <w:r w:rsidRPr="000D268C">
        <w:rPr>
          <w:rFonts w:cstheme="minorHAnsi"/>
          <w:lang w:val="en-GB"/>
        </w:rPr>
        <w:t xml:space="preserve">A follow-up question was found in an oral hearing, when German MEP Sven </w:t>
      </w:r>
      <w:proofErr w:type="spellStart"/>
      <w:r w:rsidRPr="000D268C">
        <w:rPr>
          <w:rFonts w:cstheme="minorHAnsi"/>
          <w:lang w:val="en-GB"/>
        </w:rPr>
        <w:t>Giegold</w:t>
      </w:r>
      <w:proofErr w:type="spellEnd"/>
      <w:r w:rsidR="00355E94" w:rsidRPr="000D268C">
        <w:rPr>
          <w:rFonts w:cstheme="minorHAnsi"/>
          <w:lang w:val="en-GB"/>
        </w:rPr>
        <w:t>—</w:t>
      </w:r>
      <w:r w:rsidRPr="000D268C">
        <w:rPr>
          <w:rFonts w:cstheme="minorHAnsi"/>
          <w:lang w:val="en-GB"/>
        </w:rPr>
        <w:t>representing the Greens</w:t>
      </w:r>
      <w:r w:rsidR="00355E94" w:rsidRPr="000D268C">
        <w:rPr>
          <w:rFonts w:cstheme="minorHAnsi"/>
          <w:lang w:val="en-GB"/>
        </w:rPr>
        <w:t>—</w:t>
      </w:r>
      <w:r w:rsidRPr="000D268C">
        <w:rPr>
          <w:rFonts w:cstheme="minorHAnsi"/>
          <w:lang w:val="en-GB"/>
        </w:rPr>
        <w:t xml:space="preserve">asked the Chair of the Supervisory Board, </w:t>
      </w:r>
      <w:proofErr w:type="spellStart"/>
      <w:r w:rsidRPr="000D268C">
        <w:rPr>
          <w:rFonts w:cstheme="minorHAnsi"/>
          <w:lang w:val="en-GB"/>
        </w:rPr>
        <w:t>Danièle</w:t>
      </w:r>
      <w:proofErr w:type="spellEnd"/>
      <w:r w:rsidRPr="000D268C">
        <w:rPr>
          <w:rFonts w:cstheme="minorHAnsi"/>
          <w:lang w:val="en-GB"/>
        </w:rPr>
        <w:t xml:space="preserve"> </w:t>
      </w:r>
      <w:proofErr w:type="spellStart"/>
      <w:r w:rsidRPr="000D268C">
        <w:rPr>
          <w:rFonts w:cstheme="minorHAnsi"/>
          <w:lang w:val="en-GB"/>
        </w:rPr>
        <w:t>Nouy</w:t>
      </w:r>
      <w:proofErr w:type="spellEnd"/>
      <w:r w:rsidRPr="000D268C">
        <w:rPr>
          <w:rFonts w:cstheme="minorHAnsi"/>
          <w:lang w:val="en-GB"/>
        </w:rPr>
        <w:t>:</w:t>
      </w:r>
    </w:p>
    <w:p w14:paraId="3CD52830" w14:textId="650FDE8F" w:rsidR="00F813C3" w:rsidRPr="000D268C" w:rsidRDefault="00355E94" w:rsidP="002C54BF">
      <w:pPr>
        <w:ind w:left="720" w:right="844"/>
        <w:jc w:val="both"/>
        <w:rPr>
          <w:rFonts w:cstheme="minorHAnsi"/>
          <w:lang w:val="en-GB"/>
        </w:rPr>
      </w:pPr>
      <w:r w:rsidRPr="000D268C">
        <w:rPr>
          <w:rFonts w:cstheme="minorHAnsi"/>
          <w:lang w:val="en-GB"/>
        </w:rPr>
        <w:t>‘</w:t>
      </w:r>
      <w:r w:rsidR="00F813C3" w:rsidRPr="000D268C">
        <w:rPr>
          <w:rFonts w:cstheme="minorHAnsi"/>
          <w:lang w:val="en-GB"/>
        </w:rPr>
        <w:t xml:space="preserve">Sven </w:t>
      </w:r>
      <w:proofErr w:type="spellStart"/>
      <w:proofErr w:type="gramStart"/>
      <w:r w:rsidR="00F813C3" w:rsidRPr="000D268C">
        <w:rPr>
          <w:rFonts w:cstheme="minorHAnsi"/>
          <w:lang w:val="en-GB"/>
        </w:rPr>
        <w:t>Giegold</w:t>
      </w:r>
      <w:proofErr w:type="spellEnd"/>
      <w:r w:rsidR="00F813C3" w:rsidRPr="000D268C">
        <w:rPr>
          <w:rFonts w:cstheme="minorHAnsi"/>
          <w:lang w:val="en-GB"/>
        </w:rPr>
        <w:t>.-</w:t>
      </w:r>
      <w:proofErr w:type="gramEnd"/>
      <w:r w:rsidR="00F813C3" w:rsidRPr="000D268C">
        <w:rPr>
          <w:rFonts w:cstheme="minorHAnsi"/>
          <w:lang w:val="en-GB"/>
        </w:rPr>
        <w:t xml:space="preserve"> Welcome back Madame </w:t>
      </w:r>
      <w:proofErr w:type="spellStart"/>
      <w:r w:rsidR="00F813C3" w:rsidRPr="000D268C">
        <w:rPr>
          <w:rFonts w:cstheme="minorHAnsi"/>
          <w:lang w:val="en-GB"/>
        </w:rPr>
        <w:t>Nouy</w:t>
      </w:r>
      <w:proofErr w:type="spellEnd"/>
      <w:r w:rsidR="00F813C3" w:rsidRPr="000D268C">
        <w:rPr>
          <w:rFonts w:cstheme="minorHAnsi"/>
          <w:lang w:val="en-GB"/>
        </w:rPr>
        <w:t xml:space="preserve">. Well, the discussion to charge the ECB with banking supervision was from the very beginning tainted with a lot of controversies and questions. We have taken that approach together with the Council, also because of the legal situation in the treaties, but we foresaw very clearly the separation between supervisory policy and monetary policy. And the regulation says very clearly that this should be done as far as possible. </w:t>
      </w:r>
      <w:proofErr w:type="gramStart"/>
      <w:r w:rsidR="00F813C3" w:rsidRPr="000D268C">
        <w:rPr>
          <w:rFonts w:cstheme="minorHAnsi"/>
          <w:lang w:val="en-GB"/>
        </w:rPr>
        <w:t>So</w:t>
      </w:r>
      <w:proofErr w:type="gramEnd"/>
      <w:r w:rsidR="00F813C3" w:rsidRPr="000D268C">
        <w:rPr>
          <w:rFonts w:cstheme="minorHAnsi"/>
          <w:lang w:val="en-GB"/>
        </w:rPr>
        <w:t xml:space="preserve"> I'd like to hear from you whether there were examples where the Governing Council of the ECB took over decisions and changed decisions which the supervisory arm has taken? Could you give us precise examples of what happened there and how your experience is?  </w:t>
      </w:r>
    </w:p>
    <w:p w14:paraId="587396CC" w14:textId="77777777" w:rsidR="00F813C3" w:rsidRPr="000D268C" w:rsidRDefault="00F813C3" w:rsidP="002C54BF">
      <w:pPr>
        <w:spacing w:line="480" w:lineRule="auto"/>
        <w:ind w:left="720" w:right="844"/>
        <w:jc w:val="both"/>
        <w:rPr>
          <w:rFonts w:cstheme="minorHAnsi"/>
          <w:lang w:val="en-GB"/>
        </w:rPr>
      </w:pPr>
    </w:p>
    <w:p w14:paraId="20350B7C" w14:textId="3B507B12" w:rsidR="00F813C3" w:rsidRPr="000D268C" w:rsidRDefault="00F813C3" w:rsidP="002C54BF">
      <w:pPr>
        <w:spacing w:line="480" w:lineRule="auto"/>
        <w:ind w:right="844"/>
        <w:jc w:val="both"/>
        <w:rPr>
          <w:rFonts w:cstheme="minorHAnsi"/>
          <w:lang w:val="en-GB"/>
        </w:rPr>
      </w:pPr>
      <w:r w:rsidRPr="000D268C">
        <w:rPr>
          <w:rFonts w:cstheme="minorHAnsi"/>
          <w:lang w:val="en-GB"/>
        </w:rPr>
        <w:t xml:space="preserve">The answer comes from Daniele </w:t>
      </w:r>
      <w:proofErr w:type="spellStart"/>
      <w:r w:rsidRPr="000D268C">
        <w:rPr>
          <w:rFonts w:cstheme="minorHAnsi"/>
          <w:lang w:val="en-GB"/>
        </w:rPr>
        <w:t>Nouy</w:t>
      </w:r>
      <w:proofErr w:type="spellEnd"/>
      <w:r w:rsidRPr="000D268C">
        <w:rPr>
          <w:rFonts w:cstheme="minorHAnsi"/>
          <w:lang w:val="en-GB"/>
        </w:rPr>
        <w:t xml:space="preserve">, Chair of the Supervisory Board: </w:t>
      </w:r>
    </w:p>
    <w:p w14:paraId="2E064D85" w14:textId="11A3B174" w:rsidR="00F813C3" w:rsidRPr="000D268C" w:rsidRDefault="00355E94" w:rsidP="002C54BF">
      <w:pPr>
        <w:ind w:left="720" w:right="844"/>
        <w:jc w:val="both"/>
        <w:rPr>
          <w:rFonts w:cstheme="minorHAnsi"/>
          <w:lang w:val="en-GB"/>
        </w:rPr>
      </w:pPr>
      <w:r w:rsidRPr="000D268C">
        <w:rPr>
          <w:rFonts w:cstheme="minorHAnsi"/>
          <w:lang w:val="en-GB"/>
        </w:rPr>
        <w:t>‘</w:t>
      </w:r>
      <w:proofErr w:type="spellStart"/>
      <w:r w:rsidR="00F813C3" w:rsidRPr="000D268C">
        <w:rPr>
          <w:rFonts w:cstheme="minorHAnsi"/>
          <w:lang w:val="en-GB"/>
        </w:rPr>
        <w:t>Danièle</w:t>
      </w:r>
      <w:proofErr w:type="spellEnd"/>
      <w:r w:rsidR="00F813C3" w:rsidRPr="000D268C">
        <w:rPr>
          <w:rFonts w:cstheme="minorHAnsi"/>
          <w:lang w:val="en-GB"/>
        </w:rPr>
        <w:t xml:space="preserve"> </w:t>
      </w:r>
      <w:proofErr w:type="spellStart"/>
      <w:proofErr w:type="gramStart"/>
      <w:r w:rsidR="00F813C3" w:rsidRPr="000D268C">
        <w:rPr>
          <w:rFonts w:cstheme="minorHAnsi"/>
          <w:lang w:val="en-GB"/>
        </w:rPr>
        <w:t>Nouy</w:t>
      </w:r>
      <w:proofErr w:type="spellEnd"/>
      <w:r w:rsidR="00F813C3" w:rsidRPr="000D268C">
        <w:rPr>
          <w:rFonts w:cstheme="minorHAnsi"/>
          <w:lang w:val="en-GB"/>
        </w:rPr>
        <w:t>.-</w:t>
      </w:r>
      <w:proofErr w:type="gramEnd"/>
      <w:r w:rsidR="00F813C3" w:rsidRPr="000D268C">
        <w:rPr>
          <w:rFonts w:cstheme="minorHAnsi"/>
          <w:lang w:val="en-GB"/>
        </w:rPr>
        <w:t xml:space="preserve"> Regarding the separation principles - we now have full implementation of the principle, the decision has been fully taken by the Governing Council and, for example, access to information, cooperation or lack thereof between the different parts of the ECB. Regarding certain duties of the Supervisory Board - there was a discussion at the beginning of the comprehensive assessment whether it was preparatory work or already </w:t>
      </w:r>
      <w:r w:rsidR="00F813C3" w:rsidRPr="000D268C">
        <w:rPr>
          <w:rFonts w:cstheme="minorHAnsi"/>
          <w:lang w:val="en-GB"/>
        </w:rPr>
        <w:lastRenderedPageBreak/>
        <w:t>supervisory decisions. A number of lawyers carefully looked at the text; it was split, I must say, the feelings, almost equally between those saying it was supervision and it should only be non-objection procedure and those thinking that it was preparatory work so it had to be a normal procedure for the Governing Council taking the final decision. And this is what was decided: that the comprehensive assessment was preparatory work and, as a result, the Governing Council decided by normal procedure. In fact, it happened that what was methodology, fits very well in this distinction, but it was obvious that at the end of the exercise, the individual decisions and the outcome of the comprehensive assessment should be taken under non-objection procedure, which has been the case.</w:t>
      </w:r>
      <w:r w:rsidRPr="000D268C">
        <w:rPr>
          <w:rFonts w:cstheme="minorHAnsi"/>
          <w:lang w:val="en-GB"/>
        </w:rPr>
        <w:t>’</w:t>
      </w:r>
    </w:p>
    <w:p w14:paraId="42D8A701" w14:textId="77777777" w:rsidR="00F813C3" w:rsidRPr="000D268C" w:rsidRDefault="00F813C3" w:rsidP="002C54BF">
      <w:pPr>
        <w:spacing w:line="480" w:lineRule="auto"/>
        <w:ind w:right="844"/>
        <w:jc w:val="both"/>
        <w:rPr>
          <w:rFonts w:cstheme="minorHAnsi"/>
          <w:lang w:val="en-GB"/>
        </w:rPr>
      </w:pPr>
      <w:r w:rsidRPr="000D268C">
        <w:rPr>
          <w:rFonts w:cstheme="minorHAnsi"/>
          <w:lang w:val="en-GB"/>
        </w:rPr>
        <w:t xml:space="preserve"> </w:t>
      </w:r>
    </w:p>
    <w:p w14:paraId="67786170" w14:textId="198E2CEB" w:rsidR="00F813C3" w:rsidRPr="000D268C" w:rsidRDefault="00F813C3" w:rsidP="002C54BF">
      <w:pPr>
        <w:spacing w:line="480" w:lineRule="auto"/>
        <w:ind w:right="844"/>
        <w:jc w:val="both"/>
        <w:rPr>
          <w:rFonts w:cstheme="minorHAnsi"/>
          <w:lang w:val="en-GB"/>
        </w:rPr>
      </w:pPr>
      <w:r w:rsidRPr="000D268C">
        <w:rPr>
          <w:rFonts w:cstheme="minorHAnsi"/>
          <w:lang w:val="en-GB"/>
        </w:rPr>
        <w:t>The MEP follows up again, pushing for an answer:</w:t>
      </w:r>
    </w:p>
    <w:p w14:paraId="103EEA9F" w14:textId="04A0894C" w:rsidR="00F813C3" w:rsidRPr="000D268C" w:rsidRDefault="00355E94" w:rsidP="002C54BF">
      <w:pPr>
        <w:ind w:left="720" w:right="844"/>
        <w:jc w:val="both"/>
        <w:rPr>
          <w:rFonts w:cstheme="minorHAnsi"/>
          <w:lang w:val="en-GB"/>
        </w:rPr>
      </w:pPr>
      <w:r w:rsidRPr="000D268C">
        <w:rPr>
          <w:rFonts w:cstheme="minorHAnsi"/>
          <w:lang w:val="en-GB"/>
        </w:rPr>
        <w:t>‘</w:t>
      </w:r>
      <w:r w:rsidR="00F813C3" w:rsidRPr="000D268C">
        <w:rPr>
          <w:rFonts w:cstheme="minorHAnsi"/>
          <w:lang w:val="en-GB"/>
        </w:rPr>
        <w:t xml:space="preserve">Sven </w:t>
      </w:r>
      <w:proofErr w:type="spellStart"/>
      <w:proofErr w:type="gramStart"/>
      <w:r w:rsidR="00F813C3" w:rsidRPr="000D268C">
        <w:rPr>
          <w:rFonts w:cstheme="minorHAnsi"/>
          <w:lang w:val="en-GB"/>
        </w:rPr>
        <w:t>Giegold</w:t>
      </w:r>
      <w:proofErr w:type="spellEnd"/>
      <w:r w:rsidR="00F813C3" w:rsidRPr="000D268C">
        <w:rPr>
          <w:rFonts w:cstheme="minorHAnsi"/>
          <w:lang w:val="en-GB"/>
        </w:rPr>
        <w:t>.-</w:t>
      </w:r>
      <w:proofErr w:type="gramEnd"/>
      <w:r w:rsidR="00F813C3" w:rsidRPr="000D268C">
        <w:rPr>
          <w:rFonts w:cstheme="minorHAnsi"/>
          <w:lang w:val="en-GB"/>
        </w:rPr>
        <w:t xml:space="preserve"> But do you feel comfortable with the interventions of the Governing Councils or members of the Governing Council? Is there too much intervention into your affairs as supervisor?</w:t>
      </w:r>
      <w:r w:rsidRPr="000D268C">
        <w:rPr>
          <w:rFonts w:cstheme="minorHAnsi"/>
          <w:lang w:val="en-GB"/>
        </w:rPr>
        <w:t>’</w:t>
      </w:r>
    </w:p>
    <w:p w14:paraId="58BB7C93" w14:textId="77777777" w:rsidR="00F813C3" w:rsidRPr="000D268C" w:rsidRDefault="00F813C3" w:rsidP="002C54BF">
      <w:pPr>
        <w:spacing w:line="480" w:lineRule="auto"/>
        <w:ind w:right="844"/>
        <w:jc w:val="both"/>
        <w:rPr>
          <w:rFonts w:cstheme="minorHAnsi"/>
          <w:lang w:val="en-GB"/>
        </w:rPr>
      </w:pPr>
    </w:p>
    <w:p w14:paraId="3E6C6F3F" w14:textId="7E5E02DE" w:rsidR="00F813C3" w:rsidRPr="000D268C" w:rsidRDefault="00F813C3" w:rsidP="002C54BF">
      <w:pPr>
        <w:spacing w:line="480" w:lineRule="auto"/>
        <w:ind w:right="844"/>
        <w:jc w:val="both"/>
        <w:rPr>
          <w:rFonts w:cstheme="minorHAnsi"/>
          <w:lang w:val="en-GB"/>
        </w:rPr>
      </w:pPr>
      <w:r w:rsidRPr="000D268C">
        <w:rPr>
          <w:rFonts w:cstheme="minorHAnsi"/>
          <w:lang w:val="en-GB"/>
        </w:rPr>
        <w:t>And the answer comes immediately:</w:t>
      </w:r>
    </w:p>
    <w:p w14:paraId="60F49F86" w14:textId="1BD95D57" w:rsidR="00F813C3" w:rsidRPr="000D268C" w:rsidRDefault="00355E94" w:rsidP="002C54BF">
      <w:pPr>
        <w:ind w:left="720" w:right="844"/>
        <w:jc w:val="both"/>
        <w:rPr>
          <w:rFonts w:cstheme="minorHAnsi"/>
          <w:lang w:val="en-GB"/>
        </w:rPr>
      </w:pPr>
      <w:r w:rsidRPr="000D268C">
        <w:rPr>
          <w:rFonts w:cstheme="minorHAnsi"/>
          <w:lang w:val="en-GB"/>
        </w:rPr>
        <w:t>‘</w:t>
      </w:r>
      <w:proofErr w:type="spellStart"/>
      <w:r w:rsidR="00F813C3" w:rsidRPr="000D268C">
        <w:rPr>
          <w:rFonts w:cstheme="minorHAnsi"/>
          <w:lang w:val="en-GB"/>
        </w:rPr>
        <w:t>Danièle</w:t>
      </w:r>
      <w:proofErr w:type="spellEnd"/>
      <w:r w:rsidR="00F813C3" w:rsidRPr="000D268C">
        <w:rPr>
          <w:rFonts w:cstheme="minorHAnsi"/>
          <w:lang w:val="en-GB"/>
        </w:rPr>
        <w:t xml:space="preserve"> </w:t>
      </w:r>
      <w:proofErr w:type="spellStart"/>
      <w:proofErr w:type="gramStart"/>
      <w:r w:rsidR="00F813C3" w:rsidRPr="000D268C">
        <w:rPr>
          <w:rFonts w:cstheme="minorHAnsi"/>
          <w:lang w:val="en-GB"/>
        </w:rPr>
        <w:t>Nouy</w:t>
      </w:r>
      <w:proofErr w:type="spellEnd"/>
      <w:r w:rsidR="00F813C3" w:rsidRPr="000D268C">
        <w:rPr>
          <w:rFonts w:cstheme="minorHAnsi"/>
          <w:lang w:val="en-GB"/>
        </w:rPr>
        <w:t>.-</w:t>
      </w:r>
      <w:proofErr w:type="gramEnd"/>
      <w:r w:rsidR="00F813C3" w:rsidRPr="000D268C">
        <w:rPr>
          <w:rFonts w:cstheme="minorHAnsi"/>
          <w:lang w:val="en-GB"/>
        </w:rPr>
        <w:t xml:space="preserve"> I have no particular problem on this side, no.</w:t>
      </w:r>
      <w:r w:rsidRPr="000D268C">
        <w:rPr>
          <w:rFonts w:cstheme="minorHAnsi"/>
          <w:lang w:val="en-GB"/>
        </w:rPr>
        <w:t>’</w:t>
      </w:r>
    </w:p>
    <w:p w14:paraId="2398B724" w14:textId="77777777" w:rsidR="00F813C3" w:rsidRPr="000D268C" w:rsidRDefault="00F813C3" w:rsidP="002C54BF">
      <w:pPr>
        <w:spacing w:line="480" w:lineRule="auto"/>
        <w:ind w:left="720" w:right="844"/>
        <w:jc w:val="both"/>
        <w:rPr>
          <w:rFonts w:cstheme="minorHAnsi"/>
          <w:lang w:val="en-GB"/>
        </w:rPr>
      </w:pPr>
    </w:p>
    <w:p w14:paraId="34B6A34A" w14:textId="77777777" w:rsidR="00F813C3" w:rsidRPr="000D268C" w:rsidRDefault="00F813C3" w:rsidP="002C54BF">
      <w:pPr>
        <w:spacing w:line="480" w:lineRule="auto"/>
        <w:ind w:right="-6"/>
        <w:jc w:val="both"/>
        <w:rPr>
          <w:rFonts w:cstheme="minorHAnsi"/>
          <w:lang w:val="en-GB"/>
        </w:rPr>
      </w:pPr>
      <w:r w:rsidRPr="000D268C">
        <w:rPr>
          <w:rFonts w:cstheme="minorHAnsi"/>
          <w:lang w:val="en-GB"/>
        </w:rPr>
        <w:t xml:space="preserve">The MEP did not push further on the topic, which suggests either that the answer was accepted, or that time was running out and Ms </w:t>
      </w:r>
      <w:proofErr w:type="spellStart"/>
      <w:r w:rsidRPr="000D268C">
        <w:rPr>
          <w:rFonts w:cstheme="minorHAnsi"/>
          <w:lang w:val="en-GB"/>
        </w:rPr>
        <w:t>Nouy</w:t>
      </w:r>
      <w:proofErr w:type="spellEnd"/>
      <w:r w:rsidRPr="000D268C">
        <w:rPr>
          <w:rFonts w:cstheme="minorHAnsi"/>
          <w:lang w:val="en-GB"/>
        </w:rPr>
        <w:t xml:space="preserve"> moved to other questions. From an empirical perspective, it is impossible to establish the ill-intent of responders, e.g. whether they do not want to say more on a topic so they address other question. Unless the question comes back in subsequent letters or hearings, the lack of follow-up is considered final.</w:t>
      </w:r>
    </w:p>
    <w:p w14:paraId="5DA32519" w14:textId="0FE79FDA" w:rsidR="00F813C3" w:rsidRPr="000D268C" w:rsidRDefault="00F813C3" w:rsidP="002C54BF">
      <w:pPr>
        <w:spacing w:line="480" w:lineRule="auto"/>
        <w:ind w:right="-6" w:firstLine="720"/>
        <w:jc w:val="both"/>
        <w:rPr>
          <w:rFonts w:cstheme="minorHAnsi"/>
          <w:lang w:val="en-GB"/>
        </w:rPr>
      </w:pPr>
      <w:r w:rsidRPr="000D268C">
        <w:rPr>
          <w:rFonts w:cstheme="minorHAnsi"/>
          <w:lang w:val="en-GB"/>
        </w:rPr>
        <w:t>In general, the identification of questions is facilitated visually by numbering and bullet points in the case of written questions, or by referring to them as such (</w:t>
      </w:r>
      <w:r w:rsidR="00355E94" w:rsidRPr="000D268C">
        <w:rPr>
          <w:rFonts w:cstheme="minorHAnsi"/>
          <w:lang w:val="en-GB"/>
        </w:rPr>
        <w:t>‘</w:t>
      </w:r>
      <w:r w:rsidRPr="000D268C">
        <w:rPr>
          <w:rFonts w:cstheme="minorHAnsi"/>
          <w:lang w:val="en-GB"/>
        </w:rPr>
        <w:t>my first question</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my second question</w:t>
      </w:r>
      <w:r w:rsidR="00355E94" w:rsidRPr="000D268C">
        <w:rPr>
          <w:rFonts w:cstheme="minorHAnsi"/>
          <w:lang w:val="en-GB"/>
        </w:rPr>
        <w:t>’</w:t>
      </w:r>
      <w:r w:rsidRPr="000D268C">
        <w:rPr>
          <w:rFonts w:cstheme="minorHAnsi"/>
          <w:lang w:val="en-GB"/>
        </w:rPr>
        <w:t>) in the case of transcripts of hearings. The identification of answers is clear when marked correspondingly (</w:t>
      </w:r>
      <w:r w:rsidR="00355E94" w:rsidRPr="000D268C">
        <w:rPr>
          <w:rFonts w:cstheme="minorHAnsi"/>
          <w:lang w:val="en-GB"/>
        </w:rPr>
        <w:t>‘</w:t>
      </w:r>
      <w:r w:rsidRPr="000D268C">
        <w:rPr>
          <w:rFonts w:cstheme="minorHAnsi"/>
          <w:lang w:val="en-GB"/>
        </w:rPr>
        <w:t>in response to/in respect to/in reference to the/your first question</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regarding the/your second question</w:t>
      </w:r>
      <w:r w:rsidR="00355E94" w:rsidRPr="000D268C">
        <w:rPr>
          <w:rFonts w:cstheme="minorHAnsi"/>
          <w:lang w:val="en-GB"/>
        </w:rPr>
        <w:t>’</w:t>
      </w:r>
      <w:r w:rsidRPr="000D268C">
        <w:rPr>
          <w:rFonts w:cstheme="minorHAnsi"/>
          <w:lang w:val="en-GB"/>
        </w:rPr>
        <w:t>). When such identifiers are missing, the coder needs to pay close attention to the content of the answer and recogn</w:t>
      </w:r>
      <w:r w:rsidR="00063870" w:rsidRPr="000D268C">
        <w:rPr>
          <w:rFonts w:cstheme="minorHAnsi"/>
          <w:lang w:val="en-GB"/>
        </w:rPr>
        <w:t>ise</w:t>
      </w:r>
      <w:r w:rsidRPr="000D268C">
        <w:rPr>
          <w:rFonts w:cstheme="minorHAnsi"/>
          <w:lang w:val="en-GB"/>
        </w:rPr>
        <w:t xml:space="preserve"> when the topic changes from one question to the next. To know whether a question is asked for the first time </w:t>
      </w:r>
      <w:r w:rsidRPr="000D268C">
        <w:rPr>
          <w:rFonts w:cstheme="minorHAnsi"/>
          <w:lang w:val="en-GB"/>
        </w:rPr>
        <w:lastRenderedPageBreak/>
        <w:t>or it is a follow</w:t>
      </w:r>
      <w:r w:rsidR="00355E94" w:rsidRPr="000D268C">
        <w:rPr>
          <w:rFonts w:cstheme="minorHAnsi"/>
          <w:lang w:val="en-GB"/>
        </w:rPr>
        <w:t>-</w:t>
      </w:r>
      <w:r w:rsidRPr="000D268C">
        <w:rPr>
          <w:rFonts w:cstheme="minorHAnsi"/>
          <w:lang w:val="en-GB"/>
        </w:rPr>
        <w:t>up, the coder needs to keep track of the topics discussed in both letters and hearings. A question is considered a follow-up if it has been asked before, even if not by the same person.</w:t>
      </w:r>
    </w:p>
    <w:p w14:paraId="56D31A67" w14:textId="77777777" w:rsidR="00F813C3" w:rsidRPr="000D268C" w:rsidRDefault="00F813C3" w:rsidP="002C54BF">
      <w:pPr>
        <w:spacing w:line="480" w:lineRule="auto"/>
        <w:ind w:right="844"/>
        <w:jc w:val="both"/>
        <w:rPr>
          <w:rFonts w:cstheme="minorHAnsi"/>
          <w:lang w:val="en-GB"/>
        </w:rPr>
      </w:pPr>
    </w:p>
    <w:p w14:paraId="7BA8D7F4" w14:textId="2A3CB8DB" w:rsidR="00F813C3" w:rsidRPr="000D268C" w:rsidRDefault="00F813C3" w:rsidP="002C54BF">
      <w:pPr>
        <w:pStyle w:val="Heading2"/>
        <w:spacing w:before="0" w:line="480" w:lineRule="auto"/>
        <w:rPr>
          <w:rFonts w:asciiTheme="minorHAnsi" w:hAnsiTheme="minorHAnsi" w:cstheme="minorHAnsi"/>
          <w:b/>
          <w:bCs/>
          <w:color w:val="auto"/>
          <w:sz w:val="24"/>
          <w:szCs w:val="24"/>
          <w:lang w:val="en-GB"/>
        </w:rPr>
      </w:pPr>
      <w:bookmarkStart w:id="6" w:name="_Toc45885399"/>
      <w:r w:rsidRPr="000D268C">
        <w:rPr>
          <w:rFonts w:asciiTheme="minorHAnsi" w:hAnsiTheme="minorHAnsi" w:cstheme="minorHAnsi"/>
          <w:b/>
          <w:bCs/>
          <w:color w:val="auto"/>
          <w:sz w:val="24"/>
          <w:szCs w:val="24"/>
          <w:lang w:val="en-GB"/>
        </w:rPr>
        <w:t>Coding a claim</w:t>
      </w:r>
      <w:bookmarkEnd w:id="6"/>
    </w:p>
    <w:p w14:paraId="1771931F" w14:textId="56FDC6AD" w:rsidR="00F813C3" w:rsidRPr="000D268C" w:rsidRDefault="00F813C3" w:rsidP="002C54BF">
      <w:pPr>
        <w:spacing w:line="480" w:lineRule="auto"/>
        <w:jc w:val="both"/>
        <w:rPr>
          <w:rFonts w:cstheme="minorHAnsi"/>
          <w:lang w:val="en-GB"/>
        </w:rPr>
      </w:pPr>
      <w:r w:rsidRPr="000D268C">
        <w:rPr>
          <w:rFonts w:cstheme="minorHAnsi"/>
          <w:lang w:val="en-GB"/>
        </w:rPr>
        <w:t xml:space="preserve">The claim analysis approach to </w:t>
      </w:r>
      <w:r w:rsidR="00720ABA" w:rsidRPr="000D268C">
        <w:rPr>
          <w:rFonts w:cstheme="minorHAnsi"/>
          <w:lang w:val="en-GB"/>
        </w:rPr>
        <w:t>legislative oversight</w:t>
      </w:r>
      <w:r w:rsidRPr="000D268C">
        <w:rPr>
          <w:rFonts w:cstheme="minorHAnsi"/>
          <w:lang w:val="en-GB"/>
        </w:rPr>
        <w:t xml:space="preserve"> is an adaptation of the method of political claims analysis developed by social movements scholars and later applied to politic</w:t>
      </w:r>
      <w:r w:rsidR="00063870" w:rsidRPr="000D268C">
        <w:rPr>
          <w:rFonts w:cstheme="minorHAnsi"/>
          <w:lang w:val="en-GB"/>
        </w:rPr>
        <w:t>isa</w:t>
      </w:r>
      <w:r w:rsidRPr="000D268C">
        <w:rPr>
          <w:rFonts w:cstheme="minorHAnsi"/>
          <w:lang w:val="en-GB"/>
        </w:rPr>
        <w:t xml:space="preserve">tion research </w:t>
      </w:r>
      <w:r w:rsidRPr="000D268C">
        <w:rPr>
          <w:rFonts w:cstheme="minorHAnsi"/>
          <w:lang w:val="en-GB"/>
        </w:rPr>
        <w:fldChar w:fldCharType="begin"/>
      </w:r>
      <w:r w:rsidR="00C82021" w:rsidRPr="000D268C">
        <w:rPr>
          <w:rFonts w:cstheme="minorHAnsi"/>
          <w:lang w:val="en-GB"/>
        </w:rPr>
        <w:instrText xml:space="preserve"> ADDIN ZOTERO_ITEM CSL_CITATION {"citationID":"JLNpQi9z","properties":{"formattedCitation":"(De Wilde et al., 2014; Koopmans &amp; Statham, 1999)","plainCitation":"(De Wilde et al., 2014; Koopmans &amp; Statham, 1999)","noteIndex":0},"citationItems":[{"id":1561,"uris":["http://zotero.org/users/1129714/items/UQUZVFFI"],"uri":["http://zotero.org/users/1129714/items/UQUZVFFI"],"itemData":{"id":1561,"type":"article-journal","abstract":"This WZB Discussion Paper documents in detail the representative claims analysis conducted within the WZB bridging project 'The Political Sociology of Cosmopolitanism and Communitarianism'. It serves as methodological background for interpreting the dataset and findings based upon it. The paper includes the aims of this empirical mod-ule in relation to the project, the sampling strategy, the codebook with descriptive statistics from the database, and the results of the intercoder reliability test. The annexes include examples of coded claims and a guide to the database, both in its more qualitative and in its fully quantitative forms.","container-title":"WZB Discussion Paper","issue":"SP IV 2014-102","source":"RePEc - IDEAS","title":"The political sociology of cosmopolitanism and communitarianism: Representative claims analysis","title-short":"The political sociology of cosmopolitanism and communitarianism","author":[{"family":"De Wilde","given":"Pieter"},{"family":"Koopmans","given":"Ruud"},{"family":"Zürn","given":"Michael"}],"accessed":{"date-parts":[["2015",2,17]]},"issued":{"date-parts":[["2014"]]}}},{"id":205,"uris":["http://zotero.org/users/1129714/items/KJXIW3D8"],"uri":["http://zotero.org/users/1129714/items/KJXIW3D8"],"itemData":{"id":205,"type":"article-journal","abstract":"Political claims analysis: Integrating protest event and political discourse approaches","container-title":"Mobilization: An International Journal","issue":"2","page":"203–21","title":"Political claims analysis: Integrating protest event and political discourse approaches","title-short":"Political claims analysis","volume":"4","author":[{"family":"Koopmans","given":"Ruud"},{"family":"Statham","given":"Paul"}],"issued":{"date-parts":[["1999"]]}}}],"schema":"https://github.com/citation-style-language/schema/raw/master/csl-citation.json"} </w:instrText>
      </w:r>
      <w:r w:rsidRPr="000D268C">
        <w:rPr>
          <w:rFonts w:cstheme="minorHAnsi"/>
          <w:lang w:val="en-GB"/>
        </w:rPr>
        <w:fldChar w:fldCharType="separate"/>
      </w:r>
      <w:r w:rsidR="000A5639" w:rsidRPr="000D268C">
        <w:rPr>
          <w:rFonts w:cstheme="minorHAnsi"/>
          <w:noProof/>
          <w:lang w:val="en-GB"/>
        </w:rPr>
        <w:t>(De Wilde et al., 2014; Koopmans &amp; Statham, 1999)</w:t>
      </w:r>
      <w:r w:rsidRPr="000D268C">
        <w:rPr>
          <w:rFonts w:cstheme="minorHAnsi"/>
          <w:lang w:val="en-GB"/>
        </w:rPr>
        <w:fldChar w:fldCharType="end"/>
      </w:r>
      <w:r w:rsidRPr="000D268C">
        <w:rPr>
          <w:rFonts w:cstheme="minorHAnsi"/>
          <w:lang w:val="en-GB"/>
        </w:rPr>
        <w:t>. Claim</w:t>
      </w:r>
      <w:r w:rsidR="008D101C" w:rsidRPr="000D268C">
        <w:rPr>
          <w:rFonts w:cstheme="minorHAnsi"/>
          <w:lang w:val="en-GB"/>
        </w:rPr>
        <w:t>s</w:t>
      </w:r>
      <w:r w:rsidRPr="000D268C">
        <w:rPr>
          <w:rFonts w:cstheme="minorHAnsi"/>
          <w:lang w:val="en-GB"/>
        </w:rPr>
        <w:t xml:space="preserve"> analysis is a form of qualitative content analysis which links actors to discourse: in a </w:t>
      </w:r>
      <w:r w:rsidR="00720ABA" w:rsidRPr="000D268C">
        <w:rPr>
          <w:rFonts w:cstheme="minorHAnsi"/>
          <w:lang w:val="en-GB"/>
        </w:rPr>
        <w:t>legislative oversight</w:t>
      </w:r>
      <w:r w:rsidRPr="000D268C">
        <w:rPr>
          <w:rFonts w:cstheme="minorHAnsi"/>
          <w:lang w:val="en-GB"/>
        </w:rPr>
        <w:t xml:space="preserve"> context, it allows the researcher to connect legislative and executive actors with the content of their interactions. Each time an actor asks a question or provides an answer, their claims are coded with variables inspired by the theoretical apparatus of the research programme (Figure 1 in the manuscript). </w:t>
      </w:r>
    </w:p>
    <w:p w14:paraId="7B25B9E4" w14:textId="0D9197F7" w:rsidR="00F813C3" w:rsidRPr="000D268C" w:rsidRDefault="00F813C3" w:rsidP="002C54BF">
      <w:pPr>
        <w:spacing w:line="480" w:lineRule="auto"/>
        <w:ind w:firstLine="720"/>
        <w:jc w:val="both"/>
        <w:rPr>
          <w:rFonts w:cstheme="minorHAnsi"/>
          <w:lang w:val="en-GB"/>
        </w:rPr>
      </w:pPr>
      <w:r w:rsidRPr="000D268C">
        <w:rPr>
          <w:rFonts w:cstheme="minorHAnsi"/>
          <w:lang w:val="en-GB"/>
        </w:rPr>
        <w:t xml:space="preserve">Accordingly, the claim analysis approach to </w:t>
      </w:r>
      <w:r w:rsidR="00720ABA" w:rsidRPr="000D268C">
        <w:rPr>
          <w:rFonts w:cstheme="minorHAnsi"/>
          <w:lang w:val="en-GB"/>
        </w:rPr>
        <w:t>legislative oversight</w:t>
      </w:r>
      <w:r w:rsidRPr="000D268C">
        <w:rPr>
          <w:rFonts w:cstheme="minorHAnsi"/>
          <w:lang w:val="en-GB"/>
        </w:rPr>
        <w:t xml:space="preserve"> directs attention to variables related to context, claimants, addressees, issues, and positions identified for I) initial questions, II) replies, and III) follow-ups, as envisaged in Figure 1. The table below provides a general overview of the core variables employed, which are detailed in the next pages.</w:t>
      </w:r>
    </w:p>
    <w:tbl>
      <w:tblPr>
        <w:tblStyle w:val="GridTable5Dark-Accent3"/>
        <w:tblW w:w="0" w:type="auto"/>
        <w:tblBorders>
          <w:insideH w:val="single" w:sz="4" w:space="0" w:color="auto"/>
          <w:insideV w:val="single" w:sz="4" w:space="0" w:color="auto"/>
        </w:tblBorders>
        <w:shd w:val="clear" w:color="auto" w:fill="BFBFBF" w:themeFill="background1" w:themeFillShade="BF"/>
        <w:tblLook w:val="04A0" w:firstRow="1" w:lastRow="0" w:firstColumn="1" w:lastColumn="0" w:noHBand="0" w:noVBand="1"/>
      </w:tblPr>
      <w:tblGrid>
        <w:gridCol w:w="3539"/>
        <w:gridCol w:w="5517"/>
      </w:tblGrid>
      <w:tr w:rsidR="002C54BF" w:rsidRPr="000D268C" w14:paraId="1F3C328E" w14:textId="77777777" w:rsidTr="00F813C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shd w:val="clear" w:color="auto" w:fill="D9D9D9" w:themeFill="background1" w:themeFillShade="D9"/>
          </w:tcPr>
          <w:p w14:paraId="7159516B" w14:textId="77777777" w:rsidR="00F813C3" w:rsidRPr="000D268C" w:rsidRDefault="00F813C3" w:rsidP="002C54BF">
            <w:pPr>
              <w:rPr>
                <w:rFonts w:cstheme="minorHAnsi"/>
                <w:b w:val="0"/>
                <w:bCs w:val="0"/>
                <w:i/>
                <w:iCs/>
                <w:color w:val="auto"/>
                <w:lang w:val="en-GB"/>
              </w:rPr>
            </w:pPr>
            <w:r w:rsidRPr="000D268C">
              <w:rPr>
                <w:rFonts w:cstheme="minorHAnsi"/>
                <w:i/>
                <w:iCs/>
                <w:color w:val="auto"/>
                <w:lang w:val="en-GB"/>
              </w:rPr>
              <w:t>Claim aspect</w:t>
            </w:r>
          </w:p>
        </w:tc>
        <w:tc>
          <w:tcPr>
            <w:tcW w:w="5517" w:type="dxa"/>
            <w:shd w:val="clear" w:color="auto" w:fill="D9D9D9" w:themeFill="background1" w:themeFillShade="D9"/>
          </w:tcPr>
          <w:p w14:paraId="0A955DCD" w14:textId="77777777" w:rsidR="00F813C3" w:rsidRPr="000D268C" w:rsidRDefault="00F813C3" w:rsidP="002C54BF">
            <w:pPr>
              <w:jc w:val="both"/>
              <w:cnfStyle w:val="100000000000" w:firstRow="1" w:lastRow="0" w:firstColumn="0" w:lastColumn="0" w:oddVBand="0" w:evenVBand="0" w:oddHBand="0" w:evenHBand="0" w:firstRowFirstColumn="0" w:firstRowLastColumn="0" w:lastRowFirstColumn="0" w:lastRowLastColumn="0"/>
              <w:rPr>
                <w:rFonts w:cstheme="minorHAnsi"/>
                <w:b w:val="0"/>
                <w:bCs w:val="0"/>
                <w:i/>
                <w:iCs/>
                <w:color w:val="auto"/>
                <w:lang w:val="en-GB"/>
              </w:rPr>
            </w:pPr>
            <w:r w:rsidRPr="000D268C">
              <w:rPr>
                <w:rFonts w:cstheme="minorHAnsi"/>
                <w:i/>
                <w:iCs/>
                <w:color w:val="auto"/>
                <w:lang w:val="en-GB"/>
              </w:rPr>
              <w:t>Core variables</w:t>
            </w:r>
          </w:p>
        </w:tc>
      </w:tr>
      <w:tr w:rsidR="00F813C3" w:rsidRPr="000D268C" w14:paraId="1A7715DC"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636C2416" w14:textId="77777777" w:rsidR="00F813C3" w:rsidRPr="000D268C" w:rsidRDefault="00F813C3" w:rsidP="002C54BF">
            <w:pPr>
              <w:rPr>
                <w:rFonts w:cstheme="minorHAnsi"/>
                <w:color w:val="auto"/>
                <w:lang w:val="en-GB"/>
              </w:rPr>
            </w:pPr>
            <w:r w:rsidRPr="000D268C">
              <w:rPr>
                <w:rFonts w:cstheme="minorHAnsi"/>
                <w:color w:val="auto"/>
                <w:lang w:val="en-GB"/>
              </w:rPr>
              <w:t>WHEN</w:t>
            </w:r>
          </w:p>
        </w:tc>
        <w:tc>
          <w:tcPr>
            <w:tcW w:w="5517" w:type="dxa"/>
            <w:shd w:val="clear" w:color="auto" w:fill="FFFFFF" w:themeFill="background1"/>
          </w:tcPr>
          <w:p w14:paraId="46B14A2A" w14:textId="77777777" w:rsidR="00F813C3" w:rsidRPr="000D268C" w:rsidRDefault="00F813C3" w:rsidP="002C54BF">
            <w:pPr>
              <w:pStyle w:val="ListParagraph"/>
              <w:numPr>
                <w:ilvl w:val="0"/>
                <w:numId w:val="17"/>
              </w:num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Year</w:t>
            </w:r>
          </w:p>
        </w:tc>
      </w:tr>
      <w:tr w:rsidR="00F813C3" w:rsidRPr="000D268C" w14:paraId="67609F08" w14:textId="77777777" w:rsidTr="00F813C3">
        <w:tc>
          <w:tcPr>
            <w:cnfStyle w:val="001000000000" w:firstRow="0" w:lastRow="0" w:firstColumn="1" w:lastColumn="0" w:oddVBand="0" w:evenVBand="0" w:oddHBand="0" w:evenHBand="0" w:firstRowFirstColumn="0" w:firstRowLastColumn="0" w:lastRowFirstColumn="0" w:lastRowLastColumn="0"/>
            <w:tcW w:w="3539" w:type="dxa"/>
            <w:shd w:val="clear" w:color="auto" w:fill="D9D9D9" w:themeFill="background1" w:themeFillShade="D9"/>
          </w:tcPr>
          <w:p w14:paraId="658E6246" w14:textId="77777777" w:rsidR="00F813C3" w:rsidRPr="000D268C" w:rsidRDefault="00F813C3" w:rsidP="002C54BF">
            <w:pPr>
              <w:rPr>
                <w:rFonts w:cstheme="minorHAnsi"/>
                <w:color w:val="auto"/>
                <w:lang w:val="en-GB"/>
              </w:rPr>
            </w:pPr>
            <w:r w:rsidRPr="000D268C">
              <w:rPr>
                <w:rFonts w:cstheme="minorHAnsi"/>
                <w:color w:val="auto"/>
                <w:lang w:val="en-GB"/>
              </w:rPr>
              <w:t>WHERE</w:t>
            </w:r>
          </w:p>
        </w:tc>
        <w:tc>
          <w:tcPr>
            <w:tcW w:w="5517" w:type="dxa"/>
            <w:shd w:val="clear" w:color="auto" w:fill="FFFFFF" w:themeFill="background1"/>
          </w:tcPr>
          <w:p w14:paraId="225D10F7" w14:textId="77777777" w:rsidR="00F813C3" w:rsidRPr="000D268C" w:rsidRDefault="00F813C3" w:rsidP="002C54BF">
            <w:pPr>
              <w:pStyle w:val="ListParagraph"/>
              <w:numPr>
                <w:ilvl w:val="0"/>
                <w:numId w:val="17"/>
              </w:num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Source</w:t>
            </w:r>
          </w:p>
        </w:tc>
      </w:tr>
      <w:tr w:rsidR="00F813C3" w:rsidRPr="000D268C" w14:paraId="40CA6581"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00C1E4CE" w14:textId="77777777" w:rsidR="00F813C3" w:rsidRPr="000D268C" w:rsidRDefault="00F813C3" w:rsidP="002C54BF">
            <w:pPr>
              <w:rPr>
                <w:rFonts w:cstheme="minorHAnsi"/>
                <w:color w:val="auto"/>
                <w:lang w:val="en-GB"/>
              </w:rPr>
            </w:pPr>
            <w:r w:rsidRPr="000D268C">
              <w:rPr>
                <w:rFonts w:cstheme="minorHAnsi"/>
                <w:color w:val="auto"/>
                <w:lang w:val="en-GB"/>
              </w:rPr>
              <w:t>WHO is making the claim?</w:t>
            </w:r>
          </w:p>
        </w:tc>
        <w:tc>
          <w:tcPr>
            <w:tcW w:w="5517" w:type="dxa"/>
            <w:shd w:val="clear" w:color="auto" w:fill="FFFFFF" w:themeFill="background1"/>
          </w:tcPr>
          <w:p w14:paraId="29735FB8" w14:textId="77777777" w:rsidR="00F813C3" w:rsidRPr="000D268C" w:rsidRDefault="00F813C3" w:rsidP="002C54BF">
            <w:pPr>
              <w:pStyle w:val="ListParagraph"/>
              <w:numPr>
                <w:ilvl w:val="0"/>
                <w:numId w:val="6"/>
              </w:num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 xml:space="preserve">Claimant function </w:t>
            </w:r>
          </w:p>
          <w:p w14:paraId="4A2BE81E" w14:textId="77777777" w:rsidR="00F813C3" w:rsidRPr="000D268C" w:rsidRDefault="00F813C3" w:rsidP="002C54BF">
            <w:pPr>
              <w:pStyle w:val="ListParagraph"/>
              <w:numPr>
                <w:ilvl w:val="0"/>
                <w:numId w:val="5"/>
              </w:num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 xml:space="preserve">Claimant nationality </w:t>
            </w:r>
          </w:p>
          <w:p w14:paraId="117496D0" w14:textId="77777777" w:rsidR="00F813C3" w:rsidRPr="000D268C" w:rsidRDefault="00F813C3" w:rsidP="002C54BF">
            <w:pPr>
              <w:pStyle w:val="ListParagraph"/>
              <w:numPr>
                <w:ilvl w:val="0"/>
                <w:numId w:val="5"/>
              </w:num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Claimant party</w:t>
            </w:r>
          </w:p>
        </w:tc>
      </w:tr>
      <w:tr w:rsidR="00F813C3" w:rsidRPr="000D268C" w14:paraId="30F6F7B1" w14:textId="77777777" w:rsidTr="00F813C3">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2FA4EBB1" w14:textId="77777777" w:rsidR="00F813C3" w:rsidRPr="000D268C" w:rsidRDefault="00F813C3" w:rsidP="002C54BF">
            <w:pPr>
              <w:rPr>
                <w:rFonts w:cstheme="minorHAnsi"/>
                <w:color w:val="auto"/>
                <w:lang w:val="en-GB"/>
              </w:rPr>
            </w:pPr>
            <w:r w:rsidRPr="000D268C">
              <w:rPr>
                <w:rFonts w:cstheme="minorHAnsi"/>
                <w:color w:val="auto"/>
                <w:lang w:val="en-GB"/>
              </w:rPr>
              <w:t>To WHOM is the claim addressed?</w:t>
            </w:r>
          </w:p>
        </w:tc>
        <w:tc>
          <w:tcPr>
            <w:tcW w:w="5517" w:type="dxa"/>
            <w:shd w:val="clear" w:color="auto" w:fill="FFFFFF" w:themeFill="background1"/>
          </w:tcPr>
          <w:p w14:paraId="64F2B95E" w14:textId="77777777" w:rsidR="00F813C3" w:rsidRPr="000D268C" w:rsidRDefault="00F813C3" w:rsidP="002C54BF">
            <w:pPr>
              <w:pStyle w:val="ListParagraph"/>
              <w:numPr>
                <w:ilvl w:val="0"/>
                <w:numId w:val="11"/>
              </w:num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 xml:space="preserve">Addressee function </w:t>
            </w:r>
          </w:p>
          <w:p w14:paraId="4EBE43B5" w14:textId="77777777" w:rsidR="00F813C3" w:rsidRPr="000D268C" w:rsidRDefault="00F813C3" w:rsidP="002C54BF">
            <w:pPr>
              <w:pStyle w:val="ListParagraph"/>
              <w:numPr>
                <w:ilvl w:val="0"/>
                <w:numId w:val="4"/>
              </w:num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Addressee nationality</w:t>
            </w:r>
          </w:p>
          <w:p w14:paraId="74385A8E" w14:textId="77777777" w:rsidR="00F813C3" w:rsidRPr="000D268C" w:rsidRDefault="00F813C3" w:rsidP="002C54BF">
            <w:pPr>
              <w:pStyle w:val="ListParagraph"/>
              <w:numPr>
                <w:ilvl w:val="0"/>
                <w:numId w:val="4"/>
              </w:num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 xml:space="preserve">Addressee party </w:t>
            </w:r>
          </w:p>
        </w:tc>
      </w:tr>
      <w:tr w:rsidR="00F813C3" w:rsidRPr="000D268C" w14:paraId="3E2F1300"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0D890FC1" w14:textId="77777777" w:rsidR="00F813C3" w:rsidRPr="000D268C" w:rsidRDefault="00F813C3" w:rsidP="002C54BF">
            <w:pPr>
              <w:rPr>
                <w:rFonts w:cstheme="minorHAnsi"/>
                <w:color w:val="auto"/>
                <w:lang w:val="en-GB"/>
              </w:rPr>
            </w:pPr>
            <w:r w:rsidRPr="000D268C">
              <w:rPr>
                <w:rFonts w:cstheme="minorHAnsi"/>
                <w:color w:val="auto"/>
                <w:lang w:val="en-GB"/>
              </w:rPr>
              <w:t>To WHICH issue does the claim refer?</w:t>
            </w:r>
          </w:p>
          <w:p w14:paraId="5E2E1968" w14:textId="77777777" w:rsidR="00F813C3" w:rsidRPr="000D268C" w:rsidRDefault="00F813C3" w:rsidP="002C54BF">
            <w:pPr>
              <w:rPr>
                <w:rFonts w:cstheme="minorHAnsi"/>
                <w:color w:val="auto"/>
                <w:lang w:val="en-GB"/>
              </w:rPr>
            </w:pPr>
          </w:p>
        </w:tc>
        <w:tc>
          <w:tcPr>
            <w:tcW w:w="5517" w:type="dxa"/>
            <w:shd w:val="clear" w:color="auto" w:fill="FFFFFF" w:themeFill="background1"/>
          </w:tcPr>
          <w:p w14:paraId="299190C3" w14:textId="77777777" w:rsidR="00F813C3" w:rsidRPr="000D268C" w:rsidRDefault="00F813C3" w:rsidP="002C54BF">
            <w:pPr>
              <w:pStyle w:val="ListParagraph"/>
              <w:numPr>
                <w:ilvl w:val="0"/>
                <w:numId w:val="3"/>
              </w:num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Issue type</w:t>
            </w:r>
          </w:p>
          <w:p w14:paraId="506B447B"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(dependent on policy area)</w:t>
            </w:r>
          </w:p>
        </w:tc>
      </w:tr>
      <w:tr w:rsidR="00F813C3" w:rsidRPr="000D268C" w14:paraId="1CABA3B3" w14:textId="77777777" w:rsidTr="00F813C3">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2EF8CB8E" w14:textId="77777777" w:rsidR="00F813C3" w:rsidRPr="000D268C" w:rsidRDefault="00F813C3" w:rsidP="002C54BF">
            <w:pPr>
              <w:rPr>
                <w:rFonts w:cstheme="minorHAnsi"/>
                <w:color w:val="auto"/>
                <w:lang w:val="en-GB"/>
              </w:rPr>
            </w:pPr>
            <w:r w:rsidRPr="000D268C">
              <w:rPr>
                <w:rFonts w:cstheme="minorHAnsi"/>
                <w:color w:val="auto"/>
                <w:lang w:val="en-GB"/>
              </w:rPr>
              <w:lastRenderedPageBreak/>
              <w:t>WHAT is the claimant demanding? (initial question by legislative actor)</w:t>
            </w:r>
          </w:p>
        </w:tc>
        <w:tc>
          <w:tcPr>
            <w:tcW w:w="5517" w:type="dxa"/>
            <w:shd w:val="clear" w:color="auto" w:fill="FFFFFF" w:themeFill="background1"/>
          </w:tcPr>
          <w:p w14:paraId="19A5D749" w14:textId="77777777" w:rsidR="00F813C3" w:rsidRPr="000D268C" w:rsidRDefault="00F813C3" w:rsidP="002C54BF">
            <w:pPr>
              <w:pStyle w:val="ListParagraph"/>
              <w:numPr>
                <w:ilvl w:val="0"/>
                <w:numId w:val="3"/>
              </w:num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 xml:space="preserve">A. Demand information  </w:t>
            </w:r>
          </w:p>
          <w:p w14:paraId="0A40D70D" w14:textId="77777777" w:rsidR="00F813C3" w:rsidRPr="000D268C" w:rsidRDefault="00F813C3" w:rsidP="002C54BF">
            <w:pPr>
              <w:pStyle w:val="ListParagraph"/>
              <w:numPr>
                <w:ilvl w:val="0"/>
                <w:numId w:val="3"/>
              </w:num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 xml:space="preserve">B. Demand justification of conduct  </w:t>
            </w:r>
          </w:p>
          <w:p w14:paraId="7486C4CB" w14:textId="77777777" w:rsidR="00F813C3" w:rsidRPr="000D268C" w:rsidRDefault="00F813C3" w:rsidP="002C54BF">
            <w:pPr>
              <w:pStyle w:val="ListParagraph"/>
              <w:numPr>
                <w:ilvl w:val="0"/>
                <w:numId w:val="3"/>
              </w:num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 xml:space="preserve">C. Demand change of conduct  </w:t>
            </w:r>
          </w:p>
          <w:p w14:paraId="71388CFD" w14:textId="77777777" w:rsidR="00F813C3" w:rsidRPr="000D268C" w:rsidRDefault="00F813C3" w:rsidP="002C54BF">
            <w:pPr>
              <w:pStyle w:val="ListParagraph"/>
              <w:numPr>
                <w:ilvl w:val="0"/>
                <w:numId w:val="3"/>
              </w:num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D. Demand sanctions for actors</w:t>
            </w:r>
          </w:p>
          <w:p w14:paraId="2185BFD2" w14:textId="77777777" w:rsidR="00F813C3" w:rsidRPr="000D268C" w:rsidRDefault="00F813C3" w:rsidP="002C54BF">
            <w:pPr>
              <w:pStyle w:val="ListParagraph"/>
              <w:ind w:left="36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p w14:paraId="231CA326" w14:textId="77777777" w:rsidR="00F813C3" w:rsidRPr="000D268C" w:rsidRDefault="00F813C3" w:rsidP="002C54BF">
            <w:pPr>
              <w:pStyle w:val="ListParagraph"/>
              <w:numPr>
                <w:ilvl w:val="0"/>
                <w:numId w:val="3"/>
              </w:numPr>
              <w:jc w:val="both"/>
              <w:cnfStyle w:val="000000000000" w:firstRow="0" w:lastRow="0" w:firstColumn="0" w:lastColumn="0" w:oddVBand="0" w:evenVBand="0" w:oddHBand="0" w:evenHBand="0" w:firstRowFirstColumn="0" w:firstRowLastColumn="0" w:lastRowFirstColumn="0" w:lastRowLastColumn="0"/>
              <w:rPr>
                <w:rFonts w:cstheme="minorHAnsi"/>
                <w:i/>
                <w:iCs/>
                <w:lang w:val="en-GB"/>
              </w:rPr>
            </w:pPr>
            <w:r w:rsidRPr="000D268C">
              <w:rPr>
                <w:rFonts w:cstheme="minorHAnsi"/>
                <w:lang w:val="en-GB"/>
              </w:rPr>
              <w:t xml:space="preserve">E. Demand policy views </w:t>
            </w:r>
            <w:r w:rsidRPr="000D268C">
              <w:rPr>
                <w:rFonts w:cstheme="minorHAnsi"/>
                <w:i/>
                <w:iCs/>
                <w:lang w:val="en-GB"/>
              </w:rPr>
              <w:t>(additional category, irrelevant for oversight)</w:t>
            </w:r>
          </w:p>
        </w:tc>
      </w:tr>
      <w:tr w:rsidR="00F813C3" w:rsidRPr="000D268C" w14:paraId="4F9AF96B"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7FB3DB05" w14:textId="77777777" w:rsidR="00F813C3" w:rsidRPr="000D268C" w:rsidRDefault="00F813C3" w:rsidP="002C54BF">
            <w:pPr>
              <w:rPr>
                <w:rFonts w:cstheme="minorHAnsi"/>
                <w:color w:val="auto"/>
                <w:lang w:val="en-GB"/>
              </w:rPr>
            </w:pPr>
            <w:r w:rsidRPr="000D268C">
              <w:rPr>
                <w:rFonts w:cstheme="minorHAnsi"/>
                <w:color w:val="auto"/>
                <w:lang w:val="en-GB"/>
              </w:rPr>
              <w:t>HOW is the addressee responding? (response from executive actor)</w:t>
            </w:r>
          </w:p>
        </w:tc>
        <w:tc>
          <w:tcPr>
            <w:tcW w:w="5517" w:type="dxa"/>
            <w:shd w:val="clear" w:color="auto" w:fill="FFFFFF" w:themeFill="background1"/>
          </w:tcPr>
          <w:p w14:paraId="31E65C95" w14:textId="77777777" w:rsidR="00F813C3" w:rsidRPr="000D268C" w:rsidRDefault="00F813C3" w:rsidP="002C54BF">
            <w:pPr>
              <w:pStyle w:val="ListParagraph"/>
              <w:numPr>
                <w:ilvl w:val="0"/>
                <w:numId w:val="8"/>
              </w:num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 xml:space="preserve">Explicit </w:t>
            </w:r>
            <w:proofErr w:type="spellStart"/>
            <w:r w:rsidRPr="000D268C">
              <w:rPr>
                <w:rFonts w:cstheme="minorHAnsi"/>
                <w:lang w:val="en-GB"/>
              </w:rPr>
              <w:t>reply_Full</w:t>
            </w:r>
            <w:proofErr w:type="spellEnd"/>
            <w:r w:rsidRPr="000D268C">
              <w:rPr>
                <w:rFonts w:cstheme="minorHAnsi"/>
                <w:lang w:val="en-GB"/>
              </w:rPr>
              <w:t xml:space="preserve"> </w:t>
            </w:r>
            <w:proofErr w:type="spellStart"/>
            <w:r w:rsidRPr="000D268C">
              <w:rPr>
                <w:rFonts w:cstheme="minorHAnsi"/>
                <w:lang w:val="en-GB"/>
              </w:rPr>
              <w:t>answer_A.B.C.D.E</w:t>
            </w:r>
            <w:proofErr w:type="spellEnd"/>
            <w:r w:rsidRPr="000D268C">
              <w:rPr>
                <w:rFonts w:cstheme="minorHAnsi"/>
                <w:lang w:val="en-GB"/>
              </w:rPr>
              <w:t>.</w:t>
            </w:r>
          </w:p>
          <w:p w14:paraId="6D7A8D14" w14:textId="77777777" w:rsidR="00F813C3" w:rsidRPr="000D268C" w:rsidRDefault="00F813C3" w:rsidP="002C54BF">
            <w:pPr>
              <w:pStyle w:val="ListParagraph"/>
              <w:ind w:left="36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p w14:paraId="11832703" w14:textId="77777777" w:rsidR="00F813C3" w:rsidRPr="000D268C" w:rsidRDefault="00F813C3" w:rsidP="002C54BF">
            <w:pPr>
              <w:pStyle w:val="ListParagraph"/>
              <w:numPr>
                <w:ilvl w:val="0"/>
                <w:numId w:val="8"/>
              </w:num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Non-</w:t>
            </w:r>
            <w:proofErr w:type="spellStart"/>
            <w:r w:rsidRPr="000D268C">
              <w:rPr>
                <w:rFonts w:cstheme="minorHAnsi"/>
                <w:lang w:val="en-GB"/>
              </w:rPr>
              <w:t>reply_Equivocation_A.B.C.</w:t>
            </w:r>
            <w:proofErr w:type="gramStart"/>
            <w:r w:rsidRPr="000D268C">
              <w:rPr>
                <w:rFonts w:cstheme="minorHAnsi"/>
                <w:lang w:val="en-GB"/>
              </w:rPr>
              <w:t>D.E</w:t>
            </w:r>
            <w:proofErr w:type="spellEnd"/>
            <w:proofErr w:type="gramEnd"/>
          </w:p>
          <w:p w14:paraId="6F7C638C" w14:textId="77777777" w:rsidR="00F813C3" w:rsidRPr="000D268C" w:rsidRDefault="00F813C3" w:rsidP="002C54BF">
            <w:pPr>
              <w:pStyle w:val="ListParagraph"/>
              <w:numPr>
                <w:ilvl w:val="0"/>
                <w:numId w:val="8"/>
              </w:num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Non-</w:t>
            </w:r>
            <w:proofErr w:type="spellStart"/>
            <w:r w:rsidRPr="000D268C">
              <w:rPr>
                <w:rFonts w:cstheme="minorHAnsi"/>
                <w:lang w:val="en-GB"/>
              </w:rPr>
              <w:t>reply_Refuse</w:t>
            </w:r>
            <w:proofErr w:type="spellEnd"/>
            <w:r w:rsidRPr="000D268C">
              <w:rPr>
                <w:rFonts w:cstheme="minorHAnsi"/>
                <w:lang w:val="en-GB"/>
              </w:rPr>
              <w:t xml:space="preserve"> to answer +</w:t>
            </w:r>
            <w:proofErr w:type="spellStart"/>
            <w:r w:rsidRPr="000D268C">
              <w:rPr>
                <w:rFonts w:cstheme="minorHAnsi"/>
                <w:lang w:val="en-GB"/>
              </w:rPr>
              <w:t>reasoning_A.B.C.</w:t>
            </w:r>
            <w:proofErr w:type="gramStart"/>
            <w:r w:rsidRPr="000D268C">
              <w:rPr>
                <w:rFonts w:cstheme="minorHAnsi"/>
                <w:lang w:val="en-GB"/>
              </w:rPr>
              <w:t>D.E</w:t>
            </w:r>
            <w:proofErr w:type="spellEnd"/>
            <w:proofErr w:type="gramEnd"/>
          </w:p>
          <w:p w14:paraId="1203DA50" w14:textId="77777777" w:rsidR="00F813C3" w:rsidRPr="000D268C" w:rsidRDefault="00F813C3" w:rsidP="002C54BF">
            <w:pPr>
              <w:pStyle w:val="ListParagraph"/>
              <w:ind w:left="36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p w14:paraId="38DAEAA2" w14:textId="77777777" w:rsidR="00F813C3" w:rsidRPr="000D268C" w:rsidRDefault="00F813C3" w:rsidP="002C54BF">
            <w:pPr>
              <w:pStyle w:val="ListParagraph"/>
              <w:numPr>
                <w:ilvl w:val="0"/>
                <w:numId w:val="8"/>
              </w:num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 xml:space="preserve">Intermediate </w:t>
            </w:r>
            <w:proofErr w:type="spellStart"/>
            <w:r w:rsidRPr="000D268C">
              <w:rPr>
                <w:rFonts w:cstheme="minorHAnsi"/>
                <w:lang w:val="en-GB"/>
              </w:rPr>
              <w:t>reply_Partial</w:t>
            </w:r>
            <w:proofErr w:type="spellEnd"/>
            <w:r w:rsidRPr="000D268C">
              <w:rPr>
                <w:rFonts w:cstheme="minorHAnsi"/>
                <w:lang w:val="en-GB"/>
              </w:rPr>
              <w:t xml:space="preserve"> </w:t>
            </w:r>
            <w:proofErr w:type="spellStart"/>
            <w:r w:rsidRPr="000D268C">
              <w:rPr>
                <w:rFonts w:cstheme="minorHAnsi"/>
                <w:lang w:val="en-GB"/>
              </w:rPr>
              <w:t>answer_A.B.C.D.E</w:t>
            </w:r>
            <w:proofErr w:type="spellEnd"/>
            <w:r w:rsidRPr="000D268C">
              <w:rPr>
                <w:rFonts w:cstheme="minorHAnsi"/>
                <w:lang w:val="en-GB"/>
              </w:rPr>
              <w:t>.</w:t>
            </w:r>
          </w:p>
          <w:p w14:paraId="41680BD6" w14:textId="77777777" w:rsidR="00F813C3" w:rsidRPr="000D268C" w:rsidRDefault="00F813C3" w:rsidP="002C54BF">
            <w:pPr>
              <w:pStyle w:val="ListParagraph"/>
              <w:numPr>
                <w:ilvl w:val="0"/>
                <w:numId w:val="8"/>
              </w:num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 xml:space="preserve">Intermediate </w:t>
            </w:r>
            <w:proofErr w:type="spellStart"/>
            <w:r w:rsidRPr="000D268C">
              <w:rPr>
                <w:rFonts w:cstheme="minorHAnsi"/>
                <w:lang w:val="en-GB"/>
              </w:rPr>
              <w:t>reply_Refer</w:t>
            </w:r>
            <w:proofErr w:type="spellEnd"/>
            <w:r w:rsidRPr="000D268C">
              <w:rPr>
                <w:rFonts w:cstheme="minorHAnsi"/>
                <w:lang w:val="en-GB"/>
              </w:rPr>
              <w:t xml:space="preserve"> to another actor deemed </w:t>
            </w:r>
            <w:proofErr w:type="spellStart"/>
            <w:r w:rsidRPr="000D268C">
              <w:rPr>
                <w:rFonts w:cstheme="minorHAnsi"/>
                <w:lang w:val="en-GB"/>
              </w:rPr>
              <w:t>responsible_A.B.C.D.E</w:t>
            </w:r>
            <w:proofErr w:type="spellEnd"/>
            <w:r w:rsidRPr="000D268C">
              <w:rPr>
                <w:rFonts w:cstheme="minorHAnsi"/>
                <w:lang w:val="en-GB"/>
              </w:rPr>
              <w:t>.</w:t>
            </w:r>
          </w:p>
        </w:tc>
      </w:tr>
      <w:tr w:rsidR="00F813C3" w:rsidRPr="000D268C" w14:paraId="23342859" w14:textId="77777777" w:rsidTr="00F813C3">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075F4E33" w14:textId="77777777" w:rsidR="00F813C3" w:rsidRPr="000D268C" w:rsidRDefault="00F813C3" w:rsidP="002C54BF">
            <w:pPr>
              <w:rPr>
                <w:rFonts w:cstheme="minorHAnsi"/>
                <w:color w:val="auto"/>
                <w:lang w:val="en-GB"/>
              </w:rPr>
            </w:pPr>
            <w:r w:rsidRPr="000D268C">
              <w:rPr>
                <w:rFonts w:cstheme="minorHAnsi"/>
                <w:color w:val="auto"/>
                <w:lang w:val="en-GB"/>
              </w:rPr>
              <w:t>IS THERE a follow-up?</w:t>
            </w:r>
          </w:p>
          <w:p w14:paraId="6E47A336" w14:textId="77777777" w:rsidR="00F813C3" w:rsidRPr="000D268C" w:rsidRDefault="00F813C3" w:rsidP="002C54BF">
            <w:pPr>
              <w:rPr>
                <w:rFonts w:cstheme="minorHAnsi"/>
                <w:color w:val="auto"/>
                <w:lang w:val="en-GB"/>
              </w:rPr>
            </w:pPr>
            <w:r w:rsidRPr="000D268C">
              <w:rPr>
                <w:rFonts w:cstheme="minorHAnsi"/>
                <w:color w:val="auto"/>
                <w:lang w:val="en-GB"/>
              </w:rPr>
              <w:t>(by the legislative actor)</w:t>
            </w:r>
          </w:p>
        </w:tc>
        <w:tc>
          <w:tcPr>
            <w:tcW w:w="5517" w:type="dxa"/>
            <w:shd w:val="clear" w:color="auto" w:fill="FFFFFF" w:themeFill="background1"/>
          </w:tcPr>
          <w:p w14:paraId="4D4D40A8" w14:textId="77777777"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The absence of follow-up questions is a negative, so it cannot be demonstrated via the presence of claims. It thus makes more sense to count the overall instances of ‘observable’ follow-ups rather than try to trace the ‘unobservable’ lack of follow-up.</w:t>
            </w:r>
          </w:p>
          <w:p w14:paraId="27B6588E" w14:textId="77777777"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p w14:paraId="19700C2A" w14:textId="77777777" w:rsidR="00F813C3" w:rsidRPr="000D268C" w:rsidRDefault="00F813C3" w:rsidP="002C54BF">
            <w:pPr>
              <w:pStyle w:val="ListParagraph"/>
              <w:numPr>
                <w:ilvl w:val="0"/>
                <w:numId w:val="16"/>
              </w:num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Follow-</w:t>
            </w:r>
            <w:proofErr w:type="spellStart"/>
            <w:r w:rsidRPr="000D268C">
              <w:rPr>
                <w:rFonts w:cstheme="minorHAnsi"/>
                <w:lang w:val="en-GB"/>
              </w:rPr>
              <w:t>up_Continue_A</w:t>
            </w:r>
            <w:proofErr w:type="spellEnd"/>
            <w:r w:rsidRPr="000D268C">
              <w:rPr>
                <w:rFonts w:cstheme="minorHAnsi"/>
                <w:lang w:val="en-GB"/>
              </w:rPr>
              <w:t>. demands for information</w:t>
            </w:r>
          </w:p>
          <w:p w14:paraId="7A8F7328" w14:textId="77777777" w:rsidR="00F813C3" w:rsidRPr="000D268C" w:rsidRDefault="00F813C3" w:rsidP="002C54BF">
            <w:pPr>
              <w:pStyle w:val="ListParagraph"/>
              <w:numPr>
                <w:ilvl w:val="0"/>
                <w:numId w:val="16"/>
              </w:num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Follow-</w:t>
            </w:r>
            <w:proofErr w:type="spellStart"/>
            <w:r w:rsidRPr="000D268C">
              <w:rPr>
                <w:rFonts w:cstheme="minorHAnsi"/>
                <w:lang w:val="en-GB"/>
              </w:rPr>
              <w:t>up_Continue_B</w:t>
            </w:r>
            <w:proofErr w:type="spellEnd"/>
            <w:r w:rsidRPr="000D268C">
              <w:rPr>
                <w:rFonts w:cstheme="minorHAnsi"/>
                <w:lang w:val="en-GB"/>
              </w:rPr>
              <w:t>. demands for justification</w:t>
            </w:r>
          </w:p>
          <w:p w14:paraId="6C41C5CE" w14:textId="77777777" w:rsidR="00F813C3" w:rsidRPr="000D268C" w:rsidRDefault="00F813C3" w:rsidP="002C54BF">
            <w:pPr>
              <w:pStyle w:val="ListParagraph"/>
              <w:numPr>
                <w:ilvl w:val="0"/>
                <w:numId w:val="16"/>
              </w:num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Follow-</w:t>
            </w:r>
            <w:proofErr w:type="spellStart"/>
            <w:r w:rsidRPr="000D268C">
              <w:rPr>
                <w:rFonts w:cstheme="minorHAnsi"/>
                <w:lang w:val="en-GB"/>
              </w:rPr>
              <w:t>up_Continue_C</w:t>
            </w:r>
            <w:proofErr w:type="spellEnd"/>
            <w:r w:rsidRPr="000D268C">
              <w:rPr>
                <w:rFonts w:cstheme="minorHAnsi"/>
                <w:lang w:val="en-GB"/>
              </w:rPr>
              <w:t xml:space="preserve">. demands for change  </w:t>
            </w:r>
          </w:p>
          <w:p w14:paraId="324E6ED7" w14:textId="77777777" w:rsidR="00F813C3" w:rsidRPr="000D268C" w:rsidRDefault="00F813C3" w:rsidP="002C54BF">
            <w:pPr>
              <w:pStyle w:val="ListParagraph"/>
              <w:numPr>
                <w:ilvl w:val="0"/>
                <w:numId w:val="16"/>
              </w:num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Follow-</w:t>
            </w:r>
            <w:proofErr w:type="spellStart"/>
            <w:r w:rsidRPr="000D268C">
              <w:rPr>
                <w:rFonts w:cstheme="minorHAnsi"/>
                <w:lang w:val="en-GB"/>
              </w:rPr>
              <w:t>up_Continue_D</w:t>
            </w:r>
            <w:proofErr w:type="spellEnd"/>
            <w:r w:rsidRPr="000D268C">
              <w:rPr>
                <w:rFonts w:cstheme="minorHAnsi"/>
                <w:lang w:val="en-GB"/>
              </w:rPr>
              <w:t xml:space="preserve">. demands for sanctions </w:t>
            </w:r>
          </w:p>
          <w:p w14:paraId="05FF0374" w14:textId="77777777" w:rsidR="00F813C3" w:rsidRPr="000D268C" w:rsidRDefault="00F813C3" w:rsidP="002C54BF">
            <w:pPr>
              <w:pStyle w:val="ListParagraph"/>
              <w:numPr>
                <w:ilvl w:val="0"/>
                <w:numId w:val="16"/>
              </w:num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Follow-</w:t>
            </w:r>
            <w:proofErr w:type="spellStart"/>
            <w:r w:rsidRPr="000D268C">
              <w:rPr>
                <w:rFonts w:cstheme="minorHAnsi"/>
                <w:lang w:val="en-GB"/>
              </w:rPr>
              <w:t>up_Continue_E</w:t>
            </w:r>
            <w:proofErr w:type="spellEnd"/>
            <w:r w:rsidRPr="000D268C">
              <w:rPr>
                <w:rFonts w:cstheme="minorHAnsi"/>
                <w:lang w:val="en-GB"/>
              </w:rPr>
              <w:t>. demands for policy views</w:t>
            </w:r>
          </w:p>
        </w:tc>
      </w:tr>
    </w:tbl>
    <w:p w14:paraId="22FCA272" w14:textId="183D02FE" w:rsidR="00F813C3" w:rsidRPr="000D268C" w:rsidRDefault="00F813C3" w:rsidP="002C54BF">
      <w:pPr>
        <w:spacing w:line="480" w:lineRule="auto"/>
        <w:jc w:val="both"/>
        <w:rPr>
          <w:rFonts w:cstheme="minorHAnsi"/>
          <w:lang w:val="en-GB"/>
        </w:rPr>
      </w:pPr>
    </w:p>
    <w:p w14:paraId="50F0A729" w14:textId="32BF79D5" w:rsidR="00F813C3" w:rsidRPr="000D268C" w:rsidRDefault="00F813C3" w:rsidP="002C54BF">
      <w:pPr>
        <w:pStyle w:val="Heading3"/>
        <w:numPr>
          <w:ilvl w:val="0"/>
          <w:numId w:val="23"/>
        </w:numPr>
        <w:spacing w:line="480" w:lineRule="auto"/>
        <w:rPr>
          <w:rFonts w:asciiTheme="minorHAnsi" w:hAnsiTheme="minorHAnsi" w:cstheme="minorHAnsi"/>
          <w:color w:val="auto"/>
          <w:lang w:val="en-GB"/>
        </w:rPr>
      </w:pPr>
      <w:bookmarkStart w:id="7" w:name="_Toc45885400"/>
      <w:r w:rsidRPr="000D268C">
        <w:rPr>
          <w:rFonts w:asciiTheme="minorHAnsi" w:hAnsiTheme="minorHAnsi" w:cstheme="minorHAnsi"/>
          <w:color w:val="auto"/>
          <w:lang w:val="en-GB"/>
        </w:rPr>
        <w:t>Year</w:t>
      </w:r>
      <w:bookmarkEnd w:id="7"/>
    </w:p>
    <w:p w14:paraId="3B49AF21" w14:textId="2BF8D754" w:rsidR="00F813C3" w:rsidRPr="000D268C" w:rsidRDefault="00F813C3" w:rsidP="002C54BF">
      <w:pPr>
        <w:spacing w:line="480" w:lineRule="auto"/>
        <w:jc w:val="both"/>
        <w:rPr>
          <w:rFonts w:cstheme="minorHAnsi"/>
          <w:lang w:val="en-GB"/>
        </w:rPr>
      </w:pPr>
      <w:r w:rsidRPr="000D268C">
        <w:rPr>
          <w:rFonts w:cstheme="minorHAnsi"/>
          <w:lang w:val="en-GB"/>
        </w:rPr>
        <w:t xml:space="preserve">The variable </w:t>
      </w:r>
      <w:r w:rsidR="00355E94" w:rsidRPr="000D268C">
        <w:rPr>
          <w:rFonts w:cstheme="minorHAnsi"/>
          <w:lang w:val="en-GB"/>
        </w:rPr>
        <w:t>‘</w:t>
      </w:r>
      <w:r w:rsidRPr="000D268C">
        <w:rPr>
          <w:rFonts w:cstheme="minorHAnsi"/>
          <w:lang w:val="en-GB"/>
        </w:rPr>
        <w:t>Year</w:t>
      </w:r>
      <w:r w:rsidR="00355E94" w:rsidRPr="000D268C">
        <w:rPr>
          <w:rFonts w:cstheme="minorHAnsi"/>
          <w:lang w:val="en-GB"/>
        </w:rPr>
        <w:t>’</w:t>
      </w:r>
      <w:r w:rsidRPr="000D268C">
        <w:rPr>
          <w:rFonts w:cstheme="minorHAnsi"/>
          <w:lang w:val="en-GB"/>
        </w:rPr>
        <w:t xml:space="preserve"> is applied to individual documents where Q&amp;A were found and not to the number of questions or answers per document. This allows the researcher to identify the frequency of the </w:t>
      </w:r>
      <w:r w:rsidR="00720ABA" w:rsidRPr="000D268C">
        <w:rPr>
          <w:rFonts w:cstheme="minorHAnsi"/>
          <w:lang w:val="en-GB"/>
        </w:rPr>
        <w:t>legislative oversight</w:t>
      </w:r>
      <w:r w:rsidRPr="000D268C">
        <w:rPr>
          <w:rFonts w:cstheme="minorHAnsi"/>
          <w:lang w:val="en-GB"/>
        </w:rPr>
        <w:t xml:space="preserve"> medium used (written letters, hearings) in addition to the number of questions addressed per year, which can be computed from each document.</w:t>
      </w:r>
    </w:p>
    <w:p w14:paraId="14D059A9" w14:textId="77777777" w:rsidR="00F813C3" w:rsidRPr="000D268C" w:rsidRDefault="00F813C3" w:rsidP="002C54BF">
      <w:pPr>
        <w:spacing w:line="480" w:lineRule="auto"/>
        <w:ind w:firstLine="720"/>
        <w:jc w:val="both"/>
        <w:rPr>
          <w:rFonts w:cstheme="minorHAnsi"/>
          <w:lang w:val="en-GB"/>
        </w:rPr>
      </w:pPr>
      <w:r w:rsidRPr="000D268C">
        <w:rPr>
          <w:rFonts w:cstheme="minorHAnsi"/>
          <w:lang w:val="en-GB"/>
        </w:rPr>
        <w:t>Below is an example from the case study presented in the article:</w:t>
      </w:r>
    </w:p>
    <w:tbl>
      <w:tblPr>
        <w:tblStyle w:val="GridTable5Dark-Accent3"/>
        <w:tblW w:w="0" w:type="auto"/>
        <w:tblBorders>
          <w:insideH w:val="single" w:sz="4" w:space="0" w:color="auto"/>
          <w:insideV w:val="single" w:sz="4" w:space="0" w:color="auto"/>
        </w:tblBorders>
        <w:shd w:val="clear" w:color="auto" w:fill="D9D9D9" w:themeFill="background1" w:themeFillShade="D9"/>
        <w:tblLook w:val="04A0" w:firstRow="1" w:lastRow="0" w:firstColumn="1" w:lastColumn="0" w:noHBand="0" w:noVBand="1"/>
      </w:tblPr>
      <w:tblGrid>
        <w:gridCol w:w="3539"/>
        <w:gridCol w:w="5517"/>
      </w:tblGrid>
      <w:tr w:rsidR="002C54BF" w:rsidRPr="000D268C" w14:paraId="3D7F17C0" w14:textId="77777777" w:rsidTr="00F813C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shd w:val="clear" w:color="auto" w:fill="D9D9D9" w:themeFill="background1" w:themeFillShade="D9"/>
          </w:tcPr>
          <w:p w14:paraId="180C659D" w14:textId="77777777" w:rsidR="00F813C3" w:rsidRPr="000D268C" w:rsidRDefault="00F813C3" w:rsidP="002C54BF">
            <w:pPr>
              <w:rPr>
                <w:rFonts w:cstheme="minorHAnsi"/>
                <w:color w:val="auto"/>
                <w:lang w:val="en-GB"/>
              </w:rPr>
            </w:pPr>
            <w:r w:rsidRPr="000D268C">
              <w:rPr>
                <w:rFonts w:cstheme="minorHAnsi"/>
                <w:color w:val="auto"/>
                <w:lang w:val="en-GB"/>
              </w:rPr>
              <w:t xml:space="preserve">Year_2014_Answer  </w:t>
            </w:r>
          </w:p>
        </w:tc>
        <w:tc>
          <w:tcPr>
            <w:tcW w:w="5517" w:type="dxa"/>
            <w:shd w:val="clear" w:color="auto" w:fill="auto"/>
          </w:tcPr>
          <w:p w14:paraId="2EA2FADF" w14:textId="746F61AE" w:rsidR="00F813C3" w:rsidRPr="000D268C" w:rsidRDefault="00F813C3" w:rsidP="002C54BF">
            <w:pPr>
              <w:jc w:val="both"/>
              <w:cnfStyle w:val="100000000000" w:firstRow="1" w:lastRow="0" w:firstColumn="0" w:lastColumn="0" w:oddVBand="0" w:evenVBand="0" w:oddHBand="0" w:evenHBand="0" w:firstRowFirstColumn="0" w:firstRowLastColumn="0" w:lastRowFirstColumn="0" w:lastRowLastColumn="0"/>
              <w:rPr>
                <w:rFonts w:cstheme="minorHAnsi"/>
                <w:b w:val="0"/>
                <w:bCs w:val="0"/>
                <w:color w:val="auto"/>
                <w:lang w:val="en-GB"/>
              </w:rPr>
            </w:pPr>
            <w:r w:rsidRPr="000D268C">
              <w:rPr>
                <w:rFonts w:cstheme="minorHAnsi"/>
                <w:b w:val="0"/>
                <w:bCs w:val="0"/>
                <w:color w:val="auto"/>
                <w:lang w:val="en-GB"/>
              </w:rPr>
              <w:t xml:space="preserve">Applied to documents containing written answers; code applied to the date of letters e.g. </w:t>
            </w:r>
            <w:r w:rsidR="00355E94" w:rsidRPr="000D268C">
              <w:rPr>
                <w:rFonts w:cstheme="minorHAnsi"/>
                <w:b w:val="0"/>
                <w:bCs w:val="0"/>
                <w:color w:val="auto"/>
                <w:lang w:val="en-GB"/>
              </w:rPr>
              <w:t>‘</w:t>
            </w:r>
            <w:r w:rsidRPr="000D268C">
              <w:rPr>
                <w:rFonts w:cstheme="minorHAnsi"/>
                <w:b w:val="0"/>
                <w:bCs w:val="0"/>
                <w:color w:val="auto"/>
                <w:lang w:val="en-GB"/>
              </w:rPr>
              <w:t>Frankfurt, 3 November 2014.</w:t>
            </w:r>
            <w:r w:rsidR="00355E94" w:rsidRPr="000D268C">
              <w:rPr>
                <w:rFonts w:cstheme="minorHAnsi"/>
                <w:b w:val="0"/>
                <w:bCs w:val="0"/>
                <w:color w:val="auto"/>
                <w:lang w:val="en-GB"/>
              </w:rPr>
              <w:t>’</w:t>
            </w:r>
          </w:p>
        </w:tc>
      </w:tr>
      <w:tr w:rsidR="00F813C3" w:rsidRPr="000D268C" w14:paraId="08C4C04B"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4FBEF951" w14:textId="77777777" w:rsidR="00F813C3" w:rsidRPr="000D268C" w:rsidRDefault="00F813C3" w:rsidP="002C54BF">
            <w:pPr>
              <w:rPr>
                <w:rFonts w:cstheme="minorHAnsi"/>
                <w:color w:val="auto"/>
                <w:lang w:val="en-GB"/>
              </w:rPr>
            </w:pPr>
            <w:r w:rsidRPr="000D268C">
              <w:rPr>
                <w:rFonts w:cstheme="minorHAnsi"/>
                <w:color w:val="auto"/>
                <w:lang w:val="en-GB"/>
              </w:rPr>
              <w:t xml:space="preserve">Year_2014_Question(s)  </w:t>
            </w:r>
          </w:p>
        </w:tc>
        <w:tc>
          <w:tcPr>
            <w:tcW w:w="5517" w:type="dxa"/>
            <w:shd w:val="clear" w:color="auto" w:fill="auto"/>
          </w:tcPr>
          <w:p w14:paraId="6C6F66B9" w14:textId="00ECFDE1"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 xml:space="preserve">Applied to documents containing written questions; code applied to the title of documents, e.g. </w:t>
            </w:r>
            <w:r w:rsidR="00355E94" w:rsidRPr="000D268C">
              <w:rPr>
                <w:rFonts w:cstheme="minorHAnsi"/>
                <w:lang w:val="en-GB"/>
              </w:rPr>
              <w:t>‘</w:t>
            </w:r>
            <w:r w:rsidRPr="000D268C">
              <w:rPr>
                <w:rFonts w:cstheme="minorHAnsi"/>
                <w:lang w:val="en-GB"/>
              </w:rPr>
              <w:t>Question for written answer Z-000019/2014 to the European Central Bank.</w:t>
            </w:r>
            <w:r w:rsidR="00355E94" w:rsidRPr="000D268C">
              <w:rPr>
                <w:rFonts w:cstheme="minorHAnsi"/>
                <w:lang w:val="en-GB"/>
              </w:rPr>
              <w:t>’</w:t>
            </w:r>
          </w:p>
        </w:tc>
      </w:tr>
      <w:tr w:rsidR="00F813C3" w:rsidRPr="000D268C" w14:paraId="4C08658A" w14:textId="77777777" w:rsidTr="00F813C3">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bottom w:val="none" w:sz="0" w:space="0" w:color="auto"/>
            </w:tcBorders>
            <w:shd w:val="clear" w:color="auto" w:fill="D9D9D9" w:themeFill="background1" w:themeFillShade="D9"/>
          </w:tcPr>
          <w:p w14:paraId="7F11C519" w14:textId="77777777" w:rsidR="00F813C3" w:rsidRPr="000D268C" w:rsidRDefault="00F813C3" w:rsidP="002C54BF">
            <w:pPr>
              <w:rPr>
                <w:rFonts w:cstheme="minorHAnsi"/>
                <w:color w:val="auto"/>
                <w:lang w:val="en-GB"/>
              </w:rPr>
            </w:pPr>
            <w:r w:rsidRPr="000D268C">
              <w:rPr>
                <w:rFonts w:cstheme="minorHAnsi"/>
                <w:color w:val="auto"/>
                <w:lang w:val="en-GB"/>
              </w:rPr>
              <w:lastRenderedPageBreak/>
              <w:t xml:space="preserve">Year_2014_Q&amp;A  </w:t>
            </w:r>
          </w:p>
        </w:tc>
        <w:tc>
          <w:tcPr>
            <w:tcW w:w="5517" w:type="dxa"/>
            <w:shd w:val="clear" w:color="auto" w:fill="auto"/>
          </w:tcPr>
          <w:p w14:paraId="67C357B3" w14:textId="09DDA038"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 xml:space="preserve">Applied to documents containing transcripts of hearings/meetings and questionnaires with Q&amp;A; code applied to the date or title of the document, e.g. </w:t>
            </w:r>
            <w:r w:rsidR="00355E94" w:rsidRPr="000D268C">
              <w:rPr>
                <w:rFonts w:cstheme="minorHAnsi"/>
                <w:lang w:val="en-GB"/>
              </w:rPr>
              <w:t>‘</w:t>
            </w:r>
            <w:r w:rsidRPr="000D268C">
              <w:rPr>
                <w:rFonts w:cstheme="minorHAnsi"/>
                <w:lang w:val="en-GB"/>
              </w:rPr>
              <w:t xml:space="preserve">Transcript Committee on Economic and Monetary Affairs (European Parliament), Public Hearing with </w:t>
            </w:r>
            <w:proofErr w:type="spellStart"/>
            <w:r w:rsidRPr="000D268C">
              <w:rPr>
                <w:rFonts w:cstheme="minorHAnsi"/>
                <w:lang w:val="en-GB"/>
              </w:rPr>
              <w:t>Danièle</w:t>
            </w:r>
            <w:proofErr w:type="spellEnd"/>
            <w:r w:rsidRPr="000D268C">
              <w:rPr>
                <w:rFonts w:cstheme="minorHAnsi"/>
                <w:lang w:val="en-GB"/>
              </w:rPr>
              <w:t xml:space="preserve"> </w:t>
            </w:r>
            <w:proofErr w:type="spellStart"/>
            <w:r w:rsidRPr="000D268C">
              <w:rPr>
                <w:rFonts w:cstheme="minorHAnsi"/>
                <w:lang w:val="en-GB"/>
              </w:rPr>
              <w:t>Nouy</w:t>
            </w:r>
            <w:proofErr w:type="spellEnd"/>
            <w:r w:rsidRPr="000D268C">
              <w:rPr>
                <w:rFonts w:cstheme="minorHAnsi"/>
                <w:lang w:val="en-GB"/>
              </w:rPr>
              <w:t>, Chair of the Supervisory Board of the ECB Monday, 13 Jun 2016, 9.00 – 12.30.</w:t>
            </w:r>
            <w:r w:rsidR="00355E94" w:rsidRPr="000D268C">
              <w:rPr>
                <w:rFonts w:cstheme="minorHAnsi"/>
                <w:lang w:val="en-GB"/>
              </w:rPr>
              <w:t>’</w:t>
            </w:r>
          </w:p>
        </w:tc>
      </w:tr>
    </w:tbl>
    <w:p w14:paraId="792C2E1B" w14:textId="77777777" w:rsidR="00F813C3" w:rsidRPr="000D268C" w:rsidRDefault="00F813C3" w:rsidP="002C54BF">
      <w:pPr>
        <w:spacing w:line="480" w:lineRule="auto"/>
        <w:jc w:val="both"/>
        <w:rPr>
          <w:rFonts w:cstheme="minorHAnsi"/>
          <w:lang w:val="en-GB"/>
        </w:rPr>
      </w:pPr>
    </w:p>
    <w:p w14:paraId="2EF1ACE2" w14:textId="3F00AD48" w:rsidR="00F813C3" w:rsidRPr="000D268C" w:rsidRDefault="00F813C3" w:rsidP="002C54BF">
      <w:pPr>
        <w:pStyle w:val="Heading3"/>
        <w:numPr>
          <w:ilvl w:val="0"/>
          <w:numId w:val="23"/>
        </w:numPr>
        <w:spacing w:line="480" w:lineRule="auto"/>
        <w:rPr>
          <w:rFonts w:asciiTheme="minorHAnsi" w:hAnsiTheme="minorHAnsi" w:cstheme="minorHAnsi"/>
          <w:color w:val="auto"/>
          <w:lang w:val="en-GB"/>
        </w:rPr>
      </w:pPr>
      <w:bookmarkStart w:id="8" w:name="_Toc45885401"/>
      <w:r w:rsidRPr="000D268C">
        <w:rPr>
          <w:rFonts w:asciiTheme="minorHAnsi" w:hAnsiTheme="minorHAnsi" w:cstheme="minorHAnsi"/>
          <w:color w:val="auto"/>
          <w:lang w:val="en-GB"/>
        </w:rPr>
        <w:t>Source</w:t>
      </w:r>
      <w:bookmarkEnd w:id="8"/>
    </w:p>
    <w:p w14:paraId="0882234F" w14:textId="29E76C70" w:rsidR="00F813C3" w:rsidRPr="000D268C" w:rsidRDefault="00F813C3" w:rsidP="002C54BF">
      <w:pPr>
        <w:spacing w:line="480" w:lineRule="auto"/>
        <w:rPr>
          <w:rFonts w:cstheme="minorHAnsi"/>
          <w:lang w:val="en-GB"/>
        </w:rPr>
      </w:pPr>
      <w:r w:rsidRPr="000D268C">
        <w:rPr>
          <w:rFonts w:cstheme="minorHAnsi"/>
          <w:lang w:val="en-GB"/>
        </w:rPr>
        <w:t xml:space="preserve">The variable </w:t>
      </w:r>
      <w:r w:rsidR="00355E94" w:rsidRPr="000D268C">
        <w:rPr>
          <w:rFonts w:cstheme="minorHAnsi"/>
          <w:lang w:val="en-GB"/>
        </w:rPr>
        <w:t>‘</w:t>
      </w:r>
      <w:r w:rsidRPr="000D268C">
        <w:rPr>
          <w:rFonts w:cstheme="minorHAnsi"/>
          <w:lang w:val="en-GB"/>
        </w:rPr>
        <w:t>Source</w:t>
      </w:r>
      <w:r w:rsidR="00355E94" w:rsidRPr="000D268C">
        <w:rPr>
          <w:rFonts w:cstheme="minorHAnsi"/>
          <w:lang w:val="en-GB"/>
        </w:rPr>
        <w:t>’</w:t>
      </w:r>
      <w:r w:rsidRPr="000D268C">
        <w:rPr>
          <w:rFonts w:cstheme="minorHAnsi"/>
          <w:lang w:val="en-GB"/>
        </w:rPr>
        <w:t xml:space="preserve"> refers to the source of the document including questions, answers, or both. In the case study presented, there were two possible sources:</w:t>
      </w:r>
    </w:p>
    <w:tbl>
      <w:tblPr>
        <w:tblStyle w:val="GridTable5Dark-Accent3"/>
        <w:tblW w:w="0" w:type="auto"/>
        <w:tblBorders>
          <w:insideH w:val="single" w:sz="4" w:space="0" w:color="auto"/>
          <w:insideV w:val="single" w:sz="4" w:space="0" w:color="auto"/>
        </w:tblBorders>
        <w:shd w:val="clear" w:color="auto" w:fill="D9D9D9" w:themeFill="background1" w:themeFillShade="D9"/>
        <w:tblLook w:val="04A0" w:firstRow="1" w:lastRow="0" w:firstColumn="1" w:lastColumn="0" w:noHBand="0" w:noVBand="1"/>
      </w:tblPr>
      <w:tblGrid>
        <w:gridCol w:w="3539"/>
        <w:gridCol w:w="5517"/>
      </w:tblGrid>
      <w:tr w:rsidR="002C54BF" w:rsidRPr="000D268C" w14:paraId="78C1FA4A" w14:textId="77777777" w:rsidTr="00F813C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shd w:val="clear" w:color="auto" w:fill="D9D9D9" w:themeFill="background1" w:themeFillShade="D9"/>
          </w:tcPr>
          <w:p w14:paraId="039152F0" w14:textId="77777777" w:rsidR="00F813C3" w:rsidRPr="000D268C" w:rsidRDefault="00F813C3" w:rsidP="002C54BF">
            <w:pPr>
              <w:rPr>
                <w:rFonts w:cstheme="minorHAnsi"/>
                <w:color w:val="auto"/>
                <w:lang w:val="en-GB"/>
              </w:rPr>
            </w:pPr>
            <w:proofErr w:type="spellStart"/>
            <w:r w:rsidRPr="000D268C">
              <w:rPr>
                <w:rFonts w:cstheme="minorHAnsi"/>
                <w:color w:val="auto"/>
                <w:lang w:val="en-GB"/>
              </w:rPr>
              <w:t>Source_ECB</w:t>
            </w:r>
            <w:proofErr w:type="spellEnd"/>
            <w:r w:rsidRPr="000D268C">
              <w:rPr>
                <w:rFonts w:cstheme="minorHAnsi"/>
                <w:color w:val="auto"/>
                <w:lang w:val="en-GB"/>
              </w:rPr>
              <w:t xml:space="preserve"> website</w:t>
            </w:r>
          </w:p>
        </w:tc>
        <w:tc>
          <w:tcPr>
            <w:tcW w:w="5517" w:type="dxa"/>
            <w:shd w:val="clear" w:color="auto" w:fill="auto"/>
          </w:tcPr>
          <w:p w14:paraId="79276E5E" w14:textId="0656FBF2" w:rsidR="00F813C3" w:rsidRPr="000D268C" w:rsidRDefault="00F813C3" w:rsidP="002C54BF">
            <w:pPr>
              <w:jc w:val="both"/>
              <w:cnfStyle w:val="100000000000" w:firstRow="1" w:lastRow="0" w:firstColumn="0" w:lastColumn="0" w:oddVBand="0" w:evenVBand="0" w:oddHBand="0" w:evenHBand="0" w:firstRowFirstColumn="0" w:firstRowLastColumn="0" w:lastRowFirstColumn="0" w:lastRowLastColumn="0"/>
              <w:rPr>
                <w:rFonts w:cstheme="minorHAnsi"/>
                <w:b w:val="0"/>
                <w:bCs w:val="0"/>
                <w:color w:val="auto"/>
                <w:lang w:val="en-GB"/>
              </w:rPr>
            </w:pPr>
            <w:r w:rsidRPr="000D268C">
              <w:rPr>
                <w:rFonts w:cstheme="minorHAnsi"/>
                <w:b w:val="0"/>
                <w:bCs w:val="0"/>
                <w:color w:val="auto"/>
                <w:lang w:val="en-GB"/>
              </w:rPr>
              <w:t xml:space="preserve">Applied to documents retrieved from the official website of the European Central Bank; code applied to the signature of the letter, e.g. </w:t>
            </w:r>
            <w:r w:rsidR="00355E94" w:rsidRPr="000D268C">
              <w:rPr>
                <w:rFonts w:cstheme="minorHAnsi"/>
                <w:b w:val="0"/>
                <w:bCs w:val="0"/>
                <w:color w:val="auto"/>
                <w:lang w:val="en-GB"/>
              </w:rPr>
              <w:t>‘</w:t>
            </w:r>
            <w:r w:rsidRPr="000D268C">
              <w:rPr>
                <w:rFonts w:cstheme="minorHAnsi"/>
                <w:b w:val="0"/>
                <w:bCs w:val="0"/>
                <w:color w:val="auto"/>
                <w:lang w:val="en-GB"/>
              </w:rPr>
              <w:t xml:space="preserve">Yours sincerely, [signed] </w:t>
            </w:r>
            <w:proofErr w:type="spellStart"/>
            <w:r w:rsidRPr="000D268C">
              <w:rPr>
                <w:rFonts w:cstheme="minorHAnsi"/>
                <w:b w:val="0"/>
                <w:bCs w:val="0"/>
                <w:color w:val="auto"/>
                <w:lang w:val="en-GB"/>
              </w:rPr>
              <w:t>Danièle</w:t>
            </w:r>
            <w:proofErr w:type="spellEnd"/>
            <w:r w:rsidRPr="000D268C">
              <w:rPr>
                <w:rFonts w:cstheme="minorHAnsi"/>
                <w:b w:val="0"/>
                <w:bCs w:val="0"/>
                <w:color w:val="auto"/>
                <w:lang w:val="en-GB"/>
              </w:rPr>
              <w:t xml:space="preserve"> </w:t>
            </w:r>
            <w:proofErr w:type="spellStart"/>
            <w:r w:rsidRPr="000D268C">
              <w:rPr>
                <w:rFonts w:cstheme="minorHAnsi"/>
                <w:b w:val="0"/>
                <w:bCs w:val="0"/>
                <w:color w:val="auto"/>
                <w:lang w:val="en-GB"/>
              </w:rPr>
              <w:t>Nouy</w:t>
            </w:r>
            <w:proofErr w:type="spellEnd"/>
            <w:r w:rsidRPr="000D268C">
              <w:rPr>
                <w:rFonts w:cstheme="minorHAnsi"/>
                <w:b w:val="0"/>
                <w:bCs w:val="0"/>
                <w:color w:val="auto"/>
                <w:lang w:val="en-GB"/>
              </w:rPr>
              <w:t>.</w:t>
            </w:r>
            <w:r w:rsidR="00355E94" w:rsidRPr="000D268C">
              <w:rPr>
                <w:rFonts w:cstheme="minorHAnsi"/>
                <w:b w:val="0"/>
                <w:bCs w:val="0"/>
                <w:color w:val="auto"/>
                <w:lang w:val="en-GB"/>
              </w:rPr>
              <w:t>’</w:t>
            </w:r>
          </w:p>
        </w:tc>
      </w:tr>
      <w:tr w:rsidR="00F813C3" w:rsidRPr="000D268C" w14:paraId="7383FC24"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shd w:val="clear" w:color="auto" w:fill="D9D9D9" w:themeFill="background1" w:themeFillShade="D9"/>
          </w:tcPr>
          <w:p w14:paraId="44ABE9AF" w14:textId="77777777" w:rsidR="00F813C3" w:rsidRPr="000D268C" w:rsidRDefault="00F813C3" w:rsidP="002C54BF">
            <w:pPr>
              <w:rPr>
                <w:rFonts w:cstheme="minorHAnsi"/>
                <w:color w:val="auto"/>
                <w:lang w:val="en-GB"/>
              </w:rPr>
            </w:pPr>
            <w:proofErr w:type="spellStart"/>
            <w:r w:rsidRPr="000D268C">
              <w:rPr>
                <w:rFonts w:cstheme="minorHAnsi"/>
                <w:color w:val="auto"/>
                <w:lang w:val="en-GB"/>
              </w:rPr>
              <w:t>Source_EP</w:t>
            </w:r>
            <w:proofErr w:type="spellEnd"/>
            <w:r w:rsidRPr="000D268C">
              <w:rPr>
                <w:rFonts w:cstheme="minorHAnsi"/>
                <w:color w:val="auto"/>
                <w:lang w:val="en-GB"/>
              </w:rPr>
              <w:t xml:space="preserve"> website</w:t>
            </w:r>
          </w:p>
        </w:tc>
        <w:tc>
          <w:tcPr>
            <w:tcW w:w="5517" w:type="dxa"/>
            <w:shd w:val="clear" w:color="auto" w:fill="auto"/>
          </w:tcPr>
          <w:p w14:paraId="1230C1B5" w14:textId="287199EF"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 xml:space="preserve">Applied to documents retrieved from the official website of the European Parliament; code applied to the title of document, e.g. </w:t>
            </w:r>
            <w:r w:rsidR="00355E94" w:rsidRPr="000D268C">
              <w:rPr>
                <w:rFonts w:cstheme="minorHAnsi"/>
                <w:lang w:val="en-GB"/>
              </w:rPr>
              <w:t>‘</w:t>
            </w:r>
            <w:r w:rsidRPr="000D268C">
              <w:rPr>
                <w:rFonts w:cstheme="minorHAnsi"/>
                <w:lang w:val="en-GB"/>
              </w:rPr>
              <w:t>Question for written answer Z-000014/2018 to the Chair of the Single Supervisory Mechanism Board.</w:t>
            </w:r>
            <w:r w:rsidR="00355E94" w:rsidRPr="000D268C">
              <w:rPr>
                <w:rFonts w:cstheme="minorHAnsi"/>
                <w:lang w:val="en-GB"/>
              </w:rPr>
              <w:t>’</w:t>
            </w:r>
          </w:p>
        </w:tc>
      </w:tr>
    </w:tbl>
    <w:p w14:paraId="51887EE3" w14:textId="77777777" w:rsidR="00F813C3" w:rsidRPr="000D268C" w:rsidRDefault="00F813C3" w:rsidP="002C54BF">
      <w:pPr>
        <w:spacing w:line="480" w:lineRule="auto"/>
        <w:jc w:val="both"/>
        <w:rPr>
          <w:rFonts w:cstheme="minorHAnsi"/>
          <w:lang w:val="en-GB"/>
        </w:rPr>
      </w:pPr>
    </w:p>
    <w:p w14:paraId="7C78B4DC" w14:textId="34CB7A5F" w:rsidR="00F813C3" w:rsidRPr="000D268C" w:rsidRDefault="00F813C3" w:rsidP="002C54BF">
      <w:pPr>
        <w:pStyle w:val="Heading3"/>
        <w:numPr>
          <w:ilvl w:val="0"/>
          <w:numId w:val="23"/>
        </w:numPr>
        <w:spacing w:line="480" w:lineRule="auto"/>
        <w:rPr>
          <w:rFonts w:asciiTheme="minorHAnsi" w:hAnsiTheme="minorHAnsi" w:cstheme="minorHAnsi"/>
          <w:color w:val="auto"/>
          <w:lang w:val="en-GB"/>
        </w:rPr>
      </w:pPr>
      <w:bookmarkStart w:id="9" w:name="_Toc45885402"/>
      <w:r w:rsidRPr="000D268C">
        <w:rPr>
          <w:rFonts w:asciiTheme="minorHAnsi" w:hAnsiTheme="minorHAnsi" w:cstheme="minorHAnsi"/>
          <w:color w:val="auto"/>
          <w:lang w:val="en-GB"/>
        </w:rPr>
        <w:t>Claimant</w:t>
      </w:r>
      <w:bookmarkEnd w:id="9"/>
    </w:p>
    <w:p w14:paraId="3DBF596D" w14:textId="28EEB895" w:rsidR="00F813C3" w:rsidRPr="000D268C" w:rsidRDefault="00F813C3" w:rsidP="002C54BF">
      <w:pPr>
        <w:spacing w:line="480" w:lineRule="auto"/>
        <w:jc w:val="both"/>
        <w:rPr>
          <w:rFonts w:cstheme="minorHAnsi"/>
          <w:lang w:val="en-GB"/>
        </w:rPr>
      </w:pPr>
      <w:r w:rsidRPr="000D268C">
        <w:rPr>
          <w:rFonts w:cstheme="minorHAnsi"/>
          <w:lang w:val="en-GB"/>
        </w:rPr>
        <w:t xml:space="preserve">The variable </w:t>
      </w:r>
      <w:r w:rsidR="00355E94" w:rsidRPr="000D268C">
        <w:rPr>
          <w:rFonts w:cstheme="minorHAnsi"/>
          <w:lang w:val="en-GB"/>
        </w:rPr>
        <w:t>‘</w:t>
      </w:r>
      <w:r w:rsidRPr="000D268C">
        <w:rPr>
          <w:rFonts w:cstheme="minorHAnsi"/>
          <w:lang w:val="en-GB"/>
        </w:rPr>
        <w:t>Claimant</w:t>
      </w:r>
      <w:r w:rsidR="00355E94" w:rsidRPr="000D268C">
        <w:rPr>
          <w:rFonts w:cstheme="minorHAnsi"/>
          <w:lang w:val="en-GB"/>
        </w:rPr>
        <w:t>’</w:t>
      </w:r>
      <w:r w:rsidRPr="000D268C">
        <w:rPr>
          <w:rFonts w:cstheme="minorHAnsi"/>
          <w:lang w:val="en-GB"/>
        </w:rPr>
        <w:t xml:space="preserve"> applies to both legislative actors (in the case of questions) and executive actors (in the case of answers). The key sub-code here is </w:t>
      </w:r>
      <w:r w:rsidR="00355E94" w:rsidRPr="000D268C">
        <w:rPr>
          <w:rFonts w:cstheme="minorHAnsi"/>
          <w:lang w:val="en-GB"/>
        </w:rPr>
        <w:t>‘</w:t>
      </w:r>
      <w:r w:rsidRPr="000D268C">
        <w:rPr>
          <w:rFonts w:cstheme="minorHAnsi"/>
          <w:lang w:val="en-GB"/>
        </w:rPr>
        <w:t>claimant function</w:t>
      </w:r>
      <w:r w:rsidR="00355E94" w:rsidRPr="000D268C">
        <w:rPr>
          <w:rFonts w:cstheme="minorHAnsi"/>
          <w:lang w:val="en-GB"/>
        </w:rPr>
        <w:t>’</w:t>
      </w:r>
      <w:r w:rsidRPr="000D268C">
        <w:rPr>
          <w:rFonts w:cstheme="minorHAnsi"/>
          <w:lang w:val="en-GB"/>
        </w:rPr>
        <w:t xml:space="preserve">, indicating the official title of the person/institutional body making the claim. When it comes to questions, claimants include individual members of parliaments, groups of members of parliaments, party factions in parliaments, parliamentary committees, chairs/leaders of committees and party groups, presidents/heads of chamber and any other variation of parliamentary functions. When it comes to answers, claimants consist of heads of government, ministers, state secretaries, heads of agencies/departments, and any other high-level government officials responsible for answering to questions from parliaments. </w:t>
      </w:r>
    </w:p>
    <w:p w14:paraId="70CE2AF7" w14:textId="77A0F422" w:rsidR="00F813C3" w:rsidRPr="000D268C" w:rsidRDefault="00F813C3" w:rsidP="002C54BF">
      <w:pPr>
        <w:spacing w:line="480" w:lineRule="auto"/>
        <w:ind w:firstLine="720"/>
        <w:jc w:val="both"/>
        <w:rPr>
          <w:rFonts w:cstheme="minorHAnsi"/>
          <w:lang w:val="en-GB"/>
        </w:rPr>
      </w:pPr>
      <w:r w:rsidRPr="000D268C">
        <w:rPr>
          <w:rFonts w:cstheme="minorHAnsi"/>
          <w:lang w:val="en-GB"/>
        </w:rPr>
        <w:t>The case study presented in the article included the following claimants:</w:t>
      </w:r>
    </w:p>
    <w:tbl>
      <w:tblPr>
        <w:tblStyle w:val="GridTable5Dark-Accent3"/>
        <w:tblW w:w="0" w:type="auto"/>
        <w:tblBorders>
          <w:insideH w:val="single" w:sz="4" w:space="0" w:color="auto"/>
          <w:insideV w:val="single" w:sz="4" w:space="0" w:color="auto"/>
        </w:tblBorders>
        <w:shd w:val="clear" w:color="auto" w:fill="D9D9D9" w:themeFill="background1" w:themeFillShade="D9"/>
        <w:tblLook w:val="04A0" w:firstRow="1" w:lastRow="0" w:firstColumn="1" w:lastColumn="0" w:noHBand="0" w:noVBand="1"/>
      </w:tblPr>
      <w:tblGrid>
        <w:gridCol w:w="3539"/>
        <w:gridCol w:w="5517"/>
      </w:tblGrid>
      <w:tr w:rsidR="002C54BF" w:rsidRPr="000D268C" w14:paraId="01BAE119" w14:textId="77777777" w:rsidTr="00F813C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56" w:type="dxa"/>
            <w:gridSpan w:val="2"/>
            <w:shd w:val="clear" w:color="auto" w:fill="FFFFFF" w:themeFill="background1"/>
          </w:tcPr>
          <w:p w14:paraId="30532B8F" w14:textId="77777777" w:rsidR="00F813C3" w:rsidRPr="000D268C" w:rsidRDefault="00F813C3" w:rsidP="002C54BF">
            <w:pPr>
              <w:jc w:val="both"/>
              <w:rPr>
                <w:rFonts w:cstheme="minorHAnsi"/>
                <w:b w:val="0"/>
                <w:bCs w:val="0"/>
                <w:i/>
                <w:iCs/>
                <w:color w:val="auto"/>
                <w:lang w:val="en-GB"/>
              </w:rPr>
            </w:pPr>
            <w:r w:rsidRPr="000D268C">
              <w:rPr>
                <w:rFonts w:cstheme="minorHAnsi"/>
                <w:i/>
                <w:iCs/>
                <w:color w:val="auto"/>
                <w:lang w:val="en-GB"/>
              </w:rPr>
              <w:lastRenderedPageBreak/>
              <w:t>For questions</w:t>
            </w:r>
          </w:p>
        </w:tc>
      </w:tr>
      <w:tr w:rsidR="00F813C3" w:rsidRPr="000D268C" w14:paraId="18F7D524"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795A2EE1" w14:textId="77777777" w:rsidR="00F813C3" w:rsidRPr="000D268C" w:rsidRDefault="00F813C3" w:rsidP="002C54BF">
            <w:pPr>
              <w:rPr>
                <w:rFonts w:cstheme="minorHAnsi"/>
                <w:color w:val="auto"/>
                <w:lang w:val="en-GB"/>
              </w:rPr>
            </w:pPr>
            <w:r w:rsidRPr="000D268C">
              <w:rPr>
                <w:rFonts w:cstheme="minorHAnsi"/>
                <w:color w:val="auto"/>
                <w:lang w:val="en-GB"/>
              </w:rPr>
              <w:t xml:space="preserve">Claimant </w:t>
            </w:r>
            <w:proofErr w:type="spellStart"/>
            <w:r w:rsidRPr="000D268C">
              <w:rPr>
                <w:rFonts w:cstheme="minorHAnsi"/>
                <w:color w:val="auto"/>
                <w:lang w:val="en-GB"/>
              </w:rPr>
              <w:t>function_EP_ECON</w:t>
            </w:r>
            <w:proofErr w:type="spellEnd"/>
            <w:r w:rsidRPr="000D268C">
              <w:rPr>
                <w:rFonts w:cstheme="minorHAnsi"/>
                <w:color w:val="auto"/>
                <w:lang w:val="en-GB"/>
              </w:rPr>
              <w:t xml:space="preserve">  </w:t>
            </w:r>
          </w:p>
        </w:tc>
        <w:tc>
          <w:tcPr>
            <w:tcW w:w="5517" w:type="dxa"/>
            <w:shd w:val="clear" w:color="auto" w:fill="FFFFFF" w:themeFill="background1"/>
          </w:tcPr>
          <w:p w14:paraId="13C573CA"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Applied to questions asked collectively by the European Parliament’s (EP) Economic and Monetary Affairs Committee (ECON).</w:t>
            </w:r>
          </w:p>
        </w:tc>
      </w:tr>
      <w:tr w:rsidR="00F813C3" w:rsidRPr="000D268C" w14:paraId="7BE4D48E" w14:textId="77777777" w:rsidTr="00F813C3">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76B887DD" w14:textId="77777777" w:rsidR="00F813C3" w:rsidRPr="000D268C" w:rsidRDefault="00F813C3" w:rsidP="002C54BF">
            <w:pPr>
              <w:rPr>
                <w:rFonts w:cstheme="minorHAnsi"/>
                <w:color w:val="auto"/>
                <w:lang w:val="en-GB"/>
              </w:rPr>
            </w:pPr>
            <w:r w:rsidRPr="000D268C">
              <w:rPr>
                <w:rFonts w:cstheme="minorHAnsi"/>
                <w:color w:val="auto"/>
                <w:lang w:val="en-GB"/>
              </w:rPr>
              <w:t xml:space="preserve">Claimant </w:t>
            </w:r>
            <w:proofErr w:type="spellStart"/>
            <w:r w:rsidRPr="000D268C">
              <w:rPr>
                <w:rFonts w:cstheme="minorHAnsi"/>
                <w:color w:val="auto"/>
                <w:lang w:val="en-GB"/>
              </w:rPr>
              <w:t>function_EP_MEP</w:t>
            </w:r>
            <w:proofErr w:type="spellEnd"/>
            <w:r w:rsidRPr="000D268C">
              <w:rPr>
                <w:rFonts w:cstheme="minorHAnsi"/>
                <w:color w:val="auto"/>
                <w:lang w:val="en-GB"/>
              </w:rPr>
              <w:t xml:space="preserve">(s)  </w:t>
            </w:r>
          </w:p>
        </w:tc>
        <w:tc>
          <w:tcPr>
            <w:tcW w:w="5517" w:type="dxa"/>
            <w:shd w:val="clear" w:color="auto" w:fill="FFFFFF" w:themeFill="background1"/>
          </w:tcPr>
          <w:p w14:paraId="2041158F" w14:textId="77777777"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Applied to questions asked by individual or groups of Members of the European Parliament (MEPs).</w:t>
            </w:r>
          </w:p>
        </w:tc>
      </w:tr>
      <w:tr w:rsidR="00F813C3" w:rsidRPr="000D268C" w14:paraId="738500CC"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14BB41FA" w14:textId="77777777" w:rsidR="00F813C3" w:rsidRPr="000D268C" w:rsidRDefault="00F813C3" w:rsidP="002C54BF">
            <w:pPr>
              <w:rPr>
                <w:rFonts w:cstheme="minorHAnsi"/>
                <w:color w:val="auto"/>
                <w:lang w:val="en-GB"/>
              </w:rPr>
            </w:pPr>
            <w:r w:rsidRPr="000D268C">
              <w:rPr>
                <w:rFonts w:cstheme="minorHAnsi"/>
                <w:color w:val="auto"/>
                <w:lang w:val="en-GB"/>
              </w:rPr>
              <w:t xml:space="preserve">Claimant </w:t>
            </w:r>
            <w:proofErr w:type="spellStart"/>
            <w:r w:rsidRPr="000D268C">
              <w:rPr>
                <w:rFonts w:cstheme="minorHAnsi"/>
                <w:color w:val="auto"/>
                <w:lang w:val="en-GB"/>
              </w:rPr>
              <w:t>function_EP_President</w:t>
            </w:r>
            <w:proofErr w:type="spellEnd"/>
          </w:p>
        </w:tc>
        <w:tc>
          <w:tcPr>
            <w:tcW w:w="5517" w:type="dxa"/>
            <w:shd w:val="clear" w:color="auto" w:fill="FFFFFF" w:themeFill="background1"/>
          </w:tcPr>
          <w:p w14:paraId="6EDEC6FE"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Applied to questions asked by the President of the European Parliament.</w:t>
            </w:r>
          </w:p>
        </w:tc>
      </w:tr>
      <w:tr w:rsidR="00F813C3" w:rsidRPr="000D268C" w14:paraId="52B2FF17" w14:textId="77777777" w:rsidTr="00F813C3">
        <w:tc>
          <w:tcPr>
            <w:cnfStyle w:val="001000000000" w:firstRow="0" w:lastRow="0" w:firstColumn="1" w:lastColumn="0" w:oddVBand="0" w:evenVBand="0" w:oddHBand="0" w:evenHBand="0" w:firstRowFirstColumn="0" w:firstRowLastColumn="0" w:lastRowFirstColumn="0" w:lastRowLastColumn="0"/>
            <w:tcW w:w="9056" w:type="dxa"/>
            <w:gridSpan w:val="2"/>
            <w:tcBorders>
              <w:left w:val="none" w:sz="0" w:space="0" w:color="auto"/>
            </w:tcBorders>
            <w:shd w:val="clear" w:color="auto" w:fill="FFFFFF" w:themeFill="background1"/>
          </w:tcPr>
          <w:p w14:paraId="507C7C22" w14:textId="77777777" w:rsidR="00F813C3" w:rsidRPr="000D268C" w:rsidRDefault="00F813C3" w:rsidP="002C54BF">
            <w:pPr>
              <w:rPr>
                <w:rFonts w:cstheme="minorHAnsi"/>
                <w:b w:val="0"/>
                <w:bCs w:val="0"/>
                <w:i/>
                <w:iCs/>
                <w:color w:val="auto"/>
                <w:lang w:val="en-GB"/>
              </w:rPr>
            </w:pPr>
            <w:r w:rsidRPr="000D268C">
              <w:rPr>
                <w:rFonts w:cstheme="minorHAnsi"/>
                <w:i/>
                <w:iCs/>
                <w:color w:val="auto"/>
                <w:lang w:val="en-GB"/>
              </w:rPr>
              <w:t>For answers</w:t>
            </w:r>
          </w:p>
        </w:tc>
      </w:tr>
      <w:tr w:rsidR="00F813C3" w:rsidRPr="000D268C" w14:paraId="40393CFE"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37F0EDEC" w14:textId="77777777" w:rsidR="00F813C3" w:rsidRPr="000D268C" w:rsidRDefault="00F813C3" w:rsidP="002C54BF">
            <w:pPr>
              <w:rPr>
                <w:rFonts w:cstheme="minorHAnsi"/>
                <w:color w:val="auto"/>
                <w:lang w:val="en-GB"/>
              </w:rPr>
            </w:pPr>
            <w:r w:rsidRPr="000D268C">
              <w:rPr>
                <w:rFonts w:cstheme="minorHAnsi"/>
                <w:color w:val="auto"/>
                <w:lang w:val="en-GB"/>
              </w:rPr>
              <w:t xml:space="preserve">Claimant </w:t>
            </w:r>
            <w:proofErr w:type="spellStart"/>
            <w:r w:rsidRPr="000D268C">
              <w:rPr>
                <w:rFonts w:cstheme="minorHAnsi"/>
                <w:color w:val="auto"/>
                <w:lang w:val="en-GB"/>
              </w:rPr>
              <w:t>function_ECB</w:t>
            </w:r>
            <w:proofErr w:type="spellEnd"/>
            <w:r w:rsidRPr="000D268C">
              <w:rPr>
                <w:rFonts w:cstheme="minorHAnsi"/>
                <w:color w:val="auto"/>
                <w:lang w:val="en-GB"/>
              </w:rPr>
              <w:t xml:space="preserve"> _President </w:t>
            </w:r>
          </w:p>
        </w:tc>
        <w:tc>
          <w:tcPr>
            <w:tcW w:w="5517" w:type="dxa"/>
            <w:shd w:val="clear" w:color="auto" w:fill="FFFFFF" w:themeFill="background1"/>
          </w:tcPr>
          <w:p w14:paraId="30E44509"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Applied to answers signed or provided orally by the President of the European Central Bank.</w:t>
            </w:r>
          </w:p>
        </w:tc>
      </w:tr>
      <w:tr w:rsidR="00F813C3" w:rsidRPr="000D268C" w14:paraId="0E43AD0A" w14:textId="77777777" w:rsidTr="00F813C3">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6EE5A421" w14:textId="77777777" w:rsidR="00F813C3" w:rsidRPr="000D268C" w:rsidRDefault="00F813C3" w:rsidP="002C54BF">
            <w:pPr>
              <w:rPr>
                <w:rFonts w:cstheme="minorHAnsi"/>
                <w:color w:val="auto"/>
                <w:lang w:val="en-GB"/>
              </w:rPr>
            </w:pPr>
            <w:r w:rsidRPr="000D268C">
              <w:rPr>
                <w:rFonts w:cstheme="minorHAnsi"/>
                <w:color w:val="auto"/>
                <w:lang w:val="en-GB"/>
              </w:rPr>
              <w:t xml:space="preserve">Claimant </w:t>
            </w:r>
            <w:proofErr w:type="spellStart"/>
            <w:r w:rsidRPr="000D268C">
              <w:rPr>
                <w:rFonts w:cstheme="minorHAnsi"/>
                <w:color w:val="auto"/>
                <w:lang w:val="en-GB"/>
              </w:rPr>
              <w:t>function_ECB_Chair</w:t>
            </w:r>
            <w:proofErr w:type="spellEnd"/>
            <w:r w:rsidRPr="000D268C">
              <w:rPr>
                <w:rFonts w:cstheme="minorHAnsi"/>
                <w:color w:val="auto"/>
                <w:lang w:val="en-GB"/>
              </w:rPr>
              <w:t xml:space="preserve"> of the Supervisory Board</w:t>
            </w:r>
          </w:p>
        </w:tc>
        <w:tc>
          <w:tcPr>
            <w:tcW w:w="5517" w:type="dxa"/>
            <w:shd w:val="clear" w:color="auto" w:fill="FFFFFF" w:themeFill="background1"/>
          </w:tcPr>
          <w:p w14:paraId="7AD6673E" w14:textId="77777777"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Applied to answers signed or provided orally by the Chair of the Supervisory Board of the European Central Bank.</w:t>
            </w:r>
          </w:p>
        </w:tc>
      </w:tr>
      <w:tr w:rsidR="00F813C3" w:rsidRPr="000D268C" w14:paraId="73792A9A"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bottom w:val="none" w:sz="0" w:space="0" w:color="auto"/>
            </w:tcBorders>
            <w:shd w:val="clear" w:color="auto" w:fill="D9D9D9" w:themeFill="background1" w:themeFillShade="D9"/>
          </w:tcPr>
          <w:p w14:paraId="55520151" w14:textId="77777777" w:rsidR="00F813C3" w:rsidRPr="000D268C" w:rsidRDefault="00F813C3" w:rsidP="002C54BF">
            <w:pPr>
              <w:rPr>
                <w:rFonts w:cstheme="minorHAnsi"/>
                <w:color w:val="auto"/>
                <w:lang w:val="en-GB"/>
              </w:rPr>
            </w:pPr>
            <w:r w:rsidRPr="000D268C">
              <w:rPr>
                <w:rFonts w:cstheme="minorHAnsi"/>
                <w:color w:val="auto"/>
                <w:lang w:val="en-GB"/>
              </w:rPr>
              <w:t xml:space="preserve">Claimant </w:t>
            </w:r>
            <w:proofErr w:type="spellStart"/>
            <w:r w:rsidRPr="000D268C">
              <w:rPr>
                <w:rFonts w:cstheme="minorHAnsi"/>
                <w:color w:val="auto"/>
                <w:lang w:val="en-GB"/>
              </w:rPr>
              <w:t>function_ECB_Vice</w:t>
            </w:r>
            <w:proofErr w:type="spellEnd"/>
            <w:r w:rsidRPr="000D268C">
              <w:rPr>
                <w:rFonts w:cstheme="minorHAnsi"/>
                <w:color w:val="auto"/>
                <w:lang w:val="en-GB"/>
              </w:rPr>
              <w:t>-Chair of the Supervisory Board</w:t>
            </w:r>
          </w:p>
        </w:tc>
        <w:tc>
          <w:tcPr>
            <w:tcW w:w="5517" w:type="dxa"/>
            <w:shd w:val="clear" w:color="auto" w:fill="FFFFFF" w:themeFill="background1"/>
          </w:tcPr>
          <w:p w14:paraId="46097277"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Applied to answers signed or provided orally by the Vice-Chair of the Supervisory Board of the European Central Bank.</w:t>
            </w:r>
          </w:p>
        </w:tc>
      </w:tr>
    </w:tbl>
    <w:p w14:paraId="0A643AF4" w14:textId="77777777" w:rsidR="00F813C3" w:rsidRPr="000D268C" w:rsidRDefault="00F813C3" w:rsidP="002C54BF">
      <w:pPr>
        <w:spacing w:before="240" w:line="480" w:lineRule="auto"/>
        <w:jc w:val="both"/>
        <w:rPr>
          <w:rFonts w:cstheme="minorHAnsi"/>
          <w:lang w:val="en-GB"/>
        </w:rPr>
      </w:pPr>
      <w:r w:rsidRPr="000D268C">
        <w:rPr>
          <w:rFonts w:cstheme="minorHAnsi"/>
          <w:lang w:val="en-GB"/>
        </w:rPr>
        <w:t>Furthermore, questions received coding related to the nationality and political affiliation of the members of parliament asking the question:</w:t>
      </w:r>
    </w:p>
    <w:tbl>
      <w:tblPr>
        <w:tblStyle w:val="GridTable5Dark-Accent3"/>
        <w:tblW w:w="0" w:type="auto"/>
        <w:tblBorders>
          <w:insideH w:val="single" w:sz="4" w:space="0" w:color="auto"/>
          <w:insideV w:val="single" w:sz="4" w:space="0" w:color="auto"/>
        </w:tblBorders>
        <w:shd w:val="clear" w:color="auto" w:fill="D9D9D9" w:themeFill="background1" w:themeFillShade="D9"/>
        <w:tblLook w:val="04A0" w:firstRow="1" w:lastRow="0" w:firstColumn="1" w:lastColumn="0" w:noHBand="0" w:noVBand="1"/>
      </w:tblPr>
      <w:tblGrid>
        <w:gridCol w:w="3539"/>
        <w:gridCol w:w="5517"/>
      </w:tblGrid>
      <w:tr w:rsidR="002C54BF" w:rsidRPr="000D268C" w14:paraId="38B81866" w14:textId="77777777" w:rsidTr="00F813C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56" w:type="dxa"/>
            <w:gridSpan w:val="2"/>
            <w:shd w:val="clear" w:color="auto" w:fill="FFFFFF" w:themeFill="background1"/>
          </w:tcPr>
          <w:p w14:paraId="4236506C" w14:textId="77777777" w:rsidR="00F813C3" w:rsidRPr="000D268C" w:rsidRDefault="00F813C3" w:rsidP="002C54BF">
            <w:pPr>
              <w:jc w:val="both"/>
              <w:rPr>
                <w:rFonts w:cstheme="minorHAnsi"/>
                <w:b w:val="0"/>
                <w:bCs w:val="0"/>
                <w:color w:val="auto"/>
                <w:lang w:val="en-GB"/>
              </w:rPr>
            </w:pPr>
            <w:r w:rsidRPr="000D268C">
              <w:rPr>
                <w:rFonts w:cstheme="minorHAnsi"/>
                <w:color w:val="auto"/>
                <w:lang w:val="en-GB"/>
              </w:rPr>
              <w:t>For questions</w:t>
            </w:r>
          </w:p>
        </w:tc>
      </w:tr>
      <w:tr w:rsidR="00F813C3" w:rsidRPr="000D268C" w14:paraId="38EFD9F7"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098CE0BE" w14:textId="77777777" w:rsidR="00F813C3" w:rsidRPr="000D268C" w:rsidRDefault="00F813C3" w:rsidP="002C54BF">
            <w:pPr>
              <w:jc w:val="both"/>
              <w:rPr>
                <w:rFonts w:cstheme="minorHAnsi"/>
                <w:color w:val="auto"/>
                <w:lang w:val="en-GB"/>
              </w:rPr>
            </w:pPr>
            <w:r w:rsidRPr="000D268C">
              <w:rPr>
                <w:rFonts w:cstheme="minorHAnsi"/>
                <w:color w:val="auto"/>
                <w:lang w:val="en-GB"/>
              </w:rPr>
              <w:t xml:space="preserve">Claimant </w:t>
            </w:r>
            <w:proofErr w:type="spellStart"/>
            <w:r w:rsidRPr="000D268C">
              <w:rPr>
                <w:rFonts w:cstheme="minorHAnsi"/>
                <w:color w:val="auto"/>
                <w:lang w:val="en-GB"/>
              </w:rPr>
              <w:t>nationality_MEPs</w:t>
            </w:r>
            <w:proofErr w:type="spellEnd"/>
          </w:p>
        </w:tc>
        <w:tc>
          <w:tcPr>
            <w:tcW w:w="5517" w:type="dxa"/>
            <w:shd w:val="clear" w:color="auto" w:fill="FFFFFF" w:themeFill="background1"/>
          </w:tcPr>
          <w:p w14:paraId="7C968AC6"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 xml:space="preserve">Identified in the dataset, in alphabetical order: </w:t>
            </w:r>
          </w:p>
          <w:p w14:paraId="3656BF26" w14:textId="77777777" w:rsidR="00F813C3" w:rsidRPr="000D268C" w:rsidRDefault="00F813C3" w:rsidP="002C54BF">
            <w:pPr>
              <w:pStyle w:val="ListParagraph"/>
              <w:numPr>
                <w:ilvl w:val="0"/>
                <w:numId w:val="18"/>
              </w:numPr>
              <w:jc w:val="both"/>
              <w:cnfStyle w:val="000000100000" w:firstRow="0" w:lastRow="0" w:firstColumn="0" w:lastColumn="0" w:oddVBand="0" w:evenVBand="0" w:oddHBand="1" w:evenHBand="0" w:firstRowFirstColumn="0" w:firstRowLastColumn="0" w:lastRowFirstColumn="0" w:lastRowLastColumn="0"/>
              <w:rPr>
                <w:rFonts w:cstheme="minorHAnsi"/>
                <w:b/>
                <w:bCs/>
                <w:i/>
                <w:iCs/>
                <w:lang w:val="en-GB"/>
              </w:rPr>
            </w:pPr>
            <w:r w:rsidRPr="000D268C">
              <w:rPr>
                <w:rFonts w:cstheme="minorHAnsi"/>
                <w:i/>
                <w:iCs/>
                <w:lang w:val="en-GB"/>
              </w:rPr>
              <w:t>Austria, Belgium, Bulgaria, Cyprus, Czechia, Finland, France, Germany, Greece, Hungary, Ireland, Latvia, Malta, Netherlands, Poland, Portugal, Romania, Slovakia, Slovenia, Spain, Sweden, United Kingdom.</w:t>
            </w:r>
            <w:r w:rsidRPr="000D268C">
              <w:rPr>
                <w:rFonts w:cstheme="minorHAnsi"/>
                <w:b/>
                <w:bCs/>
                <w:i/>
                <w:iCs/>
                <w:lang w:val="en-GB"/>
              </w:rPr>
              <w:t xml:space="preserve"> </w:t>
            </w:r>
          </w:p>
        </w:tc>
      </w:tr>
      <w:tr w:rsidR="00F813C3" w:rsidRPr="000D268C" w14:paraId="730300B7" w14:textId="77777777" w:rsidTr="00F813C3">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bottom w:val="none" w:sz="0" w:space="0" w:color="auto"/>
            </w:tcBorders>
            <w:shd w:val="clear" w:color="auto" w:fill="D9D9D9" w:themeFill="background1" w:themeFillShade="D9"/>
          </w:tcPr>
          <w:p w14:paraId="6489A54E" w14:textId="77777777" w:rsidR="00F813C3" w:rsidRPr="000D268C" w:rsidRDefault="00F813C3" w:rsidP="002C54BF">
            <w:pPr>
              <w:jc w:val="both"/>
              <w:rPr>
                <w:rFonts w:cstheme="minorHAnsi"/>
                <w:color w:val="auto"/>
                <w:lang w:val="en-GB"/>
              </w:rPr>
            </w:pPr>
            <w:r w:rsidRPr="000D268C">
              <w:rPr>
                <w:rFonts w:cstheme="minorHAnsi"/>
                <w:color w:val="auto"/>
                <w:lang w:val="en-GB"/>
              </w:rPr>
              <w:t xml:space="preserve">Claimant political </w:t>
            </w:r>
            <w:proofErr w:type="spellStart"/>
            <w:r w:rsidRPr="000D268C">
              <w:rPr>
                <w:rFonts w:cstheme="minorHAnsi"/>
                <w:color w:val="auto"/>
                <w:lang w:val="en-GB"/>
              </w:rPr>
              <w:t>group_MEPs</w:t>
            </w:r>
            <w:proofErr w:type="spellEnd"/>
          </w:p>
        </w:tc>
        <w:tc>
          <w:tcPr>
            <w:tcW w:w="5517" w:type="dxa"/>
            <w:shd w:val="clear" w:color="auto" w:fill="FFFFFF" w:themeFill="background1"/>
          </w:tcPr>
          <w:p w14:paraId="0F97939B" w14:textId="77777777" w:rsidR="00F813C3" w:rsidRPr="000D268C" w:rsidRDefault="00F813C3" w:rsidP="002C54BF">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 xml:space="preserve">Identified in the dataset, in alphabetical order: </w:t>
            </w:r>
          </w:p>
          <w:p w14:paraId="450654DC" w14:textId="77777777" w:rsidR="00F813C3" w:rsidRPr="000D268C" w:rsidRDefault="00F813C3" w:rsidP="002C54BF">
            <w:pPr>
              <w:pStyle w:val="ListParagraph"/>
              <w:numPr>
                <w:ilvl w:val="0"/>
                <w:numId w:val="12"/>
              </w:num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cstheme="minorHAnsi"/>
                <w:i/>
                <w:iCs/>
                <w:lang w:val="en-GB"/>
              </w:rPr>
            </w:pPr>
            <w:r w:rsidRPr="000D268C">
              <w:rPr>
                <w:rFonts w:cstheme="minorHAnsi"/>
                <w:i/>
                <w:iCs/>
                <w:lang w:val="en-GB"/>
              </w:rPr>
              <w:t xml:space="preserve">ALDE (Group of the Alliance of Liberals and Democrats for Europe); </w:t>
            </w:r>
          </w:p>
          <w:p w14:paraId="1EF25490" w14:textId="77777777" w:rsidR="00F813C3" w:rsidRPr="000D268C" w:rsidRDefault="00F813C3" w:rsidP="002C54BF">
            <w:pPr>
              <w:pStyle w:val="ListParagraph"/>
              <w:numPr>
                <w:ilvl w:val="0"/>
                <w:numId w:val="12"/>
              </w:num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cstheme="minorHAnsi"/>
                <w:i/>
                <w:iCs/>
                <w:lang w:val="en-GB"/>
              </w:rPr>
            </w:pPr>
            <w:r w:rsidRPr="000D268C">
              <w:rPr>
                <w:rFonts w:cstheme="minorHAnsi"/>
                <w:i/>
                <w:iCs/>
                <w:lang w:val="en-GB"/>
              </w:rPr>
              <w:t>ECR (European Conservatives and Reformists Group);</w:t>
            </w:r>
          </w:p>
          <w:p w14:paraId="51A2ED95" w14:textId="77777777" w:rsidR="00F813C3" w:rsidRPr="000D268C" w:rsidRDefault="00F813C3" w:rsidP="002C54BF">
            <w:pPr>
              <w:pStyle w:val="ListParagraph"/>
              <w:numPr>
                <w:ilvl w:val="0"/>
                <w:numId w:val="12"/>
              </w:num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cstheme="minorHAnsi"/>
                <w:i/>
                <w:iCs/>
                <w:lang w:val="en-GB"/>
              </w:rPr>
            </w:pPr>
            <w:r w:rsidRPr="000D268C">
              <w:rPr>
                <w:rFonts w:cstheme="minorHAnsi"/>
                <w:i/>
                <w:iCs/>
                <w:lang w:val="en-GB"/>
              </w:rPr>
              <w:t>EFDD (Europe of Freedom and Direct Democracy Group);</w:t>
            </w:r>
          </w:p>
          <w:p w14:paraId="72813BBA" w14:textId="77777777" w:rsidR="00F813C3" w:rsidRPr="000D268C" w:rsidRDefault="00F813C3" w:rsidP="002C54BF">
            <w:pPr>
              <w:pStyle w:val="ListParagraph"/>
              <w:numPr>
                <w:ilvl w:val="0"/>
                <w:numId w:val="12"/>
              </w:num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cstheme="minorHAnsi"/>
                <w:i/>
                <w:iCs/>
                <w:lang w:val="en-GB"/>
              </w:rPr>
            </w:pPr>
            <w:r w:rsidRPr="000D268C">
              <w:rPr>
                <w:rFonts w:cstheme="minorHAnsi"/>
                <w:i/>
                <w:iCs/>
                <w:lang w:val="en-GB"/>
              </w:rPr>
              <w:t>ENF (Europe of Nations and Freedom);</w:t>
            </w:r>
          </w:p>
          <w:p w14:paraId="62DD3D2A" w14:textId="77777777" w:rsidR="00F813C3" w:rsidRPr="000D268C" w:rsidRDefault="00F813C3" w:rsidP="002C54BF">
            <w:pPr>
              <w:pStyle w:val="ListParagraph"/>
              <w:numPr>
                <w:ilvl w:val="0"/>
                <w:numId w:val="12"/>
              </w:num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cstheme="minorHAnsi"/>
                <w:i/>
                <w:iCs/>
                <w:lang w:val="en-GB"/>
              </w:rPr>
            </w:pPr>
            <w:r w:rsidRPr="000D268C">
              <w:rPr>
                <w:rFonts w:cstheme="minorHAnsi"/>
                <w:i/>
                <w:iCs/>
                <w:lang w:val="en-GB"/>
              </w:rPr>
              <w:t>EPP (Group of the European People’s Party);</w:t>
            </w:r>
          </w:p>
          <w:p w14:paraId="5C8051FE" w14:textId="77777777" w:rsidR="00F813C3" w:rsidRPr="000D268C" w:rsidRDefault="00F813C3" w:rsidP="002C54BF">
            <w:pPr>
              <w:pStyle w:val="ListParagraph"/>
              <w:numPr>
                <w:ilvl w:val="0"/>
                <w:numId w:val="12"/>
              </w:num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cstheme="minorHAnsi"/>
                <w:i/>
                <w:iCs/>
                <w:lang w:val="en-GB"/>
              </w:rPr>
            </w:pPr>
            <w:r w:rsidRPr="000D268C">
              <w:rPr>
                <w:rFonts w:cstheme="minorHAnsi"/>
                <w:i/>
                <w:iCs/>
                <w:lang w:val="en-GB"/>
              </w:rPr>
              <w:t xml:space="preserve">Greens/EFA (The Greens-European Free Alliance); </w:t>
            </w:r>
          </w:p>
          <w:p w14:paraId="41D66007" w14:textId="77777777" w:rsidR="00F813C3" w:rsidRPr="000D268C" w:rsidRDefault="00F813C3" w:rsidP="002C54BF">
            <w:pPr>
              <w:pStyle w:val="ListParagraph"/>
              <w:numPr>
                <w:ilvl w:val="0"/>
                <w:numId w:val="12"/>
              </w:num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cstheme="minorHAnsi"/>
                <w:i/>
                <w:iCs/>
                <w:lang w:val="en-GB"/>
              </w:rPr>
            </w:pPr>
            <w:r w:rsidRPr="000D268C">
              <w:rPr>
                <w:rFonts w:cstheme="minorHAnsi"/>
                <w:i/>
                <w:iCs/>
                <w:lang w:val="en-GB"/>
              </w:rPr>
              <w:t xml:space="preserve">GUE-NGL (Confederal Group of the European United Left-Nordic Green Left); </w:t>
            </w:r>
          </w:p>
          <w:p w14:paraId="582ED5D1" w14:textId="77777777" w:rsidR="00F813C3" w:rsidRPr="000D268C" w:rsidRDefault="00F813C3" w:rsidP="002C54BF">
            <w:pPr>
              <w:pStyle w:val="ListParagraph"/>
              <w:numPr>
                <w:ilvl w:val="0"/>
                <w:numId w:val="12"/>
              </w:num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cstheme="minorHAnsi"/>
                <w:i/>
                <w:iCs/>
                <w:lang w:val="en-GB"/>
              </w:rPr>
            </w:pPr>
            <w:r w:rsidRPr="000D268C">
              <w:rPr>
                <w:rFonts w:cstheme="minorHAnsi"/>
                <w:i/>
                <w:iCs/>
                <w:lang w:val="en-GB"/>
              </w:rPr>
              <w:t>S&amp;D (Group of the Progressive Alliance of Socialists and Democrats in the European Parliament.</w:t>
            </w:r>
          </w:p>
          <w:p w14:paraId="17CD94A3" w14:textId="77777777" w:rsidR="00F813C3" w:rsidRPr="000D268C" w:rsidRDefault="00F813C3" w:rsidP="002C54BF">
            <w:pPr>
              <w:pStyle w:val="ListParagraph"/>
              <w:numPr>
                <w:ilvl w:val="0"/>
                <w:numId w:val="12"/>
              </w:num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cstheme="minorHAnsi"/>
                <w:i/>
                <w:iCs/>
                <w:lang w:val="en-GB"/>
              </w:rPr>
            </w:pPr>
            <w:r w:rsidRPr="000D268C">
              <w:rPr>
                <w:rFonts w:cstheme="minorHAnsi"/>
                <w:i/>
                <w:iCs/>
                <w:lang w:val="en-GB"/>
              </w:rPr>
              <w:t>Non-affiliated members.</w:t>
            </w:r>
          </w:p>
          <w:p w14:paraId="44CBDF4C" w14:textId="77777777" w:rsidR="00F813C3" w:rsidRPr="000D268C" w:rsidRDefault="00F813C3" w:rsidP="002C54BF">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p w14:paraId="5C423548" w14:textId="77777777" w:rsidR="00F813C3" w:rsidRPr="000D268C" w:rsidRDefault="00F813C3" w:rsidP="002C54BF">
            <w:pPr>
              <w:autoSpaceDE w:val="0"/>
              <w:autoSpaceDN w:val="0"/>
              <w:adjustRightInd w:val="0"/>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These correspond to the list of political groups in the EP’s 8th parliamentary term (2014–2019).</w:t>
            </w:r>
          </w:p>
        </w:tc>
      </w:tr>
    </w:tbl>
    <w:p w14:paraId="553F6C75" w14:textId="731FCFAA" w:rsidR="00F813C3" w:rsidRPr="000D268C" w:rsidRDefault="00F813C3" w:rsidP="002C54BF">
      <w:pPr>
        <w:spacing w:before="360" w:line="480" w:lineRule="auto"/>
        <w:jc w:val="both"/>
        <w:rPr>
          <w:rFonts w:cstheme="minorHAnsi"/>
          <w:lang w:val="en-GB"/>
        </w:rPr>
      </w:pPr>
      <w:r w:rsidRPr="000D268C">
        <w:rPr>
          <w:rFonts w:cstheme="minorHAnsi"/>
          <w:lang w:val="en-GB"/>
        </w:rPr>
        <w:lastRenderedPageBreak/>
        <w:t xml:space="preserve">When it comes to answers, the categories </w:t>
      </w:r>
      <w:r w:rsidR="00355E94" w:rsidRPr="000D268C">
        <w:rPr>
          <w:rFonts w:cstheme="minorHAnsi"/>
          <w:lang w:val="en-GB"/>
        </w:rPr>
        <w:t>‘</w:t>
      </w:r>
      <w:r w:rsidRPr="000D268C">
        <w:rPr>
          <w:rFonts w:cstheme="minorHAnsi"/>
          <w:lang w:val="en-GB"/>
        </w:rPr>
        <w:t>nationality</w:t>
      </w:r>
      <w:r w:rsidR="00355E94" w:rsidRPr="000D268C">
        <w:rPr>
          <w:rFonts w:cstheme="minorHAnsi"/>
          <w:lang w:val="en-GB"/>
        </w:rPr>
        <w:t>’</w:t>
      </w:r>
      <w:r w:rsidRPr="000D268C">
        <w:rPr>
          <w:rFonts w:cstheme="minorHAnsi"/>
          <w:lang w:val="en-GB"/>
        </w:rPr>
        <w:t xml:space="preserve"> and </w:t>
      </w:r>
      <w:r w:rsidR="00355E94" w:rsidRPr="000D268C">
        <w:rPr>
          <w:rFonts w:cstheme="minorHAnsi"/>
          <w:lang w:val="en-GB"/>
        </w:rPr>
        <w:t>‘</w:t>
      </w:r>
      <w:r w:rsidRPr="000D268C">
        <w:rPr>
          <w:rFonts w:cstheme="minorHAnsi"/>
          <w:lang w:val="en-GB"/>
        </w:rPr>
        <w:t>political groups</w:t>
      </w:r>
      <w:r w:rsidR="00355E94" w:rsidRPr="000D268C">
        <w:rPr>
          <w:rFonts w:cstheme="minorHAnsi"/>
          <w:lang w:val="en-GB"/>
        </w:rPr>
        <w:t>’</w:t>
      </w:r>
      <w:r w:rsidRPr="000D268C">
        <w:rPr>
          <w:rFonts w:cstheme="minorHAnsi"/>
          <w:lang w:val="en-GB"/>
        </w:rPr>
        <w:t xml:space="preserve"> do not apply because ECB officials are technocrats appointed for longer time periods. Under the circumstances, only their function within the institution is relevant.</w:t>
      </w:r>
    </w:p>
    <w:p w14:paraId="7D30A7A1" w14:textId="77777777" w:rsidR="00F813C3" w:rsidRPr="000D268C" w:rsidRDefault="00F813C3" w:rsidP="002C54BF">
      <w:pPr>
        <w:spacing w:line="480" w:lineRule="auto"/>
        <w:jc w:val="both"/>
        <w:rPr>
          <w:rFonts w:cstheme="minorHAnsi"/>
          <w:lang w:val="en-GB"/>
        </w:rPr>
      </w:pPr>
    </w:p>
    <w:p w14:paraId="4E9BD79B" w14:textId="1028BEB7" w:rsidR="00F813C3" w:rsidRPr="000D268C" w:rsidRDefault="00F813C3" w:rsidP="002C54BF">
      <w:pPr>
        <w:pStyle w:val="Heading3"/>
        <w:numPr>
          <w:ilvl w:val="0"/>
          <w:numId w:val="23"/>
        </w:numPr>
        <w:spacing w:line="480" w:lineRule="auto"/>
        <w:rPr>
          <w:rFonts w:asciiTheme="minorHAnsi" w:hAnsiTheme="minorHAnsi" w:cstheme="minorHAnsi"/>
          <w:color w:val="auto"/>
          <w:lang w:val="en-GB"/>
        </w:rPr>
      </w:pPr>
      <w:bookmarkStart w:id="10" w:name="_Toc45885403"/>
      <w:r w:rsidRPr="000D268C">
        <w:rPr>
          <w:rFonts w:asciiTheme="minorHAnsi" w:hAnsiTheme="minorHAnsi" w:cstheme="minorHAnsi"/>
          <w:color w:val="auto"/>
          <w:lang w:val="en-GB"/>
        </w:rPr>
        <w:t>Addressee</w:t>
      </w:r>
      <w:bookmarkEnd w:id="10"/>
    </w:p>
    <w:p w14:paraId="4BAB228F" w14:textId="6AFD281F" w:rsidR="00F813C3" w:rsidRPr="000D268C" w:rsidRDefault="00F813C3" w:rsidP="002C54BF">
      <w:pPr>
        <w:spacing w:line="480" w:lineRule="auto"/>
        <w:jc w:val="both"/>
        <w:rPr>
          <w:rFonts w:cstheme="minorHAnsi"/>
          <w:lang w:val="en-GB"/>
        </w:rPr>
      </w:pPr>
      <w:r w:rsidRPr="000D268C">
        <w:rPr>
          <w:rFonts w:cstheme="minorHAnsi"/>
          <w:lang w:val="en-GB"/>
        </w:rPr>
        <w:t xml:space="preserve">The variable </w:t>
      </w:r>
      <w:r w:rsidR="00355E94" w:rsidRPr="000D268C">
        <w:rPr>
          <w:rFonts w:cstheme="minorHAnsi"/>
          <w:lang w:val="en-GB"/>
        </w:rPr>
        <w:t>‘</w:t>
      </w:r>
      <w:r w:rsidRPr="000D268C">
        <w:rPr>
          <w:rFonts w:cstheme="minorHAnsi"/>
          <w:lang w:val="en-GB"/>
        </w:rPr>
        <w:t>Addressee</w:t>
      </w:r>
      <w:r w:rsidR="00355E94" w:rsidRPr="000D268C">
        <w:rPr>
          <w:rFonts w:cstheme="minorHAnsi"/>
          <w:lang w:val="en-GB"/>
        </w:rPr>
        <w:t>’</w:t>
      </w:r>
      <w:r w:rsidRPr="000D268C">
        <w:rPr>
          <w:rFonts w:cstheme="minorHAnsi"/>
          <w:lang w:val="en-GB"/>
        </w:rPr>
        <w:t xml:space="preserve"> corresponds to the </w:t>
      </w:r>
      <w:r w:rsidR="00355E94" w:rsidRPr="000D268C">
        <w:rPr>
          <w:rFonts w:cstheme="minorHAnsi"/>
          <w:lang w:val="en-GB"/>
        </w:rPr>
        <w:t>‘</w:t>
      </w:r>
      <w:r w:rsidRPr="000D268C">
        <w:rPr>
          <w:rFonts w:cstheme="minorHAnsi"/>
          <w:lang w:val="en-GB"/>
        </w:rPr>
        <w:t>Claimant</w:t>
      </w:r>
      <w:r w:rsidR="00355E94" w:rsidRPr="000D268C">
        <w:rPr>
          <w:rFonts w:cstheme="minorHAnsi"/>
          <w:lang w:val="en-GB"/>
        </w:rPr>
        <w:t>’</w:t>
      </w:r>
      <w:r w:rsidRPr="000D268C">
        <w:rPr>
          <w:rFonts w:cstheme="minorHAnsi"/>
          <w:lang w:val="en-GB"/>
        </w:rPr>
        <w:t xml:space="preserve">, following an inverse logic: addressees of questions are the same executive actors coded as </w:t>
      </w:r>
      <w:r w:rsidR="00355E94" w:rsidRPr="000D268C">
        <w:rPr>
          <w:rFonts w:cstheme="minorHAnsi"/>
          <w:lang w:val="en-GB"/>
        </w:rPr>
        <w:t>‘</w:t>
      </w:r>
      <w:r w:rsidRPr="000D268C">
        <w:rPr>
          <w:rFonts w:cstheme="minorHAnsi"/>
          <w:lang w:val="en-GB"/>
        </w:rPr>
        <w:t>claimants</w:t>
      </w:r>
      <w:r w:rsidR="00355E94" w:rsidRPr="000D268C">
        <w:rPr>
          <w:rFonts w:cstheme="minorHAnsi"/>
          <w:lang w:val="en-GB"/>
        </w:rPr>
        <w:t>’</w:t>
      </w:r>
      <w:r w:rsidRPr="000D268C">
        <w:rPr>
          <w:rFonts w:cstheme="minorHAnsi"/>
          <w:lang w:val="en-GB"/>
        </w:rPr>
        <w:t xml:space="preserve"> in the case of answers, while addressees of answers are the same parliamentary officials coded as </w:t>
      </w:r>
      <w:r w:rsidR="00355E94" w:rsidRPr="000D268C">
        <w:rPr>
          <w:rFonts w:cstheme="minorHAnsi"/>
          <w:lang w:val="en-GB"/>
        </w:rPr>
        <w:t>‘</w:t>
      </w:r>
      <w:r w:rsidRPr="000D268C">
        <w:rPr>
          <w:rFonts w:cstheme="minorHAnsi"/>
          <w:lang w:val="en-GB"/>
        </w:rPr>
        <w:t>claimants</w:t>
      </w:r>
      <w:r w:rsidR="00355E94" w:rsidRPr="000D268C">
        <w:rPr>
          <w:rFonts w:cstheme="minorHAnsi"/>
          <w:lang w:val="en-GB"/>
        </w:rPr>
        <w:t>’</w:t>
      </w:r>
      <w:r w:rsidRPr="000D268C">
        <w:rPr>
          <w:rFonts w:cstheme="minorHAnsi"/>
          <w:lang w:val="en-GB"/>
        </w:rPr>
        <w:t xml:space="preserve"> in the case of questions. </w:t>
      </w:r>
    </w:p>
    <w:tbl>
      <w:tblPr>
        <w:tblStyle w:val="GridTable5Dark-Accent3"/>
        <w:tblW w:w="0" w:type="auto"/>
        <w:tblBorders>
          <w:insideH w:val="single" w:sz="4" w:space="0" w:color="auto"/>
          <w:insideV w:val="single" w:sz="4" w:space="0" w:color="auto"/>
        </w:tblBorders>
        <w:shd w:val="clear" w:color="auto" w:fill="D9D9D9" w:themeFill="background1" w:themeFillShade="D9"/>
        <w:tblLook w:val="04A0" w:firstRow="1" w:lastRow="0" w:firstColumn="1" w:lastColumn="0" w:noHBand="0" w:noVBand="1"/>
      </w:tblPr>
      <w:tblGrid>
        <w:gridCol w:w="3539"/>
        <w:gridCol w:w="5517"/>
      </w:tblGrid>
      <w:tr w:rsidR="002C54BF" w:rsidRPr="000D268C" w14:paraId="2E302214" w14:textId="77777777" w:rsidTr="00F813C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56" w:type="dxa"/>
            <w:gridSpan w:val="2"/>
            <w:shd w:val="clear" w:color="auto" w:fill="auto"/>
          </w:tcPr>
          <w:p w14:paraId="7F59AC33" w14:textId="77777777" w:rsidR="00F813C3" w:rsidRPr="000D268C" w:rsidRDefault="00F813C3" w:rsidP="002C54BF">
            <w:pPr>
              <w:jc w:val="both"/>
              <w:rPr>
                <w:rFonts w:cstheme="minorHAnsi"/>
                <w:b w:val="0"/>
                <w:bCs w:val="0"/>
                <w:i/>
                <w:iCs/>
                <w:color w:val="auto"/>
                <w:lang w:val="en-GB"/>
              </w:rPr>
            </w:pPr>
            <w:r w:rsidRPr="000D268C">
              <w:rPr>
                <w:rFonts w:cstheme="minorHAnsi"/>
                <w:i/>
                <w:iCs/>
                <w:color w:val="auto"/>
                <w:lang w:val="en-GB"/>
              </w:rPr>
              <w:t>For questions</w:t>
            </w:r>
          </w:p>
        </w:tc>
      </w:tr>
      <w:tr w:rsidR="00F813C3" w:rsidRPr="000D268C" w14:paraId="3E7504CB"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0798355B" w14:textId="77777777" w:rsidR="00F813C3" w:rsidRPr="000D268C" w:rsidRDefault="00F813C3" w:rsidP="002C54BF">
            <w:pPr>
              <w:rPr>
                <w:rFonts w:cstheme="minorHAnsi"/>
                <w:color w:val="auto"/>
                <w:lang w:val="en-GB"/>
              </w:rPr>
            </w:pPr>
            <w:r w:rsidRPr="000D268C">
              <w:rPr>
                <w:rFonts w:cstheme="minorHAnsi"/>
                <w:color w:val="auto"/>
                <w:lang w:val="en-GB"/>
              </w:rPr>
              <w:t xml:space="preserve">Addressee </w:t>
            </w:r>
            <w:proofErr w:type="spellStart"/>
            <w:r w:rsidRPr="000D268C">
              <w:rPr>
                <w:rFonts w:cstheme="minorHAnsi"/>
                <w:color w:val="auto"/>
                <w:lang w:val="en-GB"/>
              </w:rPr>
              <w:t>function_ECB</w:t>
            </w:r>
            <w:proofErr w:type="spellEnd"/>
            <w:r w:rsidRPr="000D268C">
              <w:rPr>
                <w:rFonts w:cstheme="minorHAnsi"/>
                <w:color w:val="auto"/>
                <w:lang w:val="en-GB"/>
              </w:rPr>
              <w:t xml:space="preserve"> _President </w:t>
            </w:r>
          </w:p>
        </w:tc>
        <w:tc>
          <w:tcPr>
            <w:tcW w:w="5517" w:type="dxa"/>
            <w:shd w:val="clear" w:color="auto" w:fill="auto"/>
          </w:tcPr>
          <w:p w14:paraId="7543A099"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Applied to questions addressed to the President of the European Central Bank.</w:t>
            </w:r>
          </w:p>
        </w:tc>
      </w:tr>
      <w:tr w:rsidR="00F813C3" w:rsidRPr="000D268C" w14:paraId="2C675A16" w14:textId="77777777" w:rsidTr="00F813C3">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2A45B949" w14:textId="77777777" w:rsidR="00F813C3" w:rsidRPr="000D268C" w:rsidRDefault="00F813C3" w:rsidP="002C54BF">
            <w:pPr>
              <w:rPr>
                <w:rFonts w:cstheme="minorHAnsi"/>
                <w:color w:val="auto"/>
                <w:lang w:val="en-GB"/>
              </w:rPr>
            </w:pPr>
            <w:r w:rsidRPr="000D268C">
              <w:rPr>
                <w:rFonts w:cstheme="minorHAnsi"/>
                <w:color w:val="auto"/>
                <w:lang w:val="en-GB"/>
              </w:rPr>
              <w:t xml:space="preserve">Addressee </w:t>
            </w:r>
            <w:proofErr w:type="spellStart"/>
            <w:r w:rsidRPr="000D268C">
              <w:rPr>
                <w:rFonts w:cstheme="minorHAnsi"/>
                <w:color w:val="auto"/>
                <w:lang w:val="en-GB"/>
              </w:rPr>
              <w:t>function_ECB_Chair</w:t>
            </w:r>
            <w:proofErr w:type="spellEnd"/>
            <w:r w:rsidRPr="000D268C">
              <w:rPr>
                <w:rFonts w:cstheme="minorHAnsi"/>
                <w:color w:val="auto"/>
                <w:lang w:val="en-GB"/>
              </w:rPr>
              <w:t xml:space="preserve"> of the Supervisory Board</w:t>
            </w:r>
          </w:p>
        </w:tc>
        <w:tc>
          <w:tcPr>
            <w:tcW w:w="5517" w:type="dxa"/>
            <w:shd w:val="clear" w:color="auto" w:fill="auto"/>
          </w:tcPr>
          <w:p w14:paraId="4FE201AE" w14:textId="77777777"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Applied to questions addressed to the Chair of the Supervisory Board of the European Central Bank.</w:t>
            </w:r>
          </w:p>
        </w:tc>
      </w:tr>
      <w:tr w:rsidR="00F813C3" w:rsidRPr="000D268C" w14:paraId="4C8DE13F"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13F7CAB9" w14:textId="77777777" w:rsidR="00F813C3" w:rsidRPr="000D268C" w:rsidRDefault="00F813C3" w:rsidP="002C54BF">
            <w:pPr>
              <w:rPr>
                <w:rFonts w:cstheme="minorHAnsi"/>
                <w:color w:val="auto"/>
                <w:lang w:val="en-GB"/>
              </w:rPr>
            </w:pPr>
            <w:r w:rsidRPr="000D268C">
              <w:rPr>
                <w:rFonts w:cstheme="minorHAnsi"/>
                <w:color w:val="auto"/>
                <w:lang w:val="en-GB"/>
              </w:rPr>
              <w:t xml:space="preserve">Addressee </w:t>
            </w:r>
            <w:proofErr w:type="spellStart"/>
            <w:r w:rsidRPr="000D268C">
              <w:rPr>
                <w:rFonts w:cstheme="minorHAnsi"/>
                <w:color w:val="auto"/>
                <w:lang w:val="en-GB"/>
              </w:rPr>
              <w:t>function_ECB_Vice</w:t>
            </w:r>
            <w:proofErr w:type="spellEnd"/>
            <w:r w:rsidRPr="000D268C">
              <w:rPr>
                <w:rFonts w:cstheme="minorHAnsi"/>
                <w:color w:val="auto"/>
                <w:lang w:val="en-GB"/>
              </w:rPr>
              <w:t>-Chair of the Supervisory Board</w:t>
            </w:r>
          </w:p>
        </w:tc>
        <w:tc>
          <w:tcPr>
            <w:tcW w:w="5517" w:type="dxa"/>
            <w:shd w:val="clear" w:color="auto" w:fill="auto"/>
          </w:tcPr>
          <w:p w14:paraId="2428CEAF"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Applied to questions addressed to the Vice-Chair of the Supervisory Board of the European Central Bank.</w:t>
            </w:r>
          </w:p>
        </w:tc>
      </w:tr>
      <w:tr w:rsidR="00F813C3" w:rsidRPr="000D268C" w14:paraId="7AAEFD04" w14:textId="77777777" w:rsidTr="00F813C3">
        <w:tc>
          <w:tcPr>
            <w:cnfStyle w:val="001000000000" w:firstRow="0" w:lastRow="0" w:firstColumn="1" w:lastColumn="0" w:oddVBand="0" w:evenVBand="0" w:oddHBand="0" w:evenHBand="0" w:firstRowFirstColumn="0" w:firstRowLastColumn="0" w:lastRowFirstColumn="0" w:lastRowLastColumn="0"/>
            <w:tcW w:w="9056" w:type="dxa"/>
            <w:gridSpan w:val="2"/>
            <w:tcBorders>
              <w:left w:val="none" w:sz="0" w:space="0" w:color="auto"/>
            </w:tcBorders>
            <w:shd w:val="clear" w:color="auto" w:fill="auto"/>
          </w:tcPr>
          <w:p w14:paraId="7A070746" w14:textId="77777777" w:rsidR="00F813C3" w:rsidRPr="000D268C" w:rsidRDefault="00F813C3" w:rsidP="002C54BF">
            <w:pPr>
              <w:rPr>
                <w:rFonts w:cstheme="minorHAnsi"/>
                <w:b w:val="0"/>
                <w:bCs w:val="0"/>
                <w:i/>
                <w:iCs/>
                <w:color w:val="auto"/>
                <w:lang w:val="en-GB"/>
              </w:rPr>
            </w:pPr>
            <w:r w:rsidRPr="000D268C">
              <w:rPr>
                <w:rFonts w:cstheme="minorHAnsi"/>
                <w:i/>
                <w:iCs/>
                <w:color w:val="auto"/>
                <w:lang w:val="en-GB"/>
              </w:rPr>
              <w:t>For answers</w:t>
            </w:r>
          </w:p>
        </w:tc>
      </w:tr>
      <w:tr w:rsidR="00F813C3" w:rsidRPr="000D268C" w14:paraId="30AB4735"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262D7492" w14:textId="77777777" w:rsidR="00F813C3" w:rsidRPr="000D268C" w:rsidRDefault="00F813C3" w:rsidP="002C54BF">
            <w:pPr>
              <w:rPr>
                <w:rFonts w:cstheme="minorHAnsi"/>
                <w:color w:val="auto"/>
                <w:lang w:val="en-GB"/>
              </w:rPr>
            </w:pPr>
            <w:r w:rsidRPr="000D268C">
              <w:rPr>
                <w:rFonts w:cstheme="minorHAnsi"/>
                <w:color w:val="auto"/>
                <w:lang w:val="en-GB"/>
              </w:rPr>
              <w:t xml:space="preserve">Addressee </w:t>
            </w:r>
            <w:proofErr w:type="spellStart"/>
            <w:r w:rsidRPr="000D268C">
              <w:rPr>
                <w:rFonts w:cstheme="minorHAnsi"/>
                <w:color w:val="auto"/>
                <w:lang w:val="en-GB"/>
              </w:rPr>
              <w:t>function_EP_ECON</w:t>
            </w:r>
            <w:proofErr w:type="spellEnd"/>
            <w:r w:rsidRPr="000D268C">
              <w:rPr>
                <w:rFonts w:cstheme="minorHAnsi"/>
                <w:color w:val="auto"/>
                <w:lang w:val="en-GB"/>
              </w:rPr>
              <w:t xml:space="preserve">  </w:t>
            </w:r>
          </w:p>
        </w:tc>
        <w:tc>
          <w:tcPr>
            <w:tcW w:w="5517" w:type="dxa"/>
            <w:shd w:val="clear" w:color="auto" w:fill="auto"/>
          </w:tcPr>
          <w:p w14:paraId="38DDD118"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Applied to answers addressed to the European Parliament’s (EP) Economic and Monetary Affairs Committee (ECON).</w:t>
            </w:r>
          </w:p>
        </w:tc>
      </w:tr>
      <w:tr w:rsidR="00F813C3" w:rsidRPr="000D268C" w14:paraId="7328FF7E" w14:textId="77777777" w:rsidTr="00F813C3">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35D78CA7" w14:textId="77777777" w:rsidR="00F813C3" w:rsidRPr="000D268C" w:rsidRDefault="00F813C3" w:rsidP="002C54BF">
            <w:pPr>
              <w:rPr>
                <w:rFonts w:cstheme="minorHAnsi"/>
                <w:color w:val="auto"/>
                <w:lang w:val="en-GB"/>
              </w:rPr>
            </w:pPr>
            <w:r w:rsidRPr="000D268C">
              <w:rPr>
                <w:rFonts w:cstheme="minorHAnsi"/>
                <w:color w:val="auto"/>
                <w:lang w:val="en-GB"/>
              </w:rPr>
              <w:t xml:space="preserve">Addressee </w:t>
            </w:r>
            <w:proofErr w:type="spellStart"/>
            <w:r w:rsidRPr="000D268C">
              <w:rPr>
                <w:rFonts w:cstheme="minorHAnsi"/>
                <w:color w:val="auto"/>
                <w:lang w:val="en-GB"/>
              </w:rPr>
              <w:t>function_EP_MEP</w:t>
            </w:r>
            <w:proofErr w:type="spellEnd"/>
            <w:r w:rsidRPr="000D268C">
              <w:rPr>
                <w:rFonts w:cstheme="minorHAnsi"/>
                <w:color w:val="auto"/>
                <w:lang w:val="en-GB"/>
              </w:rPr>
              <w:t xml:space="preserve">(s)  </w:t>
            </w:r>
          </w:p>
        </w:tc>
        <w:tc>
          <w:tcPr>
            <w:tcW w:w="5517" w:type="dxa"/>
            <w:shd w:val="clear" w:color="auto" w:fill="auto"/>
          </w:tcPr>
          <w:p w14:paraId="293BB8B0" w14:textId="77777777"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Applied to answers addressed to individual or groups of Members of the European Parliament (MEPs).</w:t>
            </w:r>
          </w:p>
        </w:tc>
      </w:tr>
      <w:tr w:rsidR="00F813C3" w:rsidRPr="000D268C" w14:paraId="022C5AC2"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bottom w:val="none" w:sz="0" w:space="0" w:color="auto"/>
            </w:tcBorders>
            <w:shd w:val="clear" w:color="auto" w:fill="D9D9D9" w:themeFill="background1" w:themeFillShade="D9"/>
          </w:tcPr>
          <w:p w14:paraId="06DE7086" w14:textId="77777777" w:rsidR="00F813C3" w:rsidRPr="000D268C" w:rsidRDefault="00F813C3" w:rsidP="002C54BF">
            <w:pPr>
              <w:rPr>
                <w:rFonts w:cstheme="minorHAnsi"/>
                <w:color w:val="auto"/>
                <w:lang w:val="en-GB"/>
              </w:rPr>
            </w:pPr>
            <w:r w:rsidRPr="000D268C">
              <w:rPr>
                <w:rFonts w:cstheme="minorHAnsi"/>
                <w:color w:val="auto"/>
                <w:lang w:val="en-GB"/>
              </w:rPr>
              <w:t xml:space="preserve">Addressee </w:t>
            </w:r>
            <w:proofErr w:type="spellStart"/>
            <w:r w:rsidRPr="000D268C">
              <w:rPr>
                <w:rFonts w:cstheme="minorHAnsi"/>
                <w:color w:val="auto"/>
                <w:lang w:val="en-GB"/>
              </w:rPr>
              <w:t>function_EP</w:t>
            </w:r>
            <w:proofErr w:type="spellEnd"/>
            <w:r w:rsidRPr="000D268C">
              <w:rPr>
                <w:rFonts w:cstheme="minorHAnsi"/>
                <w:color w:val="auto"/>
                <w:lang w:val="en-GB"/>
              </w:rPr>
              <w:t xml:space="preserve"> _President</w:t>
            </w:r>
          </w:p>
        </w:tc>
        <w:tc>
          <w:tcPr>
            <w:tcW w:w="5517" w:type="dxa"/>
            <w:shd w:val="clear" w:color="auto" w:fill="auto"/>
          </w:tcPr>
          <w:p w14:paraId="1E8F7FF3"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Applied to answers addressed to the President of the European Parliament.</w:t>
            </w:r>
          </w:p>
        </w:tc>
      </w:tr>
    </w:tbl>
    <w:p w14:paraId="7AA270E8" w14:textId="0ED98A36" w:rsidR="00F813C3" w:rsidRPr="000D268C" w:rsidRDefault="00F813C3" w:rsidP="002C54BF">
      <w:pPr>
        <w:spacing w:before="240" w:line="480" w:lineRule="auto"/>
        <w:jc w:val="both"/>
        <w:rPr>
          <w:rFonts w:cstheme="minorHAnsi"/>
          <w:lang w:val="en-GB"/>
        </w:rPr>
      </w:pPr>
      <w:r w:rsidRPr="000D268C">
        <w:rPr>
          <w:rFonts w:cstheme="minorHAnsi"/>
          <w:lang w:val="en-GB"/>
        </w:rPr>
        <w:t xml:space="preserve">Typically, the nationality and political affiliation of addressees is included in the analysis, but this is unnecessary here because only MEPs have a [relevant] nationality and political affiliation, and these were already coded under </w:t>
      </w:r>
      <w:r w:rsidR="00355E94" w:rsidRPr="000D268C">
        <w:rPr>
          <w:rFonts w:cstheme="minorHAnsi"/>
          <w:lang w:val="en-GB"/>
        </w:rPr>
        <w:t>‘</w:t>
      </w:r>
      <w:r w:rsidRPr="000D268C">
        <w:rPr>
          <w:rFonts w:cstheme="minorHAnsi"/>
          <w:lang w:val="en-GB"/>
        </w:rPr>
        <w:t>claimant.</w:t>
      </w:r>
      <w:r w:rsidR="00355E94" w:rsidRPr="000D268C">
        <w:rPr>
          <w:rFonts w:cstheme="minorHAnsi"/>
          <w:lang w:val="en-GB"/>
        </w:rPr>
        <w:t>’</w:t>
      </w:r>
    </w:p>
    <w:p w14:paraId="44D26979" w14:textId="77777777" w:rsidR="00F813C3" w:rsidRPr="000D268C" w:rsidRDefault="00F813C3" w:rsidP="002C54BF">
      <w:pPr>
        <w:spacing w:line="480" w:lineRule="auto"/>
        <w:jc w:val="both"/>
        <w:rPr>
          <w:rFonts w:cstheme="minorHAnsi"/>
          <w:lang w:val="en-GB"/>
        </w:rPr>
      </w:pPr>
    </w:p>
    <w:p w14:paraId="572514CE" w14:textId="5CB8B56A" w:rsidR="00F813C3" w:rsidRPr="000D268C" w:rsidRDefault="00F813C3" w:rsidP="002C54BF">
      <w:pPr>
        <w:pStyle w:val="Heading3"/>
        <w:numPr>
          <w:ilvl w:val="0"/>
          <w:numId w:val="23"/>
        </w:numPr>
        <w:spacing w:line="480" w:lineRule="auto"/>
        <w:rPr>
          <w:rFonts w:asciiTheme="minorHAnsi" w:hAnsiTheme="minorHAnsi" w:cstheme="minorHAnsi"/>
          <w:color w:val="auto"/>
          <w:lang w:val="en-GB"/>
        </w:rPr>
      </w:pPr>
      <w:bookmarkStart w:id="11" w:name="_Toc45885404"/>
      <w:r w:rsidRPr="000D268C">
        <w:rPr>
          <w:rFonts w:asciiTheme="minorHAnsi" w:hAnsiTheme="minorHAnsi" w:cstheme="minorHAnsi"/>
          <w:color w:val="auto"/>
          <w:lang w:val="en-GB"/>
        </w:rPr>
        <w:t>Issue</w:t>
      </w:r>
      <w:bookmarkEnd w:id="11"/>
    </w:p>
    <w:p w14:paraId="449C1879" w14:textId="605BD07F" w:rsidR="00F813C3" w:rsidRPr="000D268C" w:rsidRDefault="00F813C3" w:rsidP="002C54BF">
      <w:pPr>
        <w:spacing w:line="480" w:lineRule="auto"/>
        <w:jc w:val="both"/>
        <w:rPr>
          <w:rFonts w:cstheme="minorHAnsi"/>
          <w:lang w:val="en-GB"/>
        </w:rPr>
      </w:pPr>
      <w:r w:rsidRPr="000D268C">
        <w:rPr>
          <w:rFonts w:cstheme="minorHAnsi"/>
          <w:lang w:val="en-GB"/>
        </w:rPr>
        <w:t xml:space="preserve">The variable ‘Issue’ refers to specific policy areas in which </w:t>
      </w:r>
      <w:r w:rsidR="00720ABA" w:rsidRPr="000D268C">
        <w:rPr>
          <w:rFonts w:cstheme="minorHAnsi"/>
          <w:lang w:val="en-GB"/>
        </w:rPr>
        <w:t>legislative oversight</w:t>
      </w:r>
      <w:r w:rsidRPr="000D268C">
        <w:rPr>
          <w:rFonts w:cstheme="minorHAnsi"/>
          <w:lang w:val="en-GB"/>
        </w:rPr>
        <w:t xml:space="preserve"> can be exercised. Depending on the interest of the researcher, issues can be identified broadly (</w:t>
      </w:r>
      <w:r w:rsidR="00355E94" w:rsidRPr="000D268C">
        <w:rPr>
          <w:rFonts w:cstheme="minorHAnsi"/>
          <w:lang w:val="en-GB"/>
        </w:rPr>
        <w:t>‘</w:t>
      </w:r>
      <w:r w:rsidRPr="000D268C">
        <w:rPr>
          <w:rFonts w:cstheme="minorHAnsi"/>
          <w:lang w:val="en-GB"/>
        </w:rPr>
        <w:t xml:space="preserve">the </w:t>
      </w:r>
      <w:r w:rsidRPr="000D268C">
        <w:rPr>
          <w:rFonts w:cstheme="minorHAnsi"/>
          <w:lang w:val="en-GB"/>
        </w:rPr>
        <w:lastRenderedPageBreak/>
        <w:t>economy</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migration</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defence</w:t>
      </w:r>
      <w:r w:rsidR="00355E94" w:rsidRPr="000D268C">
        <w:rPr>
          <w:rFonts w:cstheme="minorHAnsi"/>
          <w:lang w:val="en-GB"/>
        </w:rPr>
        <w:t>’</w:t>
      </w:r>
      <w:r w:rsidRPr="000D268C">
        <w:rPr>
          <w:rFonts w:cstheme="minorHAnsi"/>
          <w:lang w:val="en-GB"/>
        </w:rPr>
        <w:t>) or narrowly (</w:t>
      </w:r>
      <w:r w:rsidR="00355E94" w:rsidRPr="000D268C">
        <w:rPr>
          <w:rFonts w:cstheme="minorHAnsi"/>
          <w:lang w:val="en-GB"/>
        </w:rPr>
        <w:t>‘</w:t>
      </w:r>
      <w:r w:rsidRPr="000D268C">
        <w:rPr>
          <w:rFonts w:cstheme="minorHAnsi"/>
          <w:lang w:val="en-GB"/>
        </w:rPr>
        <w:t>financial stability</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refugee relocation</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EU army</w:t>
      </w:r>
      <w:r w:rsidR="00355E94" w:rsidRPr="000D268C">
        <w:rPr>
          <w:rFonts w:cstheme="minorHAnsi"/>
          <w:lang w:val="en-GB"/>
        </w:rPr>
        <w:t>’</w:t>
      </w:r>
      <w:r w:rsidRPr="000D268C">
        <w:rPr>
          <w:rFonts w:cstheme="minorHAnsi"/>
          <w:lang w:val="en-GB"/>
        </w:rPr>
        <w:t xml:space="preserve"> etc). </w:t>
      </w:r>
    </w:p>
    <w:p w14:paraId="3363BA8A" w14:textId="18F598D7" w:rsidR="00F813C3" w:rsidRPr="000D268C" w:rsidRDefault="00F813C3" w:rsidP="002C54BF">
      <w:pPr>
        <w:spacing w:line="480" w:lineRule="auto"/>
        <w:ind w:firstLine="720"/>
        <w:jc w:val="both"/>
        <w:rPr>
          <w:rFonts w:cstheme="minorHAnsi"/>
          <w:lang w:val="en-GB"/>
        </w:rPr>
      </w:pPr>
      <w:r w:rsidRPr="000D268C">
        <w:rPr>
          <w:rFonts w:cstheme="minorHAnsi"/>
          <w:lang w:val="en-GB"/>
        </w:rPr>
        <w:t>In the case study presented, the policy area is banking supervision, so codes were assigned to sub-issues inductively, as they came out of the analysis. The topics correspond to the mainstream issues in EU banking supervision in the period under focus, as follows:</w:t>
      </w:r>
    </w:p>
    <w:tbl>
      <w:tblPr>
        <w:tblStyle w:val="GridTable5Dark-Accent3"/>
        <w:tblW w:w="0" w:type="auto"/>
        <w:tblBorders>
          <w:insideH w:val="single" w:sz="4" w:space="0" w:color="auto"/>
          <w:insideV w:val="single" w:sz="4" w:space="0" w:color="auto"/>
        </w:tblBorders>
        <w:tblLook w:val="04A0" w:firstRow="1" w:lastRow="0" w:firstColumn="1" w:lastColumn="0" w:noHBand="0" w:noVBand="1"/>
      </w:tblPr>
      <w:tblGrid>
        <w:gridCol w:w="3256"/>
        <w:gridCol w:w="5800"/>
      </w:tblGrid>
      <w:tr w:rsidR="002C54BF" w:rsidRPr="000D268C" w14:paraId="30CF8E35" w14:textId="77777777" w:rsidTr="00F813C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56" w:type="dxa"/>
            <w:gridSpan w:val="2"/>
            <w:shd w:val="clear" w:color="auto" w:fill="auto"/>
          </w:tcPr>
          <w:p w14:paraId="13F81F25" w14:textId="77777777" w:rsidR="00F813C3" w:rsidRPr="000D268C" w:rsidRDefault="00F813C3" w:rsidP="002C54BF">
            <w:pPr>
              <w:pStyle w:val="FootnoteText"/>
              <w:rPr>
                <w:rFonts w:asciiTheme="minorHAnsi" w:hAnsiTheme="minorHAnsi" w:cstheme="minorHAnsi"/>
                <w:color w:val="auto"/>
                <w:sz w:val="24"/>
                <w:szCs w:val="24"/>
                <w:lang w:val="en-GB"/>
              </w:rPr>
            </w:pPr>
            <w:r w:rsidRPr="000D268C">
              <w:rPr>
                <w:rFonts w:asciiTheme="minorHAnsi" w:hAnsiTheme="minorHAnsi" w:cstheme="minorHAnsi"/>
                <w:color w:val="auto"/>
                <w:sz w:val="24"/>
                <w:szCs w:val="24"/>
                <w:lang w:val="en-GB"/>
              </w:rPr>
              <w:t>For questions and answers</w:t>
            </w:r>
          </w:p>
        </w:tc>
      </w:tr>
      <w:tr w:rsidR="00F813C3" w:rsidRPr="000D268C" w14:paraId="1D4EBE72"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Borders>
              <w:left w:val="none" w:sz="0" w:space="0" w:color="auto"/>
            </w:tcBorders>
            <w:shd w:val="clear" w:color="auto" w:fill="D9D9D9" w:themeFill="background1" w:themeFillShade="D9"/>
          </w:tcPr>
          <w:p w14:paraId="258F50D6" w14:textId="77777777" w:rsidR="00F813C3" w:rsidRPr="000D268C" w:rsidRDefault="00F813C3" w:rsidP="002C54BF">
            <w:pPr>
              <w:rPr>
                <w:rFonts w:cstheme="minorHAnsi"/>
                <w:color w:val="auto"/>
                <w:lang w:val="en-GB"/>
              </w:rPr>
            </w:pPr>
            <w:proofErr w:type="spellStart"/>
            <w:r w:rsidRPr="000D268C">
              <w:rPr>
                <w:rFonts w:cstheme="minorHAnsi"/>
                <w:color w:val="auto"/>
                <w:lang w:val="en-GB"/>
              </w:rPr>
              <w:t>Issue_Comprehensive</w:t>
            </w:r>
            <w:proofErr w:type="spellEnd"/>
            <w:r w:rsidRPr="000D268C">
              <w:rPr>
                <w:rFonts w:cstheme="minorHAnsi"/>
                <w:color w:val="auto"/>
                <w:lang w:val="en-GB"/>
              </w:rPr>
              <w:t xml:space="preserve"> Assessment </w:t>
            </w:r>
          </w:p>
        </w:tc>
        <w:tc>
          <w:tcPr>
            <w:tcW w:w="5800" w:type="dxa"/>
            <w:shd w:val="clear" w:color="auto" w:fill="auto"/>
          </w:tcPr>
          <w:p w14:paraId="061CE375" w14:textId="77777777" w:rsidR="00F813C3" w:rsidRPr="000D268C" w:rsidRDefault="00F813C3" w:rsidP="002C54BF">
            <w:pPr>
              <w:pStyle w:val="FootnoteTex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4"/>
                <w:szCs w:val="24"/>
                <w:lang w:val="en-GB"/>
              </w:rPr>
            </w:pPr>
            <w:r w:rsidRPr="000D268C">
              <w:rPr>
                <w:rFonts w:asciiTheme="minorHAnsi" w:hAnsiTheme="minorHAnsi" w:cstheme="minorHAnsi"/>
                <w:sz w:val="24"/>
                <w:szCs w:val="24"/>
                <w:lang w:val="en-GB"/>
              </w:rPr>
              <w:t xml:space="preserve">Applied to Q&amp;A on the topic of the 2014 comprehensive assessment, i.e. the initial ‘health check’ of 130 largest banks in the euro area. The comprehensive assessment was designed to facilitate the ECB takeover of banking supervision by providing a so-called asset quality review (AQR) and a stress test based on the methodology provided by the European Banking Authority (EBA). </w:t>
            </w:r>
          </w:p>
        </w:tc>
      </w:tr>
      <w:tr w:rsidR="00F813C3" w:rsidRPr="000D268C" w14:paraId="2607C1AD" w14:textId="77777777" w:rsidTr="00F813C3">
        <w:tc>
          <w:tcPr>
            <w:cnfStyle w:val="001000000000" w:firstRow="0" w:lastRow="0" w:firstColumn="1" w:lastColumn="0" w:oddVBand="0" w:evenVBand="0" w:oddHBand="0" w:evenHBand="0" w:firstRowFirstColumn="0" w:firstRowLastColumn="0" w:lastRowFirstColumn="0" w:lastRowLastColumn="0"/>
            <w:tcW w:w="3256" w:type="dxa"/>
            <w:tcBorders>
              <w:left w:val="none" w:sz="0" w:space="0" w:color="auto"/>
            </w:tcBorders>
            <w:shd w:val="clear" w:color="auto" w:fill="D9D9D9" w:themeFill="background1" w:themeFillShade="D9"/>
          </w:tcPr>
          <w:p w14:paraId="70ECE511" w14:textId="77777777" w:rsidR="00F813C3" w:rsidRPr="000D268C" w:rsidRDefault="00F813C3" w:rsidP="002C54BF">
            <w:pPr>
              <w:rPr>
                <w:rFonts w:cstheme="minorHAnsi"/>
                <w:color w:val="auto"/>
                <w:lang w:val="en-GB"/>
              </w:rPr>
            </w:pPr>
            <w:proofErr w:type="spellStart"/>
            <w:r w:rsidRPr="000D268C">
              <w:rPr>
                <w:rFonts w:cstheme="minorHAnsi"/>
                <w:color w:val="auto"/>
                <w:lang w:val="en-GB"/>
              </w:rPr>
              <w:t>Issue_Decision</w:t>
            </w:r>
            <w:proofErr w:type="spellEnd"/>
            <w:r w:rsidRPr="000D268C">
              <w:rPr>
                <w:rFonts w:cstheme="minorHAnsi"/>
                <w:color w:val="auto"/>
                <w:lang w:val="en-GB"/>
              </w:rPr>
              <w:t>-making/Meetings </w:t>
            </w:r>
          </w:p>
        </w:tc>
        <w:tc>
          <w:tcPr>
            <w:tcW w:w="5800" w:type="dxa"/>
            <w:shd w:val="clear" w:color="auto" w:fill="auto"/>
          </w:tcPr>
          <w:p w14:paraId="4B1CAC38" w14:textId="77777777"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Applied to Q&amp;A related to the decision-making process of the ECB or the institutional set-up for taking decisions in banking supervision.</w:t>
            </w:r>
          </w:p>
        </w:tc>
      </w:tr>
      <w:tr w:rsidR="00F813C3" w:rsidRPr="000D268C" w14:paraId="1054EACC"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Borders>
              <w:left w:val="none" w:sz="0" w:space="0" w:color="auto"/>
            </w:tcBorders>
            <w:shd w:val="clear" w:color="auto" w:fill="D9D9D9" w:themeFill="background1" w:themeFillShade="D9"/>
          </w:tcPr>
          <w:p w14:paraId="129DE1D1" w14:textId="77777777" w:rsidR="00F813C3" w:rsidRPr="000D268C" w:rsidRDefault="00F813C3" w:rsidP="002C54BF">
            <w:pPr>
              <w:rPr>
                <w:rFonts w:cstheme="minorHAnsi"/>
                <w:color w:val="auto"/>
                <w:lang w:val="en-GB"/>
              </w:rPr>
            </w:pPr>
            <w:proofErr w:type="spellStart"/>
            <w:r w:rsidRPr="000D268C">
              <w:rPr>
                <w:rFonts w:cstheme="minorHAnsi"/>
                <w:color w:val="auto"/>
                <w:lang w:val="en-GB"/>
              </w:rPr>
              <w:t>Issue_ECB</w:t>
            </w:r>
            <w:proofErr w:type="spellEnd"/>
            <w:r w:rsidRPr="000D268C">
              <w:rPr>
                <w:rFonts w:cstheme="minorHAnsi"/>
                <w:color w:val="auto"/>
                <w:lang w:val="en-GB"/>
              </w:rPr>
              <w:t xml:space="preserve"> participation in international fora/external relations </w:t>
            </w:r>
          </w:p>
        </w:tc>
        <w:tc>
          <w:tcPr>
            <w:tcW w:w="5800" w:type="dxa"/>
            <w:shd w:val="clear" w:color="auto" w:fill="auto"/>
          </w:tcPr>
          <w:p w14:paraId="4DECCBD8" w14:textId="1C2C7EB5"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Applied to Q&amp;A related to the involvement of the ECB in international organ</w:t>
            </w:r>
            <w:r w:rsidR="00063870" w:rsidRPr="000D268C">
              <w:rPr>
                <w:rFonts w:cstheme="minorHAnsi"/>
                <w:lang w:val="en-GB"/>
              </w:rPr>
              <w:t>isa</w:t>
            </w:r>
            <w:r w:rsidRPr="000D268C">
              <w:rPr>
                <w:rFonts w:cstheme="minorHAnsi"/>
                <w:lang w:val="en-GB"/>
              </w:rPr>
              <w:t>tions/groups or relations with any other actors external to the EU.</w:t>
            </w:r>
          </w:p>
        </w:tc>
      </w:tr>
      <w:tr w:rsidR="00F813C3" w:rsidRPr="000D268C" w14:paraId="6C607647" w14:textId="77777777" w:rsidTr="00F813C3">
        <w:tc>
          <w:tcPr>
            <w:cnfStyle w:val="001000000000" w:firstRow="0" w:lastRow="0" w:firstColumn="1" w:lastColumn="0" w:oddVBand="0" w:evenVBand="0" w:oddHBand="0" w:evenHBand="0" w:firstRowFirstColumn="0" w:firstRowLastColumn="0" w:lastRowFirstColumn="0" w:lastRowLastColumn="0"/>
            <w:tcW w:w="3256" w:type="dxa"/>
            <w:tcBorders>
              <w:left w:val="none" w:sz="0" w:space="0" w:color="auto"/>
            </w:tcBorders>
            <w:shd w:val="clear" w:color="auto" w:fill="D9D9D9" w:themeFill="background1" w:themeFillShade="D9"/>
          </w:tcPr>
          <w:p w14:paraId="24C058F8" w14:textId="58124F0F" w:rsidR="00F813C3" w:rsidRPr="000D268C" w:rsidRDefault="00F813C3" w:rsidP="002C54BF">
            <w:pPr>
              <w:rPr>
                <w:rFonts w:cstheme="minorHAnsi"/>
                <w:color w:val="auto"/>
                <w:lang w:val="en-GB"/>
              </w:rPr>
            </w:pPr>
            <w:proofErr w:type="spellStart"/>
            <w:r w:rsidRPr="000D268C">
              <w:rPr>
                <w:rFonts w:cstheme="minorHAnsi"/>
                <w:color w:val="auto"/>
                <w:lang w:val="en-GB"/>
              </w:rPr>
              <w:t>Issue_Internal</w:t>
            </w:r>
            <w:proofErr w:type="spellEnd"/>
            <w:r w:rsidRPr="000D268C">
              <w:rPr>
                <w:rFonts w:cstheme="minorHAnsi"/>
                <w:color w:val="auto"/>
                <w:lang w:val="en-GB"/>
              </w:rPr>
              <w:t xml:space="preserve"> organ</w:t>
            </w:r>
            <w:r w:rsidR="00063870" w:rsidRPr="000D268C">
              <w:rPr>
                <w:rFonts w:cstheme="minorHAnsi"/>
                <w:color w:val="auto"/>
                <w:lang w:val="en-GB"/>
              </w:rPr>
              <w:t>isa</w:t>
            </w:r>
            <w:r w:rsidRPr="000D268C">
              <w:rPr>
                <w:rFonts w:cstheme="minorHAnsi"/>
                <w:color w:val="auto"/>
                <w:lang w:val="en-GB"/>
              </w:rPr>
              <w:t>tion </w:t>
            </w:r>
          </w:p>
        </w:tc>
        <w:tc>
          <w:tcPr>
            <w:tcW w:w="5800" w:type="dxa"/>
            <w:shd w:val="clear" w:color="auto" w:fill="auto"/>
          </w:tcPr>
          <w:p w14:paraId="0221F92A" w14:textId="4BF9A227"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Applied to Q&amp;A related to the internal organ</w:t>
            </w:r>
            <w:r w:rsidR="00063870" w:rsidRPr="000D268C">
              <w:rPr>
                <w:rFonts w:cstheme="minorHAnsi"/>
                <w:lang w:val="en-GB"/>
              </w:rPr>
              <w:t>isa</w:t>
            </w:r>
            <w:r w:rsidRPr="000D268C">
              <w:rPr>
                <w:rFonts w:cstheme="minorHAnsi"/>
                <w:lang w:val="en-GB"/>
              </w:rPr>
              <w:t>tion of EU banking supervision in terms of institutions, competences, staff, application of the principles of proportionality and subsidiarity etc.</w:t>
            </w:r>
          </w:p>
        </w:tc>
      </w:tr>
      <w:tr w:rsidR="00F813C3" w:rsidRPr="000D268C" w14:paraId="76065D55"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Borders>
              <w:left w:val="none" w:sz="0" w:space="0" w:color="auto"/>
            </w:tcBorders>
            <w:shd w:val="clear" w:color="auto" w:fill="D9D9D9" w:themeFill="background1" w:themeFillShade="D9"/>
          </w:tcPr>
          <w:p w14:paraId="4BA68093" w14:textId="77777777" w:rsidR="00F813C3" w:rsidRPr="000D268C" w:rsidRDefault="00F813C3" w:rsidP="002C54BF">
            <w:pPr>
              <w:rPr>
                <w:rFonts w:cstheme="minorHAnsi"/>
                <w:color w:val="auto"/>
                <w:lang w:val="en-GB"/>
              </w:rPr>
            </w:pPr>
            <w:proofErr w:type="spellStart"/>
            <w:r w:rsidRPr="000D268C">
              <w:rPr>
                <w:rFonts w:cstheme="minorHAnsi"/>
                <w:color w:val="auto"/>
                <w:lang w:val="en-GB"/>
              </w:rPr>
              <w:t>Issue_Legislative</w:t>
            </w:r>
            <w:proofErr w:type="spellEnd"/>
            <w:r w:rsidRPr="000D268C">
              <w:rPr>
                <w:rFonts w:cstheme="minorHAnsi"/>
                <w:color w:val="auto"/>
                <w:lang w:val="en-GB"/>
              </w:rPr>
              <w:t>/Policy proposals </w:t>
            </w:r>
          </w:p>
        </w:tc>
        <w:tc>
          <w:tcPr>
            <w:tcW w:w="5800" w:type="dxa"/>
            <w:shd w:val="clear" w:color="auto" w:fill="auto"/>
          </w:tcPr>
          <w:p w14:paraId="4D9F5ED8"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Applied to Q&amp;A related to any sort of proposal for a directive/regulation/recommendation/ECB policy in banking supervision that is at the time in the legislative process.</w:t>
            </w:r>
          </w:p>
        </w:tc>
      </w:tr>
      <w:tr w:rsidR="00F813C3" w:rsidRPr="000D268C" w14:paraId="623A9873" w14:textId="77777777" w:rsidTr="00F813C3">
        <w:tc>
          <w:tcPr>
            <w:cnfStyle w:val="001000000000" w:firstRow="0" w:lastRow="0" w:firstColumn="1" w:lastColumn="0" w:oddVBand="0" w:evenVBand="0" w:oddHBand="0" w:evenHBand="0" w:firstRowFirstColumn="0" w:firstRowLastColumn="0" w:lastRowFirstColumn="0" w:lastRowLastColumn="0"/>
            <w:tcW w:w="3256" w:type="dxa"/>
            <w:tcBorders>
              <w:left w:val="none" w:sz="0" w:space="0" w:color="auto"/>
            </w:tcBorders>
            <w:shd w:val="clear" w:color="auto" w:fill="D9D9D9" w:themeFill="background1" w:themeFillShade="D9"/>
          </w:tcPr>
          <w:p w14:paraId="6D37700D" w14:textId="77777777" w:rsidR="00F813C3" w:rsidRPr="000D268C" w:rsidRDefault="00F813C3" w:rsidP="002C54BF">
            <w:pPr>
              <w:rPr>
                <w:rFonts w:cstheme="minorHAnsi"/>
                <w:color w:val="auto"/>
                <w:lang w:val="en-GB"/>
              </w:rPr>
            </w:pPr>
            <w:proofErr w:type="spellStart"/>
            <w:r w:rsidRPr="000D268C">
              <w:rPr>
                <w:rFonts w:cstheme="minorHAnsi"/>
                <w:color w:val="auto"/>
                <w:lang w:val="en-GB"/>
              </w:rPr>
              <w:t>Issue_LSIs</w:t>
            </w:r>
            <w:proofErr w:type="spellEnd"/>
            <w:r w:rsidRPr="000D268C">
              <w:rPr>
                <w:rFonts w:cstheme="minorHAnsi"/>
                <w:color w:val="auto"/>
                <w:lang w:val="en-GB"/>
              </w:rPr>
              <w:t> </w:t>
            </w:r>
          </w:p>
        </w:tc>
        <w:tc>
          <w:tcPr>
            <w:tcW w:w="5800" w:type="dxa"/>
            <w:shd w:val="clear" w:color="auto" w:fill="auto"/>
          </w:tcPr>
          <w:p w14:paraId="02D28B67" w14:textId="1CC1592A"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 xml:space="preserve">Applied to Q&amp;A related to </w:t>
            </w:r>
            <w:r w:rsidR="00355E94" w:rsidRPr="000D268C">
              <w:rPr>
                <w:rFonts w:cstheme="minorHAnsi"/>
                <w:lang w:val="en-GB"/>
              </w:rPr>
              <w:t>‘</w:t>
            </w:r>
            <w:r w:rsidRPr="000D268C">
              <w:rPr>
                <w:rFonts w:cstheme="minorHAnsi"/>
                <w:lang w:val="en-GB"/>
              </w:rPr>
              <w:t>Less Significant Institutions</w:t>
            </w:r>
            <w:r w:rsidR="00355E94" w:rsidRPr="000D268C">
              <w:rPr>
                <w:rFonts w:cstheme="minorHAnsi"/>
                <w:lang w:val="en-GB"/>
              </w:rPr>
              <w:t>’</w:t>
            </w:r>
            <w:r w:rsidRPr="000D268C">
              <w:rPr>
                <w:rFonts w:cstheme="minorHAnsi"/>
                <w:lang w:val="en-GB"/>
              </w:rPr>
              <w:t>, i.e.  smaller banks in the euro area that are supervised by National Competent Authorities (NCAs), with the ECB responsible for indirect supervision.</w:t>
            </w:r>
          </w:p>
        </w:tc>
      </w:tr>
      <w:tr w:rsidR="00F813C3" w:rsidRPr="000D268C" w14:paraId="1F6F4BF9"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Borders>
              <w:left w:val="none" w:sz="0" w:space="0" w:color="auto"/>
            </w:tcBorders>
            <w:shd w:val="clear" w:color="auto" w:fill="D9D9D9" w:themeFill="background1" w:themeFillShade="D9"/>
          </w:tcPr>
          <w:p w14:paraId="7CF77028" w14:textId="77777777" w:rsidR="00F813C3" w:rsidRPr="000D268C" w:rsidRDefault="00F813C3" w:rsidP="002C54BF">
            <w:pPr>
              <w:rPr>
                <w:rFonts w:cstheme="minorHAnsi"/>
                <w:color w:val="auto"/>
                <w:lang w:val="en-GB"/>
              </w:rPr>
            </w:pPr>
            <w:proofErr w:type="spellStart"/>
            <w:r w:rsidRPr="000D268C">
              <w:rPr>
                <w:rFonts w:cstheme="minorHAnsi"/>
                <w:color w:val="auto"/>
                <w:lang w:val="en-GB"/>
              </w:rPr>
              <w:t>Issue_Manage</w:t>
            </w:r>
            <w:proofErr w:type="spellEnd"/>
            <w:r w:rsidRPr="000D268C">
              <w:rPr>
                <w:rFonts w:cstheme="minorHAnsi"/>
                <w:color w:val="auto"/>
                <w:lang w:val="en-GB"/>
              </w:rPr>
              <w:t xml:space="preserve"> capital shortfalls </w:t>
            </w:r>
          </w:p>
        </w:tc>
        <w:tc>
          <w:tcPr>
            <w:tcW w:w="5800" w:type="dxa"/>
            <w:shd w:val="clear" w:color="auto" w:fill="auto"/>
          </w:tcPr>
          <w:p w14:paraId="3B96B374"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Applied to Q&amp;A related to the necessity of banks to manage capital shortfalls on their balance sheets. Often in conjunction with the code NPLs.</w:t>
            </w:r>
          </w:p>
        </w:tc>
      </w:tr>
      <w:tr w:rsidR="00F813C3" w:rsidRPr="000D268C" w14:paraId="64543AD5" w14:textId="77777777" w:rsidTr="00F813C3">
        <w:tc>
          <w:tcPr>
            <w:cnfStyle w:val="001000000000" w:firstRow="0" w:lastRow="0" w:firstColumn="1" w:lastColumn="0" w:oddVBand="0" w:evenVBand="0" w:oddHBand="0" w:evenHBand="0" w:firstRowFirstColumn="0" w:firstRowLastColumn="0" w:lastRowFirstColumn="0" w:lastRowLastColumn="0"/>
            <w:tcW w:w="3256" w:type="dxa"/>
            <w:tcBorders>
              <w:left w:val="none" w:sz="0" w:space="0" w:color="auto"/>
            </w:tcBorders>
            <w:shd w:val="clear" w:color="auto" w:fill="D9D9D9" w:themeFill="background1" w:themeFillShade="D9"/>
          </w:tcPr>
          <w:p w14:paraId="0BC25957" w14:textId="77777777" w:rsidR="00F813C3" w:rsidRPr="000D268C" w:rsidRDefault="00F813C3" w:rsidP="002C54BF">
            <w:pPr>
              <w:rPr>
                <w:rFonts w:cstheme="minorHAnsi"/>
                <w:color w:val="auto"/>
                <w:lang w:val="en-GB"/>
              </w:rPr>
            </w:pPr>
            <w:proofErr w:type="spellStart"/>
            <w:r w:rsidRPr="000D268C">
              <w:rPr>
                <w:rFonts w:cstheme="minorHAnsi"/>
                <w:color w:val="auto"/>
                <w:lang w:val="en-GB"/>
              </w:rPr>
              <w:t>Issue_Mismanagement</w:t>
            </w:r>
            <w:proofErr w:type="spellEnd"/>
            <w:r w:rsidRPr="000D268C">
              <w:rPr>
                <w:rFonts w:cstheme="minorHAnsi"/>
                <w:color w:val="auto"/>
                <w:lang w:val="en-GB"/>
              </w:rPr>
              <w:t xml:space="preserve"> / money laundering / consumer protection </w:t>
            </w:r>
          </w:p>
        </w:tc>
        <w:tc>
          <w:tcPr>
            <w:tcW w:w="5800" w:type="dxa"/>
            <w:shd w:val="clear" w:color="auto" w:fill="auto"/>
          </w:tcPr>
          <w:p w14:paraId="39EA15D4" w14:textId="77777777"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Applied to Q&amp;A related to cases of mismanagement, money laundering, and consumer protection at specific banks. All financial crimes and corruptions cases signalled by MEPs fall in this category.</w:t>
            </w:r>
          </w:p>
        </w:tc>
      </w:tr>
      <w:tr w:rsidR="00F813C3" w:rsidRPr="000D268C" w14:paraId="263D954B"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Borders>
              <w:left w:val="none" w:sz="0" w:space="0" w:color="auto"/>
            </w:tcBorders>
            <w:shd w:val="clear" w:color="auto" w:fill="D9D9D9" w:themeFill="background1" w:themeFillShade="D9"/>
          </w:tcPr>
          <w:p w14:paraId="0E61EEE6" w14:textId="77777777" w:rsidR="00F813C3" w:rsidRPr="000D268C" w:rsidRDefault="00F813C3" w:rsidP="002C54BF">
            <w:pPr>
              <w:rPr>
                <w:rFonts w:cstheme="minorHAnsi"/>
                <w:color w:val="auto"/>
                <w:lang w:val="en-GB"/>
              </w:rPr>
            </w:pPr>
            <w:proofErr w:type="spellStart"/>
            <w:r w:rsidRPr="000D268C">
              <w:rPr>
                <w:rFonts w:cstheme="minorHAnsi"/>
                <w:color w:val="auto"/>
                <w:lang w:val="en-GB"/>
              </w:rPr>
              <w:t>Issue_National</w:t>
            </w:r>
            <w:proofErr w:type="spellEnd"/>
            <w:r w:rsidRPr="000D268C">
              <w:rPr>
                <w:rFonts w:cstheme="minorHAnsi"/>
                <w:color w:val="auto"/>
                <w:lang w:val="en-GB"/>
              </w:rPr>
              <w:t xml:space="preserve"> discretions </w:t>
            </w:r>
          </w:p>
        </w:tc>
        <w:tc>
          <w:tcPr>
            <w:tcW w:w="5800" w:type="dxa"/>
            <w:shd w:val="clear" w:color="auto" w:fill="auto"/>
          </w:tcPr>
          <w:p w14:paraId="5E16A826"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Applied to Q&amp;A related to the exercise of options and discretions (ODs) mentioned in the EU legislative framework in banking supervision.</w:t>
            </w:r>
          </w:p>
        </w:tc>
      </w:tr>
      <w:tr w:rsidR="00F813C3" w:rsidRPr="000D268C" w14:paraId="6647EA48" w14:textId="77777777" w:rsidTr="00F813C3">
        <w:tc>
          <w:tcPr>
            <w:cnfStyle w:val="001000000000" w:firstRow="0" w:lastRow="0" w:firstColumn="1" w:lastColumn="0" w:oddVBand="0" w:evenVBand="0" w:oddHBand="0" w:evenHBand="0" w:firstRowFirstColumn="0" w:firstRowLastColumn="0" w:lastRowFirstColumn="0" w:lastRowLastColumn="0"/>
            <w:tcW w:w="3256" w:type="dxa"/>
            <w:tcBorders>
              <w:left w:val="none" w:sz="0" w:space="0" w:color="auto"/>
            </w:tcBorders>
            <w:shd w:val="clear" w:color="auto" w:fill="D9D9D9" w:themeFill="background1" w:themeFillShade="D9"/>
          </w:tcPr>
          <w:p w14:paraId="23952FC5" w14:textId="77777777" w:rsidR="00F813C3" w:rsidRPr="000D268C" w:rsidRDefault="00F813C3" w:rsidP="002C54BF">
            <w:pPr>
              <w:rPr>
                <w:rFonts w:cstheme="minorHAnsi"/>
                <w:color w:val="auto"/>
                <w:lang w:val="en-GB"/>
              </w:rPr>
            </w:pPr>
            <w:proofErr w:type="spellStart"/>
            <w:r w:rsidRPr="000D268C">
              <w:rPr>
                <w:rFonts w:cstheme="minorHAnsi"/>
                <w:color w:val="auto"/>
                <w:lang w:val="en-GB"/>
              </w:rPr>
              <w:lastRenderedPageBreak/>
              <w:t>Issue_NCAs</w:t>
            </w:r>
            <w:proofErr w:type="spellEnd"/>
            <w:r w:rsidRPr="000D268C">
              <w:rPr>
                <w:rFonts w:cstheme="minorHAnsi"/>
                <w:color w:val="auto"/>
                <w:lang w:val="en-GB"/>
              </w:rPr>
              <w:t> </w:t>
            </w:r>
          </w:p>
        </w:tc>
        <w:tc>
          <w:tcPr>
            <w:tcW w:w="5800" w:type="dxa"/>
            <w:shd w:val="clear" w:color="auto" w:fill="auto"/>
          </w:tcPr>
          <w:p w14:paraId="2D566405" w14:textId="2A06F2F0"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 xml:space="preserve">Applied to Q&amp;A related to </w:t>
            </w:r>
            <w:r w:rsidR="00355E94" w:rsidRPr="000D268C">
              <w:rPr>
                <w:rFonts w:cstheme="minorHAnsi"/>
                <w:lang w:val="en-GB"/>
              </w:rPr>
              <w:t>‘</w:t>
            </w:r>
            <w:r w:rsidRPr="000D268C">
              <w:rPr>
                <w:rFonts w:cstheme="minorHAnsi"/>
                <w:lang w:val="en-GB"/>
              </w:rPr>
              <w:t>National Competent Authorities</w:t>
            </w:r>
            <w:r w:rsidR="00355E94" w:rsidRPr="000D268C">
              <w:rPr>
                <w:rFonts w:cstheme="minorHAnsi"/>
                <w:lang w:val="en-GB"/>
              </w:rPr>
              <w:t>’</w:t>
            </w:r>
            <w:r w:rsidRPr="000D268C">
              <w:rPr>
                <w:rFonts w:cstheme="minorHAnsi"/>
                <w:lang w:val="en-GB"/>
              </w:rPr>
              <w:t>, i.e. national central banks or supervisors in charge of the supervision of LSIs.</w:t>
            </w:r>
          </w:p>
        </w:tc>
      </w:tr>
      <w:tr w:rsidR="00F813C3" w:rsidRPr="000D268C" w14:paraId="344E06C2"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Borders>
              <w:left w:val="none" w:sz="0" w:space="0" w:color="auto"/>
            </w:tcBorders>
            <w:shd w:val="clear" w:color="auto" w:fill="D9D9D9" w:themeFill="background1" w:themeFillShade="D9"/>
          </w:tcPr>
          <w:p w14:paraId="6FF3BD85" w14:textId="77777777" w:rsidR="00F813C3" w:rsidRPr="000D268C" w:rsidRDefault="00F813C3" w:rsidP="002C54BF">
            <w:pPr>
              <w:rPr>
                <w:rFonts w:cstheme="minorHAnsi"/>
                <w:color w:val="auto"/>
                <w:lang w:val="en-GB"/>
              </w:rPr>
            </w:pPr>
            <w:proofErr w:type="spellStart"/>
            <w:r w:rsidRPr="000D268C">
              <w:rPr>
                <w:rFonts w:cstheme="minorHAnsi"/>
                <w:color w:val="auto"/>
                <w:lang w:val="en-GB"/>
              </w:rPr>
              <w:t>Issue_NPLs</w:t>
            </w:r>
            <w:proofErr w:type="spellEnd"/>
            <w:r w:rsidRPr="000D268C">
              <w:rPr>
                <w:rFonts w:cstheme="minorHAnsi"/>
                <w:color w:val="auto"/>
                <w:lang w:val="en-GB"/>
              </w:rPr>
              <w:t> </w:t>
            </w:r>
          </w:p>
        </w:tc>
        <w:tc>
          <w:tcPr>
            <w:tcW w:w="5800" w:type="dxa"/>
            <w:shd w:val="clear" w:color="auto" w:fill="auto"/>
          </w:tcPr>
          <w:p w14:paraId="74BA90B3" w14:textId="61CC8018"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 xml:space="preserve">Applied to Q&amp;A related to </w:t>
            </w:r>
            <w:r w:rsidR="00355E94" w:rsidRPr="000D268C">
              <w:rPr>
                <w:rFonts w:cstheme="minorHAnsi"/>
                <w:lang w:val="en-GB"/>
              </w:rPr>
              <w:t>‘</w:t>
            </w:r>
            <w:r w:rsidRPr="000D268C">
              <w:rPr>
                <w:rFonts w:cstheme="minorHAnsi"/>
                <w:lang w:val="en-GB"/>
              </w:rPr>
              <w:t>Non-Performing Loans</w:t>
            </w:r>
            <w:r w:rsidR="00355E94" w:rsidRPr="000D268C">
              <w:rPr>
                <w:rFonts w:cstheme="minorHAnsi"/>
                <w:lang w:val="en-GB"/>
              </w:rPr>
              <w:t>’</w:t>
            </w:r>
            <w:r w:rsidRPr="000D268C">
              <w:rPr>
                <w:rFonts w:cstheme="minorHAnsi"/>
                <w:lang w:val="en-GB"/>
              </w:rPr>
              <w:t xml:space="preserve">, i.e. loans that are not being repaid, or </w:t>
            </w:r>
            <w:r w:rsidR="00355E94" w:rsidRPr="000D268C">
              <w:rPr>
                <w:rFonts w:cstheme="minorHAnsi"/>
                <w:lang w:val="en-GB"/>
              </w:rPr>
              <w:t>‘</w:t>
            </w:r>
            <w:r w:rsidRPr="000D268C">
              <w:rPr>
                <w:rFonts w:cstheme="minorHAnsi"/>
                <w:lang w:val="en-GB"/>
              </w:rPr>
              <w:t>bad loans</w:t>
            </w:r>
            <w:r w:rsidR="00355E94" w:rsidRPr="000D268C">
              <w:rPr>
                <w:rFonts w:cstheme="minorHAnsi"/>
                <w:lang w:val="en-GB"/>
              </w:rPr>
              <w:t>’</w:t>
            </w:r>
            <w:r w:rsidRPr="000D268C">
              <w:rPr>
                <w:rFonts w:cstheme="minorHAnsi"/>
                <w:lang w:val="en-GB"/>
              </w:rPr>
              <w:t>, which feature prominently on balance sheets of banks.</w:t>
            </w:r>
          </w:p>
        </w:tc>
      </w:tr>
      <w:tr w:rsidR="00F813C3" w:rsidRPr="000D268C" w14:paraId="3DDA6098" w14:textId="77777777" w:rsidTr="00F813C3">
        <w:tc>
          <w:tcPr>
            <w:cnfStyle w:val="001000000000" w:firstRow="0" w:lastRow="0" w:firstColumn="1" w:lastColumn="0" w:oddVBand="0" w:evenVBand="0" w:oddHBand="0" w:evenHBand="0" w:firstRowFirstColumn="0" w:firstRowLastColumn="0" w:lastRowFirstColumn="0" w:lastRowLastColumn="0"/>
            <w:tcW w:w="3256" w:type="dxa"/>
            <w:tcBorders>
              <w:left w:val="none" w:sz="0" w:space="0" w:color="auto"/>
            </w:tcBorders>
            <w:shd w:val="clear" w:color="auto" w:fill="D9D9D9" w:themeFill="background1" w:themeFillShade="D9"/>
          </w:tcPr>
          <w:p w14:paraId="30661153" w14:textId="77777777" w:rsidR="00F813C3" w:rsidRPr="000D268C" w:rsidRDefault="00F813C3" w:rsidP="002C54BF">
            <w:pPr>
              <w:rPr>
                <w:rFonts w:cstheme="minorHAnsi"/>
                <w:color w:val="auto"/>
                <w:lang w:val="en-GB"/>
              </w:rPr>
            </w:pPr>
            <w:proofErr w:type="spellStart"/>
            <w:r w:rsidRPr="000D268C">
              <w:rPr>
                <w:rFonts w:cstheme="minorHAnsi"/>
                <w:color w:val="auto"/>
                <w:lang w:val="en-GB"/>
              </w:rPr>
              <w:t>Issue_Resolution</w:t>
            </w:r>
            <w:proofErr w:type="spellEnd"/>
            <w:r w:rsidRPr="000D268C">
              <w:rPr>
                <w:rFonts w:cstheme="minorHAnsi"/>
                <w:color w:val="auto"/>
                <w:lang w:val="en-GB"/>
              </w:rPr>
              <w:t>/Likely-to-fail decision </w:t>
            </w:r>
          </w:p>
        </w:tc>
        <w:tc>
          <w:tcPr>
            <w:tcW w:w="5800" w:type="dxa"/>
            <w:shd w:val="clear" w:color="auto" w:fill="auto"/>
          </w:tcPr>
          <w:p w14:paraId="56B3769E" w14:textId="2A7ECB6B"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Applied to Q&amp;A related to supervisory decisions that banks are ‘failing or likely to fail</w:t>
            </w:r>
            <w:r w:rsidR="00355E94" w:rsidRPr="000D268C">
              <w:rPr>
                <w:rFonts w:cstheme="minorHAnsi"/>
                <w:lang w:val="en-GB"/>
              </w:rPr>
              <w:t>’</w:t>
            </w:r>
            <w:r w:rsidRPr="000D268C">
              <w:rPr>
                <w:rFonts w:cstheme="minorHAnsi"/>
                <w:lang w:val="en-GB"/>
              </w:rPr>
              <w:t xml:space="preserve"> (FOLTF) and subsequently need to be put into resolution. FOLTF is the classification used by supervisors for institutions that become non-viable. Resolution is the process of restructuring failing banks with minimum impact on the real economy and public finances. In the euro area, this is run 1) by the Single Resolution Board for SIs, and 2) by NCAs, national governments, and the European Commission for LSIs.</w:t>
            </w:r>
          </w:p>
        </w:tc>
      </w:tr>
      <w:tr w:rsidR="00F813C3" w:rsidRPr="000D268C" w14:paraId="2B54714C"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Borders>
              <w:left w:val="none" w:sz="0" w:space="0" w:color="auto"/>
            </w:tcBorders>
            <w:shd w:val="clear" w:color="auto" w:fill="D9D9D9" w:themeFill="background1" w:themeFillShade="D9"/>
          </w:tcPr>
          <w:p w14:paraId="7DB86ED9" w14:textId="77777777" w:rsidR="00F813C3" w:rsidRPr="000D268C" w:rsidRDefault="00F813C3" w:rsidP="002C54BF">
            <w:pPr>
              <w:rPr>
                <w:rFonts w:cstheme="minorHAnsi"/>
                <w:color w:val="auto"/>
                <w:lang w:val="en-GB"/>
              </w:rPr>
            </w:pPr>
            <w:proofErr w:type="spellStart"/>
            <w:r w:rsidRPr="000D268C">
              <w:rPr>
                <w:rFonts w:cstheme="minorHAnsi"/>
                <w:color w:val="auto"/>
                <w:lang w:val="en-GB"/>
              </w:rPr>
              <w:t>Issue_SIs</w:t>
            </w:r>
            <w:proofErr w:type="spellEnd"/>
            <w:r w:rsidRPr="000D268C">
              <w:rPr>
                <w:rFonts w:cstheme="minorHAnsi"/>
                <w:color w:val="auto"/>
                <w:lang w:val="en-GB"/>
              </w:rPr>
              <w:t> </w:t>
            </w:r>
          </w:p>
        </w:tc>
        <w:tc>
          <w:tcPr>
            <w:tcW w:w="5800" w:type="dxa"/>
            <w:shd w:val="clear" w:color="auto" w:fill="auto"/>
          </w:tcPr>
          <w:p w14:paraId="27816D8D" w14:textId="6C518D9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 xml:space="preserve">Applied to Q&amp;A related to </w:t>
            </w:r>
            <w:r w:rsidR="00355E94" w:rsidRPr="000D268C">
              <w:rPr>
                <w:rFonts w:cstheme="minorHAnsi"/>
                <w:lang w:val="en-GB"/>
              </w:rPr>
              <w:t>‘</w:t>
            </w:r>
            <w:r w:rsidRPr="000D268C">
              <w:rPr>
                <w:rFonts w:cstheme="minorHAnsi"/>
                <w:lang w:val="en-GB"/>
              </w:rPr>
              <w:t>Significant Institutions</w:t>
            </w:r>
            <w:r w:rsidR="00355E94" w:rsidRPr="000D268C">
              <w:rPr>
                <w:rFonts w:cstheme="minorHAnsi"/>
                <w:lang w:val="en-GB"/>
              </w:rPr>
              <w:t>’</w:t>
            </w:r>
            <w:r w:rsidRPr="000D268C">
              <w:rPr>
                <w:rFonts w:cstheme="minorHAnsi"/>
                <w:lang w:val="en-GB"/>
              </w:rPr>
              <w:t>, i.e. large banks in the euro under the direct supervision of the ECB.</w:t>
            </w:r>
          </w:p>
        </w:tc>
      </w:tr>
      <w:tr w:rsidR="00F813C3" w:rsidRPr="000D268C" w14:paraId="115F41D5" w14:textId="77777777" w:rsidTr="00F813C3">
        <w:tc>
          <w:tcPr>
            <w:cnfStyle w:val="001000000000" w:firstRow="0" w:lastRow="0" w:firstColumn="1" w:lastColumn="0" w:oddVBand="0" w:evenVBand="0" w:oddHBand="0" w:evenHBand="0" w:firstRowFirstColumn="0" w:firstRowLastColumn="0" w:lastRowFirstColumn="0" w:lastRowLastColumn="0"/>
            <w:tcW w:w="3256" w:type="dxa"/>
            <w:tcBorders>
              <w:left w:val="none" w:sz="0" w:space="0" w:color="auto"/>
            </w:tcBorders>
            <w:shd w:val="clear" w:color="auto" w:fill="D9D9D9" w:themeFill="background1" w:themeFillShade="D9"/>
          </w:tcPr>
          <w:p w14:paraId="618B377D" w14:textId="77777777" w:rsidR="00F813C3" w:rsidRPr="000D268C" w:rsidRDefault="00F813C3" w:rsidP="002C54BF">
            <w:pPr>
              <w:rPr>
                <w:rFonts w:cstheme="minorHAnsi"/>
                <w:color w:val="auto"/>
                <w:lang w:val="en-GB"/>
              </w:rPr>
            </w:pPr>
            <w:proofErr w:type="spellStart"/>
            <w:r w:rsidRPr="000D268C">
              <w:rPr>
                <w:rFonts w:cstheme="minorHAnsi"/>
                <w:color w:val="auto"/>
                <w:lang w:val="en-GB"/>
              </w:rPr>
              <w:t>Issue_Sovereign</w:t>
            </w:r>
            <w:proofErr w:type="spellEnd"/>
            <w:r w:rsidRPr="000D268C">
              <w:rPr>
                <w:rFonts w:cstheme="minorHAnsi"/>
                <w:color w:val="auto"/>
                <w:lang w:val="en-GB"/>
              </w:rPr>
              <w:t xml:space="preserve"> exposures </w:t>
            </w:r>
          </w:p>
        </w:tc>
        <w:tc>
          <w:tcPr>
            <w:tcW w:w="5800" w:type="dxa"/>
            <w:shd w:val="clear" w:color="auto" w:fill="auto"/>
          </w:tcPr>
          <w:p w14:paraId="34DCB02B" w14:textId="77777777"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Applied to Q&amp;A referring to sovereign exposures on the balance sheets of banks, including loans to states, local government and public-sector bodies (considered responsible for the sovereign debt crisis in the euro area).</w:t>
            </w:r>
          </w:p>
        </w:tc>
      </w:tr>
      <w:tr w:rsidR="00F813C3" w:rsidRPr="000D268C" w14:paraId="36163624"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56" w:type="dxa"/>
            <w:tcBorders>
              <w:left w:val="none" w:sz="0" w:space="0" w:color="auto"/>
            </w:tcBorders>
            <w:shd w:val="clear" w:color="auto" w:fill="D9D9D9" w:themeFill="background1" w:themeFillShade="D9"/>
          </w:tcPr>
          <w:p w14:paraId="0E6D448D" w14:textId="77777777" w:rsidR="00F813C3" w:rsidRPr="000D268C" w:rsidRDefault="00F813C3" w:rsidP="002C54BF">
            <w:pPr>
              <w:rPr>
                <w:rFonts w:cstheme="minorHAnsi"/>
                <w:color w:val="auto"/>
                <w:lang w:val="en-GB"/>
              </w:rPr>
            </w:pPr>
            <w:proofErr w:type="spellStart"/>
            <w:r w:rsidRPr="000D268C">
              <w:rPr>
                <w:rFonts w:cstheme="minorHAnsi"/>
                <w:color w:val="auto"/>
                <w:lang w:val="en-GB"/>
              </w:rPr>
              <w:t>Issue_Specific</w:t>
            </w:r>
            <w:proofErr w:type="spellEnd"/>
            <w:r w:rsidRPr="000D268C">
              <w:rPr>
                <w:rFonts w:cstheme="minorHAnsi"/>
                <w:color w:val="auto"/>
                <w:lang w:val="en-GB"/>
              </w:rPr>
              <w:t xml:space="preserve"> banks </w:t>
            </w:r>
          </w:p>
        </w:tc>
        <w:tc>
          <w:tcPr>
            <w:tcW w:w="5800" w:type="dxa"/>
            <w:shd w:val="clear" w:color="auto" w:fill="auto"/>
          </w:tcPr>
          <w:p w14:paraId="10EB833B"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Applied to Q&amp;A that refer specifically to a bank or more banks supervised directly or indirectly by the ECB. Usually combined with other codes that denote the topic.</w:t>
            </w:r>
          </w:p>
        </w:tc>
      </w:tr>
      <w:tr w:rsidR="00F813C3" w:rsidRPr="000D268C" w14:paraId="08A183E7" w14:textId="77777777" w:rsidTr="00F813C3">
        <w:tc>
          <w:tcPr>
            <w:cnfStyle w:val="001000000000" w:firstRow="0" w:lastRow="0" w:firstColumn="1" w:lastColumn="0" w:oddVBand="0" w:evenVBand="0" w:oddHBand="0" w:evenHBand="0" w:firstRowFirstColumn="0" w:firstRowLastColumn="0" w:lastRowFirstColumn="0" w:lastRowLastColumn="0"/>
            <w:tcW w:w="3256" w:type="dxa"/>
            <w:tcBorders>
              <w:left w:val="none" w:sz="0" w:space="0" w:color="auto"/>
              <w:bottom w:val="none" w:sz="0" w:space="0" w:color="auto"/>
            </w:tcBorders>
            <w:shd w:val="clear" w:color="auto" w:fill="D9D9D9" w:themeFill="background1" w:themeFillShade="D9"/>
          </w:tcPr>
          <w:p w14:paraId="0D27D667" w14:textId="77777777" w:rsidR="00F813C3" w:rsidRPr="000D268C" w:rsidRDefault="00F813C3" w:rsidP="002C54BF">
            <w:pPr>
              <w:rPr>
                <w:rFonts w:cstheme="minorHAnsi"/>
                <w:color w:val="auto"/>
                <w:lang w:val="en-GB"/>
              </w:rPr>
            </w:pPr>
            <w:proofErr w:type="spellStart"/>
            <w:r w:rsidRPr="000D268C">
              <w:rPr>
                <w:rFonts w:cstheme="minorHAnsi"/>
                <w:color w:val="auto"/>
                <w:lang w:val="en-GB"/>
              </w:rPr>
              <w:t>Issue_SREP</w:t>
            </w:r>
            <w:proofErr w:type="spellEnd"/>
          </w:p>
        </w:tc>
        <w:tc>
          <w:tcPr>
            <w:tcW w:w="5800" w:type="dxa"/>
            <w:shd w:val="clear" w:color="auto" w:fill="auto"/>
          </w:tcPr>
          <w:p w14:paraId="4C58E04B" w14:textId="2B41F3FD"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 xml:space="preserve">Applied to Q&amp;A related to the </w:t>
            </w:r>
            <w:r w:rsidR="00355E94" w:rsidRPr="000D268C">
              <w:rPr>
                <w:rFonts w:cstheme="minorHAnsi"/>
                <w:lang w:val="en-GB"/>
              </w:rPr>
              <w:t>‘</w:t>
            </w:r>
            <w:r w:rsidRPr="000D268C">
              <w:rPr>
                <w:rFonts w:cstheme="minorHAnsi"/>
                <w:lang w:val="en-GB"/>
              </w:rPr>
              <w:t>Supervisory Review and Evaluation Process</w:t>
            </w:r>
            <w:r w:rsidR="00355E94" w:rsidRPr="000D268C">
              <w:rPr>
                <w:rFonts w:cstheme="minorHAnsi"/>
                <w:lang w:val="en-GB"/>
              </w:rPr>
              <w:t>’</w:t>
            </w:r>
            <w:r w:rsidRPr="000D268C">
              <w:rPr>
                <w:rFonts w:cstheme="minorHAnsi"/>
                <w:lang w:val="en-GB"/>
              </w:rPr>
              <w:t xml:space="preserve"> organ</w:t>
            </w:r>
            <w:r w:rsidR="00063870" w:rsidRPr="000D268C">
              <w:rPr>
                <w:rFonts w:cstheme="minorHAnsi"/>
                <w:lang w:val="en-GB"/>
              </w:rPr>
              <w:t>ise</w:t>
            </w:r>
            <w:r w:rsidRPr="000D268C">
              <w:rPr>
                <w:rFonts w:cstheme="minorHAnsi"/>
                <w:lang w:val="en-GB"/>
              </w:rPr>
              <w:t>d by the ECB on a continuous basis. Each bank receives one SREP decision per year.</w:t>
            </w:r>
          </w:p>
        </w:tc>
      </w:tr>
    </w:tbl>
    <w:p w14:paraId="374DE28D" w14:textId="77777777" w:rsidR="00F813C3" w:rsidRPr="000D268C" w:rsidRDefault="00F813C3" w:rsidP="002C54BF">
      <w:pPr>
        <w:spacing w:line="480" w:lineRule="auto"/>
        <w:rPr>
          <w:rFonts w:cstheme="minorHAnsi"/>
          <w:lang w:val="en-GB"/>
        </w:rPr>
      </w:pPr>
    </w:p>
    <w:p w14:paraId="41F90673" w14:textId="77777777" w:rsidR="00F813C3" w:rsidRPr="000D268C" w:rsidRDefault="00F813C3" w:rsidP="002C54BF">
      <w:pPr>
        <w:spacing w:line="480" w:lineRule="auto"/>
        <w:rPr>
          <w:rFonts w:cstheme="minorHAnsi"/>
          <w:b/>
          <w:bCs/>
          <w:lang w:val="en-GB"/>
        </w:rPr>
      </w:pPr>
    </w:p>
    <w:p w14:paraId="097951B5" w14:textId="299A39F9" w:rsidR="00F813C3" w:rsidRPr="000D268C" w:rsidRDefault="00F813C3" w:rsidP="002C54BF">
      <w:pPr>
        <w:pStyle w:val="Heading3"/>
        <w:numPr>
          <w:ilvl w:val="0"/>
          <w:numId w:val="23"/>
        </w:numPr>
        <w:spacing w:line="480" w:lineRule="auto"/>
        <w:rPr>
          <w:rFonts w:asciiTheme="minorHAnsi" w:hAnsiTheme="minorHAnsi" w:cstheme="minorHAnsi"/>
          <w:color w:val="auto"/>
          <w:lang w:val="en-GB"/>
        </w:rPr>
      </w:pPr>
      <w:bookmarkStart w:id="12" w:name="_Toc45885405"/>
      <w:r w:rsidRPr="000D268C">
        <w:rPr>
          <w:rFonts w:asciiTheme="minorHAnsi" w:hAnsiTheme="minorHAnsi" w:cstheme="minorHAnsi"/>
          <w:color w:val="auto"/>
          <w:lang w:val="en-GB"/>
        </w:rPr>
        <w:t>Initial question by legislative</w:t>
      </w:r>
      <w:bookmarkEnd w:id="12"/>
    </w:p>
    <w:p w14:paraId="0E403DC3" w14:textId="1B1580DD" w:rsidR="00F813C3" w:rsidRPr="000D268C" w:rsidRDefault="00F813C3" w:rsidP="002C54BF">
      <w:pPr>
        <w:spacing w:line="480" w:lineRule="auto"/>
        <w:jc w:val="both"/>
        <w:rPr>
          <w:rFonts w:cstheme="minorHAnsi"/>
          <w:lang w:val="en-GB"/>
        </w:rPr>
      </w:pPr>
      <w:r w:rsidRPr="000D268C">
        <w:rPr>
          <w:rFonts w:cstheme="minorHAnsi"/>
          <w:lang w:val="en-GB"/>
        </w:rPr>
        <w:t xml:space="preserve">The code </w:t>
      </w:r>
      <w:r w:rsidR="00355E94" w:rsidRPr="000D268C">
        <w:rPr>
          <w:rFonts w:cstheme="minorHAnsi"/>
          <w:lang w:val="en-GB"/>
        </w:rPr>
        <w:t>‘</w:t>
      </w:r>
      <w:r w:rsidRPr="000D268C">
        <w:rPr>
          <w:rFonts w:cstheme="minorHAnsi"/>
          <w:lang w:val="en-GB"/>
        </w:rPr>
        <w:t>initial question</w:t>
      </w:r>
      <w:r w:rsidR="00355E94" w:rsidRPr="000D268C">
        <w:rPr>
          <w:rFonts w:cstheme="minorHAnsi"/>
          <w:lang w:val="en-GB"/>
        </w:rPr>
        <w:t>’</w:t>
      </w:r>
      <w:r w:rsidRPr="000D268C">
        <w:rPr>
          <w:rFonts w:cstheme="minorHAnsi"/>
          <w:lang w:val="en-GB"/>
        </w:rPr>
        <w:t xml:space="preserve"> applies to questions asked for the first time by legislative actors to members of the executive. In line with Figure 1, questions can be used to demand information, justification of decisions or conduct, change of decisions, and the application of sanctions. There is an additional category, labelled </w:t>
      </w:r>
      <w:r w:rsidR="00355E94" w:rsidRPr="000D268C">
        <w:rPr>
          <w:rFonts w:cstheme="minorHAnsi"/>
          <w:lang w:val="en-GB"/>
        </w:rPr>
        <w:t>‘</w:t>
      </w:r>
      <w:r w:rsidRPr="000D268C">
        <w:rPr>
          <w:rFonts w:cstheme="minorHAnsi"/>
          <w:lang w:val="en-GB"/>
        </w:rPr>
        <w:t>demand policy views,</w:t>
      </w:r>
      <w:r w:rsidR="00355E94" w:rsidRPr="000D268C">
        <w:rPr>
          <w:rFonts w:cstheme="minorHAnsi"/>
          <w:lang w:val="en-GB"/>
        </w:rPr>
        <w:t>’</w:t>
      </w:r>
      <w:r w:rsidRPr="000D268C">
        <w:rPr>
          <w:rFonts w:cstheme="minorHAnsi"/>
          <w:lang w:val="en-GB"/>
        </w:rPr>
        <w:t xml:space="preserve"> which is considered outside the scope of </w:t>
      </w:r>
      <w:r w:rsidR="00720ABA" w:rsidRPr="000D268C">
        <w:rPr>
          <w:rFonts w:cstheme="minorHAnsi"/>
          <w:lang w:val="en-GB"/>
        </w:rPr>
        <w:t>legislative oversight</w:t>
      </w:r>
      <w:r w:rsidRPr="000D268C">
        <w:rPr>
          <w:rFonts w:cstheme="minorHAnsi"/>
          <w:lang w:val="en-GB"/>
        </w:rPr>
        <w:t xml:space="preserve"> because such questions do not contest anything about the decisions or conduct of executive actors. Requests for policy positions are part of the </w:t>
      </w:r>
      <w:r w:rsidRPr="000D268C">
        <w:rPr>
          <w:rFonts w:cstheme="minorHAnsi"/>
          <w:lang w:val="en-GB"/>
        </w:rPr>
        <w:lastRenderedPageBreak/>
        <w:t>relationship between the legislative and the executive but do not involve the act of holding the latter accountable for past conduct (</w:t>
      </w:r>
      <w:r w:rsidR="00355E94" w:rsidRPr="000D268C">
        <w:rPr>
          <w:rFonts w:cstheme="minorHAnsi"/>
          <w:lang w:val="en-GB"/>
        </w:rPr>
        <w:t>‘</w:t>
      </w:r>
      <w:r w:rsidRPr="000D268C">
        <w:rPr>
          <w:rFonts w:cstheme="minorHAnsi"/>
          <w:lang w:val="en-GB"/>
        </w:rPr>
        <w:t>ex post accountability</w:t>
      </w:r>
      <w:r w:rsidR="00355E94" w:rsidRPr="000D268C">
        <w:rPr>
          <w:rFonts w:cstheme="minorHAnsi"/>
          <w:lang w:val="en-GB"/>
        </w:rPr>
        <w:t>’</w:t>
      </w:r>
      <w:r w:rsidRPr="000D268C">
        <w:rPr>
          <w:rFonts w:cstheme="minorHAnsi"/>
          <w:lang w:val="en-GB"/>
        </w:rPr>
        <w:t xml:space="preserve">). Instead, demands for policy views are forward-looking and thus belong to the category of </w:t>
      </w:r>
      <w:r w:rsidR="00355E94" w:rsidRPr="000D268C">
        <w:rPr>
          <w:rFonts w:cstheme="minorHAnsi"/>
          <w:lang w:val="en-GB"/>
        </w:rPr>
        <w:t>‘</w:t>
      </w:r>
      <w:r w:rsidRPr="000D268C">
        <w:rPr>
          <w:rFonts w:cstheme="minorHAnsi"/>
          <w:lang w:val="en-GB"/>
        </w:rPr>
        <w:t>ex ante policy-making.</w:t>
      </w:r>
      <w:r w:rsidR="00355E94" w:rsidRPr="000D268C">
        <w:rPr>
          <w:rFonts w:cstheme="minorHAnsi"/>
          <w:lang w:val="en-GB"/>
        </w:rPr>
        <w:t>’</w:t>
      </w:r>
      <w:r w:rsidRPr="000D268C">
        <w:rPr>
          <w:rFonts w:cstheme="minorHAnsi"/>
          <w:lang w:val="en-GB"/>
        </w:rPr>
        <w:t xml:space="preserve"> At best, they can be used for future oversight. This line of thinking follows Mark </w:t>
      </w:r>
      <w:proofErr w:type="spellStart"/>
      <w:r w:rsidRPr="000D268C">
        <w:rPr>
          <w:rFonts w:cstheme="minorHAnsi"/>
          <w:lang w:val="en-GB"/>
        </w:rPr>
        <w:t>Bovens</w:t>
      </w:r>
      <w:proofErr w:type="spellEnd"/>
      <w:r w:rsidRPr="000D268C">
        <w:rPr>
          <w:rFonts w:cstheme="minorHAnsi"/>
          <w:lang w:val="en-GB"/>
        </w:rPr>
        <w:t xml:space="preserve">, who argued that </w:t>
      </w:r>
      <w:r w:rsidR="00355E94" w:rsidRPr="000D268C">
        <w:rPr>
          <w:rFonts w:cstheme="minorHAnsi"/>
          <w:lang w:val="en-GB"/>
        </w:rPr>
        <w:t>‘</w:t>
      </w:r>
      <w:r w:rsidRPr="000D268C">
        <w:rPr>
          <w:rFonts w:cstheme="minorHAnsi"/>
          <w:lang w:val="en-GB"/>
        </w:rPr>
        <w:t>for analytical purposes, policy making and accountability should be treated as distinctive concepts</w:t>
      </w:r>
      <w:r w:rsidR="00355E94" w:rsidRPr="000D268C">
        <w:rPr>
          <w:rFonts w:cstheme="minorHAnsi"/>
          <w:lang w:val="en-GB"/>
        </w:rPr>
        <w:t>’</w:t>
      </w:r>
      <w:r w:rsidRPr="000D268C">
        <w:rPr>
          <w:rFonts w:cstheme="minorHAnsi"/>
          <w:lang w:val="en-GB"/>
        </w:rPr>
        <w:t xml:space="preserve"> even though </w:t>
      </w:r>
      <w:r w:rsidR="00355E94" w:rsidRPr="000D268C">
        <w:rPr>
          <w:rFonts w:cstheme="minorHAnsi"/>
          <w:lang w:val="en-GB"/>
        </w:rPr>
        <w:t>‘</w:t>
      </w:r>
      <w:r w:rsidRPr="000D268C">
        <w:rPr>
          <w:rFonts w:cstheme="minorHAnsi"/>
          <w:lang w:val="en-GB"/>
        </w:rPr>
        <w:t>the line between retrospective accounting and proactive policy making can be thin in practice</w:t>
      </w:r>
      <w:r w:rsidR="00355E94" w:rsidRPr="000D268C">
        <w:rPr>
          <w:rFonts w:cstheme="minorHAnsi"/>
          <w:lang w:val="en-GB"/>
        </w:rPr>
        <w:t>’</w:t>
      </w:r>
      <w:r w:rsidRPr="000D268C">
        <w:rPr>
          <w:rFonts w:cstheme="minorHAnsi"/>
          <w:lang w:val="en-GB"/>
        </w:rPr>
        <w:t xml:space="preserve"> </w:t>
      </w:r>
      <w:r w:rsidRPr="000D268C">
        <w:rPr>
          <w:rFonts w:cstheme="minorHAnsi"/>
          <w:lang w:val="en-GB"/>
        </w:rPr>
        <w:fldChar w:fldCharType="begin"/>
      </w:r>
      <w:r w:rsidR="00C82021" w:rsidRPr="000D268C">
        <w:rPr>
          <w:rFonts w:cstheme="minorHAnsi"/>
          <w:lang w:val="en-GB"/>
        </w:rPr>
        <w:instrText xml:space="preserve"> ADDIN ZOTERO_ITEM CSL_CITATION {"citationID":"2MElzK6h","properties":{"formattedCitation":"(Bovens, 2007, p. 453)","plainCitation":"(Bovens, 2007, p. 453)","noteIndex":0},"citationItems":[{"id":2255,"uris":["http://zotero.org/users/1129714/items/CZBQQUVE"],"uri":["http://zotero.org/users/1129714/items/CZBQQUVE"],"itemData":{"id":2255,"type":"article-journal","abstract":"Abstract:  It has been argued that the EU suffers from serious accountability deficits. But how can we establish the existence of accountability deficits? This article tries to get to grips with the appealing but elusive concept of accountability by asking three types of questions. First a conceptual one: what exactly is meant by accountability? In this article the concept of accountability is used in a rather narrow sense: a relationship between an actor and a forum, in which the actor has an obligation to explain and to justify his or her conduct, the forum can pose questions and pass judgement, and the actor may face consequences. The second question is analytical: what types of accountability are involved? A series of dimensions of accountability are discerned that can be used to describe the various accountability relations and arrangements that can be found in the different domains of European governance. The third question is evaluative: how should we assess these accountability arrangements? The article provides three evaluative perspectives: a democratic, a constitutional and a learning perspective. Each of these perspectives may produce different types of accountability deficits.","container-title":"European Law Journal","ISSN":"1468-0386","issue":"4","language":"en","page":"447-468","source":"Wiley Online Library","title":"Analysing and Assessing Accountability: A Conceptual Framework","title-short":"Analysing and Assessing Accountability","volume":"13","author":[{"family":"Bovens","given":"Mark"}],"issued":{"date-parts":[["2007",7,1]]}},"locator":"453"}],"schema":"https://github.com/citation-style-language/schema/raw/master/csl-citation.json"} </w:instrText>
      </w:r>
      <w:r w:rsidRPr="000D268C">
        <w:rPr>
          <w:rFonts w:cstheme="minorHAnsi"/>
          <w:lang w:val="en-GB"/>
        </w:rPr>
        <w:fldChar w:fldCharType="separate"/>
      </w:r>
      <w:r w:rsidR="000A5639" w:rsidRPr="000D268C">
        <w:rPr>
          <w:rFonts w:cstheme="minorHAnsi"/>
          <w:noProof/>
          <w:lang w:val="en-GB"/>
        </w:rPr>
        <w:t>(Bovens, 2007, p. 453)</w:t>
      </w:r>
      <w:r w:rsidRPr="000D268C">
        <w:rPr>
          <w:rFonts w:cstheme="minorHAnsi"/>
          <w:lang w:val="en-GB"/>
        </w:rPr>
        <w:fldChar w:fldCharType="end"/>
      </w:r>
      <w:r w:rsidRPr="000D268C">
        <w:rPr>
          <w:rFonts w:cstheme="minorHAnsi"/>
          <w:lang w:val="en-GB"/>
        </w:rPr>
        <w:t>.</w:t>
      </w:r>
    </w:p>
    <w:p w14:paraId="518E0D5F" w14:textId="77777777" w:rsidR="00F813C3" w:rsidRPr="000D268C" w:rsidRDefault="00F813C3" w:rsidP="002C54BF">
      <w:pPr>
        <w:spacing w:line="480" w:lineRule="auto"/>
        <w:ind w:firstLine="720"/>
        <w:jc w:val="both"/>
        <w:rPr>
          <w:rFonts w:cstheme="minorHAnsi"/>
          <w:lang w:val="en-GB"/>
        </w:rPr>
      </w:pPr>
      <w:r w:rsidRPr="000D268C">
        <w:rPr>
          <w:rFonts w:cstheme="minorHAnsi"/>
          <w:lang w:val="en-GB"/>
        </w:rPr>
        <w:t>A detailed overview of the various types of questions is provided below:</w:t>
      </w:r>
    </w:p>
    <w:tbl>
      <w:tblPr>
        <w:tblStyle w:val="GridTable5Dark-Accent3"/>
        <w:tblW w:w="0" w:type="auto"/>
        <w:tblBorders>
          <w:insideH w:val="single" w:sz="4" w:space="0" w:color="auto"/>
          <w:insideV w:val="single" w:sz="4" w:space="0" w:color="auto"/>
        </w:tblBorders>
        <w:shd w:val="clear" w:color="auto" w:fill="D9D9D9" w:themeFill="background1" w:themeFillShade="D9"/>
        <w:tblLook w:val="04A0" w:firstRow="1" w:lastRow="0" w:firstColumn="1" w:lastColumn="0" w:noHBand="0" w:noVBand="1"/>
      </w:tblPr>
      <w:tblGrid>
        <w:gridCol w:w="3539"/>
        <w:gridCol w:w="5517"/>
      </w:tblGrid>
      <w:tr w:rsidR="002C54BF" w:rsidRPr="000D268C" w14:paraId="17673E10" w14:textId="77777777" w:rsidTr="00F813C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56" w:type="dxa"/>
            <w:gridSpan w:val="2"/>
            <w:shd w:val="clear" w:color="auto" w:fill="auto"/>
          </w:tcPr>
          <w:p w14:paraId="51A3E3CE" w14:textId="77777777" w:rsidR="00F813C3" w:rsidRPr="000D268C" w:rsidRDefault="00F813C3" w:rsidP="002C54BF">
            <w:pPr>
              <w:jc w:val="both"/>
              <w:rPr>
                <w:rFonts w:cstheme="minorHAnsi"/>
                <w:color w:val="auto"/>
                <w:lang w:val="en-GB"/>
              </w:rPr>
            </w:pPr>
            <w:r w:rsidRPr="000D268C">
              <w:rPr>
                <w:rFonts w:cstheme="minorHAnsi"/>
                <w:color w:val="auto"/>
                <w:lang w:val="en-GB"/>
              </w:rPr>
              <w:t>For questions asked for the first time</w:t>
            </w:r>
          </w:p>
        </w:tc>
      </w:tr>
      <w:tr w:rsidR="00F813C3" w:rsidRPr="000D268C" w14:paraId="5E74BC17"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6EC4B8B0" w14:textId="77777777" w:rsidR="00F813C3" w:rsidRPr="000D268C" w:rsidRDefault="00F813C3" w:rsidP="002C54BF">
            <w:pPr>
              <w:jc w:val="both"/>
              <w:rPr>
                <w:rFonts w:cstheme="minorHAnsi"/>
                <w:color w:val="auto"/>
                <w:lang w:val="en-GB"/>
              </w:rPr>
            </w:pPr>
            <w:r w:rsidRPr="000D268C">
              <w:rPr>
                <w:rFonts w:cstheme="minorHAnsi"/>
                <w:color w:val="auto"/>
                <w:lang w:val="en-GB"/>
              </w:rPr>
              <w:t xml:space="preserve">Initial </w:t>
            </w:r>
            <w:proofErr w:type="spellStart"/>
            <w:r w:rsidRPr="000D268C">
              <w:rPr>
                <w:rFonts w:cstheme="minorHAnsi"/>
                <w:color w:val="auto"/>
                <w:lang w:val="en-GB"/>
              </w:rPr>
              <w:t>question_A</w:t>
            </w:r>
            <w:proofErr w:type="spellEnd"/>
            <w:r w:rsidRPr="000D268C">
              <w:rPr>
                <w:rFonts w:cstheme="minorHAnsi"/>
                <w:color w:val="auto"/>
                <w:lang w:val="en-GB"/>
              </w:rPr>
              <w:t>. Demand information</w:t>
            </w:r>
          </w:p>
        </w:tc>
        <w:tc>
          <w:tcPr>
            <w:tcW w:w="5517" w:type="dxa"/>
            <w:shd w:val="clear" w:color="auto" w:fill="auto"/>
          </w:tcPr>
          <w:p w14:paraId="0BEE1FB7" w14:textId="6419EE63"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 xml:space="preserve">Applied to questions requesting transparency. Transparency refers to information regarding policy objectives, data used for making decisions, details about the content of measures taken, evidence of how decisions were implemented and their effect, but also information about the decision-making process, such as the general process of reaching a decision, minutes of deliberations, or voting records </w:t>
            </w:r>
            <w:r w:rsidRPr="000D268C">
              <w:rPr>
                <w:rFonts w:cstheme="minorHAnsi"/>
                <w:lang w:val="en-GB"/>
              </w:rPr>
              <w:fldChar w:fldCharType="begin"/>
            </w:r>
            <w:r w:rsidR="00C82021" w:rsidRPr="000D268C">
              <w:rPr>
                <w:rFonts w:cstheme="minorHAnsi"/>
                <w:lang w:val="en-GB"/>
              </w:rPr>
              <w:instrText xml:space="preserve"> ADDIN ZOTERO_ITEM CSL_CITATION {"citationID":"2alkJdJa","properties":{"formattedCitation":"(Eijffinger &amp; Geraats, 2006, pp. 3\\uc0\\u8211{}5)","plainCitation":"(Eijffinger &amp; Geraats, 2006, pp. 3–5)","noteIndex":0},"citationItems":[{"id":1993,"uris":["http://zotero.org/users/1129714/items/Q9L7YL2V"],"uri":["http://zotero.org/users/1129714/items/Q9L7YL2V"],"itemData":{"id":1993,"type":"article-journal","abstract":"Central bank transparency has become the topic of a lively public and academic debate on monetary policy. However, this has been complicated by the fact that transparency is a qualitative concept that is hard to measure. This paper proposes an index for the transparency of monetary policy that comprises the political, economic, procedural, policy and operational aspects of central banking. The index is compiled for nine major central banks. It is based on a detailed analysis of actual information disclosure and reveals a rich variety in the degree and dynamics of central bank transparency.","container-title":"European Journal of Political Economy","ISSN":"0176-2680","issue":"1","journalAbbreviation":"European Journal of Political Economy","page":"1-21","source":"ScienceDirect","title":"How transparent are central banks?","volume":"22","author":[{"family":"Eijffinger","given":"Sylvester C. W."},{"family":"Geraats","given":"Petra M."}],"issued":{"date-parts":[["2006",3,1]]}},"locator":"3-5"}],"schema":"https://github.com/citation-style-language/schema/raw/master/csl-citation.json"} </w:instrText>
            </w:r>
            <w:r w:rsidRPr="000D268C">
              <w:rPr>
                <w:rFonts w:cstheme="minorHAnsi"/>
                <w:lang w:val="en-GB"/>
              </w:rPr>
              <w:fldChar w:fldCharType="separate"/>
            </w:r>
            <w:r w:rsidR="000A5639" w:rsidRPr="000D268C">
              <w:rPr>
                <w:rFonts w:cstheme="minorHAnsi"/>
                <w:lang w:val="en-GB"/>
              </w:rPr>
              <w:t>(Eijffinger &amp; Geraats, 2006, pp. 3–5)</w:t>
            </w:r>
            <w:r w:rsidRPr="000D268C">
              <w:rPr>
                <w:rFonts w:cstheme="minorHAnsi"/>
                <w:lang w:val="en-GB"/>
              </w:rPr>
              <w:fldChar w:fldCharType="end"/>
            </w:r>
            <w:r w:rsidRPr="000D268C">
              <w:rPr>
                <w:rFonts w:cstheme="minorHAnsi"/>
                <w:lang w:val="en-GB"/>
              </w:rPr>
              <w:t>.</w:t>
            </w:r>
          </w:p>
          <w:p w14:paraId="494378FC"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p w14:paraId="3C853CA8" w14:textId="4AD8F09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u w:val="single"/>
                <w:lang w:val="en-GB"/>
              </w:rPr>
              <w:t>Examples</w:t>
            </w:r>
            <w:r w:rsidRPr="000D268C">
              <w:rPr>
                <w:rFonts w:cstheme="minorHAnsi"/>
                <w:lang w:val="en-GB"/>
              </w:rPr>
              <w:t xml:space="preserve">: questions starting with </w:t>
            </w:r>
            <w:r w:rsidR="00355E94" w:rsidRPr="000D268C">
              <w:rPr>
                <w:rFonts w:cstheme="minorHAnsi"/>
                <w:lang w:val="en-GB"/>
              </w:rPr>
              <w:t>‘</w:t>
            </w:r>
            <w:r w:rsidRPr="000D268C">
              <w:rPr>
                <w:rFonts w:cstheme="minorHAnsi"/>
                <w:lang w:val="en-GB"/>
              </w:rPr>
              <w:t>what</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which</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who</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when</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how many</w:t>
            </w:r>
            <w:r w:rsidR="00355E94" w:rsidRPr="000D268C">
              <w:rPr>
                <w:rFonts w:cstheme="minorHAnsi"/>
                <w:lang w:val="en-GB"/>
              </w:rPr>
              <w:t>’</w:t>
            </w:r>
            <w:r w:rsidRPr="000D268C">
              <w:rPr>
                <w:rFonts w:cstheme="minorHAnsi"/>
                <w:lang w:val="en-GB"/>
              </w:rPr>
              <w:t>, ‘how much</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[how]will/does/has/did the ECB…</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is the ECB aware…</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can the ECB specify…</w:t>
            </w:r>
            <w:r w:rsidR="00355E94" w:rsidRPr="000D268C">
              <w:rPr>
                <w:rFonts w:cstheme="minorHAnsi"/>
                <w:lang w:val="en-GB"/>
              </w:rPr>
              <w:t>’</w:t>
            </w:r>
            <w:r w:rsidRPr="000D268C">
              <w:rPr>
                <w:rFonts w:cstheme="minorHAnsi"/>
                <w:lang w:val="en-GB"/>
              </w:rPr>
              <w:t>, and specific requests for examples or description of policies.</w:t>
            </w:r>
          </w:p>
        </w:tc>
      </w:tr>
      <w:tr w:rsidR="00F813C3" w:rsidRPr="000D268C" w14:paraId="13817DE6" w14:textId="77777777" w:rsidTr="00F813C3">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3F60AE00" w14:textId="77777777" w:rsidR="00F813C3" w:rsidRPr="000D268C" w:rsidRDefault="00F813C3" w:rsidP="002C54BF">
            <w:pPr>
              <w:jc w:val="both"/>
              <w:rPr>
                <w:rFonts w:cstheme="minorHAnsi"/>
                <w:color w:val="auto"/>
                <w:lang w:val="en-GB"/>
              </w:rPr>
            </w:pPr>
            <w:r w:rsidRPr="000D268C">
              <w:rPr>
                <w:rFonts w:cstheme="minorHAnsi"/>
                <w:color w:val="auto"/>
                <w:lang w:val="en-GB"/>
              </w:rPr>
              <w:t xml:space="preserve">Initial </w:t>
            </w:r>
            <w:proofErr w:type="spellStart"/>
            <w:r w:rsidRPr="000D268C">
              <w:rPr>
                <w:rFonts w:cstheme="minorHAnsi"/>
                <w:color w:val="auto"/>
                <w:lang w:val="en-GB"/>
              </w:rPr>
              <w:t>question_B</w:t>
            </w:r>
            <w:proofErr w:type="spellEnd"/>
            <w:r w:rsidRPr="000D268C">
              <w:rPr>
                <w:rFonts w:cstheme="minorHAnsi"/>
                <w:color w:val="auto"/>
                <w:lang w:val="en-GB"/>
              </w:rPr>
              <w:t xml:space="preserve">. Demand justification of conduct  </w:t>
            </w:r>
          </w:p>
        </w:tc>
        <w:tc>
          <w:tcPr>
            <w:tcW w:w="5517" w:type="dxa"/>
            <w:shd w:val="clear" w:color="auto" w:fill="auto"/>
          </w:tcPr>
          <w:p w14:paraId="7B000233" w14:textId="77777777"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Applied to questions requesting explanations for policy decisions or executive conduct.</w:t>
            </w:r>
          </w:p>
          <w:p w14:paraId="4A615450" w14:textId="77777777"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p w14:paraId="12EC6F96" w14:textId="00CCB090"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u w:val="single"/>
                <w:lang w:val="en-GB"/>
              </w:rPr>
              <w:t>Examples</w:t>
            </w:r>
            <w:r w:rsidRPr="000D268C">
              <w:rPr>
                <w:rFonts w:cstheme="minorHAnsi"/>
                <w:lang w:val="en-GB"/>
              </w:rPr>
              <w:t xml:space="preserve">: questions starting with </w:t>
            </w:r>
            <w:r w:rsidR="00355E94" w:rsidRPr="000D268C">
              <w:rPr>
                <w:rFonts w:cstheme="minorHAnsi"/>
                <w:lang w:val="en-GB"/>
              </w:rPr>
              <w:t>‘</w:t>
            </w:r>
            <w:r w:rsidRPr="000D268C">
              <w:rPr>
                <w:rFonts w:cstheme="minorHAnsi"/>
                <w:lang w:val="en-GB"/>
              </w:rPr>
              <w:t>why</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how will/does/can the ECB ensure/guarantee</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can the ECB explain…</w:t>
            </w:r>
            <w:r w:rsidR="00355E94" w:rsidRPr="000D268C">
              <w:rPr>
                <w:rFonts w:cstheme="minorHAnsi"/>
                <w:lang w:val="en-GB"/>
              </w:rPr>
              <w:t>’</w:t>
            </w:r>
            <w:r w:rsidRPr="000D268C">
              <w:rPr>
                <w:rFonts w:cstheme="minorHAnsi"/>
                <w:lang w:val="en-GB"/>
              </w:rPr>
              <w:t>, and any interrogative sentences that question ECB decisions on a specific topic, thus implying the need for justification.</w:t>
            </w:r>
          </w:p>
        </w:tc>
      </w:tr>
      <w:tr w:rsidR="00F813C3" w:rsidRPr="000D268C" w14:paraId="0F25C370"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69C7A111" w14:textId="77777777" w:rsidR="00F813C3" w:rsidRPr="000D268C" w:rsidRDefault="00F813C3" w:rsidP="002C54BF">
            <w:pPr>
              <w:jc w:val="both"/>
              <w:rPr>
                <w:rFonts w:cstheme="minorHAnsi"/>
                <w:color w:val="auto"/>
                <w:lang w:val="en-GB"/>
              </w:rPr>
            </w:pPr>
            <w:r w:rsidRPr="000D268C">
              <w:rPr>
                <w:rFonts w:cstheme="minorHAnsi"/>
                <w:color w:val="auto"/>
                <w:lang w:val="en-GB"/>
              </w:rPr>
              <w:t xml:space="preserve">● Initial </w:t>
            </w:r>
            <w:proofErr w:type="spellStart"/>
            <w:r w:rsidRPr="000D268C">
              <w:rPr>
                <w:rFonts w:cstheme="minorHAnsi"/>
                <w:color w:val="auto"/>
                <w:lang w:val="en-GB"/>
              </w:rPr>
              <w:t>question_C</w:t>
            </w:r>
            <w:proofErr w:type="spellEnd"/>
            <w:r w:rsidRPr="000D268C">
              <w:rPr>
                <w:rFonts w:cstheme="minorHAnsi"/>
                <w:color w:val="auto"/>
                <w:lang w:val="en-GB"/>
              </w:rPr>
              <w:t>. Demand change of decisions / conduct </w:t>
            </w:r>
          </w:p>
        </w:tc>
        <w:tc>
          <w:tcPr>
            <w:tcW w:w="5517" w:type="dxa"/>
            <w:shd w:val="clear" w:color="auto" w:fill="auto"/>
          </w:tcPr>
          <w:p w14:paraId="2A7AF214"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Applied to questions requesting a clear change in the decisions or conduct of the executive actor.</w:t>
            </w:r>
          </w:p>
          <w:p w14:paraId="49A5A821"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p w14:paraId="732FE309" w14:textId="5566DBEE"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u w:val="single"/>
                <w:lang w:val="en-GB"/>
              </w:rPr>
              <w:t>Examples:</w:t>
            </w:r>
            <w:r w:rsidRPr="000D268C">
              <w:rPr>
                <w:rFonts w:cstheme="minorHAnsi"/>
                <w:lang w:val="en-GB"/>
              </w:rPr>
              <w:t xml:space="preserve"> questions starting with </w:t>
            </w:r>
            <w:r w:rsidR="00355E94" w:rsidRPr="000D268C">
              <w:rPr>
                <w:rFonts w:cstheme="minorHAnsi"/>
                <w:lang w:val="en-GB"/>
              </w:rPr>
              <w:t>‘</w:t>
            </w:r>
            <w:r w:rsidRPr="000D268C">
              <w:rPr>
                <w:rFonts w:cstheme="minorHAnsi"/>
                <w:lang w:val="en-GB"/>
              </w:rPr>
              <w:t>[can you please indicate] what steps/actions will the ECB take…</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how does the ECB plan/intend to…</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has the ECB envisaged the possibility to…</w:t>
            </w:r>
            <w:r w:rsidR="00355E94" w:rsidRPr="000D268C">
              <w:rPr>
                <w:rFonts w:cstheme="minorHAnsi"/>
                <w:lang w:val="en-GB"/>
              </w:rPr>
              <w:t>’</w:t>
            </w:r>
            <w:r w:rsidRPr="000D268C">
              <w:rPr>
                <w:rFonts w:cstheme="minorHAnsi"/>
                <w:lang w:val="en-GB"/>
              </w:rPr>
              <w:t xml:space="preserve">. Questions in this category are </w:t>
            </w:r>
            <w:r w:rsidRPr="000D268C">
              <w:rPr>
                <w:rFonts w:cstheme="minorHAnsi"/>
                <w:lang w:val="en-GB"/>
              </w:rPr>
              <w:lastRenderedPageBreak/>
              <w:t xml:space="preserve">sometimes phrased as affirmative sentences, e.g. </w:t>
            </w:r>
            <w:r w:rsidR="00355E94" w:rsidRPr="000D268C">
              <w:rPr>
                <w:rFonts w:cstheme="minorHAnsi"/>
                <w:lang w:val="en-GB"/>
              </w:rPr>
              <w:t>‘</w:t>
            </w:r>
            <w:r w:rsidRPr="000D268C">
              <w:rPr>
                <w:rFonts w:cstheme="minorHAnsi"/>
                <w:lang w:val="en-GB"/>
              </w:rPr>
              <w:t>I would urge you to take all steps in order to ensure…</w:t>
            </w:r>
            <w:r w:rsidR="00355E94" w:rsidRPr="000D268C">
              <w:rPr>
                <w:rFonts w:cstheme="minorHAnsi"/>
                <w:lang w:val="en-GB"/>
              </w:rPr>
              <w:t>’</w:t>
            </w:r>
            <w:r w:rsidRPr="000D268C">
              <w:rPr>
                <w:rFonts w:cstheme="minorHAnsi"/>
                <w:lang w:val="en-GB"/>
              </w:rPr>
              <w:t>.</w:t>
            </w:r>
          </w:p>
        </w:tc>
      </w:tr>
      <w:tr w:rsidR="00F813C3" w:rsidRPr="000D268C" w14:paraId="64D42EAC" w14:textId="77777777" w:rsidTr="00F813C3">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36C75A35" w14:textId="77777777" w:rsidR="00F813C3" w:rsidRPr="000D268C" w:rsidRDefault="00F813C3" w:rsidP="002C54BF">
            <w:pPr>
              <w:jc w:val="both"/>
              <w:rPr>
                <w:rFonts w:cstheme="minorHAnsi"/>
                <w:color w:val="auto"/>
                <w:lang w:val="en-GB"/>
              </w:rPr>
            </w:pPr>
            <w:r w:rsidRPr="000D268C">
              <w:rPr>
                <w:rFonts w:cstheme="minorHAnsi"/>
                <w:color w:val="auto"/>
                <w:lang w:val="en-GB"/>
              </w:rPr>
              <w:lastRenderedPageBreak/>
              <w:t xml:space="preserve">● Initial </w:t>
            </w:r>
            <w:proofErr w:type="spellStart"/>
            <w:r w:rsidRPr="000D268C">
              <w:rPr>
                <w:rFonts w:cstheme="minorHAnsi"/>
                <w:color w:val="auto"/>
                <w:lang w:val="en-GB"/>
              </w:rPr>
              <w:t>question_D</w:t>
            </w:r>
            <w:proofErr w:type="spellEnd"/>
            <w:r w:rsidRPr="000D268C">
              <w:rPr>
                <w:rFonts w:cstheme="minorHAnsi"/>
                <w:color w:val="auto"/>
                <w:lang w:val="en-GB"/>
              </w:rPr>
              <w:t>. Demand sanctions for actors </w:t>
            </w:r>
          </w:p>
        </w:tc>
        <w:tc>
          <w:tcPr>
            <w:tcW w:w="5517" w:type="dxa"/>
            <w:shd w:val="clear" w:color="auto" w:fill="auto"/>
          </w:tcPr>
          <w:p w14:paraId="18DC77C7" w14:textId="77777777"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Applied to questions requesting sanctions for officials considered responsible for wrongdoing of any kind.</w:t>
            </w:r>
          </w:p>
          <w:p w14:paraId="5CEBBC92" w14:textId="77777777"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p w14:paraId="5AAE1E7B" w14:textId="2CB4FB21"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u w:val="single"/>
                <w:lang w:val="en-GB"/>
              </w:rPr>
              <w:t>Examples:</w:t>
            </w:r>
            <w:r w:rsidRPr="000D268C">
              <w:rPr>
                <w:rFonts w:cstheme="minorHAnsi"/>
                <w:lang w:val="en-GB"/>
              </w:rPr>
              <w:t xml:space="preserve"> questions starting with </w:t>
            </w:r>
            <w:r w:rsidR="00355E94" w:rsidRPr="000D268C">
              <w:rPr>
                <w:rFonts w:cstheme="minorHAnsi"/>
                <w:lang w:val="en-GB"/>
              </w:rPr>
              <w:t>‘</w:t>
            </w:r>
            <w:r w:rsidRPr="000D268C">
              <w:rPr>
                <w:rFonts w:cstheme="minorHAnsi"/>
                <w:lang w:val="en-GB"/>
              </w:rPr>
              <w:t>can the ECB detail/explain what actions it intends to take against…/it would impose on…</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will the ECB consider conducting an investigation against…/be looking into…/examine…</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will the ECB call for X to be removed…</w:t>
            </w:r>
            <w:r w:rsidR="00355E94" w:rsidRPr="000D268C">
              <w:rPr>
                <w:rFonts w:cstheme="minorHAnsi"/>
                <w:lang w:val="en-GB"/>
              </w:rPr>
              <w:t>’</w:t>
            </w:r>
            <w:r w:rsidRPr="000D268C">
              <w:rPr>
                <w:rFonts w:cstheme="minorHAnsi"/>
                <w:lang w:val="en-GB"/>
              </w:rPr>
              <w:t xml:space="preserve">. </w:t>
            </w:r>
          </w:p>
        </w:tc>
      </w:tr>
      <w:tr w:rsidR="00F813C3" w:rsidRPr="000D268C" w14:paraId="3DD5F4DF"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bottom w:val="none" w:sz="0" w:space="0" w:color="auto"/>
            </w:tcBorders>
            <w:shd w:val="clear" w:color="auto" w:fill="D9D9D9" w:themeFill="background1" w:themeFillShade="D9"/>
          </w:tcPr>
          <w:p w14:paraId="3B0F5C18" w14:textId="77777777" w:rsidR="00F813C3" w:rsidRPr="000D268C" w:rsidRDefault="00F813C3" w:rsidP="002C54BF">
            <w:pPr>
              <w:jc w:val="both"/>
              <w:rPr>
                <w:rFonts w:cstheme="minorHAnsi"/>
                <w:color w:val="auto"/>
                <w:lang w:val="en-GB"/>
              </w:rPr>
            </w:pPr>
            <w:r w:rsidRPr="000D268C">
              <w:rPr>
                <w:rFonts w:cstheme="minorHAnsi"/>
                <w:color w:val="auto"/>
                <w:lang w:val="en-GB"/>
              </w:rPr>
              <w:t xml:space="preserve">Initial </w:t>
            </w:r>
            <w:proofErr w:type="spellStart"/>
            <w:r w:rsidRPr="000D268C">
              <w:rPr>
                <w:rFonts w:cstheme="minorHAnsi"/>
                <w:color w:val="auto"/>
                <w:lang w:val="en-GB"/>
              </w:rPr>
              <w:t>question_E</w:t>
            </w:r>
            <w:proofErr w:type="spellEnd"/>
            <w:r w:rsidRPr="000D268C">
              <w:rPr>
                <w:rFonts w:cstheme="minorHAnsi"/>
                <w:color w:val="auto"/>
                <w:lang w:val="en-GB"/>
              </w:rPr>
              <w:t>. Demand policy views</w:t>
            </w:r>
          </w:p>
        </w:tc>
        <w:tc>
          <w:tcPr>
            <w:tcW w:w="5517" w:type="dxa"/>
            <w:shd w:val="clear" w:color="auto" w:fill="auto"/>
          </w:tcPr>
          <w:p w14:paraId="574CD5DD"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Applied to questions outside the scope of oversight interactions because they do not involve an attempt by the legislative to hold the executive accountable.</w:t>
            </w:r>
          </w:p>
          <w:p w14:paraId="39B574A0"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p w14:paraId="0147E2D7" w14:textId="3D6F100E"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u w:val="single"/>
                <w:lang w:val="en-GB"/>
              </w:rPr>
              <w:t>Examples:</w:t>
            </w:r>
            <w:r w:rsidRPr="000D268C">
              <w:rPr>
                <w:rFonts w:cstheme="minorHAnsi"/>
                <w:lang w:val="en-GB"/>
              </w:rPr>
              <w:t xml:space="preserve"> questions starting with </w:t>
            </w:r>
            <w:r w:rsidR="00355E94" w:rsidRPr="000D268C">
              <w:rPr>
                <w:rFonts w:cstheme="minorHAnsi"/>
                <w:lang w:val="en-GB"/>
              </w:rPr>
              <w:t>‘</w:t>
            </w:r>
            <w:r w:rsidRPr="000D268C">
              <w:rPr>
                <w:rFonts w:cstheme="minorHAnsi"/>
                <w:lang w:val="en-GB"/>
              </w:rPr>
              <w:t>does the ECB consider/believe/take the view/agree that…</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what is the position of the ECB on…</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would you conclude that further action by the legislator is necessary in this case?</w:t>
            </w:r>
            <w:r w:rsidR="00355E94" w:rsidRPr="000D268C">
              <w:rPr>
                <w:rFonts w:cstheme="minorHAnsi"/>
                <w:lang w:val="en-GB"/>
              </w:rPr>
              <w:t>’</w:t>
            </w:r>
          </w:p>
        </w:tc>
      </w:tr>
    </w:tbl>
    <w:p w14:paraId="541FF3A4" w14:textId="4FFB0D78" w:rsidR="00F813C3" w:rsidRPr="000D268C" w:rsidRDefault="00F813C3" w:rsidP="002C54BF">
      <w:pPr>
        <w:spacing w:line="480" w:lineRule="auto"/>
        <w:jc w:val="both"/>
        <w:rPr>
          <w:rFonts w:cstheme="minorHAnsi"/>
          <w:lang w:val="en-GB"/>
        </w:rPr>
      </w:pPr>
    </w:p>
    <w:p w14:paraId="6D4081D8" w14:textId="544D0CAB" w:rsidR="00984AD0" w:rsidRPr="000D268C" w:rsidRDefault="00984AD0" w:rsidP="002C54BF">
      <w:pPr>
        <w:spacing w:line="480" w:lineRule="auto"/>
        <w:jc w:val="both"/>
        <w:rPr>
          <w:rFonts w:cstheme="minorHAnsi"/>
          <w:lang w:val="en-GB"/>
        </w:rPr>
      </w:pPr>
      <w:r w:rsidRPr="000D268C">
        <w:rPr>
          <w:rFonts w:cstheme="minorHAnsi"/>
          <w:lang w:val="en-GB"/>
        </w:rPr>
        <w:t>To apply the classification above, researchers need a basic understanding of the topic at hand in order to detect inappropriate, misdirected questions.</w:t>
      </w:r>
    </w:p>
    <w:p w14:paraId="2AEBDE6E" w14:textId="77777777" w:rsidR="00991D04" w:rsidRPr="000D268C" w:rsidRDefault="00991D04" w:rsidP="002C54BF">
      <w:pPr>
        <w:spacing w:line="480" w:lineRule="auto"/>
        <w:jc w:val="both"/>
        <w:rPr>
          <w:rFonts w:cstheme="minorHAnsi"/>
          <w:lang w:val="en-GB"/>
        </w:rPr>
      </w:pPr>
    </w:p>
    <w:p w14:paraId="68D2BDB5" w14:textId="30CA363C" w:rsidR="00F813C3" w:rsidRPr="000D268C" w:rsidRDefault="00F813C3" w:rsidP="002C54BF">
      <w:pPr>
        <w:pStyle w:val="Heading3"/>
        <w:numPr>
          <w:ilvl w:val="0"/>
          <w:numId w:val="23"/>
        </w:numPr>
        <w:spacing w:line="480" w:lineRule="auto"/>
        <w:rPr>
          <w:rFonts w:asciiTheme="minorHAnsi" w:hAnsiTheme="minorHAnsi" w:cstheme="minorHAnsi"/>
          <w:color w:val="auto"/>
          <w:lang w:val="en-GB"/>
        </w:rPr>
      </w:pPr>
      <w:bookmarkStart w:id="13" w:name="_Toc45885406"/>
      <w:r w:rsidRPr="000D268C">
        <w:rPr>
          <w:rFonts w:asciiTheme="minorHAnsi" w:hAnsiTheme="minorHAnsi" w:cstheme="minorHAnsi"/>
          <w:color w:val="auto"/>
          <w:lang w:val="en-GB"/>
        </w:rPr>
        <w:t>Response by executive</w:t>
      </w:r>
      <w:bookmarkEnd w:id="13"/>
    </w:p>
    <w:p w14:paraId="77C4AE81" w14:textId="44B3073B" w:rsidR="00F813C3" w:rsidRPr="000D268C" w:rsidRDefault="00F813C3" w:rsidP="002C54BF">
      <w:pPr>
        <w:widowControl w:val="0"/>
        <w:spacing w:line="480" w:lineRule="auto"/>
        <w:jc w:val="both"/>
        <w:rPr>
          <w:rFonts w:cstheme="minorHAnsi"/>
          <w:lang w:val="en-GB"/>
        </w:rPr>
      </w:pPr>
      <w:r w:rsidRPr="000D268C">
        <w:rPr>
          <w:rFonts w:cstheme="minorHAnsi"/>
          <w:lang w:val="en-GB"/>
        </w:rPr>
        <w:t xml:space="preserve">The category of codes referring to </w:t>
      </w:r>
      <w:r w:rsidR="00355E94" w:rsidRPr="000D268C">
        <w:rPr>
          <w:rFonts w:cstheme="minorHAnsi"/>
          <w:lang w:val="en-GB"/>
        </w:rPr>
        <w:t>‘</w:t>
      </w:r>
      <w:r w:rsidRPr="000D268C">
        <w:rPr>
          <w:rFonts w:cstheme="minorHAnsi"/>
          <w:lang w:val="en-GB"/>
        </w:rPr>
        <w:t>replies</w:t>
      </w:r>
      <w:r w:rsidR="00355E94" w:rsidRPr="000D268C">
        <w:rPr>
          <w:rFonts w:cstheme="minorHAnsi"/>
          <w:lang w:val="en-GB"/>
        </w:rPr>
        <w:t>’</w:t>
      </w:r>
      <w:r w:rsidRPr="000D268C">
        <w:rPr>
          <w:rFonts w:cstheme="minorHAnsi"/>
          <w:lang w:val="en-GB"/>
        </w:rPr>
        <w:t xml:space="preserve"> applies to all answers provided by executive actors to members of the legislative in response to both initial and follow-up questions. The variation </w:t>
      </w:r>
      <w:r w:rsidR="00991D04" w:rsidRPr="000D268C">
        <w:rPr>
          <w:rFonts w:cstheme="minorHAnsi"/>
          <w:lang w:val="en-GB"/>
        </w:rPr>
        <w:t>in</w:t>
      </w:r>
      <w:r w:rsidRPr="000D268C">
        <w:rPr>
          <w:rFonts w:cstheme="minorHAnsi"/>
          <w:lang w:val="en-GB"/>
        </w:rPr>
        <w:t xml:space="preserve"> the format for answers is much higher than in the case of questions. Answers can be short (a few sentences to one paragraph), medium (a few paragraphs), or long (a few pages of text, including graphs). Coders will assign categories to answers based on their content and not merely on the length of a reply. </w:t>
      </w:r>
    </w:p>
    <w:p w14:paraId="4F677E54" w14:textId="12FF7B43" w:rsidR="00F813C3" w:rsidRPr="000D268C" w:rsidRDefault="00F813C3" w:rsidP="002C54BF">
      <w:pPr>
        <w:widowControl w:val="0"/>
        <w:spacing w:line="480" w:lineRule="auto"/>
        <w:ind w:firstLine="720"/>
        <w:jc w:val="both"/>
        <w:rPr>
          <w:rFonts w:cstheme="minorHAnsi"/>
          <w:lang w:val="en-GB"/>
        </w:rPr>
      </w:pPr>
      <w:r w:rsidRPr="000D268C">
        <w:rPr>
          <w:rFonts w:cstheme="minorHAnsi"/>
          <w:lang w:val="en-GB"/>
        </w:rPr>
        <w:t>As indicated in Figure 1, answers can be categor</w:t>
      </w:r>
      <w:r w:rsidR="00063870" w:rsidRPr="000D268C">
        <w:rPr>
          <w:rFonts w:cstheme="minorHAnsi"/>
          <w:lang w:val="en-GB"/>
        </w:rPr>
        <w:t>ise</w:t>
      </w:r>
      <w:r w:rsidRPr="000D268C">
        <w:rPr>
          <w:rFonts w:cstheme="minorHAnsi"/>
          <w:lang w:val="en-GB"/>
        </w:rPr>
        <w:t xml:space="preserve">d as 1) explicit replies, 2) non-replies, or 3) intermediate replies. Explicit replies presuppose full engagement with the substance of the question. Non-replies signify evasion or a downright refusal to answer the </w:t>
      </w:r>
      <w:r w:rsidRPr="000D268C">
        <w:rPr>
          <w:rFonts w:cstheme="minorHAnsi"/>
          <w:lang w:val="en-GB"/>
        </w:rPr>
        <w:lastRenderedPageBreak/>
        <w:t xml:space="preserve">question. Intermediate replies offer a partial response to the question or deny responsibility for the topic while at the same topic explaining which other actor is the appropriate addressee for the question. Each of these categories corresponds to the four types of questions identified, creating further sub-codes. </w:t>
      </w:r>
    </w:p>
    <w:p w14:paraId="506632E8" w14:textId="77777777" w:rsidR="00F813C3" w:rsidRPr="000D268C" w:rsidRDefault="00F813C3" w:rsidP="002C54BF">
      <w:pPr>
        <w:widowControl w:val="0"/>
        <w:spacing w:line="480" w:lineRule="auto"/>
        <w:ind w:firstLine="720"/>
        <w:jc w:val="both"/>
        <w:rPr>
          <w:rFonts w:cstheme="minorHAnsi"/>
          <w:lang w:val="en-GB"/>
        </w:rPr>
      </w:pPr>
      <w:r w:rsidRPr="000D268C">
        <w:rPr>
          <w:rFonts w:cstheme="minorHAnsi"/>
          <w:lang w:val="en-GB"/>
        </w:rPr>
        <w:t>The table below lists the sub-codes used in the case study presented in the article:</w:t>
      </w:r>
    </w:p>
    <w:tbl>
      <w:tblPr>
        <w:tblStyle w:val="GridTable5Dark-Accent3"/>
        <w:tblW w:w="9351" w:type="dxa"/>
        <w:tblBorders>
          <w:insideH w:val="single" w:sz="4" w:space="0" w:color="auto"/>
          <w:insideV w:val="single" w:sz="4" w:space="0" w:color="auto"/>
        </w:tblBorders>
        <w:shd w:val="clear" w:color="auto" w:fill="D9D9D9" w:themeFill="background1" w:themeFillShade="D9"/>
        <w:tblLook w:val="04A0" w:firstRow="1" w:lastRow="0" w:firstColumn="1" w:lastColumn="0" w:noHBand="0" w:noVBand="1"/>
      </w:tblPr>
      <w:tblGrid>
        <w:gridCol w:w="3950"/>
        <w:gridCol w:w="5401"/>
      </w:tblGrid>
      <w:tr w:rsidR="002C54BF" w:rsidRPr="000D268C" w14:paraId="7074625A" w14:textId="77777777" w:rsidTr="00F813C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gridSpan w:val="2"/>
            <w:shd w:val="clear" w:color="auto" w:fill="FFFFFF" w:themeFill="background1"/>
          </w:tcPr>
          <w:p w14:paraId="7BBBD8AD" w14:textId="77777777" w:rsidR="00F813C3" w:rsidRPr="000D268C" w:rsidRDefault="00F813C3" w:rsidP="002C54BF">
            <w:pPr>
              <w:ind w:right="-109"/>
              <w:rPr>
                <w:rFonts w:cstheme="minorHAnsi"/>
                <w:color w:val="auto"/>
                <w:lang w:val="en-GB"/>
              </w:rPr>
            </w:pPr>
            <w:r w:rsidRPr="000D268C">
              <w:rPr>
                <w:rFonts w:cstheme="minorHAnsi"/>
                <w:color w:val="auto"/>
                <w:lang w:val="en-GB"/>
              </w:rPr>
              <w:t>For answers only</w:t>
            </w:r>
          </w:p>
        </w:tc>
      </w:tr>
      <w:tr w:rsidR="00F813C3" w:rsidRPr="000D268C" w14:paraId="33A178F7"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gridSpan w:val="2"/>
            <w:shd w:val="clear" w:color="auto" w:fill="D9D9D9" w:themeFill="background1" w:themeFillShade="D9"/>
          </w:tcPr>
          <w:p w14:paraId="3BEDFA20" w14:textId="77777777" w:rsidR="00F813C3" w:rsidRPr="000D268C" w:rsidRDefault="00F813C3" w:rsidP="002C54BF">
            <w:pPr>
              <w:ind w:right="-109"/>
              <w:rPr>
                <w:rFonts w:cstheme="minorHAnsi"/>
                <w:color w:val="auto"/>
                <w:lang w:val="en-GB"/>
              </w:rPr>
            </w:pPr>
            <w:r w:rsidRPr="000D268C">
              <w:rPr>
                <w:rFonts w:cstheme="minorHAnsi"/>
                <w:color w:val="auto"/>
                <w:lang w:val="en-GB"/>
              </w:rPr>
              <w:t>Explicit replies are answers that address a question head-on, without digressions or attempts at evasion. They are divided into subcategories:</w:t>
            </w:r>
          </w:p>
        </w:tc>
      </w:tr>
      <w:tr w:rsidR="00F813C3" w:rsidRPr="000D268C" w14:paraId="15288B3C" w14:textId="77777777" w:rsidTr="00F813C3">
        <w:tc>
          <w:tcPr>
            <w:cnfStyle w:val="001000000000" w:firstRow="0" w:lastRow="0" w:firstColumn="1" w:lastColumn="0" w:oddVBand="0" w:evenVBand="0" w:oddHBand="0" w:evenHBand="0" w:firstRowFirstColumn="0" w:firstRowLastColumn="0" w:lastRowFirstColumn="0" w:lastRowLastColumn="0"/>
            <w:tcW w:w="3950" w:type="dxa"/>
            <w:shd w:val="clear" w:color="auto" w:fill="D9D9D9" w:themeFill="background1" w:themeFillShade="D9"/>
          </w:tcPr>
          <w:p w14:paraId="54AA5F51" w14:textId="77777777" w:rsidR="00F813C3" w:rsidRPr="000D268C" w:rsidRDefault="00F813C3" w:rsidP="002C54BF">
            <w:pPr>
              <w:pStyle w:val="ListParagraph"/>
              <w:numPr>
                <w:ilvl w:val="0"/>
                <w:numId w:val="19"/>
              </w:numPr>
              <w:ind w:left="313" w:hanging="313"/>
              <w:rPr>
                <w:rFonts w:cstheme="minorHAnsi"/>
                <w:color w:val="auto"/>
                <w:lang w:val="en-GB"/>
              </w:rPr>
            </w:pPr>
            <w:proofErr w:type="spellStart"/>
            <w:r w:rsidRPr="000D268C">
              <w:rPr>
                <w:rFonts w:cstheme="minorHAnsi"/>
                <w:color w:val="auto"/>
                <w:lang w:val="en-GB"/>
              </w:rPr>
              <w:t>Response_Explicit_A</w:t>
            </w:r>
            <w:proofErr w:type="spellEnd"/>
            <w:r w:rsidRPr="000D268C">
              <w:rPr>
                <w:rFonts w:cstheme="minorHAnsi"/>
                <w:color w:val="auto"/>
                <w:lang w:val="en-GB"/>
              </w:rPr>
              <w:t xml:space="preserve">. Full transparency  </w:t>
            </w:r>
          </w:p>
          <w:p w14:paraId="27177A1F" w14:textId="77777777" w:rsidR="00F813C3" w:rsidRPr="000D268C" w:rsidRDefault="00F813C3" w:rsidP="002C54BF">
            <w:pPr>
              <w:rPr>
                <w:rFonts w:cstheme="minorHAnsi"/>
                <w:color w:val="auto"/>
                <w:lang w:val="en-GB"/>
              </w:rPr>
            </w:pPr>
          </w:p>
        </w:tc>
        <w:tc>
          <w:tcPr>
            <w:tcW w:w="5401" w:type="dxa"/>
            <w:shd w:val="clear" w:color="auto" w:fill="FFFFFF" w:themeFill="background1"/>
          </w:tcPr>
          <w:p w14:paraId="4AB4CCFB" w14:textId="77777777" w:rsidR="00F813C3" w:rsidRPr="000D268C" w:rsidRDefault="00F813C3" w:rsidP="002C54BF">
            <w:pPr>
              <w:widowControl w:val="0"/>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Applied to answers including concrete/extensive details about policy decisions or about the process through which a decision was taken.</w:t>
            </w:r>
          </w:p>
        </w:tc>
      </w:tr>
      <w:tr w:rsidR="00F813C3" w:rsidRPr="000D268C" w14:paraId="11C635A2"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50" w:type="dxa"/>
            <w:shd w:val="clear" w:color="auto" w:fill="D9D9D9" w:themeFill="background1" w:themeFillShade="D9"/>
          </w:tcPr>
          <w:p w14:paraId="4F722C4D" w14:textId="77777777" w:rsidR="00F813C3" w:rsidRPr="000D268C" w:rsidRDefault="00F813C3" w:rsidP="002C54BF">
            <w:pPr>
              <w:pStyle w:val="ListParagraph"/>
              <w:numPr>
                <w:ilvl w:val="0"/>
                <w:numId w:val="19"/>
              </w:numPr>
              <w:ind w:left="313" w:hanging="313"/>
              <w:rPr>
                <w:rFonts w:cstheme="minorHAnsi"/>
                <w:color w:val="auto"/>
                <w:lang w:val="en-GB"/>
              </w:rPr>
            </w:pPr>
            <w:proofErr w:type="spellStart"/>
            <w:r w:rsidRPr="000D268C">
              <w:rPr>
                <w:rFonts w:cstheme="minorHAnsi"/>
                <w:color w:val="auto"/>
                <w:lang w:val="en-GB"/>
              </w:rPr>
              <w:t>Response_Explicit_B</w:t>
            </w:r>
            <w:proofErr w:type="spellEnd"/>
            <w:r w:rsidRPr="000D268C">
              <w:rPr>
                <w:rFonts w:cstheme="minorHAnsi"/>
                <w:color w:val="auto"/>
                <w:lang w:val="en-GB"/>
              </w:rPr>
              <w:t>. Provide justification of conduct/decisions</w:t>
            </w:r>
          </w:p>
        </w:tc>
        <w:tc>
          <w:tcPr>
            <w:tcW w:w="5401" w:type="dxa"/>
            <w:shd w:val="clear" w:color="auto" w:fill="FFFFFF" w:themeFill="background1"/>
          </w:tcPr>
          <w:p w14:paraId="6A1A65F4" w14:textId="3C631741" w:rsidR="00F813C3" w:rsidRPr="000D268C" w:rsidRDefault="00F813C3" w:rsidP="002C54BF">
            <w:pPr>
              <w:widowControl w:val="0"/>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Applied to answers offering a comprehensive explanation of the rationale behind a certain decision or conduct</w:t>
            </w:r>
            <w:r w:rsidR="001A1FC8" w:rsidRPr="000D268C">
              <w:rPr>
                <w:rFonts w:cstheme="minorHAnsi"/>
                <w:lang w:val="en-GB"/>
              </w:rPr>
              <w:t>.</w:t>
            </w:r>
          </w:p>
        </w:tc>
      </w:tr>
      <w:tr w:rsidR="00F813C3" w:rsidRPr="000D268C" w14:paraId="164A96A4" w14:textId="77777777" w:rsidTr="00F813C3">
        <w:tc>
          <w:tcPr>
            <w:cnfStyle w:val="001000000000" w:firstRow="0" w:lastRow="0" w:firstColumn="1" w:lastColumn="0" w:oddVBand="0" w:evenVBand="0" w:oddHBand="0" w:evenHBand="0" w:firstRowFirstColumn="0" w:firstRowLastColumn="0" w:lastRowFirstColumn="0" w:lastRowLastColumn="0"/>
            <w:tcW w:w="3950" w:type="dxa"/>
            <w:shd w:val="clear" w:color="auto" w:fill="D9D9D9" w:themeFill="background1" w:themeFillShade="D9"/>
          </w:tcPr>
          <w:p w14:paraId="7C044238" w14:textId="77777777" w:rsidR="00F813C3" w:rsidRPr="000D268C" w:rsidRDefault="00F813C3" w:rsidP="002C54BF">
            <w:pPr>
              <w:pStyle w:val="ListParagraph"/>
              <w:numPr>
                <w:ilvl w:val="0"/>
                <w:numId w:val="19"/>
              </w:numPr>
              <w:ind w:left="313" w:hanging="313"/>
              <w:rPr>
                <w:rFonts w:cstheme="minorHAnsi"/>
                <w:color w:val="auto"/>
                <w:lang w:val="en-GB"/>
              </w:rPr>
            </w:pPr>
            <w:proofErr w:type="spellStart"/>
            <w:r w:rsidRPr="000D268C">
              <w:rPr>
                <w:rFonts w:cstheme="minorHAnsi"/>
                <w:color w:val="auto"/>
                <w:lang w:val="en-GB"/>
              </w:rPr>
              <w:t>Response_Explicit_C</w:t>
            </w:r>
            <w:proofErr w:type="spellEnd"/>
            <w:r w:rsidRPr="000D268C">
              <w:rPr>
                <w:rFonts w:cstheme="minorHAnsi"/>
                <w:color w:val="auto"/>
                <w:lang w:val="en-GB"/>
              </w:rPr>
              <w:t xml:space="preserve">. Accept change  </w:t>
            </w:r>
          </w:p>
          <w:p w14:paraId="4A6D4B4A" w14:textId="77777777" w:rsidR="00F813C3" w:rsidRPr="000D268C" w:rsidRDefault="00F813C3" w:rsidP="002C54BF">
            <w:pPr>
              <w:pStyle w:val="ListParagraph"/>
              <w:numPr>
                <w:ilvl w:val="0"/>
                <w:numId w:val="19"/>
              </w:numPr>
              <w:ind w:left="313" w:hanging="313"/>
              <w:rPr>
                <w:rFonts w:cstheme="minorHAnsi"/>
                <w:color w:val="auto"/>
                <w:lang w:val="en-GB"/>
              </w:rPr>
            </w:pPr>
            <w:proofErr w:type="spellStart"/>
            <w:r w:rsidRPr="000D268C">
              <w:rPr>
                <w:rFonts w:cstheme="minorHAnsi"/>
                <w:color w:val="auto"/>
                <w:lang w:val="en-GB"/>
              </w:rPr>
              <w:t>Response_Explicit_C</w:t>
            </w:r>
            <w:proofErr w:type="spellEnd"/>
            <w:r w:rsidRPr="000D268C">
              <w:rPr>
                <w:rFonts w:cstheme="minorHAnsi"/>
                <w:color w:val="auto"/>
                <w:lang w:val="en-GB"/>
              </w:rPr>
              <w:t xml:space="preserve">. Defend decision </w:t>
            </w:r>
          </w:p>
        </w:tc>
        <w:tc>
          <w:tcPr>
            <w:tcW w:w="5401" w:type="dxa"/>
            <w:shd w:val="clear" w:color="auto" w:fill="FFFFFF" w:themeFill="background1"/>
          </w:tcPr>
          <w:p w14:paraId="5DEE33EB" w14:textId="64A1152E" w:rsidR="00F813C3" w:rsidRPr="000D268C" w:rsidRDefault="00F813C3" w:rsidP="002C54BF">
            <w:pPr>
              <w:widowControl w:val="0"/>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Applied to answers showing acceptance that a change is needed (</w:t>
            </w:r>
            <w:r w:rsidR="00355E94" w:rsidRPr="000D268C">
              <w:rPr>
                <w:rFonts w:cstheme="minorHAnsi"/>
                <w:lang w:val="en-GB"/>
              </w:rPr>
              <w:t>‘</w:t>
            </w:r>
            <w:r w:rsidRPr="000D268C">
              <w:rPr>
                <w:rFonts w:cstheme="minorHAnsi"/>
                <w:lang w:val="en-GB"/>
              </w:rPr>
              <w:t>C. Accept change</w:t>
            </w:r>
            <w:r w:rsidR="00355E94" w:rsidRPr="000D268C">
              <w:rPr>
                <w:rFonts w:cstheme="minorHAnsi"/>
                <w:lang w:val="en-GB"/>
              </w:rPr>
              <w:t>’</w:t>
            </w:r>
            <w:r w:rsidRPr="000D268C">
              <w:rPr>
                <w:rFonts w:cstheme="minorHAnsi"/>
                <w:lang w:val="en-GB"/>
              </w:rPr>
              <w:t>), or providing a clear defence of the conduct in question (</w:t>
            </w:r>
            <w:r w:rsidR="00355E94" w:rsidRPr="000D268C">
              <w:rPr>
                <w:rFonts w:cstheme="minorHAnsi"/>
                <w:lang w:val="en-GB"/>
              </w:rPr>
              <w:t>‘</w:t>
            </w:r>
            <w:r w:rsidRPr="000D268C">
              <w:rPr>
                <w:rFonts w:cstheme="minorHAnsi"/>
                <w:lang w:val="en-GB"/>
              </w:rPr>
              <w:t>C. Defend decision</w:t>
            </w:r>
            <w:r w:rsidR="00355E94" w:rsidRPr="000D268C">
              <w:rPr>
                <w:rFonts w:cstheme="minorHAnsi"/>
                <w:lang w:val="en-GB"/>
              </w:rPr>
              <w:t>’</w:t>
            </w:r>
            <w:r w:rsidRPr="000D268C">
              <w:rPr>
                <w:rFonts w:cstheme="minorHAnsi"/>
                <w:lang w:val="en-GB"/>
              </w:rPr>
              <w:t>).</w:t>
            </w:r>
          </w:p>
        </w:tc>
      </w:tr>
      <w:tr w:rsidR="00F813C3" w:rsidRPr="000D268C" w14:paraId="0285E9D6"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50" w:type="dxa"/>
            <w:shd w:val="clear" w:color="auto" w:fill="D9D9D9" w:themeFill="background1" w:themeFillShade="D9"/>
          </w:tcPr>
          <w:p w14:paraId="4681C401" w14:textId="77777777" w:rsidR="00F813C3" w:rsidRPr="000D268C" w:rsidRDefault="00F813C3" w:rsidP="002C54BF">
            <w:pPr>
              <w:pStyle w:val="ListParagraph"/>
              <w:numPr>
                <w:ilvl w:val="0"/>
                <w:numId w:val="19"/>
              </w:numPr>
              <w:ind w:left="313" w:hanging="313"/>
              <w:rPr>
                <w:rFonts w:cstheme="minorHAnsi"/>
                <w:color w:val="auto"/>
                <w:lang w:val="en-GB"/>
              </w:rPr>
            </w:pPr>
            <w:proofErr w:type="spellStart"/>
            <w:r w:rsidRPr="000D268C">
              <w:rPr>
                <w:rFonts w:cstheme="minorHAnsi"/>
                <w:color w:val="auto"/>
                <w:lang w:val="en-GB"/>
              </w:rPr>
              <w:t>Response_Explicit_D</w:t>
            </w:r>
            <w:proofErr w:type="spellEnd"/>
            <w:r w:rsidRPr="000D268C">
              <w:rPr>
                <w:rFonts w:cstheme="minorHAnsi"/>
                <w:color w:val="auto"/>
                <w:lang w:val="en-GB"/>
              </w:rPr>
              <w:t xml:space="preserve">. Accept sanctions  </w:t>
            </w:r>
          </w:p>
          <w:p w14:paraId="7B493D91" w14:textId="77777777" w:rsidR="00F813C3" w:rsidRPr="000D268C" w:rsidRDefault="00F813C3" w:rsidP="002C54BF">
            <w:pPr>
              <w:pStyle w:val="ListParagraph"/>
              <w:numPr>
                <w:ilvl w:val="0"/>
                <w:numId w:val="19"/>
              </w:numPr>
              <w:ind w:left="313" w:hanging="313"/>
              <w:rPr>
                <w:rFonts w:cstheme="minorHAnsi"/>
                <w:color w:val="auto"/>
                <w:lang w:val="en-GB"/>
              </w:rPr>
            </w:pPr>
            <w:proofErr w:type="spellStart"/>
            <w:r w:rsidRPr="000D268C">
              <w:rPr>
                <w:rFonts w:cstheme="minorHAnsi"/>
                <w:color w:val="auto"/>
                <w:lang w:val="en-GB"/>
              </w:rPr>
              <w:t>Response_Explicit_D</w:t>
            </w:r>
            <w:proofErr w:type="spellEnd"/>
            <w:r w:rsidRPr="000D268C">
              <w:rPr>
                <w:rFonts w:cstheme="minorHAnsi"/>
                <w:color w:val="auto"/>
                <w:lang w:val="en-GB"/>
              </w:rPr>
              <w:t xml:space="preserve">. Defend conduct  </w:t>
            </w:r>
          </w:p>
          <w:p w14:paraId="43CBD066" w14:textId="77777777" w:rsidR="00F813C3" w:rsidRPr="000D268C" w:rsidRDefault="00F813C3" w:rsidP="002C54BF">
            <w:pPr>
              <w:pStyle w:val="ListParagraph"/>
              <w:numPr>
                <w:ilvl w:val="0"/>
                <w:numId w:val="19"/>
              </w:numPr>
              <w:ind w:left="313" w:hanging="313"/>
              <w:rPr>
                <w:rFonts w:cstheme="minorHAnsi"/>
                <w:color w:val="auto"/>
                <w:lang w:val="en-GB"/>
              </w:rPr>
            </w:pPr>
            <w:proofErr w:type="spellStart"/>
            <w:r w:rsidRPr="000D268C">
              <w:rPr>
                <w:rFonts w:cstheme="minorHAnsi"/>
                <w:color w:val="auto"/>
                <w:lang w:val="en-GB"/>
              </w:rPr>
              <w:t>Response_Explicit_D</w:t>
            </w:r>
            <w:proofErr w:type="spellEnd"/>
            <w:r w:rsidRPr="000D268C">
              <w:rPr>
                <w:rFonts w:cstheme="minorHAnsi"/>
                <w:color w:val="auto"/>
                <w:lang w:val="en-GB"/>
              </w:rPr>
              <w:t xml:space="preserve">. Sanctions no longer necessary </w:t>
            </w:r>
          </w:p>
        </w:tc>
        <w:tc>
          <w:tcPr>
            <w:tcW w:w="5401" w:type="dxa"/>
            <w:shd w:val="clear" w:color="auto" w:fill="FFFFFF" w:themeFill="background1"/>
          </w:tcPr>
          <w:p w14:paraId="7D06A21B" w14:textId="2C1227A2" w:rsidR="00F813C3" w:rsidRPr="000D268C" w:rsidRDefault="00F813C3" w:rsidP="002C54BF">
            <w:pPr>
              <w:widowControl w:val="0"/>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Applied to answers showing acceptance that penalties are necessary (</w:t>
            </w:r>
            <w:r w:rsidR="00355E94" w:rsidRPr="000D268C">
              <w:rPr>
                <w:rFonts w:cstheme="minorHAnsi"/>
                <w:lang w:val="en-GB"/>
              </w:rPr>
              <w:t>‘</w:t>
            </w:r>
            <w:r w:rsidRPr="000D268C">
              <w:rPr>
                <w:rFonts w:cstheme="minorHAnsi"/>
                <w:lang w:val="en-GB"/>
              </w:rPr>
              <w:t>D. Accept sanctions</w:t>
            </w:r>
            <w:r w:rsidR="00355E94" w:rsidRPr="000D268C">
              <w:rPr>
                <w:rFonts w:cstheme="minorHAnsi"/>
                <w:lang w:val="en-GB"/>
              </w:rPr>
              <w:t>’</w:t>
            </w:r>
            <w:r w:rsidRPr="000D268C">
              <w:rPr>
                <w:rFonts w:cstheme="minorHAnsi"/>
                <w:lang w:val="en-GB"/>
              </w:rPr>
              <w:t>) or rejection of the necessity for sanctions (</w:t>
            </w:r>
            <w:r w:rsidR="00355E94" w:rsidRPr="000D268C">
              <w:rPr>
                <w:rFonts w:cstheme="minorHAnsi"/>
                <w:lang w:val="en-GB"/>
              </w:rPr>
              <w:t>‘</w:t>
            </w:r>
            <w:r w:rsidRPr="000D268C">
              <w:rPr>
                <w:rFonts w:cstheme="minorHAnsi"/>
                <w:lang w:val="en-GB"/>
              </w:rPr>
              <w:t>D. Reject sanctions</w:t>
            </w:r>
            <w:r w:rsidR="00355E94" w:rsidRPr="000D268C">
              <w:rPr>
                <w:rFonts w:cstheme="minorHAnsi"/>
                <w:lang w:val="en-GB"/>
              </w:rPr>
              <w:t>’</w:t>
            </w:r>
            <w:r w:rsidRPr="000D268C">
              <w:rPr>
                <w:rFonts w:cstheme="minorHAnsi"/>
                <w:lang w:val="en-GB"/>
              </w:rPr>
              <w:t xml:space="preserve">). In the case study presented, there were a few situations where sanctions were </w:t>
            </w:r>
            <w:r w:rsidR="00355E94" w:rsidRPr="000D268C">
              <w:rPr>
                <w:rFonts w:cstheme="minorHAnsi"/>
                <w:lang w:val="en-GB"/>
              </w:rPr>
              <w:t>‘</w:t>
            </w:r>
            <w:r w:rsidRPr="000D268C">
              <w:rPr>
                <w:rFonts w:cstheme="minorHAnsi"/>
                <w:lang w:val="en-GB"/>
              </w:rPr>
              <w:t>no longer necessary</w:t>
            </w:r>
            <w:r w:rsidR="00355E94" w:rsidRPr="000D268C">
              <w:rPr>
                <w:rFonts w:cstheme="minorHAnsi"/>
                <w:lang w:val="en-GB"/>
              </w:rPr>
              <w:t>’</w:t>
            </w:r>
            <w:r w:rsidRPr="000D268C">
              <w:rPr>
                <w:rFonts w:cstheme="minorHAnsi"/>
                <w:lang w:val="en-GB"/>
              </w:rPr>
              <w:t xml:space="preserve"> because the person responsible had already left the position.</w:t>
            </w:r>
          </w:p>
        </w:tc>
      </w:tr>
      <w:tr w:rsidR="00F813C3" w:rsidRPr="000D268C" w14:paraId="3BB6F6C9" w14:textId="77777777" w:rsidTr="00F813C3">
        <w:tc>
          <w:tcPr>
            <w:cnfStyle w:val="001000000000" w:firstRow="0" w:lastRow="0" w:firstColumn="1" w:lastColumn="0" w:oddVBand="0" w:evenVBand="0" w:oddHBand="0" w:evenHBand="0" w:firstRowFirstColumn="0" w:firstRowLastColumn="0" w:lastRowFirstColumn="0" w:lastRowLastColumn="0"/>
            <w:tcW w:w="3950" w:type="dxa"/>
            <w:shd w:val="clear" w:color="auto" w:fill="D9D9D9" w:themeFill="background1" w:themeFillShade="D9"/>
          </w:tcPr>
          <w:p w14:paraId="66686C50" w14:textId="77777777" w:rsidR="00F813C3" w:rsidRPr="000D268C" w:rsidRDefault="00F813C3" w:rsidP="002C54BF">
            <w:pPr>
              <w:pStyle w:val="ListParagraph"/>
              <w:numPr>
                <w:ilvl w:val="0"/>
                <w:numId w:val="19"/>
              </w:numPr>
              <w:ind w:left="313" w:hanging="313"/>
              <w:rPr>
                <w:rFonts w:cstheme="minorHAnsi"/>
                <w:color w:val="auto"/>
                <w:lang w:val="en-GB"/>
              </w:rPr>
            </w:pPr>
            <w:proofErr w:type="spellStart"/>
            <w:r w:rsidRPr="000D268C">
              <w:rPr>
                <w:rFonts w:cstheme="minorHAnsi"/>
                <w:color w:val="auto"/>
                <w:lang w:val="en-GB"/>
              </w:rPr>
              <w:t>Response_Explicit_E</w:t>
            </w:r>
            <w:proofErr w:type="spellEnd"/>
            <w:r w:rsidRPr="000D268C">
              <w:rPr>
                <w:rFonts w:cstheme="minorHAnsi"/>
                <w:color w:val="auto"/>
                <w:lang w:val="en-GB"/>
              </w:rPr>
              <w:t>. Provide policy views</w:t>
            </w:r>
          </w:p>
        </w:tc>
        <w:tc>
          <w:tcPr>
            <w:tcW w:w="5401" w:type="dxa"/>
            <w:shd w:val="clear" w:color="auto" w:fill="FFFFFF" w:themeFill="background1"/>
          </w:tcPr>
          <w:p w14:paraId="4F103465" w14:textId="77777777" w:rsidR="00F813C3" w:rsidRPr="000D268C" w:rsidRDefault="00F813C3" w:rsidP="002C54BF">
            <w:pPr>
              <w:widowControl w:val="0"/>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Applied to answers offering comprehensive policy views on the specific topic requested.</w:t>
            </w:r>
          </w:p>
        </w:tc>
      </w:tr>
      <w:tr w:rsidR="00F813C3" w:rsidRPr="000D268C" w14:paraId="5958192E"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gridSpan w:val="2"/>
            <w:shd w:val="clear" w:color="auto" w:fill="D9D9D9" w:themeFill="background1" w:themeFillShade="D9"/>
          </w:tcPr>
          <w:p w14:paraId="75264CAA" w14:textId="77777777" w:rsidR="00F813C3" w:rsidRPr="000D268C" w:rsidRDefault="00F813C3" w:rsidP="002C54BF">
            <w:pPr>
              <w:jc w:val="both"/>
              <w:rPr>
                <w:rFonts w:cstheme="minorHAnsi"/>
                <w:color w:val="auto"/>
                <w:lang w:val="en-GB"/>
              </w:rPr>
            </w:pPr>
            <w:r w:rsidRPr="000D268C">
              <w:rPr>
                <w:rFonts w:cstheme="minorHAnsi"/>
                <w:color w:val="auto"/>
                <w:lang w:val="en-GB"/>
              </w:rPr>
              <w:t>Non-replies are answers that completely fail to address the question through equivocation (evasion, lack of time) or by declining to answer on specific grounds (e.g. secrecy, national security, economic stability etc). Similar codes can be assigned in response to demands for information (A), justification (B), change of conduct (C), sanctions (D), or policy views (E).</w:t>
            </w:r>
          </w:p>
        </w:tc>
      </w:tr>
      <w:tr w:rsidR="00F813C3" w:rsidRPr="000D268C" w14:paraId="797E812D" w14:textId="77777777" w:rsidTr="00F813C3">
        <w:tc>
          <w:tcPr>
            <w:cnfStyle w:val="001000000000" w:firstRow="0" w:lastRow="0" w:firstColumn="1" w:lastColumn="0" w:oddVBand="0" w:evenVBand="0" w:oddHBand="0" w:evenHBand="0" w:firstRowFirstColumn="0" w:firstRowLastColumn="0" w:lastRowFirstColumn="0" w:lastRowLastColumn="0"/>
            <w:tcW w:w="3950" w:type="dxa"/>
            <w:shd w:val="clear" w:color="auto" w:fill="D9D9D9" w:themeFill="background1" w:themeFillShade="D9"/>
          </w:tcPr>
          <w:p w14:paraId="23CAEAA1" w14:textId="77777777" w:rsidR="00F813C3" w:rsidRPr="000D268C" w:rsidRDefault="00F813C3" w:rsidP="002C54BF">
            <w:pPr>
              <w:rPr>
                <w:rFonts w:cstheme="minorHAnsi"/>
                <w:color w:val="auto"/>
                <w:lang w:val="en-GB"/>
              </w:rPr>
            </w:pPr>
            <w:r w:rsidRPr="000D268C">
              <w:rPr>
                <w:rFonts w:cstheme="minorHAnsi"/>
                <w:color w:val="auto"/>
                <w:lang w:val="en-GB"/>
              </w:rPr>
              <w:t xml:space="preserve">• </w:t>
            </w:r>
            <w:proofErr w:type="spellStart"/>
            <w:r w:rsidRPr="000D268C">
              <w:rPr>
                <w:rFonts w:cstheme="minorHAnsi"/>
                <w:color w:val="auto"/>
                <w:lang w:val="en-GB"/>
              </w:rPr>
              <w:t>Response_Non-reply_A</w:t>
            </w:r>
            <w:proofErr w:type="spellEnd"/>
            <w:r w:rsidRPr="000D268C">
              <w:rPr>
                <w:rFonts w:cstheme="minorHAnsi"/>
                <w:color w:val="auto"/>
                <w:lang w:val="en-GB"/>
              </w:rPr>
              <w:t xml:space="preserve">./B./C./D./E. Equivocation (evasion)  </w:t>
            </w:r>
          </w:p>
          <w:p w14:paraId="3A97F210" w14:textId="77777777" w:rsidR="00F813C3" w:rsidRPr="000D268C" w:rsidRDefault="00F813C3" w:rsidP="002C54BF">
            <w:pPr>
              <w:rPr>
                <w:rFonts w:cstheme="minorHAnsi"/>
                <w:color w:val="auto"/>
                <w:lang w:val="en-GB"/>
              </w:rPr>
            </w:pPr>
          </w:p>
          <w:p w14:paraId="722E25E7" w14:textId="77777777" w:rsidR="00F813C3" w:rsidRPr="000D268C" w:rsidRDefault="00F813C3" w:rsidP="002C54BF">
            <w:pPr>
              <w:rPr>
                <w:rFonts w:cstheme="minorHAnsi"/>
                <w:color w:val="auto"/>
                <w:lang w:val="en-GB"/>
              </w:rPr>
            </w:pPr>
          </w:p>
          <w:p w14:paraId="6F7103CE" w14:textId="77777777" w:rsidR="00F813C3" w:rsidRPr="000D268C" w:rsidRDefault="00F813C3" w:rsidP="002C54BF">
            <w:pPr>
              <w:rPr>
                <w:rFonts w:cstheme="minorHAnsi"/>
                <w:color w:val="auto"/>
                <w:lang w:val="en-GB"/>
              </w:rPr>
            </w:pPr>
          </w:p>
        </w:tc>
        <w:tc>
          <w:tcPr>
            <w:tcW w:w="5401" w:type="dxa"/>
            <w:shd w:val="clear" w:color="auto" w:fill="FFFFFF" w:themeFill="background1"/>
          </w:tcPr>
          <w:p w14:paraId="5DABDD76" w14:textId="7E714ED6" w:rsidR="00F813C3" w:rsidRPr="000D268C" w:rsidRDefault="00F813C3" w:rsidP="002C54BF">
            <w:pPr>
              <w:widowControl w:val="0"/>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 xml:space="preserve">Applied to answers that are clear attempts to dodge the question through </w:t>
            </w:r>
            <w:r w:rsidR="00355E94" w:rsidRPr="000D268C">
              <w:rPr>
                <w:rFonts w:cstheme="minorHAnsi"/>
                <w:lang w:val="en-GB"/>
              </w:rPr>
              <w:t>‘</w:t>
            </w:r>
            <w:r w:rsidRPr="000D268C">
              <w:rPr>
                <w:rFonts w:cstheme="minorHAnsi"/>
                <w:lang w:val="en-GB"/>
              </w:rPr>
              <w:t>equivocation (evasion)</w:t>
            </w:r>
            <w:r w:rsidR="00355E94" w:rsidRPr="000D268C">
              <w:rPr>
                <w:rFonts w:cstheme="minorHAnsi"/>
                <w:lang w:val="en-GB"/>
              </w:rPr>
              <w:t>’</w:t>
            </w:r>
            <w:r w:rsidR="00991D04" w:rsidRPr="000D268C">
              <w:rPr>
                <w:rFonts w:cstheme="minorHAnsi"/>
                <w:lang w:val="en-GB"/>
              </w:rPr>
              <w:t>—</w:t>
            </w:r>
            <w:r w:rsidRPr="000D268C">
              <w:rPr>
                <w:rFonts w:cstheme="minorHAnsi"/>
                <w:lang w:val="en-GB"/>
              </w:rPr>
              <w:t>by pretending the question was not asked</w:t>
            </w:r>
            <w:r w:rsidR="00991D04" w:rsidRPr="000D268C">
              <w:rPr>
                <w:rFonts w:cstheme="minorHAnsi"/>
                <w:lang w:val="en-GB"/>
              </w:rPr>
              <w:t>/understood</w:t>
            </w:r>
            <w:r w:rsidRPr="000D268C">
              <w:rPr>
                <w:rFonts w:cstheme="minorHAnsi"/>
                <w:lang w:val="en-GB"/>
              </w:rPr>
              <w:t xml:space="preserve"> and providing</w:t>
            </w:r>
            <w:r w:rsidR="00991D04" w:rsidRPr="000D268C">
              <w:rPr>
                <w:rFonts w:cstheme="minorHAnsi"/>
                <w:lang w:val="en-GB"/>
              </w:rPr>
              <w:t xml:space="preserve"> a different </w:t>
            </w:r>
            <w:r w:rsidRPr="000D268C">
              <w:rPr>
                <w:rFonts w:cstheme="minorHAnsi"/>
                <w:lang w:val="en-GB"/>
              </w:rPr>
              <w:t>reply,</w:t>
            </w:r>
            <w:r w:rsidR="00991D04" w:rsidRPr="000D268C">
              <w:rPr>
                <w:rFonts w:cstheme="minorHAnsi"/>
                <w:lang w:val="en-GB"/>
              </w:rPr>
              <w:t xml:space="preserve"> by </w:t>
            </w:r>
            <w:r w:rsidRPr="000D268C">
              <w:rPr>
                <w:rFonts w:cstheme="minorHAnsi"/>
                <w:lang w:val="en-GB"/>
              </w:rPr>
              <w:t>repeating an answer from before, or questioning the question.</w:t>
            </w:r>
          </w:p>
          <w:p w14:paraId="255BD9CD" w14:textId="77777777" w:rsidR="00F813C3" w:rsidRPr="000D268C" w:rsidRDefault="00F813C3" w:rsidP="002C54BF">
            <w:pPr>
              <w:widowControl w:val="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p w14:paraId="4FBF5075" w14:textId="4B3EC0EE" w:rsidR="00F813C3" w:rsidRPr="000D268C" w:rsidRDefault="00F813C3" w:rsidP="002C54BF">
            <w:pPr>
              <w:widowControl w:val="0"/>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There are no predetermined examples of how equivocation looks like. Generally, there is a clear mismatch between the question asked and the answer provided.</w:t>
            </w:r>
            <w:r w:rsidR="003327E2" w:rsidRPr="000D268C">
              <w:rPr>
                <w:rFonts w:cstheme="minorHAnsi"/>
                <w:lang w:val="en-GB"/>
              </w:rPr>
              <w:t xml:space="preserve"> However, to establish clearly whether a reply constitutes an evasion, the coder </w:t>
            </w:r>
            <w:r w:rsidR="003327E2" w:rsidRPr="000D268C">
              <w:rPr>
                <w:rFonts w:cstheme="minorHAnsi"/>
                <w:lang w:val="en-GB"/>
              </w:rPr>
              <w:lastRenderedPageBreak/>
              <w:t>requires contextual information about the case (institutional organisation of oversight activities, executive practices of answering questions, policy jargon etc).</w:t>
            </w:r>
          </w:p>
        </w:tc>
      </w:tr>
      <w:tr w:rsidR="00F813C3" w:rsidRPr="000D268C" w14:paraId="7FD8516B"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50" w:type="dxa"/>
            <w:shd w:val="clear" w:color="auto" w:fill="D9D9D9" w:themeFill="background1" w:themeFillShade="D9"/>
          </w:tcPr>
          <w:p w14:paraId="052E920A" w14:textId="77777777" w:rsidR="00F813C3" w:rsidRPr="000D268C" w:rsidRDefault="00F813C3" w:rsidP="002C54BF">
            <w:pPr>
              <w:rPr>
                <w:rFonts w:cstheme="minorHAnsi"/>
                <w:color w:val="auto"/>
                <w:lang w:val="en-GB"/>
              </w:rPr>
            </w:pPr>
            <w:r w:rsidRPr="000D268C">
              <w:rPr>
                <w:rFonts w:cstheme="minorHAnsi"/>
                <w:color w:val="auto"/>
                <w:lang w:val="en-GB"/>
              </w:rPr>
              <w:lastRenderedPageBreak/>
              <w:t xml:space="preserve">• </w:t>
            </w:r>
            <w:proofErr w:type="spellStart"/>
            <w:r w:rsidRPr="000D268C">
              <w:rPr>
                <w:rFonts w:cstheme="minorHAnsi"/>
                <w:color w:val="auto"/>
                <w:lang w:val="en-GB"/>
              </w:rPr>
              <w:t>Response_Non-reply_A</w:t>
            </w:r>
            <w:proofErr w:type="spellEnd"/>
            <w:r w:rsidRPr="000D268C">
              <w:rPr>
                <w:rFonts w:cstheme="minorHAnsi"/>
                <w:color w:val="auto"/>
                <w:lang w:val="en-GB"/>
              </w:rPr>
              <w:t xml:space="preserve">./B./C./D./E.  Equivocation (lack of time)  </w:t>
            </w:r>
          </w:p>
          <w:p w14:paraId="66A53251" w14:textId="77777777" w:rsidR="00F813C3" w:rsidRPr="000D268C" w:rsidRDefault="00F813C3" w:rsidP="002C54BF">
            <w:pPr>
              <w:rPr>
                <w:rFonts w:cstheme="minorHAnsi"/>
                <w:color w:val="auto"/>
                <w:lang w:val="en-GB"/>
              </w:rPr>
            </w:pPr>
          </w:p>
        </w:tc>
        <w:tc>
          <w:tcPr>
            <w:tcW w:w="5401" w:type="dxa"/>
            <w:shd w:val="clear" w:color="auto" w:fill="FFFFFF" w:themeFill="background1"/>
          </w:tcPr>
          <w:p w14:paraId="6A883F77" w14:textId="757D88C6" w:rsidR="00F813C3" w:rsidRPr="000D268C" w:rsidRDefault="00F813C3" w:rsidP="002C54BF">
            <w:pPr>
              <w:widowControl w:val="0"/>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Applied to answers that failed to provide a reply because the time ran out in a hearing</w:t>
            </w:r>
            <w:r w:rsidR="00991D04" w:rsidRPr="000D268C">
              <w:rPr>
                <w:rFonts w:cstheme="minorHAnsi"/>
                <w:lang w:val="en-GB"/>
              </w:rPr>
              <w:t>—</w:t>
            </w:r>
            <w:r w:rsidRPr="000D268C">
              <w:rPr>
                <w:rFonts w:cstheme="minorHAnsi"/>
                <w:lang w:val="en-GB"/>
              </w:rPr>
              <w:t xml:space="preserve">another example of </w:t>
            </w:r>
            <w:r w:rsidR="00355E94" w:rsidRPr="000D268C">
              <w:rPr>
                <w:rFonts w:cstheme="minorHAnsi"/>
                <w:lang w:val="en-GB"/>
              </w:rPr>
              <w:t>‘</w:t>
            </w:r>
            <w:r w:rsidRPr="000D268C">
              <w:rPr>
                <w:rFonts w:cstheme="minorHAnsi"/>
                <w:lang w:val="en-GB"/>
              </w:rPr>
              <w:t>equivocation.</w:t>
            </w:r>
            <w:r w:rsidR="00355E94" w:rsidRPr="000D268C">
              <w:rPr>
                <w:rFonts w:cstheme="minorHAnsi"/>
                <w:lang w:val="en-GB"/>
              </w:rPr>
              <w:t>’</w:t>
            </w:r>
            <w:r w:rsidRPr="000D268C">
              <w:rPr>
                <w:rFonts w:cstheme="minorHAnsi"/>
                <w:lang w:val="en-GB"/>
              </w:rPr>
              <w:t xml:space="preserve"> This is evident when one of the speakers mentions that they are out of time, or that the next question has to be addressed due to time pressure. Sometimes the answer is completely absent because there was a lengthy reply to a previous question.</w:t>
            </w:r>
          </w:p>
          <w:p w14:paraId="07F7A39B" w14:textId="77777777" w:rsidR="00F813C3" w:rsidRPr="000D268C" w:rsidRDefault="00F813C3" w:rsidP="002C54BF">
            <w:pPr>
              <w:widowControl w:val="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p w14:paraId="424C2FF3" w14:textId="620941B1" w:rsidR="00F813C3" w:rsidRPr="000D268C" w:rsidRDefault="00F813C3" w:rsidP="002C54BF">
            <w:pPr>
              <w:widowControl w:val="0"/>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 xml:space="preserve">Example: </w:t>
            </w:r>
            <w:r w:rsidR="00355E94" w:rsidRPr="000D268C">
              <w:rPr>
                <w:rFonts w:cstheme="minorHAnsi"/>
                <w:lang w:val="en-GB"/>
              </w:rPr>
              <w:t>‘</w:t>
            </w:r>
            <w:proofErr w:type="gramStart"/>
            <w:r w:rsidRPr="000D268C">
              <w:rPr>
                <w:rFonts w:cstheme="minorHAnsi"/>
                <w:lang w:val="en-GB"/>
              </w:rPr>
              <w:t>Chair.-</w:t>
            </w:r>
            <w:proofErr w:type="gramEnd"/>
            <w:r w:rsidRPr="000D268C">
              <w:rPr>
                <w:rFonts w:cstheme="minorHAnsi"/>
                <w:lang w:val="en-GB"/>
              </w:rPr>
              <w:t xml:space="preserve"> Thank you. We have to conclude here, there is no time anymore</w:t>
            </w:r>
            <w:r w:rsidR="00355E94" w:rsidRPr="000D268C">
              <w:rPr>
                <w:rFonts w:cstheme="minorHAnsi"/>
                <w:lang w:val="en-GB"/>
              </w:rPr>
              <w:t>’</w:t>
            </w:r>
            <w:r w:rsidRPr="000D268C">
              <w:rPr>
                <w:rFonts w:cstheme="minorHAnsi"/>
                <w:lang w:val="en-GB"/>
              </w:rPr>
              <w:t xml:space="preserve"> </w:t>
            </w:r>
            <w:r w:rsidRPr="000D268C">
              <w:rPr>
                <w:rFonts w:cstheme="minorHAnsi"/>
                <w:lang w:val="en-GB"/>
              </w:rPr>
              <w:fldChar w:fldCharType="begin"/>
            </w:r>
            <w:r w:rsidR="00C82021" w:rsidRPr="000D268C">
              <w:rPr>
                <w:rFonts w:cstheme="minorHAnsi"/>
                <w:lang w:val="en-GB"/>
              </w:rPr>
              <w:instrText xml:space="preserve"> ADDIN ZOTERO_ITEM CSL_CITATION {"citationID":"2Gj19QKk","properties":{"formattedCitation":"(ECON Committee, 2017)","plainCitation":"(ECON Committee, 2017)","noteIndex":0},"citationItems":[{"id":6422,"uris":["http://zotero.org/users/1129714/items/QCVGPIRM"],"uri":["http://zotero.org/users/1129714/items/QCVGPIRM"],"itemData":{"id":6422,"type":"webpage","abstract":"ECON: Video recording of the meeting - 19-06-2017 (watch, edit, download, …)","container-title":"EPTV | European Parliament","language":"en","title":"Public Hearing with Danièle Nouy, Chair of the Supervisory Board of the ECB","URL":"https://www.europarl.europa.eu/ep-live/en/committees/video?event=20171109-0900-COMMITTEE-ECON","author":[{"family":"ECON Committee","given":""}],"accessed":{"date-parts":[["2019",5,13]]},"issued":{"date-parts":[["2017",11,9]]}}}],"schema":"https://github.com/citation-style-language/schema/raw/master/csl-citation.json"} </w:instrText>
            </w:r>
            <w:r w:rsidRPr="000D268C">
              <w:rPr>
                <w:rFonts w:cstheme="minorHAnsi"/>
                <w:lang w:val="en-GB"/>
              </w:rPr>
              <w:fldChar w:fldCharType="separate"/>
            </w:r>
            <w:r w:rsidR="000A5639" w:rsidRPr="000D268C">
              <w:rPr>
                <w:rFonts w:cstheme="minorHAnsi"/>
                <w:noProof/>
                <w:lang w:val="en-GB"/>
              </w:rPr>
              <w:t>(ECON Committee, 2017)</w:t>
            </w:r>
            <w:r w:rsidRPr="000D268C">
              <w:rPr>
                <w:rFonts w:cstheme="minorHAnsi"/>
                <w:lang w:val="en-GB"/>
              </w:rPr>
              <w:fldChar w:fldCharType="end"/>
            </w:r>
            <w:r w:rsidRPr="000D268C">
              <w:rPr>
                <w:rFonts w:cstheme="minorHAnsi"/>
                <w:lang w:val="en-GB"/>
              </w:rPr>
              <w:t>.</w:t>
            </w:r>
          </w:p>
        </w:tc>
      </w:tr>
      <w:tr w:rsidR="00F813C3" w:rsidRPr="000D268C" w14:paraId="3EB6C499" w14:textId="77777777" w:rsidTr="00F813C3">
        <w:tc>
          <w:tcPr>
            <w:cnfStyle w:val="001000000000" w:firstRow="0" w:lastRow="0" w:firstColumn="1" w:lastColumn="0" w:oddVBand="0" w:evenVBand="0" w:oddHBand="0" w:evenHBand="0" w:firstRowFirstColumn="0" w:firstRowLastColumn="0" w:lastRowFirstColumn="0" w:lastRowLastColumn="0"/>
            <w:tcW w:w="3950" w:type="dxa"/>
            <w:shd w:val="clear" w:color="auto" w:fill="D9D9D9" w:themeFill="background1" w:themeFillShade="D9"/>
          </w:tcPr>
          <w:p w14:paraId="28B87567" w14:textId="77777777" w:rsidR="00F813C3" w:rsidRPr="000D268C" w:rsidRDefault="00F813C3" w:rsidP="002C54BF">
            <w:pPr>
              <w:rPr>
                <w:rFonts w:cstheme="minorHAnsi"/>
                <w:color w:val="auto"/>
                <w:lang w:val="en-GB"/>
              </w:rPr>
            </w:pPr>
            <w:r w:rsidRPr="000D268C">
              <w:rPr>
                <w:rFonts w:cstheme="minorHAnsi"/>
                <w:color w:val="auto"/>
                <w:lang w:val="en-GB"/>
              </w:rPr>
              <w:t xml:space="preserve">• </w:t>
            </w:r>
            <w:proofErr w:type="spellStart"/>
            <w:r w:rsidRPr="000D268C">
              <w:rPr>
                <w:rFonts w:cstheme="minorHAnsi"/>
                <w:color w:val="auto"/>
                <w:lang w:val="en-GB"/>
              </w:rPr>
              <w:t>Response_Non-reply_A</w:t>
            </w:r>
            <w:proofErr w:type="spellEnd"/>
            <w:r w:rsidRPr="000D268C">
              <w:rPr>
                <w:rFonts w:cstheme="minorHAnsi"/>
                <w:color w:val="auto"/>
                <w:lang w:val="en-GB"/>
              </w:rPr>
              <w:t xml:space="preserve">./B./C./D./E.  Invoke secrecy (no answer)  </w:t>
            </w:r>
          </w:p>
          <w:p w14:paraId="477CA9E3" w14:textId="77777777" w:rsidR="00F813C3" w:rsidRPr="000D268C" w:rsidRDefault="00F813C3" w:rsidP="002C54BF">
            <w:pPr>
              <w:rPr>
                <w:rFonts w:cstheme="minorHAnsi"/>
                <w:color w:val="auto"/>
                <w:lang w:val="en-GB"/>
              </w:rPr>
            </w:pPr>
          </w:p>
        </w:tc>
        <w:tc>
          <w:tcPr>
            <w:tcW w:w="5401" w:type="dxa"/>
            <w:shd w:val="clear" w:color="auto" w:fill="FFFFFF" w:themeFill="background1"/>
          </w:tcPr>
          <w:p w14:paraId="148E4F85" w14:textId="65B3EFBE" w:rsidR="00F813C3" w:rsidRPr="000D268C" w:rsidRDefault="00F813C3" w:rsidP="002C54BF">
            <w:pPr>
              <w:widowControl w:val="0"/>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 xml:space="preserve">Applied to </w:t>
            </w:r>
            <w:r w:rsidR="00991D04" w:rsidRPr="000D268C">
              <w:rPr>
                <w:rFonts w:cstheme="minorHAnsi"/>
                <w:lang w:val="en-GB"/>
              </w:rPr>
              <w:t>replies that</w:t>
            </w:r>
            <w:r w:rsidRPr="000D268C">
              <w:rPr>
                <w:rFonts w:cstheme="minorHAnsi"/>
                <w:lang w:val="en-GB"/>
              </w:rPr>
              <w:t xml:space="preserve"> includ</w:t>
            </w:r>
            <w:r w:rsidR="00991D04" w:rsidRPr="000D268C">
              <w:rPr>
                <w:rFonts w:cstheme="minorHAnsi"/>
                <w:lang w:val="en-GB"/>
              </w:rPr>
              <w:t>e</w:t>
            </w:r>
            <w:r w:rsidRPr="000D268C">
              <w:rPr>
                <w:rFonts w:cstheme="minorHAnsi"/>
                <w:lang w:val="en-GB"/>
              </w:rPr>
              <w:t xml:space="preserve"> downright refusals to answer for specific reasons</w:t>
            </w:r>
            <w:r w:rsidR="00991D04" w:rsidRPr="000D268C">
              <w:rPr>
                <w:rFonts w:cstheme="minorHAnsi"/>
                <w:lang w:val="en-GB"/>
              </w:rPr>
              <w:t>—</w:t>
            </w:r>
            <w:r w:rsidRPr="000D268C">
              <w:rPr>
                <w:rFonts w:cstheme="minorHAnsi"/>
                <w:lang w:val="en-GB"/>
              </w:rPr>
              <w:t xml:space="preserve">in this case by invoking confidentiality requirements in EU banking supervision: </w:t>
            </w:r>
            <w:r w:rsidR="00355E94" w:rsidRPr="000D268C">
              <w:rPr>
                <w:rFonts w:cstheme="minorHAnsi"/>
                <w:lang w:val="en-GB"/>
              </w:rPr>
              <w:t>‘</w:t>
            </w:r>
            <w:r w:rsidRPr="000D268C">
              <w:rPr>
                <w:rFonts w:cstheme="minorHAnsi"/>
                <w:lang w:val="en-GB"/>
              </w:rPr>
              <w:t>invoke secrecy (no answer).</w:t>
            </w:r>
            <w:r w:rsidR="00355E94" w:rsidRPr="000D268C">
              <w:rPr>
                <w:rFonts w:cstheme="minorHAnsi"/>
                <w:lang w:val="en-GB"/>
              </w:rPr>
              <w:t>’</w:t>
            </w:r>
          </w:p>
          <w:p w14:paraId="328D63EE" w14:textId="77777777" w:rsidR="00F813C3" w:rsidRPr="000D268C" w:rsidRDefault="00F813C3" w:rsidP="002C54BF">
            <w:pPr>
              <w:widowControl w:val="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p w14:paraId="753F674B" w14:textId="77777777" w:rsidR="00F813C3" w:rsidRPr="000D268C" w:rsidRDefault="00F813C3" w:rsidP="002C54BF">
            <w:pPr>
              <w:widowControl w:val="0"/>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 xml:space="preserve">Example: </w:t>
            </w:r>
          </w:p>
          <w:p w14:paraId="1C6A8D2D" w14:textId="211CFA82" w:rsidR="00F813C3" w:rsidRPr="000D268C" w:rsidRDefault="00355E94" w:rsidP="002C54BF">
            <w:pPr>
              <w:widowControl w:val="0"/>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w:t>
            </w:r>
            <w:r w:rsidR="00F813C3" w:rsidRPr="000D268C">
              <w:rPr>
                <w:rFonts w:cstheme="minorHAnsi"/>
                <w:lang w:val="en-GB"/>
              </w:rPr>
              <w:t>Please allow me to remind you that, as also laid down in the Inter-institutional Agreement, any reporting obligations vis-à-vis the European Parliament are subject to the relevant professional secrecy requirements. Therefore, the situation of and the supervisory measures taken with respect to an individual credit institution under ECB supervision can generally not be commented on</w:t>
            </w:r>
            <w:r w:rsidRPr="000D268C">
              <w:rPr>
                <w:rFonts w:cstheme="minorHAnsi"/>
                <w:lang w:val="en-GB"/>
              </w:rPr>
              <w:t>’</w:t>
            </w:r>
            <w:r w:rsidR="00F813C3" w:rsidRPr="000D268C">
              <w:rPr>
                <w:rFonts w:cstheme="minorHAnsi"/>
                <w:lang w:val="en-GB"/>
              </w:rPr>
              <w:t xml:space="preserve"> </w:t>
            </w:r>
            <w:r w:rsidR="00F813C3" w:rsidRPr="000D268C">
              <w:rPr>
                <w:rFonts w:cstheme="minorHAnsi"/>
                <w:lang w:val="en-GB"/>
              </w:rPr>
              <w:fldChar w:fldCharType="begin"/>
            </w:r>
            <w:r w:rsidR="00C82021" w:rsidRPr="000D268C">
              <w:rPr>
                <w:rFonts w:cstheme="minorHAnsi"/>
                <w:lang w:val="en-GB"/>
              </w:rPr>
              <w:instrText xml:space="preserve"> ADDIN ZOTERO_ITEM CSL_CITATION {"citationID":"zk2gLPRR","properties":{"formattedCitation":"(Nouy, 2016)","plainCitation":"(Nouy, 2016)","noteIndex":0},"citationItems":[{"id":6769,"uris":["http://zotero.org/users/1129714/items/65B4Q55B"],"uri":["http://zotero.org/users/1129714/items/65B4Q55B"],"itemData":{"id":6769,"type":"webpage","container-title":"ECB Banking Supervision","language":"en","title":"Letter from Danièle Nouy, Chair of the Supervisory Board, to Mr Zanni, MEP, regarding a credit institution under ECB supervision","URL":"https://www.bankingsupervision.europa.eu/ecb/pub/pdf/160226letter_zanni.en.pdf?b3043a684302a7225d4afb12edff3f0d","author":[{"family":"Nouy","given":"Danièle"}],"accessed":{"date-parts":[["2019",7,25]]},"issued":{"date-parts":[["2016",2,26]]}}}],"schema":"https://github.com/citation-style-language/schema/raw/master/csl-citation.json"} </w:instrText>
            </w:r>
            <w:r w:rsidR="00F813C3" w:rsidRPr="000D268C">
              <w:rPr>
                <w:rFonts w:cstheme="minorHAnsi"/>
                <w:lang w:val="en-GB"/>
              </w:rPr>
              <w:fldChar w:fldCharType="separate"/>
            </w:r>
            <w:r w:rsidR="000A5639" w:rsidRPr="000D268C">
              <w:rPr>
                <w:rFonts w:cstheme="minorHAnsi"/>
                <w:noProof/>
                <w:lang w:val="en-GB"/>
              </w:rPr>
              <w:t>(Nouy, 2016)</w:t>
            </w:r>
            <w:r w:rsidR="00F813C3" w:rsidRPr="000D268C">
              <w:rPr>
                <w:rFonts w:cstheme="minorHAnsi"/>
                <w:lang w:val="en-GB"/>
              </w:rPr>
              <w:fldChar w:fldCharType="end"/>
            </w:r>
            <w:r w:rsidR="00F813C3" w:rsidRPr="000D268C">
              <w:rPr>
                <w:rFonts w:cstheme="minorHAnsi"/>
                <w:lang w:val="en-GB"/>
              </w:rPr>
              <w:t>.</w:t>
            </w:r>
          </w:p>
        </w:tc>
      </w:tr>
      <w:tr w:rsidR="00F813C3" w:rsidRPr="000D268C" w14:paraId="3069BDEE"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351" w:type="dxa"/>
            <w:gridSpan w:val="2"/>
            <w:shd w:val="clear" w:color="auto" w:fill="D9D9D9" w:themeFill="background1" w:themeFillShade="D9"/>
          </w:tcPr>
          <w:p w14:paraId="04A105D7" w14:textId="77777777" w:rsidR="00F813C3" w:rsidRPr="000D268C" w:rsidRDefault="00F813C3" w:rsidP="002C54BF">
            <w:pPr>
              <w:widowControl w:val="0"/>
              <w:jc w:val="both"/>
              <w:rPr>
                <w:rFonts w:cstheme="minorHAnsi"/>
                <w:color w:val="auto"/>
                <w:lang w:val="en-GB"/>
              </w:rPr>
            </w:pPr>
            <w:r w:rsidRPr="000D268C">
              <w:rPr>
                <w:rFonts w:cstheme="minorHAnsi"/>
                <w:color w:val="auto"/>
                <w:lang w:val="en-GB"/>
              </w:rPr>
              <w:t xml:space="preserve">Intermediate replies lie in-between explicit and non-replies. They are not full answers engaging with the substance of a question but they acknowledge the question, and provide a partial response. They are divided into subcategories: </w:t>
            </w:r>
          </w:p>
        </w:tc>
      </w:tr>
      <w:tr w:rsidR="00F813C3" w:rsidRPr="000D268C" w14:paraId="2C3E0594" w14:textId="77777777" w:rsidTr="00F813C3">
        <w:tc>
          <w:tcPr>
            <w:cnfStyle w:val="001000000000" w:firstRow="0" w:lastRow="0" w:firstColumn="1" w:lastColumn="0" w:oddVBand="0" w:evenVBand="0" w:oddHBand="0" w:evenHBand="0" w:firstRowFirstColumn="0" w:firstRowLastColumn="0" w:lastRowFirstColumn="0" w:lastRowLastColumn="0"/>
            <w:tcW w:w="3950" w:type="dxa"/>
            <w:shd w:val="clear" w:color="auto" w:fill="D9D9D9" w:themeFill="background1" w:themeFillShade="D9"/>
          </w:tcPr>
          <w:p w14:paraId="63A82F79" w14:textId="77777777" w:rsidR="00F813C3" w:rsidRPr="000D268C" w:rsidRDefault="00F813C3" w:rsidP="002C54BF">
            <w:pPr>
              <w:rPr>
                <w:rFonts w:cstheme="minorHAnsi"/>
                <w:b w:val="0"/>
                <w:bCs w:val="0"/>
                <w:color w:val="auto"/>
                <w:lang w:val="en-GB"/>
              </w:rPr>
            </w:pPr>
            <w:r w:rsidRPr="000D268C">
              <w:rPr>
                <w:rFonts w:cstheme="minorHAnsi"/>
                <w:color w:val="auto"/>
                <w:lang w:val="en-GB"/>
              </w:rPr>
              <w:t xml:space="preserve">• </w:t>
            </w:r>
            <w:proofErr w:type="spellStart"/>
            <w:r w:rsidRPr="000D268C">
              <w:rPr>
                <w:rFonts w:cstheme="minorHAnsi"/>
                <w:color w:val="auto"/>
                <w:lang w:val="en-GB"/>
              </w:rPr>
              <w:t>Response_Intermediate_A</w:t>
            </w:r>
            <w:proofErr w:type="spellEnd"/>
            <w:r w:rsidRPr="000D268C">
              <w:rPr>
                <w:rFonts w:cstheme="minorHAnsi"/>
                <w:color w:val="auto"/>
                <w:lang w:val="en-GB"/>
              </w:rPr>
              <w:t>./B. Invoke secrecy (general answer)</w:t>
            </w:r>
          </w:p>
          <w:p w14:paraId="463210E5" w14:textId="77777777" w:rsidR="00F813C3" w:rsidRPr="000D268C" w:rsidRDefault="00F813C3" w:rsidP="002C54BF">
            <w:pPr>
              <w:rPr>
                <w:rFonts w:cstheme="minorHAnsi"/>
                <w:color w:val="auto"/>
                <w:lang w:val="en-GB"/>
              </w:rPr>
            </w:pPr>
            <w:r w:rsidRPr="000D268C">
              <w:rPr>
                <w:rFonts w:cstheme="minorHAnsi"/>
                <w:color w:val="auto"/>
                <w:lang w:val="en-GB"/>
              </w:rPr>
              <w:t xml:space="preserve"> </w:t>
            </w:r>
          </w:p>
        </w:tc>
        <w:tc>
          <w:tcPr>
            <w:tcW w:w="5401" w:type="dxa"/>
            <w:shd w:val="clear" w:color="auto" w:fill="FFFFFF" w:themeFill="background1"/>
          </w:tcPr>
          <w:p w14:paraId="09BEF62A" w14:textId="77777777" w:rsidR="00F813C3" w:rsidRPr="000D268C" w:rsidRDefault="00F813C3" w:rsidP="002C54BF">
            <w:pPr>
              <w:widowControl w:val="0"/>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Applied to answers that start by mentioning confidentiality requirements and then offer general information (A) or justification (B) in response to the question asked.</w:t>
            </w:r>
          </w:p>
          <w:p w14:paraId="7DF65BFB" w14:textId="77777777" w:rsidR="00F813C3" w:rsidRPr="000D268C" w:rsidRDefault="00F813C3" w:rsidP="002C54BF">
            <w:pPr>
              <w:widowControl w:val="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p w14:paraId="6F33AB42" w14:textId="274987B4" w:rsidR="00F813C3" w:rsidRPr="000D268C" w:rsidRDefault="00F813C3" w:rsidP="002C54BF">
            <w:pPr>
              <w:widowControl w:val="0"/>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 xml:space="preserve">Example: </w:t>
            </w:r>
            <w:r w:rsidR="00355E94" w:rsidRPr="000D268C">
              <w:rPr>
                <w:rFonts w:cstheme="minorHAnsi"/>
                <w:lang w:val="en-GB"/>
              </w:rPr>
              <w:t>‘</w:t>
            </w:r>
            <w:r w:rsidRPr="000D268C">
              <w:rPr>
                <w:rFonts w:cstheme="minorHAnsi"/>
                <w:lang w:val="en-GB"/>
              </w:rPr>
              <w:t>Let me first clarify that individual supervisory actions cannot be publicly commented or disclosed. I can nevertheless inform you…[generic answer]</w:t>
            </w:r>
            <w:r w:rsidR="00355E94" w:rsidRPr="000D268C">
              <w:rPr>
                <w:rFonts w:cstheme="minorHAnsi"/>
                <w:lang w:val="en-GB"/>
              </w:rPr>
              <w:t>’</w:t>
            </w:r>
            <w:r w:rsidRPr="000D268C">
              <w:rPr>
                <w:rFonts w:cstheme="minorHAnsi"/>
                <w:lang w:val="en-GB"/>
              </w:rPr>
              <w:t xml:space="preserve"> </w:t>
            </w:r>
            <w:r w:rsidRPr="000D268C">
              <w:rPr>
                <w:rFonts w:cstheme="minorHAnsi"/>
                <w:lang w:val="en-GB"/>
              </w:rPr>
              <w:fldChar w:fldCharType="begin"/>
            </w:r>
            <w:r w:rsidR="00C82021" w:rsidRPr="000D268C">
              <w:rPr>
                <w:rFonts w:cstheme="minorHAnsi"/>
                <w:lang w:val="en-GB"/>
              </w:rPr>
              <w:instrText xml:space="preserve"> ADDIN ZOTERO_ITEM CSL_CITATION {"citationID":"HcxhE3Hm","properties":{"formattedCitation":"(Nouy, 2015)","plainCitation":"(Nouy, 2015)","noteIndex":0},"citationItems":[{"id":6773,"uris":["http://zotero.org/users/1129714/items/KJJHDRE3"],"uri":["http://zotero.org/users/1129714/items/KJJHDRE3"],"itemData":{"id":6773,"type":"webpage","container-title":"ECB Banking Supervision","title":"Letter from Danièle Nouy, Chair of the Supervisory Board, to Mr Marias, Member of the European Parliament, on the supervision of Greek banks","URL":"https://www.bankingsupervision.europa.eu/ecb/pub/pdf/150407letter_marias.en.pdf","author":[{"family":"Nouy","given":"Danièle"}],"accessed":{"date-parts":[["2019",7,25]]},"issued":{"date-parts":[["2015",4,2]]}}}],"schema":"https://github.com/citation-style-language/schema/raw/master/csl-citation.json"} </w:instrText>
            </w:r>
            <w:r w:rsidRPr="000D268C">
              <w:rPr>
                <w:rFonts w:cstheme="minorHAnsi"/>
                <w:lang w:val="en-GB"/>
              </w:rPr>
              <w:fldChar w:fldCharType="separate"/>
            </w:r>
            <w:r w:rsidR="000A5639" w:rsidRPr="000D268C">
              <w:rPr>
                <w:rFonts w:cstheme="minorHAnsi"/>
                <w:noProof/>
                <w:lang w:val="en-GB"/>
              </w:rPr>
              <w:t>(Nouy, 2015)</w:t>
            </w:r>
            <w:r w:rsidRPr="000D268C">
              <w:rPr>
                <w:rFonts w:cstheme="minorHAnsi"/>
                <w:lang w:val="en-GB"/>
              </w:rPr>
              <w:fldChar w:fldCharType="end"/>
            </w:r>
            <w:r w:rsidRPr="000D268C">
              <w:rPr>
                <w:rFonts w:cstheme="minorHAnsi"/>
                <w:lang w:val="en-GB"/>
              </w:rPr>
              <w:t>.</w:t>
            </w:r>
          </w:p>
        </w:tc>
      </w:tr>
      <w:tr w:rsidR="00F813C3" w:rsidRPr="000D268C" w14:paraId="1763FACF"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50" w:type="dxa"/>
            <w:shd w:val="clear" w:color="auto" w:fill="D9D9D9" w:themeFill="background1" w:themeFillShade="D9"/>
          </w:tcPr>
          <w:p w14:paraId="6268C951" w14:textId="77777777" w:rsidR="00F813C3" w:rsidRPr="000D268C" w:rsidRDefault="00F813C3" w:rsidP="002C54BF">
            <w:pPr>
              <w:rPr>
                <w:rFonts w:cstheme="minorHAnsi"/>
                <w:color w:val="auto"/>
                <w:lang w:val="en-GB"/>
              </w:rPr>
            </w:pPr>
            <w:r w:rsidRPr="000D268C">
              <w:rPr>
                <w:rFonts w:cstheme="minorHAnsi"/>
                <w:color w:val="auto"/>
                <w:lang w:val="en-GB"/>
              </w:rPr>
              <w:t xml:space="preserve">• </w:t>
            </w:r>
            <w:proofErr w:type="spellStart"/>
            <w:r w:rsidRPr="000D268C">
              <w:rPr>
                <w:rFonts w:cstheme="minorHAnsi"/>
                <w:color w:val="auto"/>
                <w:lang w:val="en-GB"/>
              </w:rPr>
              <w:t>Response_Intermediate_A</w:t>
            </w:r>
            <w:proofErr w:type="spellEnd"/>
            <w:r w:rsidRPr="000D268C">
              <w:rPr>
                <w:rFonts w:cstheme="minorHAnsi"/>
                <w:color w:val="auto"/>
                <w:lang w:val="en-GB"/>
              </w:rPr>
              <w:t xml:space="preserve">. transparency  </w:t>
            </w:r>
          </w:p>
          <w:p w14:paraId="69001E5C" w14:textId="77777777" w:rsidR="00F813C3" w:rsidRPr="000D268C" w:rsidRDefault="00F813C3" w:rsidP="002C54BF">
            <w:pPr>
              <w:rPr>
                <w:rFonts w:cstheme="minorHAnsi"/>
                <w:color w:val="auto"/>
                <w:lang w:val="en-GB"/>
              </w:rPr>
            </w:pPr>
          </w:p>
          <w:p w14:paraId="4499ABE1" w14:textId="77777777" w:rsidR="00F813C3" w:rsidRPr="000D268C" w:rsidRDefault="00F813C3" w:rsidP="002C54BF">
            <w:pPr>
              <w:rPr>
                <w:rFonts w:cstheme="minorHAnsi"/>
                <w:b w:val="0"/>
                <w:bCs w:val="0"/>
                <w:color w:val="auto"/>
                <w:lang w:val="en-GB"/>
              </w:rPr>
            </w:pPr>
          </w:p>
          <w:p w14:paraId="5663A543" w14:textId="77777777" w:rsidR="00F813C3" w:rsidRPr="000D268C" w:rsidRDefault="00F813C3" w:rsidP="002C54BF">
            <w:pPr>
              <w:pStyle w:val="ListParagraph"/>
              <w:numPr>
                <w:ilvl w:val="0"/>
                <w:numId w:val="19"/>
              </w:numPr>
              <w:ind w:left="171" w:hanging="171"/>
              <w:rPr>
                <w:rFonts w:cstheme="minorHAnsi"/>
                <w:b w:val="0"/>
                <w:bCs w:val="0"/>
                <w:color w:val="auto"/>
                <w:lang w:val="en-GB"/>
              </w:rPr>
            </w:pPr>
            <w:proofErr w:type="spellStart"/>
            <w:r w:rsidRPr="000D268C">
              <w:rPr>
                <w:rFonts w:cstheme="minorHAnsi"/>
                <w:color w:val="auto"/>
                <w:lang w:val="en-GB"/>
              </w:rPr>
              <w:lastRenderedPageBreak/>
              <w:t>Response_Intermediate_B</w:t>
            </w:r>
            <w:proofErr w:type="spellEnd"/>
            <w:r w:rsidRPr="000D268C">
              <w:rPr>
                <w:rFonts w:cstheme="minorHAnsi"/>
                <w:color w:val="auto"/>
                <w:lang w:val="en-GB"/>
              </w:rPr>
              <w:t xml:space="preserve">. Partial justification  </w:t>
            </w:r>
          </w:p>
        </w:tc>
        <w:tc>
          <w:tcPr>
            <w:tcW w:w="5401" w:type="dxa"/>
            <w:shd w:val="clear" w:color="auto" w:fill="FFFFFF" w:themeFill="background1"/>
          </w:tcPr>
          <w:p w14:paraId="47C7E2F7" w14:textId="0A6C1F8C" w:rsidR="00F813C3" w:rsidRPr="000D268C" w:rsidRDefault="00F813C3" w:rsidP="002C54BF">
            <w:pPr>
              <w:widowControl w:val="0"/>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lastRenderedPageBreak/>
              <w:t>Applied to answers that offer an incomplete response, by providing some information about policy decisions and the process through which a decision was taken (</w:t>
            </w:r>
            <w:r w:rsidR="00355E94" w:rsidRPr="000D268C">
              <w:rPr>
                <w:rFonts w:cstheme="minorHAnsi"/>
                <w:lang w:val="en-GB"/>
              </w:rPr>
              <w:t>‘</w:t>
            </w:r>
            <w:r w:rsidRPr="000D268C">
              <w:rPr>
                <w:rFonts w:cstheme="minorHAnsi"/>
                <w:lang w:val="en-GB"/>
              </w:rPr>
              <w:t>partial transparency</w:t>
            </w:r>
            <w:r w:rsidR="00355E94" w:rsidRPr="000D268C">
              <w:rPr>
                <w:rFonts w:cstheme="minorHAnsi"/>
                <w:lang w:val="en-GB"/>
              </w:rPr>
              <w:t>’</w:t>
            </w:r>
            <w:r w:rsidRPr="000D268C">
              <w:rPr>
                <w:rFonts w:cstheme="minorHAnsi"/>
                <w:lang w:val="en-GB"/>
              </w:rPr>
              <w:t xml:space="preserve">), or an incomplete justification for a decision/conduct </w:t>
            </w:r>
            <w:r w:rsidRPr="000D268C">
              <w:rPr>
                <w:rFonts w:cstheme="minorHAnsi"/>
                <w:lang w:val="en-GB"/>
              </w:rPr>
              <w:lastRenderedPageBreak/>
              <w:t>(</w:t>
            </w:r>
            <w:r w:rsidR="00355E94" w:rsidRPr="000D268C">
              <w:rPr>
                <w:rFonts w:cstheme="minorHAnsi"/>
                <w:lang w:val="en-GB"/>
              </w:rPr>
              <w:t>‘</w:t>
            </w:r>
            <w:r w:rsidRPr="000D268C">
              <w:rPr>
                <w:rFonts w:cstheme="minorHAnsi"/>
                <w:lang w:val="en-GB"/>
              </w:rPr>
              <w:t>partial justification</w:t>
            </w:r>
            <w:r w:rsidR="00355E94" w:rsidRPr="000D268C">
              <w:rPr>
                <w:rFonts w:cstheme="minorHAnsi"/>
                <w:lang w:val="en-GB"/>
              </w:rPr>
              <w:t>’</w:t>
            </w:r>
            <w:r w:rsidRPr="000D268C">
              <w:rPr>
                <w:rFonts w:cstheme="minorHAnsi"/>
                <w:lang w:val="en-GB"/>
              </w:rPr>
              <w:t>).</w:t>
            </w:r>
          </w:p>
          <w:p w14:paraId="5A5AFF96" w14:textId="77777777" w:rsidR="00F813C3" w:rsidRPr="000D268C" w:rsidRDefault="00F813C3" w:rsidP="002C54BF">
            <w:pPr>
              <w:widowControl w:val="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p w14:paraId="700BFFDF" w14:textId="77777777" w:rsidR="00F813C3" w:rsidRPr="000D268C" w:rsidRDefault="00F813C3" w:rsidP="002C54BF">
            <w:pPr>
              <w:widowControl w:val="0"/>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Coders will identify such answers when they see that a question has neither been fully addressed nor exactly dodged.</w:t>
            </w:r>
          </w:p>
        </w:tc>
      </w:tr>
      <w:tr w:rsidR="00F813C3" w:rsidRPr="000D268C" w14:paraId="1B7DC5AC" w14:textId="77777777" w:rsidTr="00F813C3">
        <w:tc>
          <w:tcPr>
            <w:cnfStyle w:val="001000000000" w:firstRow="0" w:lastRow="0" w:firstColumn="1" w:lastColumn="0" w:oddVBand="0" w:evenVBand="0" w:oddHBand="0" w:evenHBand="0" w:firstRowFirstColumn="0" w:firstRowLastColumn="0" w:lastRowFirstColumn="0" w:lastRowLastColumn="0"/>
            <w:tcW w:w="3950" w:type="dxa"/>
            <w:shd w:val="clear" w:color="auto" w:fill="D9D9D9" w:themeFill="background1" w:themeFillShade="D9"/>
          </w:tcPr>
          <w:p w14:paraId="7199A725" w14:textId="77777777" w:rsidR="00F813C3" w:rsidRPr="000D268C" w:rsidRDefault="00F813C3" w:rsidP="002C54BF">
            <w:pPr>
              <w:pStyle w:val="ListParagraph"/>
              <w:numPr>
                <w:ilvl w:val="0"/>
                <w:numId w:val="19"/>
              </w:numPr>
              <w:ind w:left="171" w:hanging="171"/>
              <w:rPr>
                <w:rFonts w:cstheme="minorHAnsi"/>
                <w:color w:val="auto"/>
                <w:lang w:val="en-GB"/>
              </w:rPr>
            </w:pPr>
            <w:proofErr w:type="spellStart"/>
            <w:r w:rsidRPr="000D268C">
              <w:rPr>
                <w:rFonts w:cstheme="minorHAnsi"/>
                <w:color w:val="auto"/>
                <w:lang w:val="en-GB"/>
              </w:rPr>
              <w:lastRenderedPageBreak/>
              <w:t>Response_Intermediate_A</w:t>
            </w:r>
            <w:proofErr w:type="spellEnd"/>
            <w:r w:rsidRPr="000D268C">
              <w:rPr>
                <w:rFonts w:cstheme="minorHAnsi"/>
                <w:color w:val="auto"/>
                <w:lang w:val="en-GB"/>
              </w:rPr>
              <w:t>. Promise to provide information in the future</w:t>
            </w:r>
          </w:p>
          <w:p w14:paraId="2EAE2F61" w14:textId="77777777" w:rsidR="00F813C3" w:rsidRPr="000D268C" w:rsidRDefault="00F813C3" w:rsidP="002C54BF">
            <w:pPr>
              <w:pStyle w:val="ListParagraph"/>
              <w:numPr>
                <w:ilvl w:val="0"/>
                <w:numId w:val="19"/>
              </w:numPr>
              <w:ind w:left="171" w:hanging="171"/>
              <w:rPr>
                <w:rFonts w:cstheme="minorHAnsi"/>
                <w:color w:val="auto"/>
                <w:lang w:val="en-GB"/>
              </w:rPr>
            </w:pPr>
            <w:proofErr w:type="spellStart"/>
            <w:r w:rsidRPr="000D268C">
              <w:rPr>
                <w:rFonts w:cstheme="minorHAnsi"/>
                <w:color w:val="auto"/>
                <w:lang w:val="en-GB"/>
              </w:rPr>
              <w:t>Response_Intermediate_B</w:t>
            </w:r>
            <w:proofErr w:type="spellEnd"/>
            <w:r w:rsidRPr="000D268C">
              <w:rPr>
                <w:rFonts w:cstheme="minorHAnsi"/>
                <w:color w:val="auto"/>
                <w:lang w:val="en-GB"/>
              </w:rPr>
              <w:t>. Promise to provide justification in the future</w:t>
            </w:r>
          </w:p>
          <w:p w14:paraId="6B5C564E" w14:textId="77777777" w:rsidR="00F813C3" w:rsidRPr="000D268C" w:rsidRDefault="00F813C3" w:rsidP="002C54BF">
            <w:pPr>
              <w:pStyle w:val="ListParagraph"/>
              <w:numPr>
                <w:ilvl w:val="0"/>
                <w:numId w:val="19"/>
              </w:numPr>
              <w:ind w:left="171" w:hanging="171"/>
              <w:rPr>
                <w:rFonts w:cstheme="minorHAnsi"/>
                <w:color w:val="auto"/>
                <w:lang w:val="en-GB"/>
              </w:rPr>
            </w:pPr>
            <w:proofErr w:type="spellStart"/>
            <w:r w:rsidRPr="000D268C">
              <w:rPr>
                <w:rFonts w:cstheme="minorHAnsi"/>
                <w:color w:val="auto"/>
                <w:lang w:val="en-GB"/>
              </w:rPr>
              <w:t>Response_Intermediate_C</w:t>
            </w:r>
            <w:proofErr w:type="spellEnd"/>
            <w:r w:rsidRPr="000D268C">
              <w:rPr>
                <w:rFonts w:cstheme="minorHAnsi"/>
                <w:color w:val="auto"/>
                <w:lang w:val="en-GB"/>
              </w:rPr>
              <w:t>. Promise to change decisions/conduct in the future</w:t>
            </w:r>
          </w:p>
          <w:p w14:paraId="5067E5C5" w14:textId="77777777" w:rsidR="00F813C3" w:rsidRPr="000D268C" w:rsidRDefault="00F813C3" w:rsidP="002C54BF">
            <w:pPr>
              <w:pStyle w:val="ListParagraph"/>
              <w:numPr>
                <w:ilvl w:val="0"/>
                <w:numId w:val="19"/>
              </w:numPr>
              <w:ind w:left="171" w:hanging="171"/>
              <w:rPr>
                <w:rFonts w:cstheme="minorHAnsi"/>
                <w:color w:val="auto"/>
                <w:lang w:val="en-GB"/>
              </w:rPr>
            </w:pPr>
            <w:proofErr w:type="spellStart"/>
            <w:r w:rsidRPr="000D268C">
              <w:rPr>
                <w:rFonts w:cstheme="minorHAnsi"/>
                <w:color w:val="auto"/>
                <w:lang w:val="en-GB"/>
              </w:rPr>
              <w:t>Response_Intermediate_D</w:t>
            </w:r>
            <w:proofErr w:type="spellEnd"/>
            <w:r w:rsidRPr="000D268C">
              <w:rPr>
                <w:rFonts w:cstheme="minorHAnsi"/>
                <w:color w:val="auto"/>
                <w:lang w:val="en-GB"/>
              </w:rPr>
              <w:t>. Promise to impose sanctions in the future</w:t>
            </w:r>
          </w:p>
        </w:tc>
        <w:tc>
          <w:tcPr>
            <w:tcW w:w="5401" w:type="dxa"/>
            <w:shd w:val="clear" w:color="auto" w:fill="FFFFFF" w:themeFill="background1"/>
          </w:tcPr>
          <w:p w14:paraId="3CE6A516" w14:textId="77777777" w:rsidR="00F813C3" w:rsidRPr="000D268C" w:rsidRDefault="00F813C3" w:rsidP="002C54BF">
            <w:pPr>
              <w:widowControl w:val="0"/>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 xml:space="preserve">Applied to answers that acknowledge the question and promise to provide an explicit reply in the future because the issue is still ongoing. </w:t>
            </w:r>
          </w:p>
          <w:p w14:paraId="775813C2" w14:textId="77777777" w:rsidR="00F813C3" w:rsidRPr="000D268C" w:rsidRDefault="00F813C3" w:rsidP="002C54BF">
            <w:pPr>
              <w:widowControl w:val="0"/>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p w14:paraId="08FAE05B" w14:textId="77777777" w:rsidR="00F813C3" w:rsidRPr="000D268C" w:rsidRDefault="00F813C3" w:rsidP="002C54BF">
            <w:pPr>
              <w:widowControl w:val="0"/>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Coders will recognise such answers by the presence of future tense in the sentences, as claimants outline how (and when) they will address the substance of the question asked.</w:t>
            </w:r>
          </w:p>
        </w:tc>
      </w:tr>
      <w:tr w:rsidR="00F813C3" w:rsidRPr="000D268C" w14:paraId="1EF5CAD4"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50" w:type="dxa"/>
            <w:shd w:val="clear" w:color="auto" w:fill="D9D9D9" w:themeFill="background1" w:themeFillShade="D9"/>
          </w:tcPr>
          <w:p w14:paraId="43151D51" w14:textId="77777777" w:rsidR="00F813C3" w:rsidRPr="000D268C" w:rsidRDefault="00F813C3" w:rsidP="002C54BF">
            <w:pPr>
              <w:pStyle w:val="ListParagraph"/>
              <w:numPr>
                <w:ilvl w:val="0"/>
                <w:numId w:val="21"/>
              </w:numPr>
              <w:ind w:left="171" w:hanging="171"/>
              <w:rPr>
                <w:rFonts w:cstheme="minorHAnsi"/>
                <w:color w:val="auto"/>
                <w:lang w:val="en-GB"/>
              </w:rPr>
            </w:pPr>
            <w:proofErr w:type="spellStart"/>
            <w:r w:rsidRPr="000D268C">
              <w:rPr>
                <w:rFonts w:cstheme="minorHAnsi"/>
                <w:color w:val="auto"/>
                <w:lang w:val="en-GB"/>
              </w:rPr>
              <w:t>Response_Intermediate_A</w:t>
            </w:r>
            <w:proofErr w:type="spellEnd"/>
            <w:r w:rsidRPr="000D268C">
              <w:rPr>
                <w:rFonts w:cstheme="minorHAnsi"/>
                <w:color w:val="auto"/>
                <w:lang w:val="en-GB"/>
              </w:rPr>
              <w:t>./B/C./D.</w:t>
            </w:r>
          </w:p>
          <w:p w14:paraId="1C12915B" w14:textId="77777777" w:rsidR="00F813C3" w:rsidRPr="000D268C" w:rsidRDefault="00F813C3" w:rsidP="002C54BF">
            <w:pPr>
              <w:pStyle w:val="ListParagraph"/>
              <w:ind w:left="171"/>
              <w:rPr>
                <w:rFonts w:cstheme="minorHAnsi"/>
                <w:color w:val="auto"/>
                <w:lang w:val="en-GB"/>
              </w:rPr>
            </w:pPr>
            <w:r w:rsidRPr="000D268C">
              <w:rPr>
                <w:rFonts w:cstheme="minorHAnsi"/>
                <w:color w:val="auto"/>
                <w:lang w:val="en-GB"/>
              </w:rPr>
              <w:t xml:space="preserve">/E.  Refer question to diff actor deemed responsible  </w:t>
            </w:r>
          </w:p>
        </w:tc>
        <w:tc>
          <w:tcPr>
            <w:tcW w:w="5401" w:type="dxa"/>
            <w:shd w:val="clear" w:color="auto" w:fill="FFFFFF" w:themeFill="background1"/>
          </w:tcPr>
          <w:p w14:paraId="0F5F1D3D" w14:textId="37A50463" w:rsidR="00F813C3" w:rsidRPr="000D268C" w:rsidRDefault="00F813C3" w:rsidP="002C54BF">
            <w:pPr>
              <w:widowControl w:val="0"/>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 xml:space="preserve">Applied to answers that acknowledge the question but explain why responsibility for the issue lies with another (executive) actor. These situations should be investigated further because they might include cases of blame-shifting or avoidance of oversight </w:t>
            </w:r>
            <w:r w:rsidRPr="000D268C">
              <w:rPr>
                <w:rFonts w:cstheme="minorHAnsi"/>
                <w:lang w:val="en-GB"/>
              </w:rPr>
              <w:fldChar w:fldCharType="begin"/>
            </w:r>
            <w:r w:rsidR="00C82021" w:rsidRPr="000D268C">
              <w:rPr>
                <w:rFonts w:cstheme="minorHAnsi"/>
                <w:lang w:val="en-GB"/>
              </w:rPr>
              <w:instrText xml:space="preserve"> ADDIN ZOTERO_ITEM CSL_CITATION {"citationID":"ORT6JfFU","properties":{"formattedCitation":"(Hood, 2010)","plainCitation":"(Hood, 2010)","noteIndex":0},"citationItems":[{"id":2556,"uris":["http://zotero.org/users/1129714/items/GXNLU6VX"],"uri":["http://zotero.org/users/1129714/items/GXNLU6VX"],"itemData":{"id":2556,"type":"book","abstract":"The blame game, with its finger-pointing and mutual buck-passing, is a familiar feature of politics and organizational life, and blame avoidance pervades government and public organizations at every level. Political and bureaucratic blame games and blame avoidance are more often condemned than analyzed. In The Blame Game, Christopher Hood takes a different approach by showing how blame avoidance shapes the workings of government and public services. Arguing that the blaming phenomenon is not all bad, Hood demonstrates that it can actually help to pin down responsibility, and he examines different kinds of blame avoidance, both positive and negative. Hood traces how the main forms of blame avoidance manifest themselves in presentational and \"spin\" activity, the architecture of organizations, and the shaping of standard operating routines. He analyzes the scope and limits of blame avoidance, and he considers how it plays out in old and new areas, such as those offered by the digital age of websites and e-mail. Hood assesses the effects of this behavior, from high-level problems of democratic accountability trails going cold to the frustrations of dealing with organizations whose procedures seem to ensure that no one is responsible for anything. Delving into the inner workings of complex institutions, The Blame Game proves how a better understanding of blame avoidance can improve the quality of modern governance, management, and organizational design.","event-place":"Princeton, NJ","ISBN":"978-1-4008-3681-9","language":"en","note":"Google-Books-ID: PF4KrRXumpgC","number-of-pages":"239","publisher":"Princeton University Press","publisher-place":"Princeton, NJ","source":"Google Books","title":"The Blame Game: Spin, Bureaucracy, and Self-Preservation in Government","title-short":"The Blame Game","author":[{"family":"Hood","given":"Christopher"}],"issued":{"date-parts":[["2010",11,15]]}}}],"schema":"https://github.com/citation-style-language/schema/raw/master/csl-citation.json"} </w:instrText>
            </w:r>
            <w:r w:rsidRPr="000D268C">
              <w:rPr>
                <w:rFonts w:cstheme="minorHAnsi"/>
                <w:lang w:val="en-GB"/>
              </w:rPr>
              <w:fldChar w:fldCharType="separate"/>
            </w:r>
            <w:r w:rsidR="000A5639" w:rsidRPr="000D268C">
              <w:rPr>
                <w:rFonts w:cstheme="minorHAnsi"/>
                <w:noProof/>
                <w:lang w:val="en-GB"/>
              </w:rPr>
              <w:t>(Hood, 2010)</w:t>
            </w:r>
            <w:r w:rsidRPr="000D268C">
              <w:rPr>
                <w:rFonts w:cstheme="minorHAnsi"/>
                <w:lang w:val="en-GB"/>
              </w:rPr>
              <w:fldChar w:fldCharType="end"/>
            </w:r>
            <w:r w:rsidRPr="000D268C">
              <w:rPr>
                <w:rFonts w:cstheme="minorHAnsi"/>
                <w:lang w:val="en-GB"/>
              </w:rPr>
              <w:t>. If the question was indeed posed to an incorrect addressee, the reply is still considered ‘intermediate’ because the legislative does not receive a full response. However, the situation is not the fault of the executive actor under consideration.</w:t>
            </w:r>
          </w:p>
          <w:p w14:paraId="4EF16415" w14:textId="77777777" w:rsidR="00F813C3" w:rsidRPr="000D268C" w:rsidRDefault="00F813C3" w:rsidP="002C54BF">
            <w:pPr>
              <w:widowControl w:val="0"/>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p w14:paraId="1D9958F1" w14:textId="12229737" w:rsidR="00F813C3" w:rsidRPr="000D268C" w:rsidRDefault="00F813C3" w:rsidP="002C54BF">
            <w:pPr>
              <w:widowControl w:val="0"/>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 xml:space="preserve">Example: </w:t>
            </w:r>
            <w:r w:rsidR="00355E94" w:rsidRPr="000D268C">
              <w:rPr>
                <w:rFonts w:cstheme="minorHAnsi"/>
                <w:lang w:val="en-GB"/>
              </w:rPr>
              <w:t>‘</w:t>
            </w:r>
            <w:r w:rsidRPr="000D268C">
              <w:rPr>
                <w:rFonts w:cstheme="minorHAnsi"/>
                <w:lang w:val="en-GB"/>
              </w:rPr>
              <w:t>As mentioned to you during my hearing at the ECON Committee on 19 June 2017, the ECB is not competent to supervise compliance with tax regulations. This responsibility resides with the relevant national competent authorities.</w:t>
            </w:r>
            <w:r w:rsidR="00355E94" w:rsidRPr="000D268C">
              <w:rPr>
                <w:rFonts w:cstheme="minorHAnsi"/>
                <w:lang w:val="en-GB"/>
              </w:rPr>
              <w:t>’</w:t>
            </w:r>
            <w:r w:rsidRPr="000D268C">
              <w:rPr>
                <w:rFonts w:cstheme="minorHAnsi"/>
                <w:lang w:val="en-GB"/>
              </w:rPr>
              <w:t xml:space="preserve"> </w:t>
            </w:r>
            <w:r w:rsidRPr="000D268C">
              <w:rPr>
                <w:rFonts w:cstheme="minorHAnsi"/>
                <w:lang w:val="en-GB"/>
              </w:rPr>
              <w:fldChar w:fldCharType="begin"/>
            </w:r>
            <w:r w:rsidR="00C82021" w:rsidRPr="000D268C">
              <w:rPr>
                <w:rFonts w:cstheme="minorHAnsi"/>
                <w:lang w:val="en-GB"/>
              </w:rPr>
              <w:instrText xml:space="preserve"> ADDIN ZOTERO_ITEM CSL_CITATION {"citationID":"Ro7IHrBm","properties":{"formattedCitation":"(Nouy, 2017)","plainCitation":"(Nouy, 2017)","noteIndex":0},"citationItems":[{"id":6775,"uris":["http://zotero.org/users/1129714/items/7LLTVSSG"],"uri":["http://zotero.org/users/1129714/items/7LLTVSSG"],"itemData":{"id":6775,"type":"webpage","container-title":"ECB Banking Supervision","title":"Letter from Danièle Nouy, Chair of the Supervisory Board, to Ms Berès, MEP, regarding taxes paid by credit institutions","URL":"https://www.bankingsupervision.europa.eu/ecb/pub/pdf/ssm.mepletter170628_beres.en.pdf?8ca0ac35276c2984f0310fbeb5aeecdd","author":[{"family":"Nouy","given":"Danièle"}],"accessed":{"date-parts":[["2019",7,25]]},"issued":{"date-parts":[["2017",6,28]]}}}],"schema":"https://github.com/citation-style-language/schema/raw/master/csl-citation.json"} </w:instrText>
            </w:r>
            <w:r w:rsidRPr="000D268C">
              <w:rPr>
                <w:rFonts w:cstheme="minorHAnsi"/>
                <w:lang w:val="en-GB"/>
              </w:rPr>
              <w:fldChar w:fldCharType="separate"/>
            </w:r>
            <w:r w:rsidR="000A5639" w:rsidRPr="000D268C">
              <w:rPr>
                <w:rFonts w:cstheme="minorHAnsi"/>
                <w:noProof/>
                <w:lang w:val="en-GB"/>
              </w:rPr>
              <w:t>(Nouy, 2017)</w:t>
            </w:r>
            <w:r w:rsidRPr="000D268C">
              <w:rPr>
                <w:rFonts w:cstheme="minorHAnsi"/>
                <w:lang w:val="en-GB"/>
              </w:rPr>
              <w:fldChar w:fldCharType="end"/>
            </w:r>
            <w:r w:rsidRPr="000D268C">
              <w:rPr>
                <w:rFonts w:cstheme="minorHAnsi"/>
                <w:lang w:val="en-GB"/>
              </w:rPr>
              <w:t>.</w:t>
            </w:r>
          </w:p>
        </w:tc>
      </w:tr>
      <w:tr w:rsidR="00F813C3" w:rsidRPr="000D268C" w14:paraId="100C7BC0" w14:textId="77777777" w:rsidTr="00F813C3">
        <w:tc>
          <w:tcPr>
            <w:cnfStyle w:val="001000000000" w:firstRow="0" w:lastRow="0" w:firstColumn="1" w:lastColumn="0" w:oddVBand="0" w:evenVBand="0" w:oddHBand="0" w:evenHBand="0" w:firstRowFirstColumn="0" w:firstRowLastColumn="0" w:lastRowFirstColumn="0" w:lastRowLastColumn="0"/>
            <w:tcW w:w="9351" w:type="dxa"/>
            <w:gridSpan w:val="2"/>
            <w:shd w:val="clear" w:color="auto" w:fill="D9D9D9" w:themeFill="background1" w:themeFillShade="D9"/>
          </w:tcPr>
          <w:p w14:paraId="5672E01C" w14:textId="77777777" w:rsidR="00F813C3" w:rsidRPr="000D268C" w:rsidRDefault="00F813C3" w:rsidP="002C54BF">
            <w:pPr>
              <w:widowControl w:val="0"/>
              <w:jc w:val="both"/>
              <w:rPr>
                <w:rFonts w:cstheme="minorHAnsi"/>
                <w:color w:val="auto"/>
                <w:lang w:val="en-GB"/>
              </w:rPr>
            </w:pPr>
            <w:r w:rsidRPr="000D268C">
              <w:rPr>
                <w:rFonts w:cstheme="minorHAnsi"/>
                <w:color w:val="auto"/>
                <w:lang w:val="en-GB"/>
              </w:rPr>
              <w:t>There is an additional code, complementary to the ones above, provided when the executive clarifies facts from questions:</w:t>
            </w:r>
          </w:p>
        </w:tc>
      </w:tr>
      <w:tr w:rsidR="00F813C3" w:rsidRPr="000D268C" w14:paraId="39E07A3E"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50" w:type="dxa"/>
            <w:shd w:val="clear" w:color="auto" w:fill="D9D9D9" w:themeFill="background1" w:themeFillShade="D9"/>
          </w:tcPr>
          <w:p w14:paraId="49F4259A" w14:textId="77777777" w:rsidR="00F813C3" w:rsidRPr="000D268C" w:rsidRDefault="00F813C3" w:rsidP="002C54BF">
            <w:pPr>
              <w:pStyle w:val="ListParagraph"/>
              <w:numPr>
                <w:ilvl w:val="0"/>
                <w:numId w:val="21"/>
              </w:numPr>
              <w:ind w:left="171" w:hanging="171"/>
              <w:rPr>
                <w:rFonts w:cstheme="minorHAnsi"/>
                <w:color w:val="auto"/>
                <w:lang w:val="en-GB"/>
              </w:rPr>
            </w:pPr>
            <w:proofErr w:type="spellStart"/>
            <w:r w:rsidRPr="000D268C">
              <w:rPr>
                <w:rFonts w:cstheme="minorHAnsi"/>
                <w:color w:val="auto"/>
                <w:lang w:val="en-GB"/>
              </w:rPr>
              <w:t>Response_Complementary_Clarify</w:t>
            </w:r>
            <w:proofErr w:type="spellEnd"/>
            <w:r w:rsidRPr="000D268C">
              <w:rPr>
                <w:rFonts w:cstheme="minorHAnsi"/>
                <w:color w:val="auto"/>
                <w:lang w:val="en-GB"/>
              </w:rPr>
              <w:t xml:space="preserve"> information from question</w:t>
            </w:r>
          </w:p>
        </w:tc>
        <w:tc>
          <w:tcPr>
            <w:tcW w:w="5401" w:type="dxa"/>
            <w:shd w:val="clear" w:color="auto" w:fill="FFFFFF" w:themeFill="background1"/>
          </w:tcPr>
          <w:p w14:paraId="36536F45" w14:textId="4503912B" w:rsidR="00F813C3" w:rsidRPr="000D268C" w:rsidRDefault="00F813C3" w:rsidP="002C54BF">
            <w:pPr>
              <w:widowControl w:val="0"/>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Applied to portions of answers in which the executive explicitly clarifies facts or information from questions. The implication is that the legislative actor had the facts wrong, which often invalidates the question. This code is used in addition to the others; it does not replace the categories of the claim analysis approach. However, it can signal problems on the side of the legislative in understanding the issues under discussion.</w:t>
            </w:r>
          </w:p>
        </w:tc>
      </w:tr>
    </w:tbl>
    <w:p w14:paraId="73BE5DA2" w14:textId="77777777" w:rsidR="00F813C3" w:rsidRPr="000D268C" w:rsidRDefault="00F813C3" w:rsidP="002C54BF">
      <w:pPr>
        <w:widowControl w:val="0"/>
        <w:spacing w:line="480" w:lineRule="auto"/>
        <w:jc w:val="both"/>
        <w:rPr>
          <w:rFonts w:cstheme="minorHAnsi"/>
          <w:lang w:val="en-GB"/>
        </w:rPr>
      </w:pPr>
    </w:p>
    <w:p w14:paraId="691B0A22" w14:textId="3F2A4DAA" w:rsidR="00F813C3" w:rsidRPr="000D268C" w:rsidRDefault="00F813C3" w:rsidP="002C54BF">
      <w:pPr>
        <w:pStyle w:val="Heading3"/>
        <w:numPr>
          <w:ilvl w:val="0"/>
          <w:numId w:val="23"/>
        </w:numPr>
        <w:spacing w:line="480" w:lineRule="auto"/>
        <w:rPr>
          <w:rFonts w:asciiTheme="minorHAnsi" w:hAnsiTheme="minorHAnsi" w:cstheme="minorHAnsi"/>
          <w:color w:val="auto"/>
          <w:lang w:val="en-GB"/>
        </w:rPr>
      </w:pPr>
      <w:bookmarkStart w:id="14" w:name="_Toc45885407"/>
      <w:r w:rsidRPr="000D268C">
        <w:rPr>
          <w:rFonts w:asciiTheme="minorHAnsi" w:hAnsiTheme="minorHAnsi" w:cstheme="minorHAnsi"/>
          <w:color w:val="auto"/>
          <w:lang w:val="en-GB"/>
        </w:rPr>
        <w:lastRenderedPageBreak/>
        <w:t>Follow-up by legislative</w:t>
      </w:r>
      <w:bookmarkEnd w:id="14"/>
    </w:p>
    <w:p w14:paraId="4D60A4F9" w14:textId="26E455C2" w:rsidR="00F813C3" w:rsidRPr="000D268C" w:rsidRDefault="00F813C3" w:rsidP="002C54BF">
      <w:pPr>
        <w:widowControl w:val="0"/>
        <w:spacing w:line="480" w:lineRule="auto"/>
        <w:ind w:right="-148"/>
        <w:jc w:val="both"/>
        <w:rPr>
          <w:rFonts w:cstheme="minorHAnsi"/>
          <w:lang w:val="en-GB"/>
        </w:rPr>
      </w:pPr>
      <w:r w:rsidRPr="000D268C">
        <w:rPr>
          <w:rFonts w:cstheme="minorHAnsi"/>
          <w:lang w:val="en-GB"/>
        </w:rPr>
        <w:t xml:space="preserve">The code </w:t>
      </w:r>
      <w:r w:rsidR="00355E94" w:rsidRPr="000D268C">
        <w:rPr>
          <w:rFonts w:cstheme="minorHAnsi"/>
          <w:lang w:val="en-GB"/>
        </w:rPr>
        <w:t>‘</w:t>
      </w:r>
      <w:r w:rsidRPr="000D268C">
        <w:rPr>
          <w:rFonts w:cstheme="minorHAnsi"/>
          <w:lang w:val="en-GB"/>
        </w:rPr>
        <w:t>follow-up</w:t>
      </w:r>
      <w:r w:rsidR="00355E94" w:rsidRPr="000D268C">
        <w:rPr>
          <w:rFonts w:cstheme="minorHAnsi"/>
          <w:lang w:val="en-GB"/>
        </w:rPr>
        <w:t>’</w:t>
      </w:r>
      <w:r w:rsidRPr="000D268C">
        <w:rPr>
          <w:rFonts w:cstheme="minorHAnsi"/>
          <w:lang w:val="en-GB"/>
        </w:rPr>
        <w:t xml:space="preserve"> applies to all questions whose exact topic has already been encountered in the coding. For this reason, coding has to be done chronologically, switching between written questions and hearings. At the same time, it is recommended that coding is done in monthly batches, without long breaks in-between, so that the topics covered are fresh in the mind of the coders. Moreover, when a follow-up question is identified in a different document, it is required to use the ‘comments’ section of the coding software in order to reference the document with the initial question. This way, follow-up questions can be cross-checked at a later point in time. The most obvious follow-up questions occur during hearings, when members of parliament ask multiple questions on the same topic, seeking to push the executive actor to provide full replies.</w:t>
      </w:r>
    </w:p>
    <w:p w14:paraId="0FA5D082" w14:textId="77777777" w:rsidR="00F813C3" w:rsidRPr="000D268C" w:rsidRDefault="00F813C3" w:rsidP="002C54BF">
      <w:pPr>
        <w:widowControl w:val="0"/>
        <w:spacing w:line="480" w:lineRule="auto"/>
        <w:jc w:val="both"/>
        <w:rPr>
          <w:rFonts w:cstheme="minorHAnsi"/>
          <w:lang w:val="en-GB"/>
        </w:rPr>
      </w:pPr>
      <w:r w:rsidRPr="000D268C">
        <w:rPr>
          <w:rFonts w:cstheme="minorHAnsi"/>
          <w:lang w:val="en-GB"/>
        </w:rPr>
        <w:tab/>
        <w:t xml:space="preserve">The coding for follow-up questions is identical to initial questions, as shown below: </w:t>
      </w:r>
    </w:p>
    <w:tbl>
      <w:tblPr>
        <w:tblStyle w:val="GridTable5Dark-Accent3"/>
        <w:tblW w:w="0" w:type="auto"/>
        <w:tblBorders>
          <w:insideH w:val="single" w:sz="4" w:space="0" w:color="auto"/>
          <w:insideV w:val="single" w:sz="4" w:space="0" w:color="auto"/>
        </w:tblBorders>
        <w:shd w:val="clear" w:color="auto" w:fill="D9D9D9" w:themeFill="background1" w:themeFillShade="D9"/>
        <w:tblLook w:val="04A0" w:firstRow="1" w:lastRow="0" w:firstColumn="1" w:lastColumn="0" w:noHBand="0" w:noVBand="1"/>
      </w:tblPr>
      <w:tblGrid>
        <w:gridCol w:w="3539"/>
        <w:gridCol w:w="5517"/>
      </w:tblGrid>
      <w:tr w:rsidR="002C54BF" w:rsidRPr="000D268C" w14:paraId="1FFF95FB" w14:textId="77777777" w:rsidTr="00F813C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056" w:type="dxa"/>
            <w:gridSpan w:val="2"/>
            <w:shd w:val="clear" w:color="auto" w:fill="auto"/>
          </w:tcPr>
          <w:p w14:paraId="673CBBDA" w14:textId="77777777" w:rsidR="00F813C3" w:rsidRPr="000D268C" w:rsidRDefault="00F813C3" w:rsidP="002C54BF">
            <w:pPr>
              <w:jc w:val="both"/>
              <w:rPr>
                <w:rFonts w:cstheme="minorHAnsi"/>
                <w:color w:val="auto"/>
                <w:lang w:val="en-GB"/>
              </w:rPr>
            </w:pPr>
            <w:r w:rsidRPr="000D268C">
              <w:rPr>
                <w:rFonts w:cstheme="minorHAnsi"/>
                <w:color w:val="auto"/>
                <w:lang w:val="en-GB"/>
              </w:rPr>
              <w:t>For questions asked the second/third/fourth… time</w:t>
            </w:r>
          </w:p>
        </w:tc>
      </w:tr>
      <w:tr w:rsidR="00F813C3" w:rsidRPr="000D268C" w14:paraId="08BAFCDC"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2B29745C" w14:textId="77777777" w:rsidR="00F813C3" w:rsidRPr="000D268C" w:rsidRDefault="00F813C3" w:rsidP="002C54BF">
            <w:pPr>
              <w:jc w:val="both"/>
              <w:rPr>
                <w:rFonts w:cstheme="minorHAnsi"/>
                <w:color w:val="auto"/>
                <w:lang w:val="en-GB"/>
              </w:rPr>
            </w:pPr>
            <w:r w:rsidRPr="000D268C">
              <w:rPr>
                <w:rFonts w:cstheme="minorHAnsi"/>
                <w:color w:val="auto"/>
                <w:lang w:val="en-GB"/>
              </w:rPr>
              <w:t>Follow-</w:t>
            </w:r>
            <w:proofErr w:type="spellStart"/>
            <w:r w:rsidRPr="000D268C">
              <w:rPr>
                <w:rFonts w:cstheme="minorHAnsi"/>
                <w:color w:val="auto"/>
                <w:lang w:val="en-GB"/>
              </w:rPr>
              <w:t>up_Continue_A</w:t>
            </w:r>
            <w:proofErr w:type="spellEnd"/>
            <w:r w:rsidRPr="000D268C">
              <w:rPr>
                <w:rFonts w:cstheme="minorHAnsi"/>
                <w:color w:val="auto"/>
                <w:lang w:val="en-GB"/>
              </w:rPr>
              <w:t xml:space="preserve">. demands for information </w:t>
            </w:r>
          </w:p>
          <w:p w14:paraId="7061AD68" w14:textId="77777777" w:rsidR="00F813C3" w:rsidRPr="000D268C" w:rsidRDefault="00F813C3" w:rsidP="002C54BF">
            <w:pPr>
              <w:jc w:val="both"/>
              <w:rPr>
                <w:rFonts w:cstheme="minorHAnsi"/>
                <w:color w:val="auto"/>
                <w:lang w:val="en-GB"/>
              </w:rPr>
            </w:pPr>
          </w:p>
        </w:tc>
        <w:tc>
          <w:tcPr>
            <w:tcW w:w="5517" w:type="dxa"/>
            <w:shd w:val="clear" w:color="auto" w:fill="auto"/>
          </w:tcPr>
          <w:p w14:paraId="6E4673A0"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Applied to follow-up questions requesting information about policy decisions or about the process through which a decision was taken.</w:t>
            </w:r>
          </w:p>
          <w:p w14:paraId="1FCEC347"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p w14:paraId="5A2641E6" w14:textId="48B41EE5"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u w:val="single"/>
                <w:lang w:val="en-GB"/>
              </w:rPr>
              <w:t>Examples</w:t>
            </w:r>
            <w:r w:rsidRPr="000D268C">
              <w:rPr>
                <w:rFonts w:cstheme="minorHAnsi"/>
                <w:lang w:val="en-GB"/>
              </w:rPr>
              <w:t xml:space="preserve">: questions starting with </w:t>
            </w:r>
            <w:r w:rsidR="00355E94" w:rsidRPr="000D268C">
              <w:rPr>
                <w:rFonts w:cstheme="minorHAnsi"/>
                <w:lang w:val="en-GB"/>
              </w:rPr>
              <w:t>‘</w:t>
            </w:r>
            <w:r w:rsidRPr="000D268C">
              <w:rPr>
                <w:rFonts w:cstheme="minorHAnsi"/>
                <w:lang w:val="en-GB"/>
              </w:rPr>
              <w:t>what</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which</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who</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when</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how many</w:t>
            </w:r>
            <w:r w:rsidR="00355E94" w:rsidRPr="000D268C">
              <w:rPr>
                <w:rFonts w:cstheme="minorHAnsi"/>
                <w:lang w:val="en-GB"/>
              </w:rPr>
              <w:t>’</w:t>
            </w:r>
            <w:r w:rsidRPr="000D268C">
              <w:rPr>
                <w:rFonts w:cstheme="minorHAnsi"/>
                <w:lang w:val="en-GB"/>
              </w:rPr>
              <w:t>, ‘how much</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[how]will/does/has/did the ECB…</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is the ECB aware…</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can the ECB specify…</w:t>
            </w:r>
            <w:r w:rsidR="00355E94" w:rsidRPr="000D268C">
              <w:rPr>
                <w:rFonts w:cstheme="minorHAnsi"/>
                <w:lang w:val="en-GB"/>
              </w:rPr>
              <w:t>’</w:t>
            </w:r>
            <w:r w:rsidRPr="000D268C">
              <w:rPr>
                <w:rFonts w:cstheme="minorHAnsi"/>
                <w:lang w:val="en-GB"/>
              </w:rPr>
              <w:t>, and specific requests for examples or description of policies.</w:t>
            </w:r>
          </w:p>
        </w:tc>
      </w:tr>
      <w:tr w:rsidR="00F813C3" w:rsidRPr="000D268C" w14:paraId="7C3B4573" w14:textId="77777777" w:rsidTr="00F813C3">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08833168" w14:textId="77777777" w:rsidR="00F813C3" w:rsidRPr="000D268C" w:rsidRDefault="00F813C3" w:rsidP="002C54BF">
            <w:pPr>
              <w:jc w:val="both"/>
              <w:rPr>
                <w:rFonts w:cstheme="minorHAnsi"/>
                <w:color w:val="auto"/>
                <w:lang w:val="en-GB"/>
              </w:rPr>
            </w:pPr>
            <w:r w:rsidRPr="000D268C">
              <w:rPr>
                <w:rFonts w:cstheme="minorHAnsi"/>
                <w:color w:val="auto"/>
                <w:lang w:val="en-GB"/>
              </w:rPr>
              <w:t>Follow-</w:t>
            </w:r>
            <w:proofErr w:type="spellStart"/>
            <w:r w:rsidRPr="000D268C">
              <w:rPr>
                <w:rFonts w:cstheme="minorHAnsi"/>
                <w:color w:val="auto"/>
                <w:lang w:val="en-GB"/>
              </w:rPr>
              <w:t>up_Continue_B</w:t>
            </w:r>
            <w:proofErr w:type="spellEnd"/>
            <w:r w:rsidRPr="000D268C">
              <w:rPr>
                <w:rFonts w:cstheme="minorHAnsi"/>
                <w:color w:val="auto"/>
                <w:lang w:val="en-GB"/>
              </w:rPr>
              <w:t xml:space="preserve">. demands for justification  </w:t>
            </w:r>
          </w:p>
        </w:tc>
        <w:tc>
          <w:tcPr>
            <w:tcW w:w="5517" w:type="dxa"/>
            <w:shd w:val="clear" w:color="auto" w:fill="auto"/>
          </w:tcPr>
          <w:p w14:paraId="2C0B2013" w14:textId="77777777"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Applied to follow-up questions requesting an explanation for policy decisions or executive conduct.</w:t>
            </w:r>
          </w:p>
          <w:p w14:paraId="41DA42B5" w14:textId="77777777"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p w14:paraId="6D3DF05E" w14:textId="096BB713"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u w:val="single"/>
                <w:lang w:val="en-GB"/>
              </w:rPr>
              <w:t>Examples</w:t>
            </w:r>
            <w:r w:rsidRPr="000D268C">
              <w:rPr>
                <w:rFonts w:cstheme="minorHAnsi"/>
                <w:lang w:val="en-GB"/>
              </w:rPr>
              <w:t xml:space="preserve">: questions starting with </w:t>
            </w:r>
            <w:r w:rsidR="00355E94" w:rsidRPr="000D268C">
              <w:rPr>
                <w:rFonts w:cstheme="minorHAnsi"/>
                <w:lang w:val="en-GB"/>
              </w:rPr>
              <w:t>‘</w:t>
            </w:r>
            <w:r w:rsidRPr="000D268C">
              <w:rPr>
                <w:rFonts w:cstheme="minorHAnsi"/>
                <w:lang w:val="en-GB"/>
              </w:rPr>
              <w:t>why</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how will/does/can the ECB ensure/guarantee/does</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can the ECB explain…</w:t>
            </w:r>
            <w:r w:rsidR="00355E94" w:rsidRPr="000D268C">
              <w:rPr>
                <w:rFonts w:cstheme="minorHAnsi"/>
                <w:lang w:val="en-GB"/>
              </w:rPr>
              <w:t>’</w:t>
            </w:r>
            <w:r w:rsidRPr="000D268C">
              <w:rPr>
                <w:rFonts w:cstheme="minorHAnsi"/>
                <w:lang w:val="en-GB"/>
              </w:rPr>
              <w:t>, and any interrogative sentences that question ECB decisions on a specific topic, thus implying the need for justification.</w:t>
            </w:r>
          </w:p>
        </w:tc>
      </w:tr>
      <w:tr w:rsidR="00F813C3" w:rsidRPr="000D268C" w14:paraId="38343305"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08E43DFF" w14:textId="77777777" w:rsidR="00F813C3" w:rsidRPr="000D268C" w:rsidRDefault="00F813C3" w:rsidP="002C54BF">
            <w:pPr>
              <w:jc w:val="both"/>
              <w:rPr>
                <w:rFonts w:cstheme="minorHAnsi"/>
                <w:color w:val="auto"/>
                <w:lang w:val="en-GB"/>
              </w:rPr>
            </w:pPr>
            <w:r w:rsidRPr="000D268C">
              <w:rPr>
                <w:rFonts w:cstheme="minorHAnsi"/>
                <w:color w:val="auto"/>
                <w:lang w:val="en-GB"/>
              </w:rPr>
              <w:t>Follow-</w:t>
            </w:r>
            <w:proofErr w:type="spellStart"/>
            <w:r w:rsidRPr="000D268C">
              <w:rPr>
                <w:rFonts w:cstheme="minorHAnsi"/>
                <w:color w:val="auto"/>
                <w:lang w:val="en-GB"/>
              </w:rPr>
              <w:t>up_Continue_C</w:t>
            </w:r>
            <w:proofErr w:type="spellEnd"/>
            <w:r w:rsidRPr="000D268C">
              <w:rPr>
                <w:rFonts w:cstheme="minorHAnsi"/>
                <w:color w:val="auto"/>
                <w:lang w:val="en-GB"/>
              </w:rPr>
              <w:t>. demands for change of decisions/conduct</w:t>
            </w:r>
          </w:p>
        </w:tc>
        <w:tc>
          <w:tcPr>
            <w:tcW w:w="5517" w:type="dxa"/>
            <w:shd w:val="clear" w:color="auto" w:fill="auto"/>
          </w:tcPr>
          <w:p w14:paraId="372B24CC"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Applied to follow-up questions requesting a clear change in the decisions or conduct of the executive actor.</w:t>
            </w:r>
          </w:p>
          <w:p w14:paraId="0D2F72B1"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p w14:paraId="704F95D6" w14:textId="321E7AF0"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u w:val="single"/>
                <w:lang w:val="en-GB"/>
              </w:rPr>
              <w:t>Examples:</w:t>
            </w:r>
            <w:r w:rsidRPr="000D268C">
              <w:rPr>
                <w:rFonts w:cstheme="minorHAnsi"/>
                <w:lang w:val="en-GB"/>
              </w:rPr>
              <w:t xml:space="preserve"> questions starting with </w:t>
            </w:r>
            <w:r w:rsidR="00355E94" w:rsidRPr="000D268C">
              <w:rPr>
                <w:rFonts w:cstheme="minorHAnsi"/>
                <w:lang w:val="en-GB"/>
              </w:rPr>
              <w:t>‘</w:t>
            </w:r>
            <w:r w:rsidRPr="000D268C">
              <w:rPr>
                <w:rFonts w:cstheme="minorHAnsi"/>
                <w:lang w:val="en-GB"/>
              </w:rPr>
              <w:t>[can you please indicate] what steps/actions will the ECB take…</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 xml:space="preserve">how </w:t>
            </w:r>
            <w:r w:rsidRPr="000D268C">
              <w:rPr>
                <w:rFonts w:cstheme="minorHAnsi"/>
                <w:lang w:val="en-GB"/>
              </w:rPr>
              <w:lastRenderedPageBreak/>
              <w:t>does the ECB plan/intend to…</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has the ECB envisaged the possibility to…</w:t>
            </w:r>
            <w:r w:rsidR="00355E94" w:rsidRPr="000D268C">
              <w:rPr>
                <w:rFonts w:cstheme="minorHAnsi"/>
                <w:lang w:val="en-GB"/>
              </w:rPr>
              <w:t>’</w:t>
            </w:r>
            <w:r w:rsidRPr="000D268C">
              <w:rPr>
                <w:rFonts w:cstheme="minorHAnsi"/>
                <w:lang w:val="en-GB"/>
              </w:rPr>
              <w:t xml:space="preserve">. Questions in this category are sometimes phrased as affirmative sentences, e.g. </w:t>
            </w:r>
            <w:r w:rsidR="00355E94" w:rsidRPr="000D268C">
              <w:rPr>
                <w:rFonts w:cstheme="minorHAnsi"/>
                <w:lang w:val="en-GB"/>
              </w:rPr>
              <w:t>‘</w:t>
            </w:r>
            <w:r w:rsidRPr="000D268C">
              <w:rPr>
                <w:rFonts w:cstheme="minorHAnsi"/>
                <w:lang w:val="en-GB"/>
              </w:rPr>
              <w:t>I would urge you to take all steps in order to ensure…</w:t>
            </w:r>
            <w:r w:rsidR="00355E94" w:rsidRPr="000D268C">
              <w:rPr>
                <w:rFonts w:cstheme="minorHAnsi"/>
                <w:lang w:val="en-GB"/>
              </w:rPr>
              <w:t>’</w:t>
            </w:r>
            <w:r w:rsidRPr="000D268C">
              <w:rPr>
                <w:rFonts w:cstheme="minorHAnsi"/>
                <w:lang w:val="en-GB"/>
              </w:rPr>
              <w:t>.</w:t>
            </w:r>
          </w:p>
        </w:tc>
      </w:tr>
      <w:tr w:rsidR="00F813C3" w:rsidRPr="000D268C" w14:paraId="15FB19F4" w14:textId="77777777" w:rsidTr="00F813C3">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tcBorders>
            <w:shd w:val="clear" w:color="auto" w:fill="D9D9D9" w:themeFill="background1" w:themeFillShade="D9"/>
          </w:tcPr>
          <w:p w14:paraId="45961F75" w14:textId="77777777" w:rsidR="00F813C3" w:rsidRPr="000D268C" w:rsidRDefault="00F813C3" w:rsidP="002C54BF">
            <w:pPr>
              <w:jc w:val="both"/>
              <w:rPr>
                <w:rFonts w:cstheme="minorHAnsi"/>
                <w:color w:val="auto"/>
                <w:lang w:val="en-GB"/>
              </w:rPr>
            </w:pPr>
            <w:r w:rsidRPr="000D268C">
              <w:rPr>
                <w:rFonts w:cstheme="minorHAnsi"/>
                <w:color w:val="auto"/>
                <w:lang w:val="en-GB"/>
              </w:rPr>
              <w:lastRenderedPageBreak/>
              <w:t>Follow-</w:t>
            </w:r>
            <w:proofErr w:type="spellStart"/>
            <w:r w:rsidRPr="000D268C">
              <w:rPr>
                <w:rFonts w:cstheme="minorHAnsi"/>
                <w:color w:val="auto"/>
                <w:lang w:val="en-GB"/>
              </w:rPr>
              <w:t>up_Continue_D</w:t>
            </w:r>
            <w:proofErr w:type="spellEnd"/>
            <w:r w:rsidRPr="000D268C">
              <w:rPr>
                <w:rFonts w:cstheme="minorHAnsi"/>
                <w:color w:val="auto"/>
                <w:lang w:val="en-GB"/>
              </w:rPr>
              <w:t>. demands for sanctions</w:t>
            </w:r>
          </w:p>
        </w:tc>
        <w:tc>
          <w:tcPr>
            <w:tcW w:w="5517" w:type="dxa"/>
            <w:shd w:val="clear" w:color="auto" w:fill="auto"/>
          </w:tcPr>
          <w:p w14:paraId="2B41A0C6" w14:textId="77777777"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Applied to follow-up questions requesting sanctions for officials considered responsible for wrongdoing of any kind.</w:t>
            </w:r>
          </w:p>
          <w:p w14:paraId="0FC19A88" w14:textId="77777777"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p>
          <w:p w14:paraId="11521BA4" w14:textId="5892E02F" w:rsidR="00F813C3" w:rsidRPr="000D268C" w:rsidRDefault="00F813C3" w:rsidP="002C54BF">
            <w:pPr>
              <w:jc w:val="both"/>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u w:val="single"/>
                <w:lang w:val="en-GB"/>
              </w:rPr>
              <w:t>Examples:</w:t>
            </w:r>
            <w:r w:rsidRPr="000D268C">
              <w:rPr>
                <w:rFonts w:cstheme="minorHAnsi"/>
                <w:lang w:val="en-GB"/>
              </w:rPr>
              <w:t xml:space="preserve"> questions starting with </w:t>
            </w:r>
            <w:r w:rsidR="00355E94" w:rsidRPr="000D268C">
              <w:rPr>
                <w:rFonts w:cstheme="minorHAnsi"/>
                <w:lang w:val="en-GB"/>
              </w:rPr>
              <w:t>‘</w:t>
            </w:r>
            <w:r w:rsidRPr="000D268C">
              <w:rPr>
                <w:rFonts w:cstheme="minorHAnsi"/>
                <w:lang w:val="en-GB"/>
              </w:rPr>
              <w:t>can the ECB detail/explain what actions it intends to take against…/it would impose on…</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will the ECB consider conducting an investigation against…/be looking into…/examine…</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will the ECB call for X to be removed…</w:t>
            </w:r>
            <w:r w:rsidR="00355E94" w:rsidRPr="000D268C">
              <w:rPr>
                <w:rFonts w:cstheme="minorHAnsi"/>
                <w:lang w:val="en-GB"/>
              </w:rPr>
              <w:t>’</w:t>
            </w:r>
          </w:p>
        </w:tc>
      </w:tr>
      <w:tr w:rsidR="00F813C3" w:rsidRPr="000D268C" w14:paraId="70C37783"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Borders>
              <w:left w:val="none" w:sz="0" w:space="0" w:color="auto"/>
              <w:bottom w:val="none" w:sz="0" w:space="0" w:color="auto"/>
            </w:tcBorders>
            <w:shd w:val="clear" w:color="auto" w:fill="D9D9D9" w:themeFill="background1" w:themeFillShade="D9"/>
          </w:tcPr>
          <w:p w14:paraId="5D1F6208" w14:textId="77777777" w:rsidR="00F813C3" w:rsidRPr="000D268C" w:rsidRDefault="00F813C3" w:rsidP="002C54BF">
            <w:pPr>
              <w:jc w:val="both"/>
              <w:rPr>
                <w:rFonts w:cstheme="minorHAnsi"/>
                <w:color w:val="auto"/>
                <w:lang w:val="en-GB"/>
              </w:rPr>
            </w:pPr>
            <w:r w:rsidRPr="000D268C">
              <w:rPr>
                <w:rFonts w:cstheme="minorHAnsi"/>
                <w:color w:val="auto"/>
                <w:lang w:val="en-GB"/>
              </w:rPr>
              <w:t>Follow-</w:t>
            </w:r>
            <w:proofErr w:type="spellStart"/>
            <w:r w:rsidRPr="000D268C">
              <w:rPr>
                <w:rFonts w:cstheme="minorHAnsi"/>
                <w:color w:val="auto"/>
                <w:lang w:val="en-GB"/>
              </w:rPr>
              <w:t>up_Continue_E</w:t>
            </w:r>
            <w:proofErr w:type="spellEnd"/>
            <w:r w:rsidRPr="000D268C">
              <w:rPr>
                <w:rFonts w:cstheme="minorHAnsi"/>
                <w:color w:val="auto"/>
                <w:lang w:val="en-GB"/>
              </w:rPr>
              <w:t xml:space="preserve">. demands for policy views </w:t>
            </w:r>
          </w:p>
          <w:p w14:paraId="1800B62F" w14:textId="77777777" w:rsidR="00F813C3" w:rsidRPr="000D268C" w:rsidRDefault="00F813C3" w:rsidP="002C54BF">
            <w:pPr>
              <w:jc w:val="both"/>
              <w:rPr>
                <w:rFonts w:cstheme="minorHAnsi"/>
                <w:color w:val="auto"/>
                <w:lang w:val="en-GB"/>
              </w:rPr>
            </w:pPr>
          </w:p>
        </w:tc>
        <w:tc>
          <w:tcPr>
            <w:tcW w:w="5517" w:type="dxa"/>
            <w:shd w:val="clear" w:color="auto" w:fill="auto"/>
          </w:tcPr>
          <w:p w14:paraId="6E59E46A"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Applied to follow-up questions outside the scope of oversight interactions because they do not contest anything about the decisions or conduct of executive actors.</w:t>
            </w:r>
          </w:p>
          <w:p w14:paraId="099CB152" w14:textId="77777777"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p>
          <w:p w14:paraId="5B4B3F2D" w14:textId="1D7C5D44" w:rsidR="00F813C3" w:rsidRPr="000D268C" w:rsidRDefault="00F813C3" w:rsidP="002C54BF">
            <w:pPr>
              <w:jc w:val="both"/>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u w:val="single"/>
                <w:lang w:val="en-GB"/>
              </w:rPr>
              <w:t>Examples:</w:t>
            </w:r>
            <w:r w:rsidRPr="000D268C">
              <w:rPr>
                <w:rFonts w:cstheme="minorHAnsi"/>
                <w:lang w:val="en-GB"/>
              </w:rPr>
              <w:t xml:space="preserve"> questions starting with </w:t>
            </w:r>
            <w:r w:rsidR="00355E94" w:rsidRPr="000D268C">
              <w:rPr>
                <w:rFonts w:cstheme="minorHAnsi"/>
                <w:lang w:val="en-GB"/>
              </w:rPr>
              <w:t>‘</w:t>
            </w:r>
            <w:r w:rsidRPr="000D268C">
              <w:rPr>
                <w:rFonts w:cstheme="minorHAnsi"/>
                <w:lang w:val="en-GB"/>
              </w:rPr>
              <w:t>does the ECB consider/believe/take the view/agree that…</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what is the position of the ECB on…</w:t>
            </w:r>
            <w:r w:rsidR="00355E94" w:rsidRPr="000D268C">
              <w:rPr>
                <w:rFonts w:cstheme="minorHAnsi"/>
                <w:lang w:val="en-GB"/>
              </w:rPr>
              <w:t>’</w:t>
            </w:r>
            <w:r w:rsidRPr="000D268C">
              <w:rPr>
                <w:rFonts w:cstheme="minorHAnsi"/>
                <w:lang w:val="en-GB"/>
              </w:rPr>
              <w:t xml:space="preserve"> </w:t>
            </w:r>
            <w:r w:rsidR="00355E94" w:rsidRPr="000D268C">
              <w:rPr>
                <w:rFonts w:cstheme="minorHAnsi"/>
                <w:lang w:val="en-GB"/>
              </w:rPr>
              <w:t>‘</w:t>
            </w:r>
            <w:r w:rsidRPr="000D268C">
              <w:rPr>
                <w:rFonts w:cstheme="minorHAnsi"/>
                <w:lang w:val="en-GB"/>
              </w:rPr>
              <w:t>would you conclude that further action by the legislator is necessary in this case?</w:t>
            </w:r>
            <w:r w:rsidR="00355E94" w:rsidRPr="000D268C">
              <w:rPr>
                <w:rFonts w:cstheme="minorHAnsi"/>
                <w:lang w:val="en-GB"/>
              </w:rPr>
              <w:t>’</w:t>
            </w:r>
          </w:p>
        </w:tc>
      </w:tr>
    </w:tbl>
    <w:p w14:paraId="7536202A" w14:textId="77777777" w:rsidR="00984AD0" w:rsidRPr="000D268C" w:rsidRDefault="00984AD0" w:rsidP="002C54BF">
      <w:pPr>
        <w:spacing w:line="480" w:lineRule="auto"/>
        <w:jc w:val="both"/>
        <w:rPr>
          <w:rFonts w:cstheme="minorHAnsi"/>
          <w:lang w:val="en-GB"/>
        </w:rPr>
      </w:pPr>
    </w:p>
    <w:p w14:paraId="6E9870FE" w14:textId="52790E85" w:rsidR="00F813C3" w:rsidRPr="000D268C" w:rsidRDefault="00F813C3" w:rsidP="002C54BF">
      <w:pPr>
        <w:pStyle w:val="Heading2"/>
        <w:spacing w:line="480" w:lineRule="auto"/>
        <w:rPr>
          <w:rFonts w:asciiTheme="minorHAnsi" w:hAnsiTheme="minorHAnsi" w:cstheme="minorHAnsi"/>
          <w:b/>
          <w:bCs/>
          <w:color w:val="auto"/>
          <w:sz w:val="24"/>
          <w:szCs w:val="24"/>
          <w:lang w:val="en-GB"/>
        </w:rPr>
      </w:pPr>
      <w:bookmarkStart w:id="15" w:name="_Toc45885408"/>
      <w:r w:rsidRPr="000D268C">
        <w:rPr>
          <w:rFonts w:asciiTheme="minorHAnsi" w:hAnsiTheme="minorHAnsi" w:cstheme="minorHAnsi"/>
          <w:b/>
          <w:bCs/>
          <w:color w:val="auto"/>
          <w:sz w:val="24"/>
          <w:szCs w:val="24"/>
          <w:lang w:val="en-GB"/>
        </w:rPr>
        <w:t>Examples of coding</w:t>
      </w:r>
      <w:bookmarkEnd w:id="15"/>
    </w:p>
    <w:p w14:paraId="6933A978" w14:textId="77777777" w:rsidR="00F813C3" w:rsidRPr="000D268C" w:rsidRDefault="00F813C3" w:rsidP="002C54BF">
      <w:pPr>
        <w:spacing w:line="480" w:lineRule="auto"/>
        <w:jc w:val="both"/>
        <w:rPr>
          <w:rFonts w:cstheme="minorHAnsi"/>
          <w:lang w:val="en-GB"/>
        </w:rPr>
      </w:pPr>
      <w:r w:rsidRPr="000D268C">
        <w:rPr>
          <w:rFonts w:cstheme="minorHAnsi"/>
          <w:lang w:val="en-GB"/>
        </w:rPr>
        <w:t xml:space="preserve">The case study presented in the article was analysed using the software </w:t>
      </w:r>
      <w:proofErr w:type="spellStart"/>
      <w:r w:rsidRPr="000D268C">
        <w:rPr>
          <w:rFonts w:cstheme="minorHAnsi"/>
          <w:lang w:val="en-GB"/>
        </w:rPr>
        <w:t>ATLAS.ti</w:t>
      </w:r>
      <w:proofErr w:type="spellEnd"/>
      <w:r w:rsidRPr="000D268C">
        <w:rPr>
          <w:rFonts w:cstheme="minorHAnsi"/>
          <w:lang w:val="en-GB"/>
        </w:rPr>
        <w:t>. For the purposes of illustration, a few examples of the coding are provided below, using snapshots from the software:</w:t>
      </w:r>
    </w:p>
    <w:p w14:paraId="7DF961B1" w14:textId="4D45B089" w:rsidR="00F813C3" w:rsidRPr="000D268C" w:rsidRDefault="00F813C3" w:rsidP="002C54BF">
      <w:pPr>
        <w:pStyle w:val="Heading3"/>
        <w:spacing w:line="480" w:lineRule="auto"/>
        <w:rPr>
          <w:rFonts w:asciiTheme="minorHAnsi" w:hAnsiTheme="minorHAnsi" w:cstheme="minorHAnsi"/>
          <w:color w:val="auto"/>
          <w:lang w:val="en-GB"/>
        </w:rPr>
      </w:pPr>
      <w:bookmarkStart w:id="16" w:name="_Toc45885409"/>
      <w:r w:rsidRPr="000D268C">
        <w:rPr>
          <w:rFonts w:asciiTheme="minorHAnsi" w:hAnsiTheme="minorHAnsi" w:cstheme="minorHAnsi"/>
          <w:color w:val="auto"/>
          <w:lang w:val="en-GB"/>
        </w:rPr>
        <w:lastRenderedPageBreak/>
        <w:t>Example 1</w:t>
      </w:r>
      <w:r w:rsidR="00711EAC" w:rsidRPr="000D268C">
        <w:rPr>
          <w:rFonts w:asciiTheme="minorHAnsi" w:hAnsiTheme="minorHAnsi" w:cstheme="minorHAnsi"/>
          <w:color w:val="auto"/>
          <w:lang w:val="en-GB"/>
        </w:rPr>
        <w:t>—</w:t>
      </w:r>
      <w:r w:rsidRPr="000D268C">
        <w:rPr>
          <w:rFonts w:asciiTheme="minorHAnsi" w:hAnsiTheme="minorHAnsi" w:cstheme="minorHAnsi"/>
          <w:color w:val="auto"/>
          <w:lang w:val="en-GB"/>
        </w:rPr>
        <w:t>written questionnaire</w:t>
      </w:r>
      <w:bookmarkEnd w:id="16"/>
    </w:p>
    <w:p w14:paraId="6325C23A" w14:textId="1D15FE33" w:rsidR="00F813C3" w:rsidRPr="000D268C" w:rsidRDefault="00F813C3" w:rsidP="002C54BF">
      <w:pPr>
        <w:rPr>
          <w:rFonts w:cstheme="minorHAnsi"/>
          <w:lang w:val="en-GB"/>
        </w:rPr>
      </w:pPr>
      <w:r w:rsidRPr="000D268C">
        <w:rPr>
          <w:rFonts w:cstheme="minorHAnsi"/>
          <w:noProof/>
          <w:lang w:val="en-GB"/>
        </w:rPr>
        <w:drawing>
          <wp:inline distT="0" distB="0" distL="0" distR="0" wp14:anchorId="17AD9111" wp14:editId="78A2F364">
            <wp:extent cx="5756910" cy="2179955"/>
            <wp:effectExtent l="12700" t="12700" r="8890" b="171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56910" cy="2179955"/>
                    </a:xfrm>
                    <a:prstGeom prst="rect">
                      <a:avLst/>
                    </a:prstGeom>
                    <a:ln>
                      <a:solidFill>
                        <a:schemeClr val="bg1">
                          <a:lumMod val="85000"/>
                        </a:schemeClr>
                      </a:solidFill>
                    </a:ln>
                  </pic:spPr>
                </pic:pic>
              </a:graphicData>
            </a:graphic>
          </wp:inline>
        </w:drawing>
      </w:r>
    </w:p>
    <w:p w14:paraId="698E34CA" w14:textId="77777777" w:rsidR="002C54BF" w:rsidRPr="000D268C" w:rsidRDefault="00F813C3" w:rsidP="002C54BF">
      <w:pPr>
        <w:rPr>
          <w:rFonts w:cstheme="minorHAnsi"/>
          <w:i/>
          <w:iCs/>
          <w:lang w:val="en-GB"/>
        </w:rPr>
      </w:pPr>
      <w:r w:rsidRPr="000D268C">
        <w:rPr>
          <w:rFonts w:cstheme="minorHAnsi"/>
          <w:i/>
          <w:iCs/>
          <w:lang w:val="en-GB"/>
        </w:rPr>
        <w:t xml:space="preserve">Source: </w:t>
      </w:r>
      <w:r w:rsidRPr="000D268C">
        <w:rPr>
          <w:rFonts w:cstheme="minorHAnsi"/>
          <w:i/>
          <w:iCs/>
          <w:lang w:val="en-GB"/>
        </w:rPr>
        <w:fldChar w:fldCharType="begin"/>
      </w:r>
      <w:r w:rsidR="00C82021" w:rsidRPr="000D268C">
        <w:rPr>
          <w:rFonts w:cstheme="minorHAnsi"/>
          <w:i/>
          <w:iCs/>
          <w:lang w:val="en-GB"/>
        </w:rPr>
        <w:instrText xml:space="preserve"> ADDIN ZOTERO_ITEM CSL_CITATION {"citationID":"W6KwWRdQ","properties":{"formattedCitation":"(Draghi, 2013)","plainCitation":"(Draghi, 2013)","noteIndex":0},"citationItems":[{"id":6764,"uris":["http://zotero.org/users/1129714/items/GUKKBSTY"],"uri":["http://zotero.org/users/1129714/items/GUKKBSTY"],"itemData":{"id":6764,"type":"webpage","container-title":"European Parliament","title":"Reply by the ECB President to the letter of the ECON Chair of 28 October 2013","URL":"http://www.europarl.europa.eu/document/activities/cont/201311/20131119ATT74688/20131119ATT74688EN.pdf","author":[{"family":"Draghi","given":"Mario"}],"accessed":{"date-parts":[["2019",7,23]]},"issued":{"date-parts":[["2013",11,15]]}}}],"schema":"https://github.com/citation-style-language/schema/raw/master/csl-citation.json"} </w:instrText>
      </w:r>
      <w:r w:rsidRPr="000D268C">
        <w:rPr>
          <w:rFonts w:cstheme="minorHAnsi"/>
          <w:i/>
          <w:iCs/>
          <w:lang w:val="en-GB"/>
        </w:rPr>
        <w:fldChar w:fldCharType="separate"/>
      </w:r>
      <w:r w:rsidR="000A5639" w:rsidRPr="000D268C">
        <w:rPr>
          <w:rFonts w:cstheme="minorHAnsi"/>
          <w:i/>
          <w:iCs/>
          <w:noProof/>
          <w:lang w:val="en-GB"/>
        </w:rPr>
        <w:t>(Draghi, 2013)</w:t>
      </w:r>
      <w:r w:rsidRPr="000D268C">
        <w:rPr>
          <w:rFonts w:cstheme="minorHAnsi"/>
          <w:i/>
          <w:iCs/>
          <w:lang w:val="en-GB"/>
        </w:rPr>
        <w:fldChar w:fldCharType="end"/>
      </w:r>
    </w:p>
    <w:p w14:paraId="0CF3AA63" w14:textId="77777777" w:rsidR="002C54BF" w:rsidRPr="000D268C" w:rsidRDefault="002C54BF" w:rsidP="002C54BF">
      <w:pPr>
        <w:spacing w:line="480" w:lineRule="auto"/>
        <w:rPr>
          <w:rFonts w:cstheme="minorHAnsi"/>
          <w:lang w:val="en-GB"/>
        </w:rPr>
      </w:pPr>
    </w:p>
    <w:p w14:paraId="1F6901C3" w14:textId="0F8C1AFA" w:rsidR="00F813C3" w:rsidRPr="000D268C" w:rsidRDefault="00F813C3" w:rsidP="002C54BF">
      <w:pPr>
        <w:spacing w:line="480" w:lineRule="auto"/>
        <w:rPr>
          <w:rFonts w:cstheme="minorHAnsi"/>
          <w:i/>
          <w:iCs/>
          <w:lang w:val="en-GB"/>
        </w:rPr>
      </w:pPr>
      <w:r w:rsidRPr="000D268C">
        <w:rPr>
          <w:rFonts w:cstheme="minorHAnsi"/>
          <w:lang w:val="en-GB"/>
        </w:rPr>
        <w:t>First, there is a questionnaire sent by the ECON Committee to the ECB in the initial phase of organ</w:t>
      </w:r>
      <w:r w:rsidR="00355E94" w:rsidRPr="000D268C">
        <w:rPr>
          <w:rFonts w:cstheme="minorHAnsi"/>
          <w:lang w:val="en-GB"/>
        </w:rPr>
        <w:t>isi</w:t>
      </w:r>
      <w:r w:rsidRPr="000D268C">
        <w:rPr>
          <w:rFonts w:cstheme="minorHAnsi"/>
          <w:lang w:val="en-GB"/>
        </w:rPr>
        <w:t xml:space="preserve">ng banking supervision in the euro area through the Single Supervisory Mechanism (SSM). The question is coded as an </w:t>
      </w:r>
      <w:r w:rsidR="00355E94" w:rsidRPr="000D268C">
        <w:rPr>
          <w:rFonts w:cstheme="minorHAnsi"/>
          <w:lang w:val="en-GB"/>
        </w:rPr>
        <w:t>‘</w:t>
      </w:r>
      <w:r w:rsidRPr="000D268C">
        <w:rPr>
          <w:rFonts w:cstheme="minorHAnsi"/>
          <w:lang w:val="en-GB"/>
        </w:rPr>
        <w:t xml:space="preserve">Initial </w:t>
      </w:r>
      <w:proofErr w:type="spellStart"/>
      <w:r w:rsidRPr="000D268C">
        <w:rPr>
          <w:rFonts w:cstheme="minorHAnsi"/>
          <w:lang w:val="en-GB"/>
        </w:rPr>
        <w:t>question_A</w:t>
      </w:r>
      <w:proofErr w:type="spellEnd"/>
      <w:r w:rsidRPr="000D268C">
        <w:rPr>
          <w:rFonts w:cstheme="minorHAnsi"/>
          <w:lang w:val="en-GB"/>
        </w:rPr>
        <w:t>. Demand for information</w:t>
      </w:r>
      <w:r w:rsidR="00355E94" w:rsidRPr="000D268C">
        <w:rPr>
          <w:rFonts w:cstheme="minorHAnsi"/>
          <w:lang w:val="en-GB"/>
        </w:rPr>
        <w:t>’</w:t>
      </w:r>
      <w:r w:rsidRPr="000D268C">
        <w:rPr>
          <w:rFonts w:cstheme="minorHAnsi"/>
          <w:lang w:val="en-GB"/>
        </w:rPr>
        <w:t xml:space="preserve">, while the reply is classified as </w:t>
      </w:r>
      <w:r w:rsidR="00355E94" w:rsidRPr="000D268C">
        <w:rPr>
          <w:rFonts w:cstheme="minorHAnsi"/>
          <w:lang w:val="en-GB"/>
        </w:rPr>
        <w:t>‘</w:t>
      </w:r>
      <w:proofErr w:type="spellStart"/>
      <w:r w:rsidRPr="000D268C">
        <w:rPr>
          <w:rFonts w:cstheme="minorHAnsi"/>
          <w:lang w:val="en-GB"/>
        </w:rPr>
        <w:t>Response_Intermediate_</w:t>
      </w:r>
      <w:proofErr w:type="gramStart"/>
      <w:r w:rsidRPr="000D268C">
        <w:rPr>
          <w:rFonts w:cstheme="minorHAnsi"/>
          <w:lang w:val="en-GB"/>
        </w:rPr>
        <w:t>A.Partial</w:t>
      </w:r>
      <w:proofErr w:type="spellEnd"/>
      <w:proofErr w:type="gramEnd"/>
      <w:r w:rsidRPr="000D268C">
        <w:rPr>
          <w:rFonts w:cstheme="minorHAnsi"/>
          <w:lang w:val="en-GB"/>
        </w:rPr>
        <w:t xml:space="preserve"> transparency</w:t>
      </w:r>
      <w:r w:rsidR="00355E94" w:rsidRPr="000D268C">
        <w:rPr>
          <w:rFonts w:cstheme="minorHAnsi"/>
          <w:lang w:val="en-GB"/>
        </w:rPr>
        <w:t>’</w:t>
      </w:r>
      <w:r w:rsidRPr="000D268C">
        <w:rPr>
          <w:rFonts w:cstheme="minorHAnsi"/>
          <w:lang w:val="en-GB"/>
        </w:rPr>
        <w:t xml:space="preserve"> because the answer refers to structures of decision-making and is incomplete, keeping in mind that point (ii) is not addressed at all. The issue is </w:t>
      </w:r>
      <w:r w:rsidR="00355E94" w:rsidRPr="000D268C">
        <w:rPr>
          <w:rFonts w:cstheme="minorHAnsi"/>
          <w:lang w:val="en-GB"/>
        </w:rPr>
        <w:t>‘</w:t>
      </w:r>
      <w:r w:rsidRPr="000D268C">
        <w:rPr>
          <w:rFonts w:cstheme="minorHAnsi"/>
          <w:lang w:val="en-GB"/>
        </w:rPr>
        <w:t>Internal organ</w:t>
      </w:r>
      <w:r w:rsidR="00063870" w:rsidRPr="000D268C">
        <w:rPr>
          <w:rFonts w:cstheme="minorHAnsi"/>
          <w:lang w:val="en-GB"/>
        </w:rPr>
        <w:t>isa</w:t>
      </w:r>
      <w:r w:rsidRPr="000D268C">
        <w:rPr>
          <w:rFonts w:cstheme="minorHAnsi"/>
          <w:lang w:val="en-GB"/>
        </w:rPr>
        <w:t>tion</w:t>
      </w:r>
      <w:r w:rsidR="00355E94" w:rsidRPr="000D268C">
        <w:rPr>
          <w:rFonts w:cstheme="minorHAnsi"/>
          <w:lang w:val="en-GB"/>
        </w:rPr>
        <w:t>’</w:t>
      </w:r>
      <w:r w:rsidRPr="000D268C">
        <w:rPr>
          <w:rFonts w:cstheme="minorHAnsi"/>
          <w:lang w:val="en-GB"/>
        </w:rPr>
        <w:t xml:space="preserve"> in both instances, while the claimants and the addressees are coded in line with the authors of the letters. The additional code </w:t>
      </w:r>
      <w:r w:rsidR="00355E94" w:rsidRPr="000D268C">
        <w:rPr>
          <w:rFonts w:cstheme="minorHAnsi"/>
          <w:lang w:val="en-GB"/>
        </w:rPr>
        <w:t>‘</w:t>
      </w:r>
      <w:r w:rsidRPr="000D268C">
        <w:rPr>
          <w:rFonts w:cstheme="minorHAnsi"/>
          <w:lang w:val="en-GB"/>
        </w:rPr>
        <w:t>Follow-</w:t>
      </w:r>
      <w:proofErr w:type="spellStart"/>
      <w:r w:rsidRPr="000D268C">
        <w:rPr>
          <w:rFonts w:cstheme="minorHAnsi"/>
          <w:lang w:val="en-GB"/>
        </w:rPr>
        <w:t>up_Not</w:t>
      </w:r>
      <w:proofErr w:type="spellEnd"/>
      <w:r w:rsidRPr="000D268C">
        <w:rPr>
          <w:rFonts w:cstheme="minorHAnsi"/>
          <w:lang w:val="en-GB"/>
        </w:rPr>
        <w:t xml:space="preserve"> applicable</w:t>
      </w:r>
      <w:r w:rsidR="00355E94" w:rsidRPr="000D268C">
        <w:rPr>
          <w:rFonts w:cstheme="minorHAnsi"/>
          <w:lang w:val="en-GB"/>
        </w:rPr>
        <w:t>’</w:t>
      </w:r>
      <w:r w:rsidRPr="000D268C">
        <w:rPr>
          <w:rFonts w:cstheme="minorHAnsi"/>
          <w:lang w:val="en-GB"/>
        </w:rPr>
        <w:t xml:space="preserve"> for the question means that the question has been asked for the first time, so there cannot be any follow-up. </w:t>
      </w:r>
    </w:p>
    <w:p w14:paraId="1A755575" w14:textId="77777777" w:rsidR="00F813C3" w:rsidRPr="000D268C" w:rsidRDefault="00F813C3" w:rsidP="002C54BF">
      <w:pPr>
        <w:spacing w:line="480" w:lineRule="auto"/>
        <w:jc w:val="both"/>
        <w:rPr>
          <w:rFonts w:cstheme="minorHAnsi"/>
          <w:lang w:val="en-GB"/>
        </w:rPr>
      </w:pPr>
    </w:p>
    <w:p w14:paraId="225C2526" w14:textId="5B5BA0B2" w:rsidR="00F813C3" w:rsidRPr="000D268C" w:rsidRDefault="00F813C3" w:rsidP="002C54BF">
      <w:pPr>
        <w:pStyle w:val="Heading3"/>
        <w:spacing w:line="480" w:lineRule="auto"/>
        <w:rPr>
          <w:rFonts w:asciiTheme="minorHAnsi" w:hAnsiTheme="minorHAnsi" w:cstheme="minorHAnsi"/>
          <w:color w:val="auto"/>
          <w:lang w:val="en-GB"/>
        </w:rPr>
      </w:pPr>
      <w:bookmarkStart w:id="17" w:name="_Toc45885410"/>
      <w:r w:rsidRPr="000D268C">
        <w:rPr>
          <w:rFonts w:asciiTheme="minorHAnsi" w:hAnsiTheme="minorHAnsi" w:cstheme="minorHAnsi"/>
          <w:color w:val="auto"/>
          <w:lang w:val="en-GB"/>
        </w:rPr>
        <w:lastRenderedPageBreak/>
        <w:t>Example 2 – written question, written answer</w:t>
      </w:r>
      <w:bookmarkEnd w:id="17"/>
    </w:p>
    <w:p w14:paraId="4409ECC2" w14:textId="387AB094" w:rsidR="00F813C3" w:rsidRPr="000D268C" w:rsidRDefault="00F813C3" w:rsidP="002C54BF">
      <w:pPr>
        <w:rPr>
          <w:rFonts w:cstheme="minorHAnsi"/>
          <w:lang w:val="en-GB"/>
        </w:rPr>
      </w:pPr>
      <w:r w:rsidRPr="000D268C">
        <w:rPr>
          <w:rFonts w:cstheme="minorHAnsi"/>
          <w:noProof/>
          <w:lang w:val="en-GB"/>
        </w:rPr>
        <w:drawing>
          <wp:inline distT="0" distB="0" distL="0" distR="0" wp14:anchorId="1E6048B4" wp14:editId="6ED1E127">
            <wp:extent cx="5756910" cy="3263265"/>
            <wp:effectExtent l="12700" t="12700" r="8890" b="133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56910" cy="3263265"/>
                    </a:xfrm>
                    <a:prstGeom prst="rect">
                      <a:avLst/>
                    </a:prstGeom>
                    <a:ln>
                      <a:solidFill>
                        <a:schemeClr val="bg1">
                          <a:lumMod val="85000"/>
                        </a:schemeClr>
                      </a:solidFill>
                    </a:ln>
                  </pic:spPr>
                </pic:pic>
              </a:graphicData>
            </a:graphic>
          </wp:inline>
        </w:drawing>
      </w:r>
    </w:p>
    <w:p w14:paraId="4BCCB308" w14:textId="4FCF5100" w:rsidR="00F813C3" w:rsidRPr="000D268C" w:rsidRDefault="00F813C3" w:rsidP="002C54BF">
      <w:pPr>
        <w:rPr>
          <w:rFonts w:cstheme="minorHAnsi"/>
          <w:i/>
          <w:iCs/>
          <w:lang w:val="en-GB"/>
        </w:rPr>
      </w:pPr>
      <w:r w:rsidRPr="000D268C">
        <w:rPr>
          <w:rFonts w:cstheme="minorHAnsi"/>
          <w:i/>
          <w:iCs/>
          <w:lang w:val="en-GB"/>
        </w:rPr>
        <w:t xml:space="preserve">Source: </w:t>
      </w:r>
      <w:r w:rsidRPr="000D268C">
        <w:rPr>
          <w:rFonts w:cstheme="minorHAnsi"/>
          <w:i/>
          <w:iCs/>
          <w:lang w:val="en-GB"/>
        </w:rPr>
        <w:fldChar w:fldCharType="begin"/>
      </w:r>
      <w:r w:rsidR="00C82021" w:rsidRPr="000D268C">
        <w:rPr>
          <w:rFonts w:cstheme="minorHAnsi"/>
          <w:i/>
          <w:iCs/>
          <w:lang w:val="en-GB"/>
        </w:rPr>
        <w:instrText xml:space="preserve"> ADDIN ZOTERO_ITEM CSL_CITATION {"citationID":"buAqSPJB","properties":{"formattedCitation":"(Marias, 2015)","plainCitation":"(Marias, 2015)","noteIndex":0},"citationItems":[{"id":6776,"uris":["http://zotero.org/users/1129714/items/6L7ING53"],"uri":["http://zotero.org/users/1129714/items/6L7ING53"],"itemData":{"id":6776,"type":"webpage","container-title":"European Parliament - Public Register of Documents","title":"Question for written answer Z-000030/2015 to the European Central Bank","URL":"http://www.europarl.europa.eu/RegData/commissions/econ/questions/2015/549211/ECON_QZ(2015)549211_EN.pdf","author":[{"family":"Marias","given":"Notis"}],"accessed":{"date-parts":[["2019",7,26]]},"issued":{"date-parts":[["2015",3,9]]}}}],"schema":"https://github.com/citation-style-language/schema/raw/master/csl-citation.json"} </w:instrText>
      </w:r>
      <w:r w:rsidRPr="000D268C">
        <w:rPr>
          <w:rFonts w:cstheme="minorHAnsi"/>
          <w:i/>
          <w:iCs/>
          <w:lang w:val="en-GB"/>
        </w:rPr>
        <w:fldChar w:fldCharType="separate"/>
      </w:r>
      <w:r w:rsidR="000A5639" w:rsidRPr="000D268C">
        <w:rPr>
          <w:rFonts w:cstheme="minorHAnsi"/>
          <w:i/>
          <w:iCs/>
          <w:noProof/>
          <w:lang w:val="en-GB"/>
        </w:rPr>
        <w:t>(Marias, 2015)</w:t>
      </w:r>
      <w:r w:rsidRPr="000D268C">
        <w:rPr>
          <w:rFonts w:cstheme="minorHAnsi"/>
          <w:i/>
          <w:iCs/>
          <w:lang w:val="en-GB"/>
        </w:rPr>
        <w:fldChar w:fldCharType="end"/>
      </w:r>
    </w:p>
    <w:p w14:paraId="06FD0A9C" w14:textId="77777777" w:rsidR="00F813C3" w:rsidRPr="000D268C" w:rsidRDefault="00F813C3" w:rsidP="002C54BF">
      <w:pPr>
        <w:spacing w:line="480" w:lineRule="auto"/>
        <w:rPr>
          <w:rFonts w:cstheme="minorHAnsi"/>
          <w:lang w:val="en-GB"/>
        </w:rPr>
      </w:pPr>
    </w:p>
    <w:p w14:paraId="348CA7D6" w14:textId="3135575A" w:rsidR="00F813C3" w:rsidRPr="000D268C" w:rsidRDefault="00F813C3" w:rsidP="002C54BF">
      <w:pPr>
        <w:spacing w:line="480" w:lineRule="auto"/>
        <w:jc w:val="both"/>
        <w:rPr>
          <w:rFonts w:cstheme="minorHAnsi"/>
          <w:lang w:val="en-GB"/>
        </w:rPr>
      </w:pPr>
      <w:r w:rsidRPr="000D268C">
        <w:rPr>
          <w:rFonts w:cstheme="minorHAnsi"/>
          <w:lang w:val="en-GB"/>
        </w:rPr>
        <w:t xml:space="preserve">The letter from Greek MEP </w:t>
      </w:r>
      <w:proofErr w:type="spellStart"/>
      <w:r w:rsidRPr="000D268C">
        <w:rPr>
          <w:rFonts w:cstheme="minorHAnsi"/>
          <w:lang w:val="en-GB"/>
        </w:rPr>
        <w:t>Notis</w:t>
      </w:r>
      <w:proofErr w:type="spellEnd"/>
      <w:r w:rsidRPr="000D268C">
        <w:rPr>
          <w:rFonts w:cstheme="minorHAnsi"/>
          <w:lang w:val="en-GB"/>
        </w:rPr>
        <w:t xml:space="preserve"> Maris is a typical example of how written questions are posed to the ECB. The topic of questions is first introduced, and then followed by interrogative sentences. The purpose of the letter is 1) to confirm a fact mentioned in the media (hence the code </w:t>
      </w:r>
      <w:r w:rsidR="00355E94" w:rsidRPr="000D268C">
        <w:rPr>
          <w:rFonts w:cstheme="minorHAnsi"/>
          <w:lang w:val="en-GB"/>
        </w:rPr>
        <w:t>‘</w:t>
      </w:r>
      <w:r w:rsidRPr="000D268C">
        <w:rPr>
          <w:rFonts w:cstheme="minorHAnsi"/>
          <w:lang w:val="en-GB"/>
        </w:rPr>
        <w:t xml:space="preserve">Initial </w:t>
      </w:r>
      <w:proofErr w:type="spellStart"/>
      <w:r w:rsidRPr="000D268C">
        <w:rPr>
          <w:rFonts w:cstheme="minorHAnsi"/>
          <w:lang w:val="en-GB"/>
        </w:rPr>
        <w:t>question_A</w:t>
      </w:r>
      <w:proofErr w:type="spellEnd"/>
      <w:r w:rsidRPr="000D268C">
        <w:rPr>
          <w:rFonts w:cstheme="minorHAnsi"/>
          <w:lang w:val="en-GB"/>
        </w:rPr>
        <w:t>. Demand information), and if the fact is correct, 2) to contest the decision by asking whether the ECB has evaluated its risks (</w:t>
      </w:r>
      <w:r w:rsidR="00355E94" w:rsidRPr="000D268C">
        <w:rPr>
          <w:rFonts w:cstheme="minorHAnsi"/>
          <w:lang w:val="en-GB"/>
        </w:rPr>
        <w:t>‘</w:t>
      </w:r>
      <w:r w:rsidRPr="000D268C">
        <w:rPr>
          <w:rFonts w:cstheme="minorHAnsi"/>
          <w:lang w:val="en-GB"/>
        </w:rPr>
        <w:t xml:space="preserve">Initial </w:t>
      </w:r>
      <w:proofErr w:type="spellStart"/>
      <w:r w:rsidRPr="000D268C">
        <w:rPr>
          <w:rFonts w:cstheme="minorHAnsi"/>
          <w:lang w:val="en-GB"/>
        </w:rPr>
        <w:t>question_B_Demand</w:t>
      </w:r>
      <w:proofErr w:type="spellEnd"/>
      <w:r w:rsidRPr="000D268C">
        <w:rPr>
          <w:rFonts w:cstheme="minorHAnsi"/>
          <w:lang w:val="en-GB"/>
        </w:rPr>
        <w:t xml:space="preserve"> justification</w:t>
      </w:r>
      <w:r w:rsidR="00355E94" w:rsidRPr="000D268C">
        <w:rPr>
          <w:rFonts w:cstheme="minorHAnsi"/>
          <w:lang w:val="en-GB"/>
        </w:rPr>
        <w:t>’</w:t>
      </w:r>
      <w:r w:rsidRPr="000D268C">
        <w:rPr>
          <w:rFonts w:cstheme="minorHAnsi"/>
          <w:lang w:val="en-GB"/>
        </w:rPr>
        <w:t xml:space="preserve">). The letter refers to four big systemic banks in Greece (coded as </w:t>
      </w:r>
      <w:r w:rsidR="00355E94" w:rsidRPr="000D268C">
        <w:rPr>
          <w:rFonts w:cstheme="minorHAnsi"/>
          <w:lang w:val="en-GB"/>
        </w:rPr>
        <w:t>‘</w:t>
      </w:r>
      <w:proofErr w:type="spellStart"/>
      <w:r w:rsidRPr="000D268C">
        <w:rPr>
          <w:rFonts w:cstheme="minorHAnsi"/>
          <w:lang w:val="en-GB"/>
        </w:rPr>
        <w:t>Issue_Specific</w:t>
      </w:r>
      <w:proofErr w:type="spellEnd"/>
      <w:r w:rsidRPr="000D268C">
        <w:rPr>
          <w:rFonts w:cstheme="minorHAnsi"/>
          <w:lang w:val="en-GB"/>
        </w:rPr>
        <w:t xml:space="preserve"> banks</w:t>
      </w:r>
      <w:r w:rsidR="00355E94" w:rsidRPr="000D268C">
        <w:rPr>
          <w:rFonts w:cstheme="minorHAnsi"/>
          <w:lang w:val="en-GB"/>
        </w:rPr>
        <w:t>’</w:t>
      </w:r>
      <w:r w:rsidRPr="000D268C">
        <w:rPr>
          <w:rFonts w:cstheme="minorHAnsi"/>
          <w:lang w:val="en-GB"/>
        </w:rPr>
        <w:t xml:space="preserve">) and refers to internal decision-making by the ECB to send letters to the banks (coded as </w:t>
      </w:r>
      <w:proofErr w:type="spellStart"/>
      <w:r w:rsidRPr="000D268C">
        <w:rPr>
          <w:rFonts w:cstheme="minorHAnsi"/>
          <w:lang w:val="en-GB"/>
        </w:rPr>
        <w:t>Issue_Decision-making_Meetings</w:t>
      </w:r>
      <w:proofErr w:type="spellEnd"/>
      <w:r w:rsidRPr="000D268C">
        <w:rPr>
          <w:rFonts w:cstheme="minorHAnsi"/>
          <w:lang w:val="en-GB"/>
        </w:rPr>
        <w:t>). The document was additionally coded with information regarding the source (EP website), the year when it was sent (2015), and the attributes of the claimant (nationality, political affiliation).</w:t>
      </w:r>
    </w:p>
    <w:p w14:paraId="130F9A2E" w14:textId="77777777" w:rsidR="00F813C3" w:rsidRPr="000D268C" w:rsidRDefault="00F813C3" w:rsidP="002C54BF">
      <w:pPr>
        <w:spacing w:line="480" w:lineRule="auto"/>
        <w:jc w:val="both"/>
        <w:rPr>
          <w:rFonts w:cstheme="minorHAnsi"/>
          <w:lang w:val="en-GB"/>
        </w:rPr>
      </w:pPr>
      <w:r w:rsidRPr="000D268C">
        <w:rPr>
          <w:rFonts w:cstheme="minorHAnsi"/>
          <w:lang w:val="en-GB"/>
        </w:rPr>
        <w:tab/>
        <w:t>To illustrate the parallel with replies, the answer is included below:</w:t>
      </w:r>
    </w:p>
    <w:p w14:paraId="589A9D98" w14:textId="4CF8C99D" w:rsidR="00F813C3" w:rsidRPr="000D268C" w:rsidRDefault="00F813C3" w:rsidP="002C54BF">
      <w:pPr>
        <w:jc w:val="both"/>
        <w:rPr>
          <w:rFonts w:cstheme="minorHAnsi"/>
          <w:lang w:val="en-GB"/>
        </w:rPr>
      </w:pPr>
      <w:r w:rsidRPr="000D268C">
        <w:rPr>
          <w:rFonts w:cstheme="minorHAnsi"/>
          <w:noProof/>
          <w:lang w:val="en-GB"/>
        </w:rPr>
        <w:lastRenderedPageBreak/>
        <w:drawing>
          <wp:inline distT="0" distB="0" distL="0" distR="0" wp14:anchorId="04B7851D" wp14:editId="0F7A6B67">
            <wp:extent cx="5756910" cy="2726055"/>
            <wp:effectExtent l="12700" t="12700" r="8890" b="171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56910" cy="2726055"/>
                    </a:xfrm>
                    <a:prstGeom prst="rect">
                      <a:avLst/>
                    </a:prstGeom>
                    <a:ln>
                      <a:solidFill>
                        <a:schemeClr val="bg1">
                          <a:lumMod val="85000"/>
                        </a:schemeClr>
                      </a:solidFill>
                    </a:ln>
                  </pic:spPr>
                </pic:pic>
              </a:graphicData>
            </a:graphic>
          </wp:inline>
        </w:drawing>
      </w:r>
    </w:p>
    <w:p w14:paraId="3E9CA39D" w14:textId="007B46EA" w:rsidR="00F813C3" w:rsidRPr="000D268C" w:rsidRDefault="00F813C3" w:rsidP="002C54BF">
      <w:pPr>
        <w:jc w:val="both"/>
        <w:rPr>
          <w:rFonts w:cstheme="minorHAnsi"/>
          <w:i/>
          <w:iCs/>
          <w:lang w:val="en-GB"/>
        </w:rPr>
      </w:pPr>
      <w:r w:rsidRPr="000D268C">
        <w:rPr>
          <w:rFonts w:cstheme="minorHAnsi"/>
          <w:i/>
          <w:iCs/>
          <w:lang w:val="en-GB"/>
        </w:rPr>
        <w:t xml:space="preserve">Source: </w:t>
      </w:r>
      <w:r w:rsidRPr="000D268C">
        <w:rPr>
          <w:rFonts w:cstheme="minorHAnsi"/>
          <w:i/>
          <w:iCs/>
          <w:lang w:val="en-GB"/>
        </w:rPr>
        <w:fldChar w:fldCharType="begin"/>
      </w:r>
      <w:r w:rsidR="00C82021" w:rsidRPr="000D268C">
        <w:rPr>
          <w:rFonts w:cstheme="minorHAnsi"/>
          <w:i/>
          <w:iCs/>
          <w:lang w:val="en-GB"/>
        </w:rPr>
        <w:instrText xml:space="preserve"> ADDIN ZOTERO_ITEM CSL_CITATION {"citationID":"FYytnRaH","properties":{"formattedCitation":"(Nouy, 2015)","plainCitation":"(Nouy, 2015)","noteIndex":0},"citationItems":[{"id":6773,"uris":["http://zotero.org/users/1129714/items/KJJHDRE3"],"uri":["http://zotero.org/users/1129714/items/KJJHDRE3"],"itemData":{"id":6773,"type":"webpage","container-title":"ECB Banking Supervision","title":"Letter from Danièle Nouy, Chair of the Supervisory Board, to Mr Marias, Member of the European Parliament, on the supervision of Greek banks","URL":"https://www.bankingsupervision.europa.eu/ecb/pub/pdf/150407letter_marias.en.pdf","author":[{"family":"Nouy","given":"Danièle"}],"accessed":{"date-parts":[["2019",7,25]]},"issued":{"date-parts":[["2015",4,2]]}}}],"schema":"https://github.com/citation-style-language/schema/raw/master/csl-citation.json"} </w:instrText>
      </w:r>
      <w:r w:rsidRPr="000D268C">
        <w:rPr>
          <w:rFonts w:cstheme="minorHAnsi"/>
          <w:i/>
          <w:iCs/>
          <w:lang w:val="en-GB"/>
        </w:rPr>
        <w:fldChar w:fldCharType="separate"/>
      </w:r>
      <w:r w:rsidR="000A5639" w:rsidRPr="000D268C">
        <w:rPr>
          <w:rFonts w:cstheme="minorHAnsi"/>
          <w:i/>
          <w:iCs/>
          <w:noProof/>
          <w:lang w:val="en-GB"/>
        </w:rPr>
        <w:t>(Nouy, 2015)</w:t>
      </w:r>
      <w:r w:rsidRPr="000D268C">
        <w:rPr>
          <w:rFonts w:cstheme="minorHAnsi"/>
          <w:i/>
          <w:iCs/>
          <w:lang w:val="en-GB"/>
        </w:rPr>
        <w:fldChar w:fldCharType="end"/>
      </w:r>
    </w:p>
    <w:p w14:paraId="145C2DD7" w14:textId="77777777" w:rsidR="002C54BF" w:rsidRPr="000D268C" w:rsidRDefault="002C54BF" w:rsidP="002C54BF">
      <w:pPr>
        <w:jc w:val="both"/>
        <w:rPr>
          <w:rFonts w:cstheme="minorHAnsi"/>
          <w:i/>
          <w:iCs/>
          <w:lang w:val="en-GB"/>
        </w:rPr>
      </w:pPr>
    </w:p>
    <w:p w14:paraId="48EC930E" w14:textId="6F91F713" w:rsidR="00F813C3" w:rsidRPr="000D268C" w:rsidRDefault="00F813C3" w:rsidP="002C54BF">
      <w:pPr>
        <w:spacing w:line="480" w:lineRule="auto"/>
        <w:jc w:val="both"/>
        <w:rPr>
          <w:rFonts w:cstheme="minorHAnsi"/>
          <w:lang w:val="en-GB"/>
        </w:rPr>
      </w:pPr>
      <w:r w:rsidRPr="000D268C">
        <w:rPr>
          <w:rFonts w:cstheme="minorHAnsi"/>
          <w:lang w:val="en-GB"/>
        </w:rPr>
        <w:t xml:space="preserve">The reply of the Chair of the Supervisory Board </w:t>
      </w:r>
      <w:proofErr w:type="spellStart"/>
      <w:r w:rsidRPr="000D268C">
        <w:rPr>
          <w:rFonts w:cstheme="minorHAnsi"/>
          <w:lang w:val="en-GB"/>
        </w:rPr>
        <w:t>Danièle</w:t>
      </w:r>
      <w:proofErr w:type="spellEnd"/>
      <w:r w:rsidRPr="000D268C">
        <w:rPr>
          <w:rFonts w:cstheme="minorHAnsi"/>
          <w:lang w:val="en-GB"/>
        </w:rPr>
        <w:t xml:space="preserve"> </w:t>
      </w:r>
      <w:proofErr w:type="spellStart"/>
      <w:r w:rsidRPr="000D268C">
        <w:rPr>
          <w:rFonts w:cstheme="minorHAnsi"/>
          <w:lang w:val="en-GB"/>
        </w:rPr>
        <w:t>Nouy</w:t>
      </w:r>
      <w:proofErr w:type="spellEnd"/>
      <w:r w:rsidRPr="000D268C">
        <w:rPr>
          <w:rFonts w:cstheme="minorHAnsi"/>
          <w:lang w:val="en-GB"/>
        </w:rPr>
        <w:t xml:space="preserve"> is short. The first question, seeking to confirm a fact, is not answered on grounds of confidentiality</w:t>
      </w:r>
      <w:proofErr w:type="gramStart"/>
      <w:r w:rsidR="00991D04" w:rsidRPr="000D268C">
        <w:rPr>
          <w:rFonts w:cstheme="minorHAnsi"/>
          <w:lang w:val="en-GB"/>
        </w:rPr>
        <w:t>—</w:t>
      </w:r>
      <w:r w:rsidR="00355E94" w:rsidRPr="000D268C">
        <w:rPr>
          <w:rFonts w:cstheme="minorHAnsi"/>
          <w:lang w:val="en-GB"/>
        </w:rPr>
        <w:t>‘</w:t>
      </w:r>
      <w:proofErr w:type="spellStart"/>
      <w:proofErr w:type="gramEnd"/>
      <w:r w:rsidRPr="000D268C">
        <w:rPr>
          <w:rFonts w:cstheme="minorHAnsi"/>
          <w:lang w:val="en-GB"/>
        </w:rPr>
        <w:t>Response_Non-reply_A</w:t>
      </w:r>
      <w:proofErr w:type="spellEnd"/>
      <w:r w:rsidRPr="000D268C">
        <w:rPr>
          <w:rFonts w:cstheme="minorHAnsi"/>
          <w:lang w:val="en-GB"/>
        </w:rPr>
        <w:t>. Invoke secrecy (no answer).</w:t>
      </w:r>
      <w:r w:rsidR="00355E94" w:rsidRPr="000D268C">
        <w:rPr>
          <w:rFonts w:cstheme="minorHAnsi"/>
          <w:lang w:val="en-GB"/>
        </w:rPr>
        <w:t>’</w:t>
      </w:r>
      <w:r w:rsidRPr="000D268C">
        <w:rPr>
          <w:rFonts w:cstheme="minorHAnsi"/>
          <w:lang w:val="en-GB"/>
        </w:rPr>
        <w:t xml:space="preserve"> The second question gets a generic response, explaining that the ECB treats all banks equally, which is why it was assigned the code </w:t>
      </w:r>
      <w:r w:rsidR="00355E94" w:rsidRPr="000D268C">
        <w:rPr>
          <w:rFonts w:cstheme="minorHAnsi"/>
          <w:lang w:val="en-GB"/>
        </w:rPr>
        <w:t>‘</w:t>
      </w:r>
      <w:proofErr w:type="spellStart"/>
      <w:r w:rsidRPr="000D268C">
        <w:rPr>
          <w:rFonts w:cstheme="minorHAnsi"/>
          <w:lang w:val="en-GB"/>
        </w:rPr>
        <w:t>Response_Intermediate_B_Invoke</w:t>
      </w:r>
      <w:proofErr w:type="spellEnd"/>
      <w:r w:rsidRPr="000D268C">
        <w:rPr>
          <w:rFonts w:cstheme="minorHAnsi"/>
          <w:lang w:val="en-GB"/>
        </w:rPr>
        <w:t xml:space="preserve"> secrecy (general answer).</w:t>
      </w:r>
      <w:r w:rsidR="00355E94" w:rsidRPr="000D268C">
        <w:rPr>
          <w:rFonts w:cstheme="minorHAnsi"/>
          <w:lang w:val="en-GB"/>
        </w:rPr>
        <w:t>’</w:t>
      </w:r>
      <w:r w:rsidRPr="000D268C">
        <w:rPr>
          <w:rFonts w:cstheme="minorHAnsi"/>
          <w:lang w:val="en-GB"/>
        </w:rPr>
        <w:t xml:space="preserve"> In addition, the replies have corresponding codes for Addressees, Claimants, and Issues. Finally, the document includes the standard identifiers (Source, Year).</w:t>
      </w:r>
    </w:p>
    <w:p w14:paraId="36D25475" w14:textId="77777777" w:rsidR="00F813C3" w:rsidRPr="000D268C" w:rsidRDefault="00F813C3" w:rsidP="002C54BF">
      <w:pPr>
        <w:pStyle w:val="Heading3"/>
        <w:spacing w:line="480" w:lineRule="auto"/>
        <w:rPr>
          <w:rFonts w:asciiTheme="minorHAnsi" w:hAnsiTheme="minorHAnsi" w:cstheme="minorHAnsi"/>
          <w:color w:val="auto"/>
          <w:lang w:val="en-GB"/>
        </w:rPr>
      </w:pPr>
      <w:bookmarkStart w:id="18" w:name="_Toc45885411"/>
      <w:r w:rsidRPr="000D268C">
        <w:rPr>
          <w:rFonts w:asciiTheme="minorHAnsi" w:hAnsiTheme="minorHAnsi" w:cstheme="minorHAnsi"/>
          <w:color w:val="auto"/>
          <w:lang w:val="en-GB"/>
        </w:rPr>
        <w:t>Example 3 – hearing</w:t>
      </w:r>
      <w:bookmarkEnd w:id="18"/>
      <w:r w:rsidRPr="000D268C">
        <w:rPr>
          <w:rFonts w:asciiTheme="minorHAnsi" w:hAnsiTheme="minorHAnsi" w:cstheme="minorHAnsi"/>
          <w:color w:val="auto"/>
          <w:lang w:val="en-GB"/>
        </w:rPr>
        <w:t xml:space="preserve"> </w:t>
      </w:r>
    </w:p>
    <w:p w14:paraId="3DFED436" w14:textId="1B5F4330" w:rsidR="00F813C3" w:rsidRPr="000D268C" w:rsidRDefault="00F813C3" w:rsidP="002C54BF">
      <w:pPr>
        <w:jc w:val="both"/>
        <w:rPr>
          <w:rFonts w:cstheme="minorHAnsi"/>
          <w:lang w:val="en-GB"/>
        </w:rPr>
      </w:pPr>
      <w:r w:rsidRPr="000D268C">
        <w:rPr>
          <w:rFonts w:cstheme="minorHAnsi"/>
          <w:noProof/>
          <w:lang w:val="en-GB"/>
        </w:rPr>
        <w:drawing>
          <wp:inline distT="0" distB="0" distL="0" distR="0" wp14:anchorId="6676F4EE" wp14:editId="7C9F363C">
            <wp:extent cx="5756910" cy="830580"/>
            <wp:effectExtent l="12700" t="12700" r="889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56910" cy="830580"/>
                    </a:xfrm>
                    <a:prstGeom prst="rect">
                      <a:avLst/>
                    </a:prstGeom>
                    <a:ln>
                      <a:solidFill>
                        <a:schemeClr val="bg1">
                          <a:lumMod val="75000"/>
                        </a:schemeClr>
                      </a:solidFill>
                    </a:ln>
                  </pic:spPr>
                </pic:pic>
              </a:graphicData>
            </a:graphic>
          </wp:inline>
        </w:drawing>
      </w:r>
    </w:p>
    <w:p w14:paraId="741FEEEF" w14:textId="4F6BF582" w:rsidR="00F813C3" w:rsidRPr="000D268C" w:rsidRDefault="00F813C3" w:rsidP="002C54BF">
      <w:pPr>
        <w:jc w:val="both"/>
        <w:rPr>
          <w:rFonts w:cstheme="minorHAnsi"/>
          <w:lang w:val="en-GB"/>
        </w:rPr>
      </w:pPr>
      <w:r w:rsidRPr="000D268C">
        <w:rPr>
          <w:rFonts w:cstheme="minorHAnsi"/>
          <w:noProof/>
          <w:lang w:val="en-GB"/>
        </w:rPr>
        <w:drawing>
          <wp:inline distT="0" distB="0" distL="0" distR="0" wp14:anchorId="02F08B98" wp14:editId="6127F9FE">
            <wp:extent cx="5756910" cy="1552575"/>
            <wp:effectExtent l="12700" t="12700" r="889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56910" cy="1552575"/>
                    </a:xfrm>
                    <a:prstGeom prst="rect">
                      <a:avLst/>
                    </a:prstGeom>
                    <a:ln>
                      <a:solidFill>
                        <a:schemeClr val="bg1">
                          <a:lumMod val="75000"/>
                        </a:schemeClr>
                      </a:solidFill>
                    </a:ln>
                  </pic:spPr>
                </pic:pic>
              </a:graphicData>
            </a:graphic>
          </wp:inline>
        </w:drawing>
      </w:r>
    </w:p>
    <w:p w14:paraId="081E466E" w14:textId="23A99B89" w:rsidR="00F813C3" w:rsidRPr="000D268C" w:rsidRDefault="00F813C3" w:rsidP="002C54BF">
      <w:pPr>
        <w:jc w:val="both"/>
        <w:rPr>
          <w:rFonts w:cstheme="minorHAnsi"/>
          <w:i/>
          <w:iCs/>
          <w:lang w:val="en-GB"/>
        </w:rPr>
      </w:pPr>
      <w:r w:rsidRPr="000D268C">
        <w:rPr>
          <w:rFonts w:cstheme="minorHAnsi"/>
          <w:i/>
          <w:iCs/>
          <w:lang w:val="en-GB"/>
        </w:rPr>
        <w:t xml:space="preserve">Source: </w:t>
      </w:r>
      <w:r w:rsidRPr="000D268C">
        <w:rPr>
          <w:rFonts w:cstheme="minorHAnsi"/>
          <w:i/>
          <w:iCs/>
          <w:lang w:val="en-GB"/>
        </w:rPr>
        <w:fldChar w:fldCharType="begin"/>
      </w:r>
      <w:r w:rsidR="00C82021" w:rsidRPr="000D268C">
        <w:rPr>
          <w:rFonts w:cstheme="minorHAnsi"/>
          <w:i/>
          <w:iCs/>
          <w:lang w:val="en-GB"/>
        </w:rPr>
        <w:instrText xml:space="preserve"> ADDIN ZOTERO_ITEM CSL_CITATION {"citationID":"9jf6LMnR","properties":{"formattedCitation":"(ECON Committee, 2017)","plainCitation":"(ECON Committee, 2017)","noteIndex":0},"citationItems":[{"id":6422,"uris":["http://zotero.org/users/1129714/items/QCVGPIRM"],"uri":["http://zotero.org/users/1129714/items/QCVGPIRM"],"itemData":{"id":6422,"type":"webpage","abstract":"ECON: Video recording of the meeting - 19-06-2017 (watch, edit, download, …)","container-title":"EPTV | European Parliament","language":"en","title":"Public Hearing with Danièle Nouy, Chair of the Supervisory Board of the ECB","URL":"https://www.europarl.europa.eu/ep-live/en/committees/video?event=20171109-0900-COMMITTEE-ECON","author":[{"family":"ECON Committee","given":""}],"accessed":{"date-parts":[["2019",5,13]]},"issued":{"date-parts":[["2017",11,9]]}}}],"schema":"https://github.com/citation-style-language/schema/raw/master/csl-citation.json"} </w:instrText>
      </w:r>
      <w:r w:rsidRPr="000D268C">
        <w:rPr>
          <w:rFonts w:cstheme="minorHAnsi"/>
          <w:i/>
          <w:iCs/>
          <w:lang w:val="en-GB"/>
        </w:rPr>
        <w:fldChar w:fldCharType="separate"/>
      </w:r>
      <w:r w:rsidR="000A5639" w:rsidRPr="000D268C">
        <w:rPr>
          <w:rFonts w:cstheme="minorHAnsi"/>
          <w:i/>
          <w:iCs/>
          <w:noProof/>
          <w:lang w:val="en-GB"/>
        </w:rPr>
        <w:t>(ECON Committee, 2017)</w:t>
      </w:r>
      <w:r w:rsidRPr="000D268C">
        <w:rPr>
          <w:rFonts w:cstheme="minorHAnsi"/>
          <w:i/>
          <w:iCs/>
          <w:lang w:val="en-GB"/>
        </w:rPr>
        <w:fldChar w:fldCharType="end"/>
      </w:r>
    </w:p>
    <w:p w14:paraId="0C80AA54" w14:textId="77777777" w:rsidR="00F813C3" w:rsidRPr="000D268C" w:rsidRDefault="00F813C3" w:rsidP="002C54BF">
      <w:pPr>
        <w:spacing w:line="480" w:lineRule="auto"/>
        <w:jc w:val="both"/>
        <w:rPr>
          <w:rFonts w:cstheme="minorHAnsi"/>
          <w:lang w:val="en-GB"/>
        </w:rPr>
      </w:pPr>
    </w:p>
    <w:p w14:paraId="3F130D1E" w14:textId="4340559A" w:rsidR="00F813C3" w:rsidRPr="000D268C" w:rsidRDefault="00F813C3" w:rsidP="002C54BF">
      <w:pPr>
        <w:spacing w:line="480" w:lineRule="auto"/>
        <w:jc w:val="both"/>
        <w:rPr>
          <w:rFonts w:cstheme="minorHAnsi"/>
          <w:lang w:val="en-GB"/>
        </w:rPr>
      </w:pPr>
      <w:r w:rsidRPr="000D268C">
        <w:rPr>
          <w:rFonts w:cstheme="minorHAnsi"/>
          <w:lang w:val="en-GB"/>
        </w:rPr>
        <w:lastRenderedPageBreak/>
        <w:t xml:space="preserve">This is a short excerpt from the public hearing with the Chair of the Supervisory Board which took place on 9 November 2017 at the ECON Committee. Polish MEP Dariusz Rosati (from the European People’s Party) is following up on the remarks of the committee chairman to contest a recent ECB policy, namely the draft Addendum to the ECB Guidance on non-performing loans (NPLs), as overstepping the institution’s mandate. Although there is no interrogative sentence in the paragraph, the implication is clear: the MEP is asking for a change in the Addendum because it would impose additional obligations on banks. The reply of the Chair of the Supervisory Board </w:t>
      </w:r>
      <w:proofErr w:type="spellStart"/>
      <w:r w:rsidRPr="000D268C">
        <w:rPr>
          <w:rFonts w:cstheme="minorHAnsi"/>
          <w:lang w:val="en-GB"/>
        </w:rPr>
        <w:t>Danièle</w:t>
      </w:r>
      <w:proofErr w:type="spellEnd"/>
      <w:r w:rsidRPr="000D268C">
        <w:rPr>
          <w:rFonts w:cstheme="minorHAnsi"/>
          <w:lang w:val="en-GB"/>
        </w:rPr>
        <w:t xml:space="preserve"> </w:t>
      </w:r>
      <w:proofErr w:type="spellStart"/>
      <w:r w:rsidRPr="000D268C">
        <w:rPr>
          <w:rFonts w:cstheme="minorHAnsi"/>
          <w:lang w:val="en-GB"/>
        </w:rPr>
        <w:t>Nouy</w:t>
      </w:r>
      <w:proofErr w:type="spellEnd"/>
      <w:r w:rsidRPr="000D268C">
        <w:rPr>
          <w:rFonts w:cstheme="minorHAnsi"/>
          <w:lang w:val="en-GB"/>
        </w:rPr>
        <w:t xml:space="preserve"> is to acknowledge that changes will have to be made to the addendum in the future by </w:t>
      </w:r>
      <w:r w:rsidR="00355E94" w:rsidRPr="000D268C">
        <w:rPr>
          <w:rFonts w:cstheme="minorHAnsi"/>
          <w:lang w:val="en-GB"/>
        </w:rPr>
        <w:t>‘</w:t>
      </w:r>
      <w:r w:rsidRPr="000D268C">
        <w:rPr>
          <w:rFonts w:cstheme="minorHAnsi"/>
          <w:lang w:val="en-GB"/>
        </w:rPr>
        <w:t>seriously taking into account all the good legal advice</w:t>
      </w:r>
      <w:r w:rsidR="00355E94" w:rsidRPr="000D268C">
        <w:rPr>
          <w:rFonts w:cstheme="minorHAnsi"/>
          <w:lang w:val="en-GB"/>
        </w:rPr>
        <w:t>’</w:t>
      </w:r>
      <w:r w:rsidRPr="000D268C">
        <w:rPr>
          <w:rFonts w:cstheme="minorHAnsi"/>
          <w:lang w:val="en-GB"/>
        </w:rPr>
        <w:t xml:space="preserve"> received. Since this is not a definitive acceptance of the specific request made by the MEP, the answer was coded as </w:t>
      </w:r>
      <w:r w:rsidR="00355E94" w:rsidRPr="000D268C">
        <w:rPr>
          <w:rFonts w:cstheme="minorHAnsi"/>
          <w:lang w:val="en-GB"/>
        </w:rPr>
        <w:t>‘</w:t>
      </w:r>
      <w:proofErr w:type="spellStart"/>
      <w:r w:rsidRPr="000D268C">
        <w:rPr>
          <w:rFonts w:cstheme="minorHAnsi"/>
          <w:lang w:val="en-GB"/>
        </w:rPr>
        <w:t>Response_Intermediate_C</w:t>
      </w:r>
      <w:proofErr w:type="spellEnd"/>
      <w:r w:rsidRPr="000D268C">
        <w:rPr>
          <w:rFonts w:cstheme="minorHAnsi"/>
          <w:lang w:val="en-GB"/>
        </w:rPr>
        <w:t>. Promise to change decisions/conduct in the future.</w:t>
      </w:r>
      <w:r w:rsidR="00355E94" w:rsidRPr="000D268C">
        <w:rPr>
          <w:rFonts w:cstheme="minorHAnsi"/>
          <w:lang w:val="en-GB"/>
        </w:rPr>
        <w:t>’</w:t>
      </w:r>
      <w:r w:rsidRPr="000D268C">
        <w:rPr>
          <w:rFonts w:cstheme="minorHAnsi"/>
          <w:lang w:val="en-GB"/>
        </w:rPr>
        <w:t xml:space="preserve"> The issue under consideration is NPLs, and the claimants and the addressees were categorised accordingly.</w:t>
      </w:r>
    </w:p>
    <w:p w14:paraId="58EAFF01" w14:textId="77777777" w:rsidR="00F813C3" w:rsidRPr="000D268C" w:rsidRDefault="00F813C3" w:rsidP="002C54BF">
      <w:pPr>
        <w:spacing w:line="480" w:lineRule="auto"/>
        <w:jc w:val="both"/>
        <w:rPr>
          <w:rFonts w:cstheme="minorHAnsi"/>
          <w:lang w:val="en-GB"/>
        </w:rPr>
      </w:pPr>
    </w:p>
    <w:p w14:paraId="4A45B1AA" w14:textId="2ED36149" w:rsidR="00F813C3" w:rsidRPr="000D268C" w:rsidRDefault="004E1FFC" w:rsidP="002C54BF">
      <w:pPr>
        <w:pStyle w:val="Heading1"/>
        <w:spacing w:line="480" w:lineRule="auto"/>
        <w:rPr>
          <w:rFonts w:asciiTheme="minorHAnsi" w:hAnsiTheme="minorHAnsi" w:cstheme="minorHAnsi"/>
          <w:b/>
          <w:bCs/>
          <w:color w:val="auto"/>
          <w:sz w:val="28"/>
          <w:szCs w:val="28"/>
          <w:lang w:val="en-GB"/>
        </w:rPr>
      </w:pPr>
      <w:bookmarkStart w:id="19" w:name="_Toc45885412"/>
      <w:r w:rsidRPr="000D268C">
        <w:rPr>
          <w:rFonts w:asciiTheme="minorHAnsi" w:hAnsiTheme="minorHAnsi" w:cstheme="minorHAnsi"/>
          <w:b/>
          <w:bCs/>
          <w:color w:val="auto"/>
          <w:sz w:val="28"/>
          <w:szCs w:val="28"/>
          <w:lang w:val="en-GB"/>
        </w:rPr>
        <w:t>IV</w:t>
      </w:r>
      <w:r w:rsidR="0041418F" w:rsidRPr="000D268C">
        <w:rPr>
          <w:rFonts w:asciiTheme="minorHAnsi" w:hAnsiTheme="minorHAnsi" w:cstheme="minorHAnsi"/>
          <w:b/>
          <w:bCs/>
          <w:color w:val="auto"/>
          <w:sz w:val="28"/>
          <w:szCs w:val="28"/>
          <w:lang w:val="en-GB"/>
        </w:rPr>
        <w:t>.</w:t>
      </w:r>
      <w:r w:rsidRPr="000D268C">
        <w:rPr>
          <w:rFonts w:asciiTheme="minorHAnsi" w:hAnsiTheme="minorHAnsi" w:cstheme="minorHAnsi"/>
          <w:b/>
          <w:bCs/>
          <w:color w:val="auto"/>
          <w:sz w:val="28"/>
          <w:szCs w:val="28"/>
          <w:lang w:val="en-GB"/>
        </w:rPr>
        <w:t xml:space="preserve"> </w:t>
      </w:r>
      <w:r w:rsidR="00F813C3" w:rsidRPr="000D268C">
        <w:rPr>
          <w:rFonts w:asciiTheme="minorHAnsi" w:hAnsiTheme="minorHAnsi" w:cstheme="minorHAnsi"/>
          <w:b/>
          <w:bCs/>
          <w:color w:val="auto"/>
          <w:sz w:val="28"/>
          <w:szCs w:val="28"/>
          <w:lang w:val="en-GB"/>
        </w:rPr>
        <w:t>Intercoder Reliability Check</w:t>
      </w:r>
      <w:bookmarkEnd w:id="19"/>
    </w:p>
    <w:p w14:paraId="6EBD9A9A" w14:textId="564745B0" w:rsidR="00F813C3" w:rsidRPr="000D268C" w:rsidRDefault="00F813C3" w:rsidP="002C54BF">
      <w:pPr>
        <w:spacing w:line="480" w:lineRule="auto"/>
        <w:jc w:val="both"/>
        <w:rPr>
          <w:rFonts w:cstheme="minorHAnsi"/>
          <w:lang w:val="en-GB"/>
        </w:rPr>
      </w:pPr>
      <w:r w:rsidRPr="000D268C">
        <w:rPr>
          <w:rFonts w:cstheme="minorHAnsi"/>
          <w:lang w:val="en-GB"/>
        </w:rPr>
        <w:t xml:space="preserve">In qualitative content analysis, reliability is essential to ensure the trustworthiness of data, namely if different researchers in different environments would understand and code segments of text in a similar way </w:t>
      </w:r>
      <w:r w:rsidRPr="000D268C">
        <w:rPr>
          <w:rFonts w:cstheme="minorHAnsi"/>
          <w:lang w:val="en-GB"/>
        </w:rPr>
        <w:fldChar w:fldCharType="begin"/>
      </w:r>
      <w:r w:rsidR="00C82021" w:rsidRPr="000D268C">
        <w:rPr>
          <w:rFonts w:cstheme="minorHAnsi"/>
          <w:lang w:val="en-GB"/>
        </w:rPr>
        <w:instrText xml:space="preserve"> ADDIN ZOTERO_ITEM CSL_CITATION {"citationID":"765BcMP2","properties":{"formattedCitation":"(Lombard et al., 2002)","plainCitation":"(Lombard et al., 2002)","noteIndex":0},"citationItems":[{"id":6782,"uris":["http://zotero.org/users/1129714/items/6TK7WQBM"],"uri":["http://zotero.org/users/1129714/items/6TK7WQBM"],"itemData":{"id":6782,"type":"article-journal","container-title":"Human Communication Research","DOI":"10.1111/j.1468-2958.2002.tb00826.x","ISSN":"0360-3989, 1468-2958","issue":"4","journalAbbreviation":"Human Comm Res","language":"en","page":"587-604","source":"DOI.org (Crossref)","title":"Content Analysis in Mass Communication: Assessment and Reporting of Intercoder Reliability","title-short":"Content Analysis in Mass Communication","volume":"28","author":[{"family":"Lombard","given":"Matthew"},{"family":"Snyder-Duch","given":"Jennifer"},{"family":"Bracken","given":"Cheryl Campanella"}],"issued":{"date-parts":[["2002",10]]}}}],"schema":"https://github.com/citation-style-language/schema/raw/master/csl-citation.json"} </w:instrText>
      </w:r>
      <w:r w:rsidRPr="000D268C">
        <w:rPr>
          <w:rFonts w:cstheme="minorHAnsi"/>
          <w:lang w:val="en-GB"/>
        </w:rPr>
        <w:fldChar w:fldCharType="separate"/>
      </w:r>
      <w:r w:rsidR="000A5639" w:rsidRPr="000D268C">
        <w:rPr>
          <w:rFonts w:cstheme="minorHAnsi"/>
          <w:noProof/>
          <w:lang w:val="en-GB"/>
        </w:rPr>
        <w:t>(Lombard et al., 2002)</w:t>
      </w:r>
      <w:r w:rsidRPr="000D268C">
        <w:rPr>
          <w:rFonts w:cstheme="minorHAnsi"/>
          <w:lang w:val="en-GB"/>
        </w:rPr>
        <w:fldChar w:fldCharType="end"/>
      </w:r>
      <w:r w:rsidRPr="000D268C">
        <w:rPr>
          <w:rFonts w:cstheme="minorHAnsi"/>
          <w:lang w:val="en-GB"/>
        </w:rPr>
        <w:t xml:space="preserve">. For the purposes of replicability, two or more independent coders need to systematically agree on the interpretation of textual data, in line with coding instructions clearly communicated in advance  </w:t>
      </w:r>
      <w:r w:rsidRPr="000D268C">
        <w:rPr>
          <w:rFonts w:cstheme="minorHAnsi"/>
          <w:lang w:val="en-GB"/>
        </w:rPr>
        <w:fldChar w:fldCharType="begin"/>
      </w:r>
      <w:r w:rsidR="00C82021" w:rsidRPr="000D268C">
        <w:rPr>
          <w:rFonts w:cstheme="minorHAnsi"/>
          <w:lang w:val="en-GB"/>
        </w:rPr>
        <w:instrText xml:space="preserve"> ADDIN ZOTERO_ITEM CSL_CITATION {"citationID":"I4zx7oqX","properties":{"formattedCitation":"(Krippendorff, 2012, p. 212)","plainCitation":"(Krippendorff, 2012, p. 212)","noteIndex":0},"citationItems":[{"id":6412,"uris":["http://zotero.org/users/1129714/items/VTVWP5JA"],"uri":["http://zotero.org/users/1129714/items/VTVWP5JA"],"itemData":{"id":6412,"type":"book","abstract":"Since the publication of the first edition of Content Analysis: An Introduction to Its Methodology, the textual fabric in which contemporary society functions has undergone a radical transformation: specifically, the ongoing information r","edition":"2nd","event-place":"Los Angeles, CA and London","ISBN":"978-1-4129-8315-0","language":"Englisch","number-of-pages":"456","publisher":"Sage Publications, Inc","publisher-place":"Los Angeles, CA and London","source":"Amazon","title":"Content Analysis: An Introduction To Its Methodology","title-short":"Content Analysis","author":[{"family":"Krippendorff","given":"Klaus"}],"issued":{"date-parts":[["2012",4,12]]}},"locator":"212"}],"schema":"https://github.com/citation-style-language/schema/raw/master/csl-citation.json"} </w:instrText>
      </w:r>
      <w:r w:rsidRPr="000D268C">
        <w:rPr>
          <w:rFonts w:cstheme="minorHAnsi"/>
          <w:lang w:val="en-GB"/>
        </w:rPr>
        <w:fldChar w:fldCharType="separate"/>
      </w:r>
      <w:r w:rsidR="000A5639" w:rsidRPr="000D268C">
        <w:rPr>
          <w:rFonts w:cstheme="minorHAnsi"/>
          <w:noProof/>
          <w:lang w:val="en-GB"/>
        </w:rPr>
        <w:t>(Krippendorff, 2012, p. 212)</w:t>
      </w:r>
      <w:r w:rsidRPr="000D268C">
        <w:rPr>
          <w:rFonts w:cstheme="minorHAnsi"/>
          <w:lang w:val="en-GB"/>
        </w:rPr>
        <w:fldChar w:fldCharType="end"/>
      </w:r>
      <w:r w:rsidRPr="000D268C">
        <w:rPr>
          <w:rFonts w:cstheme="minorHAnsi"/>
          <w:lang w:val="en-GB"/>
        </w:rPr>
        <w:t xml:space="preserve">. For the framework discussed in this article, reliability </w:t>
      </w:r>
      <w:r w:rsidR="00991D04" w:rsidRPr="000D268C">
        <w:rPr>
          <w:rFonts w:cstheme="minorHAnsi"/>
          <w:lang w:val="en-GB"/>
        </w:rPr>
        <w:t>requires</w:t>
      </w:r>
      <w:r w:rsidRPr="000D268C">
        <w:rPr>
          <w:rFonts w:cstheme="minorHAnsi"/>
          <w:lang w:val="en-GB"/>
        </w:rPr>
        <w:t xml:space="preserve"> at least two people applying the codebook of the </w:t>
      </w:r>
      <w:r w:rsidR="00720ABA" w:rsidRPr="000D268C">
        <w:rPr>
          <w:rFonts w:cstheme="minorHAnsi"/>
          <w:lang w:val="en-GB"/>
        </w:rPr>
        <w:t>Q&amp;A</w:t>
      </w:r>
      <w:r w:rsidRPr="000D268C">
        <w:rPr>
          <w:rFonts w:cstheme="minorHAnsi"/>
          <w:lang w:val="en-GB"/>
        </w:rPr>
        <w:t xml:space="preserve"> approach to </w:t>
      </w:r>
      <w:r w:rsidR="00720ABA" w:rsidRPr="000D268C">
        <w:rPr>
          <w:rFonts w:cstheme="minorHAnsi"/>
          <w:lang w:val="en-GB"/>
        </w:rPr>
        <w:t>legislative oversight</w:t>
      </w:r>
      <w:r w:rsidRPr="000D268C">
        <w:rPr>
          <w:rFonts w:cstheme="minorHAnsi"/>
          <w:lang w:val="en-GB"/>
        </w:rPr>
        <w:t xml:space="preserve"> and being able to state with confidence that there is no substantial disagreement between coders regarding the results.</w:t>
      </w:r>
    </w:p>
    <w:p w14:paraId="7AE0E999" w14:textId="4DA97D60" w:rsidR="00F813C3" w:rsidRPr="000D268C" w:rsidRDefault="00F813C3" w:rsidP="002C54BF">
      <w:pPr>
        <w:spacing w:line="480" w:lineRule="auto"/>
        <w:jc w:val="both"/>
        <w:rPr>
          <w:rFonts w:cstheme="minorHAnsi"/>
          <w:lang w:val="en-GB"/>
        </w:rPr>
      </w:pPr>
      <w:r w:rsidRPr="000D268C">
        <w:rPr>
          <w:rFonts w:cstheme="minorHAnsi"/>
          <w:lang w:val="en-GB"/>
        </w:rPr>
        <w:lastRenderedPageBreak/>
        <w:tab/>
        <w:t>To perform the intercoder reliability check, a second coder was assigned a sample of documents and given the codebook presented above. The second coder is a research associate with a similar disciplinary background as the first coder, but without any special</w:t>
      </w:r>
      <w:r w:rsidR="00063870" w:rsidRPr="000D268C">
        <w:rPr>
          <w:rFonts w:cstheme="minorHAnsi"/>
          <w:lang w:val="en-GB"/>
        </w:rPr>
        <w:t>ise</w:t>
      </w:r>
      <w:r w:rsidRPr="000D268C">
        <w:rPr>
          <w:rFonts w:cstheme="minorHAnsi"/>
          <w:lang w:val="en-GB"/>
        </w:rPr>
        <w:t xml:space="preserve">d knowledge of the EU or banking supervision. The codebook and the use of the software </w:t>
      </w:r>
      <w:proofErr w:type="spellStart"/>
      <w:r w:rsidRPr="000D268C">
        <w:rPr>
          <w:rFonts w:cstheme="minorHAnsi"/>
          <w:lang w:val="en-GB"/>
        </w:rPr>
        <w:t>ATLAS.ti</w:t>
      </w:r>
      <w:proofErr w:type="spellEnd"/>
      <w:r w:rsidRPr="000D268C">
        <w:rPr>
          <w:rFonts w:cstheme="minorHAnsi"/>
          <w:lang w:val="en-GB"/>
        </w:rPr>
        <w:t xml:space="preserve"> were thoroughly explained before the second coder started the work. A sample of 52 documents was extracted from the total 296 documents uploaded to </w:t>
      </w:r>
      <w:proofErr w:type="spellStart"/>
      <w:r w:rsidRPr="000D268C">
        <w:rPr>
          <w:rFonts w:cstheme="minorHAnsi"/>
          <w:lang w:val="en-GB"/>
        </w:rPr>
        <w:t>ATLAS.ti</w:t>
      </w:r>
      <w:proofErr w:type="spellEnd"/>
      <w:r w:rsidRPr="000D268C">
        <w:rPr>
          <w:rFonts w:cstheme="minorHAnsi"/>
          <w:lang w:val="en-GB"/>
        </w:rPr>
        <w:t xml:space="preserve">. 50 documents consisted of written letters, while 2 documents were transcripts of hearings. The letters were randomly selected based on the order of documents </w:t>
      </w:r>
      <w:r w:rsidR="00991D04" w:rsidRPr="000D268C">
        <w:rPr>
          <w:rFonts w:cstheme="minorHAnsi"/>
          <w:lang w:val="en-GB"/>
        </w:rPr>
        <w:t>uploaded to</w:t>
      </w:r>
      <w:r w:rsidRPr="000D268C">
        <w:rPr>
          <w:rFonts w:cstheme="minorHAnsi"/>
          <w:lang w:val="en-GB"/>
        </w:rPr>
        <w:t xml:space="preserve"> </w:t>
      </w:r>
      <w:proofErr w:type="spellStart"/>
      <w:r w:rsidRPr="000D268C">
        <w:rPr>
          <w:rFonts w:cstheme="minorHAnsi"/>
          <w:lang w:val="en-GB"/>
        </w:rPr>
        <w:t>ATLAS.ti</w:t>
      </w:r>
      <w:proofErr w:type="spellEnd"/>
      <w:r w:rsidRPr="000D268C">
        <w:rPr>
          <w:rFonts w:cstheme="minorHAnsi"/>
          <w:lang w:val="en-GB"/>
        </w:rPr>
        <w:t>. Within the software, the order of letters is mostly chronological, with a few exceptions caused by the later addition of relevant material.</w:t>
      </w:r>
      <w:r w:rsidRPr="000D268C">
        <w:rPr>
          <w:rStyle w:val="FootnoteReference"/>
          <w:rFonts w:cstheme="minorHAnsi"/>
          <w:lang w:val="en-GB"/>
        </w:rPr>
        <w:footnoteReference w:id="3"/>
      </w:r>
      <w:r w:rsidRPr="000D268C">
        <w:rPr>
          <w:rFonts w:cstheme="minorHAnsi"/>
          <w:lang w:val="en-GB"/>
        </w:rPr>
        <w:t xml:space="preserve"> To allow the analysis of Q&amp;A, each letter selected was retrieved together with its corresponding question(s)/answer(s). In the case of hearings, stratified sampling was used, selecting one hearing on the annual report (2015) to cover the early period (when the ECB had just taken over banking supervision), and one ordinary hearing (2017) from the later years (when banking supervision at the ECB had already been institutional</w:t>
      </w:r>
      <w:r w:rsidR="00063870" w:rsidRPr="000D268C">
        <w:rPr>
          <w:rFonts w:cstheme="minorHAnsi"/>
          <w:lang w:val="en-GB"/>
        </w:rPr>
        <w:t>ise</w:t>
      </w:r>
      <w:r w:rsidRPr="000D268C">
        <w:rPr>
          <w:rFonts w:cstheme="minorHAnsi"/>
          <w:lang w:val="en-GB"/>
        </w:rPr>
        <w:t>d). Since the sample includes only a selection of the database (18,91% of the total), the second coder could not know if a question was asked before and thus constitutes a follow-up. To help the process, each document included a comment pointing to questions that had been asked before but were excluded from the sample.</w:t>
      </w:r>
    </w:p>
    <w:p w14:paraId="216E82E7" w14:textId="5BE05BBC" w:rsidR="00F813C3" w:rsidRPr="000D268C" w:rsidRDefault="00F813C3" w:rsidP="002C54BF">
      <w:pPr>
        <w:spacing w:line="480" w:lineRule="auto"/>
        <w:ind w:firstLine="720"/>
        <w:jc w:val="both"/>
        <w:rPr>
          <w:rFonts w:cstheme="minorHAnsi"/>
          <w:lang w:val="en-GB"/>
        </w:rPr>
      </w:pPr>
      <w:r w:rsidRPr="000D268C">
        <w:rPr>
          <w:rFonts w:cstheme="minorHAnsi"/>
          <w:lang w:val="en-GB"/>
        </w:rPr>
        <w:t xml:space="preserve">The latest version of the software </w:t>
      </w:r>
      <w:proofErr w:type="spellStart"/>
      <w:r w:rsidRPr="000D268C">
        <w:rPr>
          <w:rFonts w:cstheme="minorHAnsi"/>
          <w:lang w:val="en-GB"/>
        </w:rPr>
        <w:t>ATLAS.ti</w:t>
      </w:r>
      <w:proofErr w:type="spellEnd"/>
      <w:r w:rsidRPr="000D268C">
        <w:rPr>
          <w:rFonts w:cstheme="minorHAnsi"/>
          <w:lang w:val="en-GB"/>
        </w:rPr>
        <w:t xml:space="preserve"> includes its own intercoder reliability tool developed in cooperation with Klaus </w:t>
      </w:r>
      <w:proofErr w:type="spellStart"/>
      <w:r w:rsidRPr="000D268C">
        <w:rPr>
          <w:rFonts w:cstheme="minorHAnsi"/>
          <w:lang w:val="en-GB"/>
        </w:rPr>
        <w:t>Krippendorff</w:t>
      </w:r>
      <w:proofErr w:type="spellEnd"/>
      <w:r w:rsidRPr="000D268C">
        <w:rPr>
          <w:rFonts w:cstheme="minorHAnsi"/>
          <w:lang w:val="en-GB"/>
        </w:rPr>
        <w:t xml:space="preserve">, one of the leading experts in the field of intercoder reliability </w:t>
      </w:r>
      <w:r w:rsidRPr="000D268C">
        <w:rPr>
          <w:rFonts w:cstheme="minorHAnsi"/>
          <w:lang w:val="en-GB"/>
        </w:rPr>
        <w:fldChar w:fldCharType="begin"/>
      </w:r>
      <w:r w:rsidR="00C82021" w:rsidRPr="000D268C">
        <w:rPr>
          <w:rFonts w:cstheme="minorHAnsi"/>
          <w:lang w:val="en-GB"/>
        </w:rPr>
        <w:instrText xml:space="preserve"> ADDIN ZOTERO_ITEM CSL_CITATION {"citationID":"tcZlQYLM","properties":{"formattedCitation":"(Friese, 2019, p. 129)","plainCitation":"(Friese, 2019, p. 129)","noteIndex":0},"citationItems":[{"id":6986,"uris":["http://zotero.org/users/1129714/items/44V9C5L9"],"uri":["http://zotero.org/users/1129714/items/44V9C5L9"],"itemData":{"id":6986,"type":"article","language":"en","source":"Zotero","title":"ATLAS.ti 8 Mac - User Manual. Updated for program version 8.4","URL":"https://downloads.atlasti.com/docs/manual/manual_a8_mac_en.pdf?_ga=2.194419115.769246916.1567676169-2079576425.1564149724","author":[{"family":"Friese","given":"Susanne"}],"accessed":{"date-parts":[["2019",9,5]]},"issued":{"date-parts":[["2019"]]}},"locator":"129"}],"schema":"https://github.com/citation-style-language/schema/raw/master/csl-citation.json"} </w:instrText>
      </w:r>
      <w:r w:rsidRPr="000D268C">
        <w:rPr>
          <w:rFonts w:cstheme="minorHAnsi"/>
          <w:lang w:val="en-GB"/>
        </w:rPr>
        <w:fldChar w:fldCharType="separate"/>
      </w:r>
      <w:r w:rsidR="000A5639" w:rsidRPr="000D268C">
        <w:rPr>
          <w:rFonts w:cstheme="minorHAnsi"/>
          <w:noProof/>
          <w:lang w:val="en-GB"/>
        </w:rPr>
        <w:t>(Friese, 2019, p. 129)</w:t>
      </w:r>
      <w:r w:rsidRPr="000D268C">
        <w:rPr>
          <w:rFonts w:cstheme="minorHAnsi"/>
          <w:lang w:val="en-GB"/>
        </w:rPr>
        <w:fldChar w:fldCharType="end"/>
      </w:r>
      <w:r w:rsidRPr="000D268C">
        <w:rPr>
          <w:rFonts w:cstheme="minorHAnsi"/>
          <w:lang w:val="en-GB"/>
        </w:rPr>
        <w:t xml:space="preserve">. The software uses the term Inter-coder Agreement (ICA) rather than intercoder reliability, making a distinction between </w:t>
      </w:r>
      <w:r w:rsidR="00355E94" w:rsidRPr="000D268C">
        <w:rPr>
          <w:rFonts w:cstheme="minorHAnsi"/>
          <w:lang w:val="en-GB"/>
        </w:rPr>
        <w:t>‘</w:t>
      </w:r>
      <w:r w:rsidRPr="000D268C">
        <w:rPr>
          <w:rFonts w:cstheme="minorHAnsi"/>
          <w:lang w:val="en-GB"/>
        </w:rPr>
        <w:t>what we measure</w:t>
      </w:r>
      <w:r w:rsidR="00355E94" w:rsidRPr="000D268C">
        <w:rPr>
          <w:rFonts w:cstheme="minorHAnsi"/>
          <w:lang w:val="en-GB"/>
        </w:rPr>
        <w:t>’</w:t>
      </w:r>
      <w:r w:rsidRPr="000D268C">
        <w:rPr>
          <w:rFonts w:cstheme="minorHAnsi"/>
          <w:lang w:val="en-GB"/>
        </w:rPr>
        <w:t xml:space="preserve"> and </w:t>
      </w:r>
      <w:r w:rsidR="00355E94" w:rsidRPr="000D268C">
        <w:rPr>
          <w:rFonts w:cstheme="minorHAnsi"/>
          <w:lang w:val="en-GB"/>
        </w:rPr>
        <w:lastRenderedPageBreak/>
        <w:t>‘</w:t>
      </w:r>
      <w:r w:rsidRPr="000D268C">
        <w:rPr>
          <w:rFonts w:cstheme="minorHAnsi"/>
          <w:lang w:val="en-GB"/>
        </w:rPr>
        <w:t>what we wish to infer from it</w:t>
      </w:r>
      <w:r w:rsidR="00355E94" w:rsidRPr="000D268C">
        <w:rPr>
          <w:rFonts w:cstheme="minorHAnsi"/>
          <w:lang w:val="en-GB"/>
        </w:rPr>
        <w:t>’</w:t>
      </w:r>
      <w:r w:rsidRPr="000D268C">
        <w:rPr>
          <w:rFonts w:cstheme="minorHAnsi"/>
          <w:lang w:val="en-GB"/>
        </w:rPr>
        <w:t xml:space="preserve"> </w:t>
      </w:r>
      <w:r w:rsidRPr="000D268C">
        <w:rPr>
          <w:rFonts w:cstheme="minorHAnsi"/>
          <w:lang w:val="en-GB"/>
        </w:rPr>
        <w:fldChar w:fldCharType="begin"/>
      </w:r>
      <w:r w:rsidR="00C82021" w:rsidRPr="000D268C">
        <w:rPr>
          <w:rFonts w:cstheme="minorHAnsi"/>
          <w:lang w:val="en-GB"/>
        </w:rPr>
        <w:instrText xml:space="preserve"> ADDIN ZOTERO_ITEM CSL_CITATION {"citationID":"c07BG6DT","properties":{"formattedCitation":"(Friese, 2019, p. 130)","plainCitation":"(Friese, 2019, p. 130)","noteIndex":0},"citationItems":[{"id":6986,"uris":["http://zotero.org/users/1129714/items/44V9C5L9"],"uri":["http://zotero.org/users/1129714/items/44V9C5L9"],"itemData":{"id":6986,"type":"article","language":"en","source":"Zotero","title":"ATLAS.ti 8 Mac - User Manual. Updated for program version 8.4","URL":"https://downloads.atlasti.com/docs/manual/manual_a8_mac_en.pdf?_ga=2.194419115.769246916.1567676169-2079576425.1564149724","author":[{"family":"Friese","given":"Susanne"}],"accessed":{"date-parts":[["2019",9,5]]},"issued":{"date-parts":[["2019"]]}},"locator":"130"}],"schema":"https://github.com/citation-style-language/schema/raw/master/csl-citation.json"} </w:instrText>
      </w:r>
      <w:r w:rsidRPr="000D268C">
        <w:rPr>
          <w:rFonts w:cstheme="minorHAnsi"/>
          <w:lang w:val="en-GB"/>
        </w:rPr>
        <w:fldChar w:fldCharType="separate"/>
      </w:r>
      <w:r w:rsidR="000A5639" w:rsidRPr="000D268C">
        <w:rPr>
          <w:rFonts w:cstheme="minorHAnsi"/>
          <w:noProof/>
          <w:lang w:val="en-GB"/>
        </w:rPr>
        <w:t>(Friese, 2019, p. 130)</w:t>
      </w:r>
      <w:r w:rsidRPr="000D268C">
        <w:rPr>
          <w:rFonts w:cstheme="minorHAnsi"/>
          <w:lang w:val="en-GB"/>
        </w:rPr>
        <w:fldChar w:fldCharType="end"/>
      </w:r>
      <w:r w:rsidRPr="000D268C">
        <w:rPr>
          <w:rFonts w:cstheme="minorHAnsi"/>
          <w:lang w:val="en-GB"/>
        </w:rPr>
        <w:t xml:space="preserve">. Accordingly, categories of codes correspond to </w:t>
      </w:r>
      <w:r w:rsidR="00355E94" w:rsidRPr="000D268C">
        <w:rPr>
          <w:rFonts w:cstheme="minorHAnsi"/>
          <w:lang w:val="en-GB"/>
        </w:rPr>
        <w:t>‘</w:t>
      </w:r>
      <w:r w:rsidRPr="000D268C">
        <w:rPr>
          <w:rFonts w:cstheme="minorHAnsi"/>
          <w:lang w:val="en-GB"/>
        </w:rPr>
        <w:t>semantic domains</w:t>
      </w:r>
      <w:r w:rsidR="00355E94" w:rsidRPr="000D268C">
        <w:rPr>
          <w:rFonts w:cstheme="minorHAnsi"/>
          <w:lang w:val="en-GB"/>
        </w:rPr>
        <w:t>’</w:t>
      </w:r>
      <w:r w:rsidRPr="000D268C">
        <w:rPr>
          <w:rFonts w:cstheme="minorHAnsi"/>
          <w:lang w:val="en-GB"/>
        </w:rPr>
        <w:t xml:space="preserve"> made of sub-codes which can be grouped together. For example, in the framework presented in the article, a semantic domain is </w:t>
      </w:r>
      <w:r w:rsidR="00355E94" w:rsidRPr="000D268C">
        <w:rPr>
          <w:rFonts w:cstheme="minorHAnsi"/>
          <w:lang w:val="en-GB"/>
        </w:rPr>
        <w:t>‘</w:t>
      </w:r>
      <w:r w:rsidRPr="000D268C">
        <w:rPr>
          <w:rFonts w:cstheme="minorHAnsi"/>
          <w:lang w:val="en-GB"/>
        </w:rPr>
        <w:t>Claimant function,</w:t>
      </w:r>
      <w:r w:rsidR="00355E94" w:rsidRPr="000D268C">
        <w:rPr>
          <w:rFonts w:cstheme="minorHAnsi"/>
          <w:lang w:val="en-GB"/>
        </w:rPr>
        <w:t>’</w:t>
      </w:r>
      <w:r w:rsidRPr="000D268C">
        <w:rPr>
          <w:rFonts w:cstheme="minorHAnsi"/>
          <w:lang w:val="en-GB"/>
        </w:rPr>
        <w:t xml:space="preserve"> while the sub-codes associated with it designate specific functions of the claimants (e.g. MEP, ECB Chair of the Supervisory Board etc). For questions, initial questions are </w:t>
      </w:r>
      <w:r w:rsidR="0010531E" w:rsidRPr="000D268C">
        <w:rPr>
          <w:rFonts w:cstheme="minorHAnsi"/>
          <w:lang w:val="en-GB"/>
        </w:rPr>
        <w:t>distinguished</w:t>
      </w:r>
      <w:r w:rsidRPr="000D268C">
        <w:rPr>
          <w:rFonts w:cstheme="minorHAnsi"/>
          <w:lang w:val="en-GB"/>
        </w:rPr>
        <w:t xml:space="preserve"> from follow-up questions, while answers are divided into three semantic domains applicable to non-replies, intermediate replies, and explicit replies. Furthermore, the latest version of </w:t>
      </w:r>
      <w:proofErr w:type="spellStart"/>
      <w:r w:rsidRPr="000D268C">
        <w:rPr>
          <w:rFonts w:cstheme="minorHAnsi"/>
          <w:lang w:val="en-GB"/>
        </w:rPr>
        <w:t>ATLAS.ti</w:t>
      </w:r>
      <w:proofErr w:type="spellEnd"/>
      <w:r w:rsidRPr="000D268C">
        <w:rPr>
          <w:rFonts w:cstheme="minorHAnsi"/>
          <w:lang w:val="en-GB"/>
        </w:rPr>
        <w:t xml:space="preserve"> automatically calculates ICA coefficients, described as follows:</w:t>
      </w:r>
    </w:p>
    <w:tbl>
      <w:tblPr>
        <w:tblStyle w:val="GridTable5Dark-Accent3"/>
        <w:tblW w:w="0" w:type="auto"/>
        <w:tblBorders>
          <w:top w:val="none" w:sz="0" w:space="0" w:color="auto"/>
          <w:left w:val="none" w:sz="0" w:space="0" w:color="auto"/>
          <w:bottom w:val="none" w:sz="0" w:space="0" w:color="auto"/>
          <w:right w:val="none" w:sz="0" w:space="0" w:color="auto"/>
          <w:insideH w:val="single" w:sz="4" w:space="0" w:color="auto"/>
          <w:insideV w:val="single" w:sz="4" w:space="0" w:color="auto"/>
        </w:tblBorders>
        <w:tblLook w:val="04A0" w:firstRow="1" w:lastRow="0" w:firstColumn="1" w:lastColumn="0" w:noHBand="0" w:noVBand="1"/>
      </w:tblPr>
      <w:tblGrid>
        <w:gridCol w:w="2972"/>
        <w:gridCol w:w="6084"/>
      </w:tblGrid>
      <w:tr w:rsidR="002C54BF" w:rsidRPr="000D268C" w14:paraId="7AC2206D" w14:textId="77777777" w:rsidTr="00F813C3">
        <w:trPr>
          <w:cnfStyle w:val="100000000000" w:firstRow="1" w:lastRow="0" w:firstColumn="0" w:lastColumn="0" w:oddVBand="0" w:evenVBand="0" w:oddHBand="0" w:evenHBand="0" w:firstRowFirstColumn="0" w:firstRowLastColumn="0" w:lastRowFirstColumn="0" w:lastRowLastColumn="0"/>
          <w:trHeight w:val="467"/>
        </w:trPr>
        <w:tc>
          <w:tcPr>
            <w:cnfStyle w:val="001000000000" w:firstRow="0" w:lastRow="0" w:firstColumn="1" w:lastColumn="0" w:oddVBand="0" w:evenVBand="0" w:oddHBand="0" w:evenHBand="0" w:firstRowFirstColumn="0" w:firstRowLastColumn="0" w:lastRowFirstColumn="0" w:lastRowLastColumn="0"/>
            <w:tcW w:w="2972" w:type="dxa"/>
          </w:tcPr>
          <w:p w14:paraId="27A0962F" w14:textId="77777777" w:rsidR="00F813C3" w:rsidRPr="000D268C" w:rsidRDefault="00F813C3" w:rsidP="002C54BF">
            <w:pPr>
              <w:rPr>
                <w:rFonts w:cstheme="minorHAnsi"/>
                <w:color w:val="auto"/>
                <w:lang w:val="en-GB"/>
              </w:rPr>
            </w:pPr>
            <w:r w:rsidRPr="000D268C">
              <w:rPr>
                <w:rFonts w:cstheme="minorHAnsi"/>
                <w:color w:val="auto"/>
                <w:lang w:val="en-GB"/>
              </w:rPr>
              <w:t xml:space="preserve">Coefficient type calculated in </w:t>
            </w:r>
            <w:proofErr w:type="spellStart"/>
            <w:r w:rsidRPr="000D268C">
              <w:rPr>
                <w:rFonts w:cstheme="minorHAnsi"/>
                <w:color w:val="auto"/>
                <w:lang w:val="en-GB"/>
              </w:rPr>
              <w:t>ATLAS.ti</w:t>
            </w:r>
            <w:proofErr w:type="spellEnd"/>
          </w:p>
        </w:tc>
        <w:tc>
          <w:tcPr>
            <w:tcW w:w="6084" w:type="dxa"/>
          </w:tcPr>
          <w:p w14:paraId="56AE60BD" w14:textId="77777777" w:rsidR="00F813C3" w:rsidRPr="000D268C" w:rsidRDefault="00F813C3" w:rsidP="002C54BF">
            <w:pPr>
              <w:cnfStyle w:val="100000000000" w:firstRow="1" w:lastRow="0" w:firstColumn="0" w:lastColumn="0" w:oddVBand="0" w:evenVBand="0" w:oddHBand="0" w:evenHBand="0" w:firstRowFirstColumn="0" w:firstRowLastColumn="0" w:lastRowFirstColumn="0" w:lastRowLastColumn="0"/>
              <w:rPr>
                <w:rFonts w:cstheme="minorHAnsi"/>
                <w:color w:val="auto"/>
                <w:lang w:val="en-GB"/>
              </w:rPr>
            </w:pPr>
            <w:r w:rsidRPr="000D268C">
              <w:rPr>
                <w:rFonts w:cstheme="minorHAnsi"/>
                <w:color w:val="auto"/>
                <w:lang w:val="en-GB"/>
              </w:rPr>
              <w:t>Description</w:t>
            </w:r>
          </w:p>
        </w:tc>
      </w:tr>
      <w:tr w:rsidR="002C54BF" w:rsidRPr="000D268C" w14:paraId="1086D00A"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2" w:type="dxa"/>
          </w:tcPr>
          <w:p w14:paraId="0462F9C6" w14:textId="77777777" w:rsidR="00F813C3" w:rsidRPr="000D268C" w:rsidRDefault="00F813C3" w:rsidP="002C54BF">
            <w:pPr>
              <w:rPr>
                <w:rFonts w:cstheme="minorHAnsi"/>
                <w:b w:val="0"/>
                <w:bCs w:val="0"/>
                <w:color w:val="auto"/>
                <w:lang w:val="en-GB"/>
              </w:rPr>
            </w:pPr>
            <w:r w:rsidRPr="000D268C">
              <w:rPr>
                <w:rFonts w:cstheme="minorHAnsi"/>
                <w:b w:val="0"/>
                <w:bCs w:val="0"/>
                <w:color w:val="auto"/>
                <w:lang w:val="en-GB"/>
              </w:rPr>
              <w:t>Percentage Agreement</w:t>
            </w:r>
          </w:p>
        </w:tc>
        <w:tc>
          <w:tcPr>
            <w:tcW w:w="6084" w:type="dxa"/>
            <w:shd w:val="clear" w:color="auto" w:fill="FFFFFF" w:themeFill="background1"/>
          </w:tcPr>
          <w:p w14:paraId="6414E44A" w14:textId="7FDD4A49" w:rsidR="00F813C3" w:rsidRPr="000D268C" w:rsidRDefault="00F813C3" w:rsidP="002C54BF">
            <w:pPr>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 xml:space="preserve">calculates </w:t>
            </w:r>
            <w:r w:rsidR="00355E94" w:rsidRPr="000D268C">
              <w:rPr>
                <w:rFonts w:cstheme="minorHAnsi"/>
                <w:lang w:val="en-GB"/>
              </w:rPr>
              <w:t>‘</w:t>
            </w:r>
            <w:r w:rsidRPr="000D268C">
              <w:rPr>
                <w:rFonts w:cstheme="minorHAnsi"/>
                <w:lang w:val="en-GB"/>
              </w:rPr>
              <w:t>the number of times a set of ratings agree, divided by the total number of units of observation that are rated, multiplied by 100.</w:t>
            </w:r>
            <w:r w:rsidR="00355E94" w:rsidRPr="000D268C">
              <w:rPr>
                <w:rFonts w:cstheme="minorHAnsi"/>
                <w:lang w:val="en-GB"/>
              </w:rPr>
              <w:t>’</w:t>
            </w:r>
          </w:p>
        </w:tc>
      </w:tr>
      <w:tr w:rsidR="002C54BF" w:rsidRPr="000D268C" w14:paraId="34FDE9D5" w14:textId="77777777" w:rsidTr="00F813C3">
        <w:tc>
          <w:tcPr>
            <w:cnfStyle w:val="001000000000" w:firstRow="0" w:lastRow="0" w:firstColumn="1" w:lastColumn="0" w:oddVBand="0" w:evenVBand="0" w:oddHBand="0" w:evenHBand="0" w:firstRowFirstColumn="0" w:firstRowLastColumn="0" w:lastRowFirstColumn="0" w:lastRowLastColumn="0"/>
            <w:tcW w:w="2972" w:type="dxa"/>
          </w:tcPr>
          <w:p w14:paraId="1EE7CB5A" w14:textId="77777777" w:rsidR="00F813C3" w:rsidRPr="000D268C" w:rsidRDefault="00F813C3" w:rsidP="002C54BF">
            <w:pPr>
              <w:rPr>
                <w:rFonts w:cstheme="minorHAnsi"/>
                <w:b w:val="0"/>
                <w:bCs w:val="0"/>
                <w:color w:val="auto"/>
                <w:lang w:val="en-GB"/>
              </w:rPr>
            </w:pPr>
            <w:proofErr w:type="spellStart"/>
            <w:r w:rsidRPr="000D268C">
              <w:rPr>
                <w:rFonts w:cstheme="minorHAnsi"/>
                <w:b w:val="0"/>
                <w:bCs w:val="0"/>
                <w:color w:val="auto"/>
                <w:lang w:val="en-GB"/>
              </w:rPr>
              <w:t>Krippendorff's</w:t>
            </w:r>
            <w:proofErr w:type="spellEnd"/>
            <w:r w:rsidRPr="000D268C">
              <w:rPr>
                <w:rFonts w:cstheme="minorHAnsi"/>
                <w:b w:val="0"/>
                <w:bCs w:val="0"/>
                <w:color w:val="auto"/>
                <w:lang w:val="en-GB"/>
              </w:rPr>
              <w:t xml:space="preserve"> c-Alpha binary </w:t>
            </w:r>
          </w:p>
        </w:tc>
        <w:tc>
          <w:tcPr>
            <w:tcW w:w="6084" w:type="dxa"/>
            <w:shd w:val="clear" w:color="auto" w:fill="FFFFFF" w:themeFill="background1"/>
          </w:tcPr>
          <w:p w14:paraId="3D710C9E" w14:textId="77777777" w:rsidR="00F813C3" w:rsidRPr="000D268C" w:rsidRDefault="00F813C3" w:rsidP="002C54BF">
            <w:pPr>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 xml:space="preserve">shows the extent to which coders agree on the relevance of texts (whether coders identify similar or the same segments of text for a code). </w:t>
            </w:r>
          </w:p>
        </w:tc>
      </w:tr>
      <w:tr w:rsidR="002C54BF" w:rsidRPr="000D268C" w14:paraId="022CE5A4"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2" w:type="dxa"/>
          </w:tcPr>
          <w:p w14:paraId="0C006174" w14:textId="77777777" w:rsidR="00F813C3" w:rsidRPr="000D268C" w:rsidRDefault="00F813C3" w:rsidP="002C54BF">
            <w:pPr>
              <w:rPr>
                <w:rFonts w:cstheme="minorHAnsi"/>
                <w:b w:val="0"/>
                <w:bCs w:val="0"/>
                <w:color w:val="auto"/>
                <w:lang w:val="en-GB"/>
              </w:rPr>
            </w:pPr>
            <w:proofErr w:type="spellStart"/>
            <w:r w:rsidRPr="000D268C">
              <w:rPr>
                <w:rFonts w:eastAsia="Times New Roman" w:cstheme="minorHAnsi"/>
                <w:b w:val="0"/>
                <w:bCs w:val="0"/>
                <w:color w:val="auto"/>
                <w:lang w:val="en-GB" w:eastAsia="en-GB"/>
              </w:rPr>
              <w:t>Krippendorff's</w:t>
            </w:r>
            <w:proofErr w:type="spellEnd"/>
            <w:r w:rsidRPr="000D268C">
              <w:rPr>
                <w:rFonts w:eastAsia="Times New Roman" w:cstheme="minorHAnsi"/>
                <w:b w:val="0"/>
                <w:bCs w:val="0"/>
                <w:color w:val="auto"/>
                <w:lang w:val="en-GB" w:eastAsia="en-GB"/>
              </w:rPr>
              <w:t xml:space="preserve"> cu-Alpha coefficient</w:t>
            </w:r>
          </w:p>
        </w:tc>
        <w:tc>
          <w:tcPr>
            <w:tcW w:w="6084" w:type="dxa"/>
            <w:shd w:val="clear" w:color="auto" w:fill="FFFFFF" w:themeFill="background1"/>
          </w:tcPr>
          <w:p w14:paraId="05A76727" w14:textId="77777777" w:rsidR="00F813C3" w:rsidRPr="000D268C" w:rsidRDefault="00F813C3" w:rsidP="002C54BF">
            <w:pPr>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eastAsia="Times New Roman" w:cstheme="minorHAnsi"/>
                <w:lang w:val="en-GB" w:eastAsia="en-GB"/>
              </w:rPr>
              <w:t>indicates the degree to which coders identify a particular semantic domain</w:t>
            </w:r>
          </w:p>
        </w:tc>
      </w:tr>
      <w:tr w:rsidR="002C54BF" w:rsidRPr="000D268C" w14:paraId="1B12EDCD" w14:textId="77777777" w:rsidTr="00F813C3">
        <w:tc>
          <w:tcPr>
            <w:cnfStyle w:val="001000000000" w:firstRow="0" w:lastRow="0" w:firstColumn="1" w:lastColumn="0" w:oddVBand="0" w:evenVBand="0" w:oddHBand="0" w:evenHBand="0" w:firstRowFirstColumn="0" w:firstRowLastColumn="0" w:lastRowFirstColumn="0" w:lastRowLastColumn="0"/>
            <w:tcW w:w="2972" w:type="dxa"/>
          </w:tcPr>
          <w:p w14:paraId="0F7266F9" w14:textId="77777777" w:rsidR="00F813C3" w:rsidRPr="000D268C" w:rsidRDefault="00F813C3" w:rsidP="002C54BF">
            <w:pPr>
              <w:rPr>
                <w:rFonts w:cstheme="minorHAnsi"/>
                <w:b w:val="0"/>
                <w:bCs w:val="0"/>
                <w:color w:val="auto"/>
                <w:lang w:val="en-GB"/>
              </w:rPr>
            </w:pPr>
            <w:proofErr w:type="spellStart"/>
            <w:r w:rsidRPr="000D268C">
              <w:rPr>
                <w:rFonts w:eastAsia="Times New Roman" w:cstheme="minorHAnsi"/>
                <w:b w:val="0"/>
                <w:bCs w:val="0"/>
                <w:color w:val="auto"/>
                <w:lang w:val="en-GB" w:eastAsia="en-GB"/>
              </w:rPr>
              <w:t>Krippendorff's</w:t>
            </w:r>
            <w:proofErr w:type="spellEnd"/>
            <w:r w:rsidRPr="000D268C">
              <w:rPr>
                <w:rFonts w:eastAsia="Times New Roman" w:cstheme="minorHAnsi"/>
                <w:b w:val="0"/>
                <w:bCs w:val="0"/>
                <w:color w:val="auto"/>
                <w:lang w:val="en-GB" w:eastAsia="en-GB"/>
              </w:rPr>
              <w:t xml:space="preserve"> Cu-Alpha coefficient with a capital C</w:t>
            </w:r>
          </w:p>
        </w:tc>
        <w:tc>
          <w:tcPr>
            <w:tcW w:w="6084" w:type="dxa"/>
            <w:shd w:val="clear" w:color="auto" w:fill="FFFFFF" w:themeFill="background1"/>
          </w:tcPr>
          <w:p w14:paraId="32E5203F" w14:textId="77777777" w:rsidR="00F813C3" w:rsidRPr="000D268C" w:rsidRDefault="00F813C3" w:rsidP="002C54BF">
            <w:pPr>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eastAsia="Times New Roman" w:cstheme="minorHAnsi"/>
                <w:lang w:val="en-GB" w:eastAsia="en-GB"/>
              </w:rPr>
              <w:t>indicates the extent to which coders agree on the presence or absence of semantic domains</w:t>
            </w:r>
          </w:p>
        </w:tc>
      </w:tr>
    </w:tbl>
    <w:p w14:paraId="40398DF1" w14:textId="7E852D86" w:rsidR="00F813C3" w:rsidRPr="000D268C" w:rsidRDefault="00F813C3" w:rsidP="002C54BF">
      <w:pPr>
        <w:spacing w:line="480" w:lineRule="auto"/>
        <w:jc w:val="both"/>
        <w:rPr>
          <w:rFonts w:cstheme="minorHAnsi"/>
          <w:lang w:val="en-GB"/>
        </w:rPr>
      </w:pPr>
      <w:r w:rsidRPr="000D268C">
        <w:rPr>
          <w:rFonts w:cstheme="minorHAnsi"/>
          <w:lang w:val="en-GB"/>
        </w:rPr>
        <w:t xml:space="preserve">Source: </w:t>
      </w:r>
      <w:r w:rsidRPr="000D268C">
        <w:rPr>
          <w:rFonts w:cstheme="minorHAnsi"/>
          <w:lang w:val="en-GB"/>
        </w:rPr>
        <w:fldChar w:fldCharType="begin"/>
      </w:r>
      <w:r w:rsidR="00C82021" w:rsidRPr="000D268C">
        <w:rPr>
          <w:rFonts w:cstheme="minorHAnsi"/>
          <w:lang w:val="en-GB"/>
        </w:rPr>
        <w:instrText xml:space="preserve"> ADDIN ZOTERO_ITEM CSL_CITATION {"citationID":"h0QXY4kI","properties":{"formattedCitation":"(Friese, 2019, pp. 134\\uc0\\u8211{}136)","plainCitation":"(Friese, 2019, pp. 134–136)","noteIndex":0},"citationItems":[{"id":6986,"uris":["http://zotero.org/users/1129714/items/44V9C5L9"],"uri":["http://zotero.org/users/1129714/items/44V9C5L9"],"itemData":{"id":6986,"type":"article","language":"en","source":"Zotero","title":"ATLAS.ti 8 Mac - User Manual. Updated for program version 8.4","URL":"https://downloads.atlasti.com/docs/manual/manual_a8_mac_en.pdf?_ga=2.194419115.769246916.1567676169-2079576425.1564149724","author":[{"family":"Friese","given":"Susanne"}],"accessed":{"date-parts":[["2019",9,5]]},"issued":{"date-parts":[["2019"]]}},"locator":"134-136"}],"schema":"https://github.com/citation-style-language/schema/raw/master/csl-citation.json"} </w:instrText>
      </w:r>
      <w:r w:rsidRPr="000D268C">
        <w:rPr>
          <w:rFonts w:cstheme="minorHAnsi"/>
          <w:lang w:val="en-GB"/>
        </w:rPr>
        <w:fldChar w:fldCharType="separate"/>
      </w:r>
      <w:r w:rsidR="000A5639" w:rsidRPr="000D268C">
        <w:rPr>
          <w:rFonts w:cstheme="minorHAnsi"/>
          <w:lang w:val="en-GB"/>
        </w:rPr>
        <w:t>(Friese, 2019, pp. 134–136)</w:t>
      </w:r>
      <w:r w:rsidRPr="000D268C">
        <w:rPr>
          <w:rFonts w:cstheme="minorHAnsi"/>
          <w:lang w:val="en-GB"/>
        </w:rPr>
        <w:fldChar w:fldCharType="end"/>
      </w:r>
    </w:p>
    <w:p w14:paraId="7B07206D" w14:textId="4542334F" w:rsidR="00F813C3" w:rsidRPr="000D268C" w:rsidRDefault="00F813C3" w:rsidP="002C54BF">
      <w:pPr>
        <w:spacing w:line="480" w:lineRule="auto"/>
        <w:jc w:val="both"/>
        <w:rPr>
          <w:rFonts w:eastAsia="Times New Roman" w:cstheme="minorHAnsi"/>
          <w:lang w:val="en-GB" w:eastAsia="en-GB"/>
        </w:rPr>
      </w:pPr>
      <w:r w:rsidRPr="000D268C">
        <w:rPr>
          <w:rFonts w:eastAsia="Times New Roman" w:cstheme="minorHAnsi"/>
          <w:lang w:val="en-GB" w:eastAsia="en-GB"/>
        </w:rPr>
        <w:t xml:space="preserve">There are caveats to each of these coefficients. On the one hand, </w:t>
      </w:r>
      <w:r w:rsidRPr="000D268C">
        <w:rPr>
          <w:rFonts w:cstheme="minorHAnsi"/>
          <w:lang w:val="en-GB"/>
        </w:rPr>
        <w:t xml:space="preserve">the percentage agreement does not take into account chance agreement between ratings, so it is not a reliable indicator of reliability. On the other hand, all of </w:t>
      </w:r>
      <w:proofErr w:type="spellStart"/>
      <w:r w:rsidRPr="000D268C">
        <w:rPr>
          <w:rFonts w:eastAsia="Times New Roman" w:cstheme="minorHAnsi"/>
          <w:lang w:val="en-GB" w:eastAsia="en-GB"/>
        </w:rPr>
        <w:t>Krippendorff's</w:t>
      </w:r>
      <w:proofErr w:type="spellEnd"/>
      <w:r w:rsidRPr="000D268C">
        <w:rPr>
          <w:rFonts w:eastAsia="Times New Roman" w:cstheme="minorHAnsi"/>
          <w:lang w:val="en-GB" w:eastAsia="en-GB"/>
        </w:rPr>
        <w:t xml:space="preserve"> alpha coefficients require that codes have been applied </w:t>
      </w:r>
      <w:r w:rsidR="0010531E" w:rsidRPr="000D268C">
        <w:rPr>
          <w:rFonts w:eastAsia="Times New Roman" w:cstheme="minorHAnsi"/>
          <w:lang w:val="en-GB" w:eastAsia="en-GB"/>
        </w:rPr>
        <w:t xml:space="preserve">in a </w:t>
      </w:r>
      <w:r w:rsidRPr="000D268C">
        <w:rPr>
          <w:rFonts w:eastAsia="Times New Roman" w:cstheme="minorHAnsi"/>
          <w:lang w:val="en-GB" w:eastAsia="en-GB"/>
        </w:rPr>
        <w:t>mutually exclusive</w:t>
      </w:r>
      <w:r w:rsidR="0010531E" w:rsidRPr="000D268C">
        <w:rPr>
          <w:rFonts w:eastAsia="Times New Roman" w:cstheme="minorHAnsi"/>
          <w:lang w:val="en-GB" w:eastAsia="en-GB"/>
        </w:rPr>
        <w:t xml:space="preserve"> manner</w:t>
      </w:r>
      <w:r w:rsidR="0010531E" w:rsidRPr="000D268C">
        <w:rPr>
          <w:rFonts w:cstheme="minorHAnsi"/>
          <w:lang w:val="en-GB"/>
        </w:rPr>
        <w:t>—</w:t>
      </w:r>
      <w:r w:rsidRPr="000D268C">
        <w:rPr>
          <w:rFonts w:eastAsia="Times New Roman" w:cstheme="minorHAnsi"/>
          <w:lang w:val="en-GB" w:eastAsia="en-GB"/>
        </w:rPr>
        <w:t xml:space="preserve">meaning only one of the sub-codes per domain is applied to a given quotation. In the case of Q&amp;A, this is not possible; in certain situations, a short response given to multiple questions has to be coded as non-replies, which means that several sub-codes per domain may be overlapping. To mitigate the problem, the summary below presents not only the numerical results of the ICA coefficients, but it also </w:t>
      </w:r>
      <w:r w:rsidRPr="000D268C">
        <w:rPr>
          <w:rFonts w:eastAsia="Times New Roman" w:cstheme="minorHAnsi"/>
          <w:lang w:val="en-GB" w:eastAsia="en-GB"/>
        </w:rPr>
        <w:lastRenderedPageBreak/>
        <w:t xml:space="preserve">displays visually the continuum of how the two coders assigned a specific code throughout the documents (possible via screenshots from </w:t>
      </w:r>
      <w:proofErr w:type="spellStart"/>
      <w:r w:rsidRPr="000D268C">
        <w:rPr>
          <w:rFonts w:eastAsia="Times New Roman" w:cstheme="minorHAnsi"/>
          <w:lang w:val="en-GB" w:eastAsia="en-GB"/>
        </w:rPr>
        <w:t>ATLAS.ti</w:t>
      </w:r>
      <w:proofErr w:type="spellEnd"/>
      <w:r w:rsidRPr="000D268C">
        <w:rPr>
          <w:rFonts w:eastAsia="Times New Roman" w:cstheme="minorHAnsi"/>
          <w:lang w:val="en-GB" w:eastAsia="en-GB"/>
        </w:rPr>
        <w:t>). The overview is presented below:</w:t>
      </w:r>
    </w:p>
    <w:p w14:paraId="5B73F98C" w14:textId="77777777" w:rsidR="00F813C3" w:rsidRPr="000D268C" w:rsidRDefault="00F813C3" w:rsidP="002C54BF">
      <w:pPr>
        <w:spacing w:line="480" w:lineRule="auto"/>
        <w:rPr>
          <w:rFonts w:eastAsia="Times New Roman" w:cstheme="minorHAnsi"/>
          <w:lang w:val="en-GB" w:eastAsia="en-GB"/>
        </w:rPr>
      </w:pPr>
    </w:p>
    <w:tbl>
      <w:tblPr>
        <w:tblStyle w:val="GridTable5Dark-Accent3"/>
        <w:tblW w:w="0" w:type="auto"/>
        <w:tblLook w:val="04A0" w:firstRow="1" w:lastRow="0" w:firstColumn="1" w:lastColumn="0" w:noHBand="0" w:noVBand="1"/>
      </w:tblPr>
      <w:tblGrid>
        <w:gridCol w:w="3539"/>
        <w:gridCol w:w="1843"/>
        <w:gridCol w:w="1984"/>
        <w:gridCol w:w="1690"/>
      </w:tblGrid>
      <w:tr w:rsidR="002C54BF" w:rsidRPr="000D268C" w14:paraId="5F7EF476" w14:textId="77777777" w:rsidTr="00F813C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14:paraId="0B3944C2" w14:textId="77777777" w:rsidR="00F813C3" w:rsidRPr="000D268C" w:rsidRDefault="00F813C3" w:rsidP="002C54BF">
            <w:pPr>
              <w:rPr>
                <w:rFonts w:cstheme="minorHAnsi"/>
                <w:b w:val="0"/>
                <w:bCs w:val="0"/>
                <w:color w:val="auto"/>
                <w:lang w:val="en-GB"/>
              </w:rPr>
            </w:pPr>
            <w:r w:rsidRPr="000D268C">
              <w:rPr>
                <w:rFonts w:cstheme="minorHAnsi"/>
                <w:color w:val="auto"/>
                <w:lang w:val="en-GB"/>
              </w:rPr>
              <w:softHyphen/>
              <w:t xml:space="preserve">Semantic domain/code category </w:t>
            </w:r>
          </w:p>
          <w:p w14:paraId="2F0F723C" w14:textId="77777777" w:rsidR="00F813C3" w:rsidRPr="000D268C" w:rsidRDefault="00F813C3" w:rsidP="002C54BF">
            <w:pPr>
              <w:rPr>
                <w:rFonts w:cstheme="minorHAnsi"/>
                <w:b w:val="0"/>
                <w:bCs w:val="0"/>
                <w:color w:val="auto"/>
                <w:lang w:val="en-GB"/>
              </w:rPr>
            </w:pPr>
          </w:p>
          <w:p w14:paraId="7E9E44A1" w14:textId="77777777" w:rsidR="00F813C3" w:rsidRPr="000D268C" w:rsidRDefault="00F813C3" w:rsidP="002C54BF">
            <w:pPr>
              <w:rPr>
                <w:rFonts w:cstheme="minorHAnsi"/>
                <w:b w:val="0"/>
                <w:bCs w:val="0"/>
                <w:color w:val="auto"/>
                <w:lang w:val="en-GB"/>
              </w:rPr>
            </w:pPr>
            <w:r w:rsidRPr="000D268C">
              <w:rPr>
                <w:rFonts w:cstheme="minorHAnsi"/>
                <w:color w:val="auto"/>
                <w:lang w:val="en-GB"/>
              </w:rPr>
              <w:t>(sub-codes cumulated)</w:t>
            </w:r>
          </w:p>
        </w:tc>
        <w:tc>
          <w:tcPr>
            <w:tcW w:w="1843" w:type="dxa"/>
          </w:tcPr>
          <w:p w14:paraId="18BBD6B7" w14:textId="77777777" w:rsidR="00F813C3" w:rsidRPr="000D268C" w:rsidRDefault="00F813C3" w:rsidP="002C54BF">
            <w:pPr>
              <w:jc w:val="center"/>
              <w:cnfStyle w:val="100000000000" w:firstRow="1" w:lastRow="0" w:firstColumn="0" w:lastColumn="0" w:oddVBand="0" w:evenVBand="0" w:oddHBand="0" w:evenHBand="0" w:firstRowFirstColumn="0" w:firstRowLastColumn="0" w:lastRowFirstColumn="0" w:lastRowLastColumn="0"/>
              <w:rPr>
                <w:rFonts w:cstheme="minorHAnsi"/>
                <w:color w:val="auto"/>
                <w:lang w:val="en-GB"/>
              </w:rPr>
            </w:pPr>
            <w:r w:rsidRPr="000D268C">
              <w:rPr>
                <w:rFonts w:cstheme="minorHAnsi"/>
                <w:color w:val="auto"/>
                <w:lang w:val="en-GB"/>
              </w:rPr>
              <w:t>Simple percentage agreement</w:t>
            </w:r>
          </w:p>
        </w:tc>
        <w:tc>
          <w:tcPr>
            <w:tcW w:w="1984" w:type="dxa"/>
          </w:tcPr>
          <w:p w14:paraId="7928F8A1" w14:textId="77777777" w:rsidR="00F813C3" w:rsidRPr="000D268C" w:rsidRDefault="00F813C3" w:rsidP="002C54BF">
            <w:pPr>
              <w:jc w:val="center"/>
              <w:cnfStyle w:val="100000000000" w:firstRow="1" w:lastRow="0" w:firstColumn="0" w:lastColumn="0" w:oddVBand="0" w:evenVBand="0" w:oddHBand="0" w:evenHBand="0" w:firstRowFirstColumn="0" w:firstRowLastColumn="0" w:lastRowFirstColumn="0" w:lastRowLastColumn="0"/>
              <w:rPr>
                <w:rFonts w:cstheme="minorHAnsi"/>
                <w:color w:val="auto"/>
                <w:lang w:val="en-GB"/>
              </w:rPr>
            </w:pPr>
            <w:proofErr w:type="spellStart"/>
            <w:r w:rsidRPr="000D268C">
              <w:rPr>
                <w:rFonts w:cstheme="minorHAnsi"/>
                <w:color w:val="auto"/>
                <w:lang w:val="en-GB"/>
              </w:rPr>
              <w:t>Krippendorff’s</w:t>
            </w:r>
            <w:proofErr w:type="spellEnd"/>
            <w:r w:rsidRPr="000D268C">
              <w:rPr>
                <w:rFonts w:cstheme="minorHAnsi"/>
                <w:color w:val="auto"/>
                <w:lang w:val="en-GB"/>
              </w:rPr>
              <w:t xml:space="preserve"> cu-α/Cu-α*</w:t>
            </w:r>
          </w:p>
        </w:tc>
        <w:tc>
          <w:tcPr>
            <w:tcW w:w="1690" w:type="dxa"/>
          </w:tcPr>
          <w:p w14:paraId="33D723A3" w14:textId="77777777" w:rsidR="00F813C3" w:rsidRPr="000D268C" w:rsidRDefault="00F813C3" w:rsidP="002C54BF">
            <w:pPr>
              <w:jc w:val="center"/>
              <w:cnfStyle w:val="100000000000" w:firstRow="1" w:lastRow="0" w:firstColumn="0" w:lastColumn="0" w:oddVBand="0" w:evenVBand="0" w:oddHBand="0" w:evenHBand="0" w:firstRowFirstColumn="0" w:firstRowLastColumn="0" w:lastRowFirstColumn="0" w:lastRowLastColumn="0"/>
              <w:rPr>
                <w:rFonts w:cstheme="minorHAnsi"/>
                <w:color w:val="auto"/>
                <w:lang w:val="en-GB"/>
              </w:rPr>
            </w:pPr>
            <w:proofErr w:type="spellStart"/>
            <w:r w:rsidRPr="000D268C">
              <w:rPr>
                <w:rFonts w:cstheme="minorHAnsi"/>
                <w:color w:val="auto"/>
                <w:lang w:val="en-GB"/>
              </w:rPr>
              <w:t>Krippendorff’s</w:t>
            </w:r>
            <w:proofErr w:type="spellEnd"/>
            <w:r w:rsidRPr="000D268C">
              <w:rPr>
                <w:rFonts w:cstheme="minorHAnsi"/>
                <w:color w:val="auto"/>
                <w:lang w:val="en-GB"/>
              </w:rPr>
              <w:t xml:space="preserve"> c-α binary</w:t>
            </w:r>
          </w:p>
        </w:tc>
      </w:tr>
      <w:tr w:rsidR="00F813C3" w:rsidRPr="000D268C" w14:paraId="488B23FE"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14:paraId="24754150" w14:textId="77777777" w:rsidR="00F813C3" w:rsidRPr="000D268C" w:rsidRDefault="00F813C3" w:rsidP="002C54BF">
            <w:pPr>
              <w:rPr>
                <w:rFonts w:cstheme="minorHAnsi"/>
                <w:color w:val="auto"/>
                <w:lang w:val="en-GB"/>
              </w:rPr>
            </w:pPr>
            <w:r w:rsidRPr="000D268C">
              <w:rPr>
                <w:rFonts w:cstheme="minorHAnsi"/>
                <w:b w:val="0"/>
                <w:bCs w:val="0"/>
                <w:color w:val="auto"/>
                <w:lang w:val="en-GB"/>
              </w:rPr>
              <w:t xml:space="preserve">Year </w:t>
            </w:r>
          </w:p>
          <w:p w14:paraId="415769DD" w14:textId="77777777" w:rsidR="00F813C3" w:rsidRPr="000D268C" w:rsidRDefault="00F813C3" w:rsidP="002C54BF">
            <w:pPr>
              <w:rPr>
                <w:rFonts w:cstheme="minorHAnsi"/>
                <w:b w:val="0"/>
                <w:bCs w:val="0"/>
                <w:color w:val="auto"/>
                <w:lang w:val="en-GB"/>
              </w:rPr>
            </w:pPr>
            <w:r w:rsidRPr="000D268C">
              <w:rPr>
                <w:rFonts w:cstheme="minorHAnsi"/>
                <w:b w:val="0"/>
                <w:bCs w:val="0"/>
                <w:color w:val="auto"/>
                <w:lang w:val="en-GB"/>
              </w:rPr>
              <w:t>(applied to single documents)</w:t>
            </w:r>
          </w:p>
        </w:tc>
        <w:tc>
          <w:tcPr>
            <w:tcW w:w="1843" w:type="dxa"/>
            <w:shd w:val="clear" w:color="auto" w:fill="FFFFFF" w:themeFill="background1"/>
          </w:tcPr>
          <w:p w14:paraId="518507EB"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99.0%</w:t>
            </w:r>
          </w:p>
        </w:tc>
        <w:tc>
          <w:tcPr>
            <w:tcW w:w="1984" w:type="dxa"/>
            <w:shd w:val="clear" w:color="auto" w:fill="FFFFFF" w:themeFill="background1"/>
          </w:tcPr>
          <w:p w14:paraId="778DAAE5"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1.000 (Cu-α)</w:t>
            </w:r>
          </w:p>
        </w:tc>
        <w:tc>
          <w:tcPr>
            <w:tcW w:w="1690" w:type="dxa"/>
            <w:shd w:val="clear" w:color="auto" w:fill="FFFFFF" w:themeFill="background1"/>
          </w:tcPr>
          <w:p w14:paraId="10E1FBF2"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0.995</w:t>
            </w:r>
          </w:p>
        </w:tc>
      </w:tr>
      <w:tr w:rsidR="00F813C3" w:rsidRPr="000D268C" w14:paraId="0FF70312" w14:textId="77777777" w:rsidTr="00F813C3">
        <w:tc>
          <w:tcPr>
            <w:cnfStyle w:val="001000000000" w:firstRow="0" w:lastRow="0" w:firstColumn="1" w:lastColumn="0" w:oddVBand="0" w:evenVBand="0" w:oddHBand="0" w:evenHBand="0" w:firstRowFirstColumn="0" w:firstRowLastColumn="0" w:lastRowFirstColumn="0" w:lastRowLastColumn="0"/>
            <w:tcW w:w="3539" w:type="dxa"/>
          </w:tcPr>
          <w:p w14:paraId="1CF0A024" w14:textId="77777777" w:rsidR="00F813C3" w:rsidRPr="000D268C" w:rsidRDefault="00F813C3" w:rsidP="002C54BF">
            <w:pPr>
              <w:rPr>
                <w:rFonts w:cstheme="minorHAnsi"/>
                <w:color w:val="auto"/>
                <w:lang w:val="en-GB"/>
              </w:rPr>
            </w:pPr>
            <w:r w:rsidRPr="000D268C">
              <w:rPr>
                <w:rFonts w:cstheme="minorHAnsi"/>
                <w:b w:val="0"/>
                <w:bCs w:val="0"/>
                <w:color w:val="auto"/>
                <w:lang w:val="en-GB"/>
              </w:rPr>
              <w:t xml:space="preserve">Source </w:t>
            </w:r>
          </w:p>
          <w:p w14:paraId="563C48E3" w14:textId="77777777" w:rsidR="00F813C3" w:rsidRPr="000D268C" w:rsidRDefault="00F813C3" w:rsidP="002C54BF">
            <w:pPr>
              <w:rPr>
                <w:rFonts w:cstheme="minorHAnsi"/>
                <w:b w:val="0"/>
                <w:bCs w:val="0"/>
                <w:color w:val="auto"/>
                <w:lang w:val="en-GB"/>
              </w:rPr>
            </w:pPr>
            <w:r w:rsidRPr="000D268C">
              <w:rPr>
                <w:rFonts w:cstheme="minorHAnsi"/>
                <w:b w:val="0"/>
                <w:bCs w:val="0"/>
                <w:color w:val="auto"/>
                <w:lang w:val="en-GB"/>
              </w:rPr>
              <w:t>(applied to single documents)</w:t>
            </w:r>
          </w:p>
        </w:tc>
        <w:tc>
          <w:tcPr>
            <w:tcW w:w="1843" w:type="dxa"/>
            <w:shd w:val="clear" w:color="auto" w:fill="FFFFFF" w:themeFill="background1"/>
          </w:tcPr>
          <w:p w14:paraId="61C51510"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98.9%</w:t>
            </w:r>
          </w:p>
        </w:tc>
        <w:tc>
          <w:tcPr>
            <w:tcW w:w="1984" w:type="dxa"/>
            <w:shd w:val="clear" w:color="auto" w:fill="FFFFFF" w:themeFill="background1"/>
          </w:tcPr>
          <w:p w14:paraId="60C5F687"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1.000 (cu-α)</w:t>
            </w:r>
          </w:p>
        </w:tc>
        <w:tc>
          <w:tcPr>
            <w:tcW w:w="1690" w:type="dxa"/>
            <w:shd w:val="clear" w:color="auto" w:fill="FFFFFF" w:themeFill="background1"/>
          </w:tcPr>
          <w:p w14:paraId="258F9294"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0.994</w:t>
            </w:r>
          </w:p>
        </w:tc>
      </w:tr>
      <w:tr w:rsidR="00F813C3" w:rsidRPr="000D268C" w14:paraId="5D11F249"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14:paraId="123D9213" w14:textId="77777777" w:rsidR="00F813C3" w:rsidRPr="000D268C" w:rsidRDefault="00F813C3" w:rsidP="002C54BF">
            <w:pPr>
              <w:rPr>
                <w:rFonts w:cstheme="minorHAnsi"/>
                <w:color w:val="auto"/>
                <w:lang w:val="en-GB"/>
              </w:rPr>
            </w:pPr>
            <w:r w:rsidRPr="000D268C">
              <w:rPr>
                <w:rFonts w:cstheme="minorHAnsi"/>
                <w:b w:val="0"/>
                <w:bCs w:val="0"/>
                <w:color w:val="auto"/>
                <w:lang w:val="en-GB"/>
              </w:rPr>
              <w:t xml:space="preserve">Claimant function </w:t>
            </w:r>
          </w:p>
          <w:p w14:paraId="5F198FC8" w14:textId="77777777" w:rsidR="00F813C3" w:rsidRPr="000D268C" w:rsidRDefault="00F813C3" w:rsidP="002C54BF">
            <w:pPr>
              <w:rPr>
                <w:rFonts w:cstheme="minorHAnsi"/>
                <w:b w:val="0"/>
                <w:bCs w:val="0"/>
                <w:color w:val="auto"/>
                <w:lang w:val="en-GB"/>
              </w:rPr>
            </w:pPr>
            <w:r w:rsidRPr="000D268C">
              <w:rPr>
                <w:rFonts w:cstheme="minorHAnsi"/>
                <w:b w:val="0"/>
                <w:bCs w:val="0"/>
                <w:color w:val="auto"/>
                <w:lang w:val="en-GB"/>
              </w:rPr>
              <w:t>(applied to Q&amp;A)</w:t>
            </w:r>
          </w:p>
        </w:tc>
        <w:tc>
          <w:tcPr>
            <w:tcW w:w="1843" w:type="dxa"/>
            <w:shd w:val="clear" w:color="auto" w:fill="FFFFFF" w:themeFill="background1"/>
          </w:tcPr>
          <w:p w14:paraId="72ADE44A"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95.0%</w:t>
            </w:r>
          </w:p>
        </w:tc>
        <w:tc>
          <w:tcPr>
            <w:tcW w:w="1984" w:type="dxa"/>
            <w:shd w:val="clear" w:color="auto" w:fill="FFFFFF" w:themeFill="background1"/>
          </w:tcPr>
          <w:p w14:paraId="141BD5A9"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0.940 (Cu-α)</w:t>
            </w:r>
          </w:p>
        </w:tc>
        <w:tc>
          <w:tcPr>
            <w:tcW w:w="1690" w:type="dxa"/>
            <w:shd w:val="clear" w:color="auto" w:fill="FFFFFF" w:themeFill="background1"/>
          </w:tcPr>
          <w:p w14:paraId="0AE061BB"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0.904</w:t>
            </w:r>
          </w:p>
        </w:tc>
      </w:tr>
      <w:tr w:rsidR="00F813C3" w:rsidRPr="000D268C" w14:paraId="19E12002" w14:textId="77777777" w:rsidTr="00F813C3">
        <w:tc>
          <w:tcPr>
            <w:cnfStyle w:val="001000000000" w:firstRow="0" w:lastRow="0" w:firstColumn="1" w:lastColumn="0" w:oddVBand="0" w:evenVBand="0" w:oddHBand="0" w:evenHBand="0" w:firstRowFirstColumn="0" w:firstRowLastColumn="0" w:lastRowFirstColumn="0" w:lastRowLastColumn="0"/>
            <w:tcW w:w="3539" w:type="dxa"/>
          </w:tcPr>
          <w:p w14:paraId="1488D2EF" w14:textId="77777777" w:rsidR="00F813C3" w:rsidRPr="000D268C" w:rsidRDefault="00F813C3" w:rsidP="002C54BF">
            <w:pPr>
              <w:rPr>
                <w:rFonts w:cstheme="minorHAnsi"/>
                <w:color w:val="auto"/>
                <w:lang w:val="en-GB"/>
              </w:rPr>
            </w:pPr>
            <w:r w:rsidRPr="000D268C">
              <w:rPr>
                <w:rFonts w:cstheme="minorHAnsi"/>
                <w:b w:val="0"/>
                <w:bCs w:val="0"/>
                <w:color w:val="auto"/>
                <w:lang w:val="en-GB"/>
              </w:rPr>
              <w:t xml:space="preserve">Claimant nationality </w:t>
            </w:r>
          </w:p>
          <w:p w14:paraId="6010CA54" w14:textId="77777777" w:rsidR="00F813C3" w:rsidRPr="000D268C" w:rsidRDefault="00F813C3" w:rsidP="002C54BF">
            <w:pPr>
              <w:rPr>
                <w:rFonts w:cstheme="minorHAnsi"/>
                <w:b w:val="0"/>
                <w:bCs w:val="0"/>
                <w:color w:val="auto"/>
                <w:lang w:val="en-GB"/>
              </w:rPr>
            </w:pPr>
            <w:r w:rsidRPr="000D268C">
              <w:rPr>
                <w:rFonts w:cstheme="minorHAnsi"/>
                <w:b w:val="0"/>
                <w:bCs w:val="0"/>
                <w:color w:val="auto"/>
                <w:lang w:val="en-GB"/>
              </w:rPr>
              <w:t>(applied to Q)</w:t>
            </w:r>
          </w:p>
        </w:tc>
        <w:tc>
          <w:tcPr>
            <w:tcW w:w="1843" w:type="dxa"/>
            <w:shd w:val="clear" w:color="auto" w:fill="FFFFFF" w:themeFill="background1"/>
          </w:tcPr>
          <w:p w14:paraId="7F2ED87F"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98.9%</w:t>
            </w:r>
          </w:p>
        </w:tc>
        <w:tc>
          <w:tcPr>
            <w:tcW w:w="1984" w:type="dxa"/>
            <w:shd w:val="clear" w:color="auto" w:fill="FFFFFF" w:themeFill="background1"/>
          </w:tcPr>
          <w:p w14:paraId="43347420"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1.000 (cu-α)</w:t>
            </w:r>
          </w:p>
        </w:tc>
        <w:tc>
          <w:tcPr>
            <w:tcW w:w="1690" w:type="dxa"/>
            <w:shd w:val="clear" w:color="auto" w:fill="FFFFFF" w:themeFill="background1"/>
          </w:tcPr>
          <w:p w14:paraId="4E57D05B"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0.995</w:t>
            </w:r>
          </w:p>
        </w:tc>
      </w:tr>
      <w:tr w:rsidR="00F813C3" w:rsidRPr="000D268C" w14:paraId="79FE75A9"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14:paraId="6C95A43F" w14:textId="77777777" w:rsidR="00F813C3" w:rsidRPr="000D268C" w:rsidRDefault="00F813C3" w:rsidP="002C54BF">
            <w:pPr>
              <w:rPr>
                <w:rFonts w:cstheme="minorHAnsi"/>
                <w:b w:val="0"/>
                <w:bCs w:val="0"/>
                <w:color w:val="auto"/>
                <w:lang w:val="en-GB"/>
              </w:rPr>
            </w:pPr>
            <w:r w:rsidRPr="000D268C">
              <w:rPr>
                <w:rFonts w:cstheme="minorHAnsi"/>
                <w:b w:val="0"/>
                <w:bCs w:val="0"/>
                <w:color w:val="auto"/>
                <w:lang w:val="en-GB"/>
              </w:rPr>
              <w:t xml:space="preserve">Claimant party </w:t>
            </w:r>
          </w:p>
          <w:p w14:paraId="43CAF594" w14:textId="77777777" w:rsidR="00F813C3" w:rsidRPr="000D268C" w:rsidRDefault="00F813C3" w:rsidP="002C54BF">
            <w:pPr>
              <w:rPr>
                <w:rFonts w:cstheme="minorHAnsi"/>
                <w:b w:val="0"/>
                <w:bCs w:val="0"/>
                <w:color w:val="auto"/>
                <w:lang w:val="en-GB"/>
              </w:rPr>
            </w:pPr>
            <w:r w:rsidRPr="000D268C">
              <w:rPr>
                <w:rFonts w:cstheme="minorHAnsi"/>
                <w:b w:val="0"/>
                <w:bCs w:val="0"/>
                <w:color w:val="auto"/>
                <w:lang w:val="en-GB"/>
              </w:rPr>
              <w:t>(applied to Q)</w:t>
            </w:r>
          </w:p>
        </w:tc>
        <w:tc>
          <w:tcPr>
            <w:tcW w:w="1843" w:type="dxa"/>
            <w:shd w:val="clear" w:color="auto" w:fill="FFFFFF" w:themeFill="background1"/>
          </w:tcPr>
          <w:p w14:paraId="5C3C0FCC"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97.6%</w:t>
            </w:r>
          </w:p>
        </w:tc>
        <w:tc>
          <w:tcPr>
            <w:tcW w:w="1984" w:type="dxa"/>
            <w:shd w:val="clear" w:color="auto" w:fill="FFFFFF" w:themeFill="background1"/>
          </w:tcPr>
          <w:p w14:paraId="0736E792"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0.984 (cu-α)</w:t>
            </w:r>
          </w:p>
        </w:tc>
        <w:tc>
          <w:tcPr>
            <w:tcW w:w="1690" w:type="dxa"/>
            <w:shd w:val="clear" w:color="auto" w:fill="FFFFFF" w:themeFill="background1"/>
          </w:tcPr>
          <w:p w14:paraId="605E7313"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0.995</w:t>
            </w:r>
          </w:p>
          <w:p w14:paraId="22719218"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p>
        </w:tc>
      </w:tr>
      <w:tr w:rsidR="00F813C3" w:rsidRPr="000D268C" w14:paraId="56F902BD" w14:textId="77777777" w:rsidTr="00F813C3">
        <w:tc>
          <w:tcPr>
            <w:cnfStyle w:val="001000000000" w:firstRow="0" w:lastRow="0" w:firstColumn="1" w:lastColumn="0" w:oddVBand="0" w:evenVBand="0" w:oddHBand="0" w:evenHBand="0" w:firstRowFirstColumn="0" w:firstRowLastColumn="0" w:lastRowFirstColumn="0" w:lastRowLastColumn="0"/>
            <w:tcW w:w="3539" w:type="dxa"/>
          </w:tcPr>
          <w:p w14:paraId="31F4D785" w14:textId="77777777" w:rsidR="00F813C3" w:rsidRPr="000D268C" w:rsidRDefault="00F813C3" w:rsidP="002C54BF">
            <w:pPr>
              <w:rPr>
                <w:rFonts w:cstheme="minorHAnsi"/>
                <w:color w:val="auto"/>
                <w:lang w:val="en-GB"/>
              </w:rPr>
            </w:pPr>
            <w:r w:rsidRPr="000D268C">
              <w:rPr>
                <w:rFonts w:cstheme="minorHAnsi"/>
                <w:b w:val="0"/>
                <w:bCs w:val="0"/>
                <w:color w:val="auto"/>
                <w:lang w:val="en-GB"/>
              </w:rPr>
              <w:t xml:space="preserve">Addressee function </w:t>
            </w:r>
          </w:p>
          <w:p w14:paraId="18FCDE5D" w14:textId="77777777" w:rsidR="00F813C3" w:rsidRPr="000D268C" w:rsidRDefault="00F813C3" w:rsidP="002C54BF">
            <w:pPr>
              <w:rPr>
                <w:rFonts w:cstheme="minorHAnsi"/>
                <w:b w:val="0"/>
                <w:bCs w:val="0"/>
                <w:color w:val="auto"/>
                <w:lang w:val="en-GB"/>
              </w:rPr>
            </w:pPr>
            <w:r w:rsidRPr="000D268C">
              <w:rPr>
                <w:rFonts w:cstheme="minorHAnsi"/>
                <w:b w:val="0"/>
                <w:bCs w:val="0"/>
                <w:color w:val="auto"/>
                <w:lang w:val="en-GB"/>
              </w:rPr>
              <w:t>(applied to Q&amp;A)</w:t>
            </w:r>
          </w:p>
        </w:tc>
        <w:tc>
          <w:tcPr>
            <w:tcW w:w="1843" w:type="dxa"/>
            <w:shd w:val="clear" w:color="auto" w:fill="FFFFFF" w:themeFill="background1"/>
          </w:tcPr>
          <w:p w14:paraId="37EB4F7B"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95.4%</w:t>
            </w:r>
          </w:p>
        </w:tc>
        <w:tc>
          <w:tcPr>
            <w:tcW w:w="1984" w:type="dxa"/>
            <w:shd w:val="clear" w:color="auto" w:fill="FFFFFF" w:themeFill="background1"/>
          </w:tcPr>
          <w:p w14:paraId="5954F647"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0.995 (Cu-α)</w:t>
            </w:r>
          </w:p>
        </w:tc>
        <w:tc>
          <w:tcPr>
            <w:tcW w:w="1690" w:type="dxa"/>
            <w:shd w:val="clear" w:color="auto" w:fill="FFFFFF" w:themeFill="background1"/>
          </w:tcPr>
          <w:p w14:paraId="2B78DE68"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0.904</w:t>
            </w:r>
          </w:p>
        </w:tc>
      </w:tr>
      <w:tr w:rsidR="00F813C3" w:rsidRPr="000D268C" w14:paraId="52E52DD9"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14:paraId="29EAE706" w14:textId="77777777" w:rsidR="00F813C3" w:rsidRPr="000D268C" w:rsidRDefault="00F813C3" w:rsidP="002C54BF">
            <w:pPr>
              <w:rPr>
                <w:rFonts w:cstheme="minorHAnsi"/>
                <w:b w:val="0"/>
                <w:bCs w:val="0"/>
                <w:color w:val="auto"/>
                <w:lang w:val="en-GB"/>
              </w:rPr>
            </w:pPr>
            <w:r w:rsidRPr="000D268C">
              <w:rPr>
                <w:rFonts w:cstheme="minorHAnsi"/>
                <w:b w:val="0"/>
                <w:bCs w:val="0"/>
                <w:color w:val="auto"/>
                <w:lang w:val="en-GB"/>
              </w:rPr>
              <w:t xml:space="preserve">Issue </w:t>
            </w:r>
          </w:p>
          <w:p w14:paraId="33ADAD45" w14:textId="77777777" w:rsidR="00F813C3" w:rsidRPr="000D268C" w:rsidRDefault="00F813C3" w:rsidP="002C54BF">
            <w:pPr>
              <w:rPr>
                <w:rFonts w:cstheme="minorHAnsi"/>
                <w:b w:val="0"/>
                <w:bCs w:val="0"/>
                <w:color w:val="auto"/>
                <w:lang w:val="en-GB"/>
              </w:rPr>
            </w:pPr>
            <w:r w:rsidRPr="000D268C">
              <w:rPr>
                <w:rFonts w:cstheme="minorHAnsi"/>
                <w:b w:val="0"/>
                <w:bCs w:val="0"/>
                <w:color w:val="auto"/>
                <w:lang w:val="en-GB"/>
              </w:rPr>
              <w:t>(applied to Q&amp;A)</w:t>
            </w:r>
          </w:p>
        </w:tc>
        <w:tc>
          <w:tcPr>
            <w:tcW w:w="1843" w:type="dxa"/>
            <w:shd w:val="clear" w:color="auto" w:fill="FFFFFF" w:themeFill="background1"/>
          </w:tcPr>
          <w:p w14:paraId="28DCEC9C"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82.3%</w:t>
            </w:r>
          </w:p>
        </w:tc>
        <w:tc>
          <w:tcPr>
            <w:tcW w:w="1984" w:type="dxa"/>
            <w:shd w:val="clear" w:color="auto" w:fill="FFFFFF" w:themeFill="background1"/>
          </w:tcPr>
          <w:p w14:paraId="3E6DED85"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0.792 (Cu-α)</w:t>
            </w:r>
          </w:p>
        </w:tc>
        <w:tc>
          <w:tcPr>
            <w:tcW w:w="1690" w:type="dxa"/>
            <w:shd w:val="clear" w:color="auto" w:fill="FFFFFF" w:themeFill="background1"/>
          </w:tcPr>
          <w:p w14:paraId="1A3DE0C9"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0.904</w:t>
            </w:r>
          </w:p>
        </w:tc>
      </w:tr>
      <w:tr w:rsidR="00F813C3" w:rsidRPr="000D268C" w14:paraId="1E309D13" w14:textId="77777777" w:rsidTr="00F813C3">
        <w:tc>
          <w:tcPr>
            <w:cnfStyle w:val="001000000000" w:firstRow="0" w:lastRow="0" w:firstColumn="1" w:lastColumn="0" w:oddVBand="0" w:evenVBand="0" w:oddHBand="0" w:evenHBand="0" w:firstRowFirstColumn="0" w:firstRowLastColumn="0" w:lastRowFirstColumn="0" w:lastRowLastColumn="0"/>
            <w:tcW w:w="3539" w:type="dxa"/>
          </w:tcPr>
          <w:p w14:paraId="3D1CCBD4" w14:textId="77777777" w:rsidR="00F813C3" w:rsidRPr="000D268C" w:rsidRDefault="00F813C3" w:rsidP="002C54BF">
            <w:pPr>
              <w:rPr>
                <w:rFonts w:cstheme="minorHAnsi"/>
                <w:b w:val="0"/>
                <w:bCs w:val="0"/>
                <w:color w:val="auto"/>
                <w:lang w:val="en-GB"/>
              </w:rPr>
            </w:pPr>
            <w:r w:rsidRPr="000D268C">
              <w:rPr>
                <w:rFonts w:cstheme="minorHAnsi"/>
                <w:b w:val="0"/>
                <w:bCs w:val="0"/>
                <w:color w:val="auto"/>
                <w:lang w:val="en-GB"/>
              </w:rPr>
              <w:t>Initial question</w:t>
            </w:r>
          </w:p>
          <w:p w14:paraId="14C4505F" w14:textId="77777777" w:rsidR="00F813C3" w:rsidRPr="000D268C" w:rsidRDefault="00F813C3" w:rsidP="002C54BF">
            <w:pPr>
              <w:rPr>
                <w:rFonts w:cstheme="minorHAnsi"/>
                <w:b w:val="0"/>
                <w:bCs w:val="0"/>
                <w:color w:val="auto"/>
                <w:lang w:val="en-GB"/>
              </w:rPr>
            </w:pPr>
            <w:r w:rsidRPr="000D268C">
              <w:rPr>
                <w:rFonts w:cstheme="minorHAnsi"/>
                <w:b w:val="0"/>
                <w:bCs w:val="0"/>
                <w:color w:val="auto"/>
                <w:lang w:val="en-GB"/>
              </w:rPr>
              <w:t>(applied to Q)</w:t>
            </w:r>
          </w:p>
        </w:tc>
        <w:tc>
          <w:tcPr>
            <w:tcW w:w="1843" w:type="dxa"/>
            <w:shd w:val="clear" w:color="auto" w:fill="FFFFFF" w:themeFill="background1"/>
          </w:tcPr>
          <w:p w14:paraId="4A4C0382"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71.8%</w:t>
            </w:r>
          </w:p>
        </w:tc>
        <w:tc>
          <w:tcPr>
            <w:tcW w:w="1984" w:type="dxa"/>
            <w:shd w:val="clear" w:color="auto" w:fill="FFFFFF" w:themeFill="background1"/>
          </w:tcPr>
          <w:p w14:paraId="612F7881"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0.771 (cu-α)</w:t>
            </w:r>
          </w:p>
        </w:tc>
        <w:tc>
          <w:tcPr>
            <w:tcW w:w="1690" w:type="dxa"/>
            <w:shd w:val="clear" w:color="auto" w:fill="FFFFFF" w:themeFill="background1"/>
          </w:tcPr>
          <w:p w14:paraId="752EC460"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0.909</w:t>
            </w:r>
          </w:p>
        </w:tc>
      </w:tr>
      <w:tr w:rsidR="00F813C3" w:rsidRPr="000D268C" w14:paraId="33DEC25A"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14:paraId="4A06A1AB" w14:textId="77777777" w:rsidR="00F813C3" w:rsidRPr="000D268C" w:rsidRDefault="00F813C3" w:rsidP="002C54BF">
            <w:pPr>
              <w:rPr>
                <w:rFonts w:cstheme="minorHAnsi"/>
                <w:b w:val="0"/>
                <w:bCs w:val="0"/>
                <w:color w:val="auto"/>
                <w:lang w:val="en-GB"/>
              </w:rPr>
            </w:pPr>
            <w:proofErr w:type="spellStart"/>
            <w:r w:rsidRPr="000D268C">
              <w:rPr>
                <w:rFonts w:cstheme="minorHAnsi"/>
                <w:b w:val="0"/>
                <w:bCs w:val="0"/>
                <w:color w:val="auto"/>
                <w:lang w:val="en-GB"/>
              </w:rPr>
              <w:t>Response_Explicit</w:t>
            </w:r>
            <w:proofErr w:type="spellEnd"/>
          </w:p>
          <w:p w14:paraId="7B74E6B3" w14:textId="77777777" w:rsidR="00F813C3" w:rsidRPr="000D268C" w:rsidRDefault="00F813C3" w:rsidP="002C54BF">
            <w:pPr>
              <w:rPr>
                <w:rFonts w:cstheme="minorHAnsi"/>
                <w:b w:val="0"/>
                <w:bCs w:val="0"/>
                <w:color w:val="auto"/>
                <w:lang w:val="en-GB"/>
              </w:rPr>
            </w:pPr>
            <w:r w:rsidRPr="000D268C">
              <w:rPr>
                <w:rFonts w:cstheme="minorHAnsi"/>
                <w:b w:val="0"/>
                <w:bCs w:val="0"/>
                <w:color w:val="auto"/>
                <w:lang w:val="en-GB"/>
              </w:rPr>
              <w:t>(applied to A)</w:t>
            </w:r>
          </w:p>
        </w:tc>
        <w:tc>
          <w:tcPr>
            <w:tcW w:w="1843" w:type="dxa"/>
            <w:shd w:val="clear" w:color="auto" w:fill="FFFFFF" w:themeFill="background1"/>
          </w:tcPr>
          <w:p w14:paraId="4EC3491A"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78.8%</w:t>
            </w:r>
          </w:p>
        </w:tc>
        <w:tc>
          <w:tcPr>
            <w:tcW w:w="1984" w:type="dxa"/>
            <w:shd w:val="clear" w:color="auto" w:fill="FFFFFF" w:themeFill="background1"/>
          </w:tcPr>
          <w:p w14:paraId="34D84FD3"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0.769 (Cu-α)</w:t>
            </w:r>
          </w:p>
        </w:tc>
        <w:tc>
          <w:tcPr>
            <w:tcW w:w="1690" w:type="dxa"/>
            <w:shd w:val="clear" w:color="auto" w:fill="FFFFFF" w:themeFill="background1"/>
          </w:tcPr>
          <w:p w14:paraId="697B2246"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0.909</w:t>
            </w:r>
          </w:p>
        </w:tc>
      </w:tr>
      <w:tr w:rsidR="00F813C3" w:rsidRPr="000D268C" w14:paraId="5FEE8B33" w14:textId="77777777" w:rsidTr="00F813C3">
        <w:tc>
          <w:tcPr>
            <w:cnfStyle w:val="001000000000" w:firstRow="0" w:lastRow="0" w:firstColumn="1" w:lastColumn="0" w:oddVBand="0" w:evenVBand="0" w:oddHBand="0" w:evenHBand="0" w:firstRowFirstColumn="0" w:firstRowLastColumn="0" w:lastRowFirstColumn="0" w:lastRowLastColumn="0"/>
            <w:tcW w:w="3539" w:type="dxa"/>
          </w:tcPr>
          <w:p w14:paraId="03D2D842" w14:textId="77777777" w:rsidR="00F813C3" w:rsidRPr="000D268C" w:rsidRDefault="00F813C3" w:rsidP="002C54BF">
            <w:pPr>
              <w:rPr>
                <w:rFonts w:cstheme="minorHAnsi"/>
                <w:b w:val="0"/>
                <w:bCs w:val="0"/>
                <w:color w:val="auto"/>
                <w:lang w:val="en-GB"/>
              </w:rPr>
            </w:pPr>
            <w:proofErr w:type="spellStart"/>
            <w:r w:rsidRPr="000D268C">
              <w:rPr>
                <w:rFonts w:cstheme="minorHAnsi"/>
                <w:b w:val="0"/>
                <w:bCs w:val="0"/>
                <w:color w:val="auto"/>
                <w:lang w:val="en-GB"/>
              </w:rPr>
              <w:t>Response_Intermediate</w:t>
            </w:r>
            <w:proofErr w:type="spellEnd"/>
          </w:p>
          <w:p w14:paraId="4ABEFC1F" w14:textId="77777777" w:rsidR="00F813C3" w:rsidRPr="000D268C" w:rsidRDefault="00F813C3" w:rsidP="002C54BF">
            <w:pPr>
              <w:rPr>
                <w:rFonts w:cstheme="minorHAnsi"/>
                <w:b w:val="0"/>
                <w:bCs w:val="0"/>
                <w:color w:val="auto"/>
                <w:lang w:val="en-GB"/>
              </w:rPr>
            </w:pPr>
            <w:r w:rsidRPr="000D268C">
              <w:rPr>
                <w:rFonts w:cstheme="minorHAnsi"/>
                <w:b w:val="0"/>
                <w:bCs w:val="0"/>
                <w:color w:val="auto"/>
                <w:lang w:val="en-GB"/>
              </w:rPr>
              <w:t>(applied to A)</w:t>
            </w:r>
          </w:p>
        </w:tc>
        <w:tc>
          <w:tcPr>
            <w:tcW w:w="1843" w:type="dxa"/>
            <w:shd w:val="clear" w:color="auto" w:fill="FFFFFF" w:themeFill="background1"/>
          </w:tcPr>
          <w:p w14:paraId="1BDB082E"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76.8%</w:t>
            </w:r>
          </w:p>
        </w:tc>
        <w:tc>
          <w:tcPr>
            <w:tcW w:w="1984" w:type="dxa"/>
            <w:shd w:val="clear" w:color="auto" w:fill="FFFFFF" w:themeFill="background1"/>
          </w:tcPr>
          <w:p w14:paraId="3CD59B29"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0.858 (Cu-α)</w:t>
            </w:r>
          </w:p>
        </w:tc>
        <w:tc>
          <w:tcPr>
            <w:tcW w:w="1690" w:type="dxa"/>
            <w:shd w:val="clear" w:color="auto" w:fill="FFFFFF" w:themeFill="background1"/>
          </w:tcPr>
          <w:p w14:paraId="69AE548D"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0.906</w:t>
            </w:r>
          </w:p>
        </w:tc>
      </w:tr>
      <w:tr w:rsidR="00F813C3" w:rsidRPr="000D268C" w14:paraId="77CC09D4" w14:textId="77777777" w:rsidTr="00F813C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39" w:type="dxa"/>
          </w:tcPr>
          <w:p w14:paraId="5D5F0588" w14:textId="77777777" w:rsidR="00F813C3" w:rsidRPr="000D268C" w:rsidRDefault="00F813C3" w:rsidP="002C54BF">
            <w:pPr>
              <w:rPr>
                <w:rFonts w:cstheme="minorHAnsi"/>
                <w:b w:val="0"/>
                <w:bCs w:val="0"/>
                <w:color w:val="auto"/>
                <w:lang w:val="en-GB"/>
              </w:rPr>
            </w:pPr>
            <w:proofErr w:type="spellStart"/>
            <w:r w:rsidRPr="000D268C">
              <w:rPr>
                <w:rFonts w:cstheme="minorHAnsi"/>
                <w:b w:val="0"/>
                <w:bCs w:val="0"/>
                <w:color w:val="auto"/>
                <w:lang w:val="en-GB"/>
              </w:rPr>
              <w:t>Response_Non</w:t>
            </w:r>
            <w:proofErr w:type="spellEnd"/>
            <w:r w:rsidRPr="000D268C">
              <w:rPr>
                <w:rFonts w:cstheme="minorHAnsi"/>
                <w:b w:val="0"/>
                <w:bCs w:val="0"/>
                <w:color w:val="auto"/>
                <w:lang w:val="en-GB"/>
              </w:rPr>
              <w:t>-reply</w:t>
            </w:r>
          </w:p>
          <w:p w14:paraId="216422BA" w14:textId="77777777" w:rsidR="00F813C3" w:rsidRPr="000D268C" w:rsidRDefault="00F813C3" w:rsidP="002C54BF">
            <w:pPr>
              <w:rPr>
                <w:rFonts w:cstheme="minorHAnsi"/>
                <w:b w:val="0"/>
                <w:bCs w:val="0"/>
                <w:color w:val="auto"/>
                <w:lang w:val="en-GB"/>
              </w:rPr>
            </w:pPr>
            <w:r w:rsidRPr="000D268C">
              <w:rPr>
                <w:rFonts w:cstheme="minorHAnsi"/>
                <w:b w:val="0"/>
                <w:bCs w:val="0"/>
                <w:color w:val="auto"/>
                <w:lang w:val="en-GB"/>
              </w:rPr>
              <w:t>(applied to A)</w:t>
            </w:r>
          </w:p>
        </w:tc>
        <w:tc>
          <w:tcPr>
            <w:tcW w:w="1843" w:type="dxa"/>
            <w:shd w:val="clear" w:color="auto" w:fill="FFFFFF" w:themeFill="background1"/>
          </w:tcPr>
          <w:p w14:paraId="1994F7C3"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78.3%</w:t>
            </w:r>
          </w:p>
        </w:tc>
        <w:tc>
          <w:tcPr>
            <w:tcW w:w="1984" w:type="dxa"/>
            <w:shd w:val="clear" w:color="auto" w:fill="FFFFFF" w:themeFill="background1"/>
          </w:tcPr>
          <w:p w14:paraId="02F1C48B"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0.874 (Cu-α)</w:t>
            </w:r>
          </w:p>
        </w:tc>
        <w:tc>
          <w:tcPr>
            <w:tcW w:w="1690" w:type="dxa"/>
            <w:shd w:val="clear" w:color="auto" w:fill="FFFFFF" w:themeFill="background1"/>
          </w:tcPr>
          <w:p w14:paraId="100DADAA"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cstheme="minorHAnsi"/>
                <w:lang w:val="en-GB"/>
              </w:rPr>
            </w:pPr>
            <w:r w:rsidRPr="000D268C">
              <w:rPr>
                <w:rFonts w:cstheme="minorHAnsi"/>
                <w:lang w:val="en-GB"/>
              </w:rPr>
              <w:t>0.928</w:t>
            </w:r>
          </w:p>
        </w:tc>
      </w:tr>
      <w:tr w:rsidR="00F813C3" w:rsidRPr="000D268C" w14:paraId="1BF4EC8C" w14:textId="77777777" w:rsidTr="00F813C3">
        <w:tc>
          <w:tcPr>
            <w:cnfStyle w:val="001000000000" w:firstRow="0" w:lastRow="0" w:firstColumn="1" w:lastColumn="0" w:oddVBand="0" w:evenVBand="0" w:oddHBand="0" w:evenHBand="0" w:firstRowFirstColumn="0" w:firstRowLastColumn="0" w:lastRowFirstColumn="0" w:lastRowLastColumn="0"/>
            <w:tcW w:w="3539" w:type="dxa"/>
          </w:tcPr>
          <w:p w14:paraId="69A20E43" w14:textId="77777777" w:rsidR="00F813C3" w:rsidRPr="000D268C" w:rsidRDefault="00F813C3" w:rsidP="002C54BF">
            <w:pPr>
              <w:rPr>
                <w:rFonts w:cstheme="minorHAnsi"/>
                <w:b w:val="0"/>
                <w:bCs w:val="0"/>
                <w:color w:val="auto"/>
                <w:lang w:val="en-GB"/>
              </w:rPr>
            </w:pPr>
            <w:r w:rsidRPr="000D268C">
              <w:rPr>
                <w:rFonts w:cstheme="minorHAnsi"/>
                <w:b w:val="0"/>
                <w:bCs w:val="0"/>
                <w:color w:val="auto"/>
                <w:lang w:val="en-GB"/>
              </w:rPr>
              <w:t>Follow-</w:t>
            </w:r>
            <w:proofErr w:type="spellStart"/>
            <w:r w:rsidRPr="000D268C">
              <w:rPr>
                <w:rFonts w:cstheme="minorHAnsi"/>
                <w:b w:val="0"/>
                <w:bCs w:val="0"/>
                <w:color w:val="auto"/>
                <w:lang w:val="en-GB"/>
              </w:rPr>
              <w:t>up_Continue</w:t>
            </w:r>
            <w:proofErr w:type="spellEnd"/>
            <w:r w:rsidRPr="000D268C">
              <w:rPr>
                <w:rFonts w:cstheme="minorHAnsi"/>
                <w:b w:val="0"/>
                <w:bCs w:val="0"/>
                <w:color w:val="auto"/>
                <w:lang w:val="en-GB"/>
              </w:rPr>
              <w:t xml:space="preserve"> demands (applied to Q)</w:t>
            </w:r>
          </w:p>
        </w:tc>
        <w:tc>
          <w:tcPr>
            <w:tcW w:w="1843" w:type="dxa"/>
            <w:shd w:val="clear" w:color="auto" w:fill="FFFFFF" w:themeFill="background1"/>
          </w:tcPr>
          <w:p w14:paraId="090A111C"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81.2%</w:t>
            </w:r>
          </w:p>
        </w:tc>
        <w:tc>
          <w:tcPr>
            <w:tcW w:w="1984" w:type="dxa"/>
            <w:shd w:val="clear" w:color="auto" w:fill="FFFFFF" w:themeFill="background1"/>
          </w:tcPr>
          <w:p w14:paraId="623F20CF"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0.884 (cu-α)</w:t>
            </w:r>
          </w:p>
        </w:tc>
        <w:tc>
          <w:tcPr>
            <w:tcW w:w="1690" w:type="dxa"/>
            <w:shd w:val="clear" w:color="auto" w:fill="FFFFFF" w:themeFill="background1"/>
          </w:tcPr>
          <w:p w14:paraId="2ADA8389"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cstheme="minorHAnsi"/>
                <w:lang w:val="en-GB"/>
              </w:rPr>
            </w:pPr>
            <w:r w:rsidRPr="000D268C">
              <w:rPr>
                <w:rFonts w:cstheme="minorHAnsi"/>
                <w:lang w:val="en-GB"/>
              </w:rPr>
              <w:t>0.927</w:t>
            </w:r>
          </w:p>
        </w:tc>
      </w:tr>
    </w:tbl>
    <w:p w14:paraId="1E237F2B" w14:textId="77777777" w:rsidR="00F813C3" w:rsidRPr="000D268C" w:rsidRDefault="00F813C3" w:rsidP="002C54BF">
      <w:pPr>
        <w:spacing w:line="480" w:lineRule="auto"/>
        <w:jc w:val="both"/>
        <w:rPr>
          <w:rFonts w:eastAsia="Times New Roman" w:cstheme="minorHAnsi"/>
          <w:sz w:val="22"/>
          <w:szCs w:val="22"/>
          <w:lang w:val="en-GB" w:eastAsia="en-GB"/>
        </w:rPr>
      </w:pPr>
      <w:r w:rsidRPr="000D268C">
        <w:rPr>
          <w:rFonts w:cstheme="minorHAnsi"/>
          <w:sz w:val="22"/>
          <w:szCs w:val="22"/>
          <w:lang w:val="en-GB"/>
        </w:rPr>
        <w:t>*For some semantic domains, the cu-α could not be calculated because the sub-codes were not mutually exclusive. This is especially common in answers that respond to multiple questions evasively; several codes are assigned to the same quotation. To guarantee the accuracy of the results, the calculation of Cu-α was applied only within semantic domains and not to all codes together. This ensured that where applicable,</w:t>
      </w:r>
      <w:r w:rsidRPr="000D268C">
        <w:rPr>
          <w:rFonts w:eastAsia="Times New Roman" w:cstheme="minorHAnsi"/>
          <w:sz w:val="22"/>
          <w:szCs w:val="22"/>
          <w:lang w:val="en-GB" w:eastAsia="en-GB"/>
        </w:rPr>
        <w:t xml:space="preserve"> cu-</w:t>
      </w:r>
      <w:r w:rsidRPr="000D268C">
        <w:rPr>
          <w:rFonts w:ascii="Cambria Math" w:eastAsia="Times New Roman" w:hAnsi="Cambria Math" w:cs="Cambria Math"/>
          <w:sz w:val="22"/>
          <w:szCs w:val="22"/>
          <w:lang w:val="en-GB" w:eastAsia="en-GB"/>
        </w:rPr>
        <w:t>⍺</w:t>
      </w:r>
      <w:r w:rsidRPr="000D268C">
        <w:rPr>
          <w:rFonts w:eastAsia="Times New Roman" w:cstheme="minorHAnsi"/>
          <w:sz w:val="22"/>
          <w:szCs w:val="22"/>
          <w:lang w:val="en-GB" w:eastAsia="en-GB"/>
        </w:rPr>
        <w:t>=Cu-</w:t>
      </w:r>
      <w:r w:rsidRPr="000D268C">
        <w:rPr>
          <w:rFonts w:ascii="Cambria Math" w:eastAsia="Times New Roman" w:hAnsi="Cambria Math" w:cs="Cambria Math"/>
          <w:sz w:val="22"/>
          <w:szCs w:val="22"/>
          <w:lang w:val="en-GB" w:eastAsia="en-GB"/>
        </w:rPr>
        <w:t>⍺</w:t>
      </w:r>
      <w:r w:rsidRPr="000D268C">
        <w:rPr>
          <w:rFonts w:eastAsia="Times New Roman" w:cstheme="minorHAnsi"/>
          <w:sz w:val="22"/>
          <w:szCs w:val="22"/>
          <w:lang w:val="en-GB" w:eastAsia="en-GB"/>
        </w:rPr>
        <w:t>.</w:t>
      </w:r>
    </w:p>
    <w:p w14:paraId="52D252F6" w14:textId="77777777" w:rsidR="00F813C3" w:rsidRPr="000D268C" w:rsidRDefault="00F813C3" w:rsidP="002C54BF">
      <w:pPr>
        <w:spacing w:line="480" w:lineRule="auto"/>
        <w:jc w:val="both"/>
        <w:rPr>
          <w:rFonts w:eastAsia="Times New Roman" w:cstheme="minorHAnsi"/>
          <w:lang w:val="en-GB" w:eastAsia="en-GB"/>
        </w:rPr>
      </w:pPr>
    </w:p>
    <w:p w14:paraId="69C58600" w14:textId="0DA92E16" w:rsidR="00F813C3" w:rsidRPr="000D268C" w:rsidRDefault="00F813C3" w:rsidP="002C54BF">
      <w:pPr>
        <w:spacing w:line="480" w:lineRule="auto"/>
        <w:jc w:val="both"/>
        <w:rPr>
          <w:rFonts w:eastAsia="Times New Roman" w:cstheme="minorHAnsi"/>
          <w:lang w:val="en-GB" w:eastAsia="en-GB"/>
        </w:rPr>
      </w:pPr>
      <w:r w:rsidRPr="000D268C">
        <w:rPr>
          <w:rFonts w:eastAsia="Times New Roman" w:cstheme="minorHAnsi"/>
          <w:lang w:val="en-GB" w:eastAsia="en-GB"/>
        </w:rPr>
        <w:t xml:space="preserve">First, we can observe very high values for the ICA coefficients in the case of descriptive variables: the year, source, claimant nationality, and claimant party. This is to be expected, </w:t>
      </w:r>
      <w:r w:rsidRPr="000D268C">
        <w:rPr>
          <w:rFonts w:eastAsia="Times New Roman" w:cstheme="minorHAnsi"/>
          <w:lang w:val="en-GB" w:eastAsia="en-GB"/>
        </w:rPr>
        <w:lastRenderedPageBreak/>
        <w:t xml:space="preserve">since these variables are about fact-checking. Moreover, we also see high values for </w:t>
      </w:r>
      <w:r w:rsidR="00355E94" w:rsidRPr="000D268C">
        <w:rPr>
          <w:rFonts w:eastAsia="Times New Roman" w:cstheme="minorHAnsi"/>
          <w:lang w:val="en-GB" w:eastAsia="en-GB"/>
        </w:rPr>
        <w:t>‘</w:t>
      </w:r>
      <w:r w:rsidRPr="000D268C">
        <w:rPr>
          <w:rFonts w:eastAsia="Times New Roman" w:cstheme="minorHAnsi"/>
          <w:lang w:val="en-GB" w:eastAsia="en-GB"/>
        </w:rPr>
        <w:t>claimant function</w:t>
      </w:r>
      <w:r w:rsidR="00355E94" w:rsidRPr="000D268C">
        <w:rPr>
          <w:rFonts w:eastAsia="Times New Roman" w:cstheme="minorHAnsi"/>
          <w:lang w:val="en-GB" w:eastAsia="en-GB"/>
        </w:rPr>
        <w:t>’</w:t>
      </w:r>
      <w:r w:rsidRPr="000D268C">
        <w:rPr>
          <w:rFonts w:eastAsia="Times New Roman" w:cstheme="minorHAnsi"/>
          <w:lang w:val="en-GB" w:eastAsia="en-GB"/>
        </w:rPr>
        <w:t xml:space="preserve"> and </w:t>
      </w:r>
      <w:r w:rsidR="00355E94" w:rsidRPr="000D268C">
        <w:rPr>
          <w:rFonts w:eastAsia="Times New Roman" w:cstheme="minorHAnsi"/>
          <w:lang w:val="en-GB" w:eastAsia="en-GB"/>
        </w:rPr>
        <w:t>‘</w:t>
      </w:r>
      <w:r w:rsidRPr="000D268C">
        <w:rPr>
          <w:rFonts w:eastAsia="Times New Roman" w:cstheme="minorHAnsi"/>
          <w:lang w:val="en-GB" w:eastAsia="en-GB"/>
        </w:rPr>
        <w:t>addressee function</w:t>
      </w:r>
      <w:r w:rsidR="00355E94" w:rsidRPr="000D268C">
        <w:rPr>
          <w:rFonts w:eastAsia="Times New Roman" w:cstheme="minorHAnsi"/>
          <w:lang w:val="en-GB" w:eastAsia="en-GB"/>
        </w:rPr>
        <w:t>’</w:t>
      </w:r>
      <w:r w:rsidRPr="000D268C">
        <w:rPr>
          <w:rFonts w:eastAsia="Times New Roman" w:cstheme="minorHAnsi"/>
          <w:lang w:val="en-GB" w:eastAsia="en-GB"/>
        </w:rPr>
        <w:t xml:space="preserve">, meaning that the text that corresponds to questions and those that corresponds to answers is unambiguous within the documents. Indeed, Q&amp;A come in separate documents and are marked visually by numbering or verbal descriptors, e.g. </w:t>
      </w:r>
      <w:r w:rsidR="00355E94" w:rsidRPr="000D268C">
        <w:rPr>
          <w:rFonts w:eastAsia="Times New Roman" w:cstheme="minorHAnsi"/>
          <w:lang w:val="en-GB" w:eastAsia="en-GB"/>
        </w:rPr>
        <w:t>‘</w:t>
      </w:r>
      <w:r w:rsidRPr="000D268C">
        <w:rPr>
          <w:rFonts w:eastAsia="Times New Roman" w:cstheme="minorHAnsi"/>
          <w:lang w:val="en-GB" w:eastAsia="en-GB"/>
        </w:rPr>
        <w:t>my first question…</w:t>
      </w:r>
      <w:r w:rsidR="00355E94" w:rsidRPr="000D268C">
        <w:rPr>
          <w:rFonts w:eastAsia="Times New Roman" w:cstheme="minorHAnsi"/>
          <w:lang w:val="en-GB" w:eastAsia="en-GB"/>
        </w:rPr>
        <w:t>’</w:t>
      </w:r>
      <w:r w:rsidRPr="000D268C">
        <w:rPr>
          <w:rFonts w:eastAsia="Times New Roman" w:cstheme="minorHAnsi"/>
          <w:lang w:val="en-GB" w:eastAsia="en-GB"/>
        </w:rPr>
        <w:t xml:space="preserve">, </w:t>
      </w:r>
      <w:r w:rsidR="00355E94" w:rsidRPr="000D268C">
        <w:rPr>
          <w:rFonts w:eastAsia="Times New Roman" w:cstheme="minorHAnsi"/>
          <w:lang w:val="en-GB" w:eastAsia="en-GB"/>
        </w:rPr>
        <w:t>‘</w:t>
      </w:r>
      <w:r w:rsidRPr="000D268C">
        <w:rPr>
          <w:rFonts w:eastAsia="Times New Roman" w:cstheme="minorHAnsi"/>
          <w:lang w:val="en-GB" w:eastAsia="en-GB"/>
        </w:rPr>
        <w:t>with regard to your second question…</w:t>
      </w:r>
      <w:r w:rsidR="00355E94" w:rsidRPr="000D268C">
        <w:rPr>
          <w:rFonts w:eastAsia="Times New Roman" w:cstheme="minorHAnsi"/>
          <w:lang w:val="en-GB" w:eastAsia="en-GB"/>
        </w:rPr>
        <w:t>’</w:t>
      </w:r>
      <w:r w:rsidR="0010531E" w:rsidRPr="000D268C">
        <w:rPr>
          <w:rFonts w:eastAsia="Times New Roman" w:cstheme="minorHAnsi"/>
          <w:lang w:val="en-GB" w:eastAsia="en-GB"/>
        </w:rPr>
        <w:t>, etc.</w:t>
      </w:r>
    </w:p>
    <w:p w14:paraId="59B297A6" w14:textId="786090BF" w:rsidR="00F813C3" w:rsidRPr="000D268C" w:rsidRDefault="00F813C3" w:rsidP="002C54BF">
      <w:pPr>
        <w:spacing w:line="480" w:lineRule="auto"/>
        <w:ind w:firstLine="720"/>
        <w:jc w:val="both"/>
        <w:rPr>
          <w:rFonts w:eastAsia="Times New Roman" w:cstheme="minorHAnsi"/>
          <w:lang w:val="en-GB" w:eastAsia="en-GB"/>
        </w:rPr>
      </w:pPr>
      <w:r w:rsidRPr="000D268C">
        <w:rPr>
          <w:rFonts w:eastAsia="Times New Roman" w:cstheme="minorHAnsi"/>
          <w:lang w:val="en-GB" w:eastAsia="en-GB"/>
        </w:rPr>
        <w:t xml:space="preserve">What is subject to interpretation are the variables </w:t>
      </w:r>
      <w:r w:rsidR="00355E94" w:rsidRPr="000D268C">
        <w:rPr>
          <w:rFonts w:eastAsia="Times New Roman" w:cstheme="minorHAnsi"/>
          <w:lang w:val="en-GB" w:eastAsia="en-GB"/>
        </w:rPr>
        <w:t>‘</w:t>
      </w:r>
      <w:r w:rsidRPr="000D268C">
        <w:rPr>
          <w:rFonts w:eastAsia="Times New Roman" w:cstheme="minorHAnsi"/>
          <w:lang w:val="en-GB" w:eastAsia="en-GB"/>
        </w:rPr>
        <w:t>issue</w:t>
      </w:r>
      <w:r w:rsidR="00355E94" w:rsidRPr="000D268C">
        <w:rPr>
          <w:rFonts w:eastAsia="Times New Roman" w:cstheme="minorHAnsi"/>
          <w:lang w:val="en-GB" w:eastAsia="en-GB"/>
        </w:rPr>
        <w:t>’</w:t>
      </w:r>
      <w:r w:rsidRPr="000D268C">
        <w:rPr>
          <w:rFonts w:eastAsia="Times New Roman" w:cstheme="minorHAnsi"/>
          <w:lang w:val="en-GB" w:eastAsia="en-GB"/>
        </w:rPr>
        <w:t xml:space="preserve"> and the substantive classification of Q&amp;A according to the claim analysis approach. The table below illustrates the number of agreements between coders on each category:</w:t>
      </w:r>
    </w:p>
    <w:tbl>
      <w:tblPr>
        <w:tblStyle w:val="GridTable5Dark-Accent3"/>
        <w:tblW w:w="9066" w:type="dxa"/>
        <w:tblLayout w:type="fixed"/>
        <w:tblLook w:val="04A0" w:firstRow="1" w:lastRow="0" w:firstColumn="1" w:lastColumn="0" w:noHBand="0" w:noVBand="1"/>
      </w:tblPr>
      <w:tblGrid>
        <w:gridCol w:w="3396"/>
        <w:gridCol w:w="1417"/>
        <w:gridCol w:w="1418"/>
        <w:gridCol w:w="1417"/>
        <w:gridCol w:w="1418"/>
      </w:tblGrid>
      <w:tr w:rsidR="002C54BF" w:rsidRPr="000D268C" w14:paraId="58E0D521" w14:textId="77777777" w:rsidTr="0010531E">
        <w:trPr>
          <w:cnfStyle w:val="100000000000" w:firstRow="1" w:lastRow="0" w:firstColumn="0" w:lastColumn="0" w:oddVBand="0" w:evenVBand="0" w:oddHBand="0"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3397" w:type="dxa"/>
            <w:vMerge w:val="restart"/>
            <w:noWrap/>
            <w:hideMark/>
          </w:tcPr>
          <w:p w14:paraId="01BD369E" w14:textId="5CB78783" w:rsidR="00F813C3" w:rsidRPr="000D268C" w:rsidRDefault="00F813C3" w:rsidP="002C54BF">
            <w:pPr>
              <w:rPr>
                <w:rFonts w:eastAsia="Times New Roman" w:cstheme="minorHAnsi"/>
                <w:b w:val="0"/>
                <w:bCs w:val="0"/>
                <w:i/>
                <w:iCs/>
                <w:color w:val="auto"/>
                <w:lang w:val="en-GB" w:eastAsia="en-GB"/>
              </w:rPr>
            </w:pPr>
            <w:r w:rsidRPr="000D268C">
              <w:rPr>
                <w:rFonts w:eastAsia="Times New Roman" w:cstheme="minorHAnsi"/>
                <w:color w:val="auto"/>
                <w:lang w:val="en-GB" w:eastAsia="en-GB"/>
              </w:rPr>
              <w:t>Semantic domains/code groupings</w:t>
            </w:r>
          </w:p>
          <w:p w14:paraId="52E4F595" w14:textId="77777777" w:rsidR="00F813C3" w:rsidRPr="000D268C" w:rsidRDefault="00F813C3" w:rsidP="002C54BF">
            <w:pPr>
              <w:rPr>
                <w:rFonts w:eastAsia="Times New Roman" w:cstheme="minorHAnsi"/>
                <w:color w:val="auto"/>
                <w:lang w:val="en-GB" w:eastAsia="en-GB"/>
              </w:rPr>
            </w:pPr>
            <w:r w:rsidRPr="000D268C">
              <w:rPr>
                <w:rFonts w:eastAsia="Times New Roman" w:cstheme="minorHAnsi"/>
                <w:color w:val="auto"/>
                <w:lang w:val="en-GB" w:eastAsia="en-GB"/>
              </w:rPr>
              <w:t>(all sub-codes cumulated)</w:t>
            </w:r>
          </w:p>
        </w:tc>
        <w:tc>
          <w:tcPr>
            <w:tcW w:w="2835" w:type="dxa"/>
            <w:gridSpan w:val="2"/>
            <w:noWrap/>
            <w:hideMark/>
          </w:tcPr>
          <w:p w14:paraId="4FE0EE3D" w14:textId="77777777" w:rsidR="0010531E" w:rsidRPr="000D268C" w:rsidRDefault="00F813C3" w:rsidP="002C54BF">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b w:val="0"/>
                <w:bCs w:val="0"/>
                <w:color w:val="auto"/>
                <w:lang w:val="en-GB" w:eastAsia="en-GB"/>
              </w:rPr>
            </w:pPr>
            <w:r w:rsidRPr="000D268C">
              <w:rPr>
                <w:rFonts w:eastAsia="Times New Roman" w:cstheme="minorHAnsi"/>
                <w:color w:val="auto"/>
                <w:lang w:val="en-GB" w:eastAsia="en-GB"/>
              </w:rPr>
              <w:t xml:space="preserve">Number of codes </w:t>
            </w:r>
          </w:p>
          <w:p w14:paraId="34AE3916" w14:textId="07D6A0BC" w:rsidR="00F813C3" w:rsidRPr="000D268C" w:rsidRDefault="00F813C3" w:rsidP="002C54BF">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auto"/>
                <w:lang w:val="en-GB" w:eastAsia="en-GB"/>
              </w:rPr>
            </w:pPr>
            <w:r w:rsidRPr="000D268C">
              <w:rPr>
                <w:rFonts w:eastAsia="Times New Roman" w:cstheme="minorHAnsi"/>
                <w:color w:val="auto"/>
                <w:lang w:val="en-GB" w:eastAsia="en-GB"/>
              </w:rPr>
              <w:t>applied to</w:t>
            </w:r>
          </w:p>
        </w:tc>
        <w:tc>
          <w:tcPr>
            <w:tcW w:w="2834" w:type="dxa"/>
            <w:gridSpan w:val="2"/>
            <w:hideMark/>
          </w:tcPr>
          <w:p w14:paraId="1AD0D750" w14:textId="77777777" w:rsidR="00F813C3" w:rsidRPr="000D268C" w:rsidRDefault="00F813C3" w:rsidP="002C54BF">
            <w:pP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auto"/>
                <w:lang w:val="en-GB" w:eastAsia="en-GB"/>
              </w:rPr>
            </w:pPr>
            <w:r w:rsidRPr="000D268C">
              <w:rPr>
                <w:rFonts w:eastAsia="Times New Roman" w:cstheme="minorHAnsi"/>
                <w:color w:val="auto"/>
                <w:lang w:val="en-GB" w:eastAsia="en-GB"/>
              </w:rPr>
              <w:t>Units of text*** applied to</w:t>
            </w:r>
          </w:p>
        </w:tc>
      </w:tr>
      <w:tr w:rsidR="0010531E" w:rsidRPr="000D268C" w14:paraId="40391C7E" w14:textId="77777777" w:rsidTr="0010531E">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3397" w:type="dxa"/>
            <w:vMerge/>
            <w:noWrap/>
            <w:hideMark/>
          </w:tcPr>
          <w:p w14:paraId="445D2E40" w14:textId="77777777" w:rsidR="00F813C3" w:rsidRPr="000D268C" w:rsidRDefault="00F813C3" w:rsidP="002C54BF">
            <w:pPr>
              <w:rPr>
                <w:rFonts w:eastAsia="Times New Roman" w:cstheme="minorHAnsi"/>
                <w:i/>
                <w:iCs/>
                <w:color w:val="auto"/>
                <w:lang w:val="en-GB" w:eastAsia="en-GB"/>
              </w:rPr>
            </w:pPr>
          </w:p>
        </w:tc>
        <w:tc>
          <w:tcPr>
            <w:tcW w:w="1417" w:type="dxa"/>
            <w:noWrap/>
            <w:hideMark/>
          </w:tcPr>
          <w:p w14:paraId="45C4303B" w14:textId="6D0465EE" w:rsidR="00F813C3" w:rsidRPr="000D268C" w:rsidRDefault="0010531E"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b/>
                <w:bCs/>
                <w:lang w:val="en-GB" w:eastAsia="en-GB"/>
              </w:rPr>
            </w:pPr>
            <w:r w:rsidRPr="000D268C">
              <w:rPr>
                <w:rFonts w:eastAsia="Times New Roman" w:cstheme="minorHAnsi"/>
                <w:b/>
                <w:bCs/>
                <w:lang w:val="en-GB" w:eastAsia="en-GB"/>
              </w:rPr>
              <w:t xml:space="preserve">By </w:t>
            </w:r>
            <w:r w:rsidR="00F813C3" w:rsidRPr="000D268C">
              <w:rPr>
                <w:rFonts w:eastAsia="Times New Roman" w:cstheme="minorHAnsi"/>
                <w:b/>
                <w:bCs/>
                <w:lang w:val="en-GB" w:eastAsia="en-GB"/>
              </w:rPr>
              <w:t>Coder 1</w:t>
            </w:r>
          </w:p>
        </w:tc>
        <w:tc>
          <w:tcPr>
            <w:tcW w:w="1417" w:type="dxa"/>
            <w:noWrap/>
            <w:hideMark/>
          </w:tcPr>
          <w:p w14:paraId="127B1F41" w14:textId="6D61ED93" w:rsidR="00F813C3" w:rsidRPr="000D268C" w:rsidRDefault="0010531E"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b/>
                <w:bCs/>
                <w:lang w:val="en-GB" w:eastAsia="en-GB"/>
              </w:rPr>
            </w:pPr>
            <w:r w:rsidRPr="000D268C">
              <w:rPr>
                <w:rFonts w:eastAsia="Times New Roman" w:cstheme="minorHAnsi"/>
                <w:b/>
                <w:bCs/>
                <w:lang w:val="en-GB" w:eastAsia="en-GB"/>
              </w:rPr>
              <w:t xml:space="preserve">By </w:t>
            </w:r>
            <w:r w:rsidR="00F813C3" w:rsidRPr="000D268C">
              <w:rPr>
                <w:rFonts w:eastAsia="Times New Roman" w:cstheme="minorHAnsi"/>
                <w:b/>
                <w:bCs/>
                <w:lang w:val="en-GB" w:eastAsia="en-GB"/>
              </w:rPr>
              <w:t>Coder 2</w:t>
            </w:r>
          </w:p>
        </w:tc>
        <w:tc>
          <w:tcPr>
            <w:tcW w:w="1417" w:type="dxa"/>
            <w:noWrap/>
            <w:hideMark/>
          </w:tcPr>
          <w:p w14:paraId="186AAF99" w14:textId="7A8292FC" w:rsidR="00F813C3" w:rsidRPr="000D268C" w:rsidRDefault="0010531E"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b/>
                <w:bCs/>
                <w:lang w:val="en-GB" w:eastAsia="en-GB"/>
              </w:rPr>
            </w:pPr>
            <w:r w:rsidRPr="000D268C">
              <w:rPr>
                <w:rFonts w:eastAsia="Times New Roman" w:cstheme="minorHAnsi"/>
                <w:b/>
                <w:bCs/>
                <w:lang w:val="en-GB" w:eastAsia="en-GB"/>
              </w:rPr>
              <w:t xml:space="preserve">By </w:t>
            </w:r>
            <w:r w:rsidR="00F813C3" w:rsidRPr="000D268C">
              <w:rPr>
                <w:rFonts w:eastAsia="Times New Roman" w:cstheme="minorHAnsi"/>
                <w:b/>
                <w:bCs/>
                <w:lang w:val="en-GB" w:eastAsia="en-GB"/>
              </w:rPr>
              <w:t>Coder 1</w:t>
            </w:r>
          </w:p>
        </w:tc>
        <w:tc>
          <w:tcPr>
            <w:tcW w:w="1418" w:type="dxa"/>
            <w:noWrap/>
            <w:hideMark/>
          </w:tcPr>
          <w:p w14:paraId="4FDF2FC9" w14:textId="03514FE8" w:rsidR="00F813C3" w:rsidRPr="000D268C" w:rsidRDefault="0010531E"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b/>
                <w:bCs/>
                <w:lang w:val="en-GB" w:eastAsia="en-GB"/>
              </w:rPr>
            </w:pPr>
            <w:r w:rsidRPr="000D268C">
              <w:rPr>
                <w:rFonts w:eastAsia="Times New Roman" w:cstheme="minorHAnsi"/>
                <w:b/>
                <w:bCs/>
                <w:lang w:val="en-GB" w:eastAsia="en-GB"/>
              </w:rPr>
              <w:t xml:space="preserve">By </w:t>
            </w:r>
            <w:r w:rsidR="00F813C3" w:rsidRPr="000D268C">
              <w:rPr>
                <w:rFonts w:eastAsia="Times New Roman" w:cstheme="minorHAnsi"/>
                <w:b/>
                <w:bCs/>
                <w:lang w:val="en-GB" w:eastAsia="en-GB"/>
              </w:rPr>
              <w:t>Coder 2</w:t>
            </w:r>
          </w:p>
        </w:tc>
      </w:tr>
      <w:tr w:rsidR="0010531E" w:rsidRPr="000D268C" w14:paraId="00529306" w14:textId="77777777" w:rsidTr="0010531E">
        <w:trPr>
          <w:trHeight w:val="343"/>
        </w:trPr>
        <w:tc>
          <w:tcPr>
            <w:cnfStyle w:val="001000000000" w:firstRow="0" w:lastRow="0" w:firstColumn="1" w:lastColumn="0" w:oddVBand="0" w:evenVBand="0" w:oddHBand="0" w:evenHBand="0" w:firstRowFirstColumn="0" w:firstRowLastColumn="0" w:lastRowFirstColumn="0" w:lastRowLastColumn="0"/>
            <w:tcW w:w="3397" w:type="dxa"/>
            <w:hideMark/>
          </w:tcPr>
          <w:p w14:paraId="6A06EBE2" w14:textId="77777777" w:rsidR="00F813C3" w:rsidRPr="000D268C" w:rsidRDefault="00F813C3" w:rsidP="002C54BF">
            <w:pPr>
              <w:rPr>
                <w:rFonts w:eastAsia="Times New Roman" w:cstheme="minorHAnsi"/>
                <w:b w:val="0"/>
                <w:bCs w:val="0"/>
                <w:color w:val="auto"/>
                <w:lang w:val="en-GB" w:eastAsia="en-GB"/>
              </w:rPr>
            </w:pPr>
            <w:r w:rsidRPr="000D268C">
              <w:rPr>
                <w:rFonts w:eastAsia="Times New Roman" w:cstheme="minorHAnsi"/>
                <w:b w:val="0"/>
                <w:bCs w:val="0"/>
                <w:color w:val="auto"/>
                <w:lang w:val="en-GB" w:eastAsia="en-GB"/>
              </w:rPr>
              <w:t>Year*</w:t>
            </w:r>
          </w:p>
        </w:tc>
        <w:tc>
          <w:tcPr>
            <w:tcW w:w="1417" w:type="dxa"/>
            <w:shd w:val="clear" w:color="auto" w:fill="FFFFFF" w:themeFill="background1"/>
            <w:noWrap/>
            <w:hideMark/>
          </w:tcPr>
          <w:p w14:paraId="26941C56"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52</w:t>
            </w:r>
          </w:p>
        </w:tc>
        <w:tc>
          <w:tcPr>
            <w:tcW w:w="1417" w:type="dxa"/>
            <w:shd w:val="clear" w:color="auto" w:fill="FFFFFF" w:themeFill="background1"/>
            <w:noWrap/>
            <w:hideMark/>
          </w:tcPr>
          <w:p w14:paraId="1B0FE3EA"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52</w:t>
            </w:r>
          </w:p>
        </w:tc>
        <w:tc>
          <w:tcPr>
            <w:tcW w:w="1417" w:type="dxa"/>
            <w:shd w:val="clear" w:color="auto" w:fill="FFFFFF" w:themeFill="background1"/>
            <w:noWrap/>
            <w:hideMark/>
          </w:tcPr>
          <w:p w14:paraId="4BA74539"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3529</w:t>
            </w:r>
          </w:p>
        </w:tc>
        <w:tc>
          <w:tcPr>
            <w:tcW w:w="1418" w:type="dxa"/>
            <w:shd w:val="clear" w:color="auto" w:fill="FFFFFF" w:themeFill="background1"/>
            <w:noWrap/>
            <w:hideMark/>
          </w:tcPr>
          <w:p w14:paraId="6B1784E7"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3500</w:t>
            </w:r>
          </w:p>
        </w:tc>
      </w:tr>
      <w:tr w:rsidR="0010531E" w:rsidRPr="000D268C" w14:paraId="6F52E8F6" w14:textId="77777777" w:rsidTr="0010531E">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3397" w:type="dxa"/>
            <w:hideMark/>
          </w:tcPr>
          <w:p w14:paraId="7ADEFF74" w14:textId="77777777" w:rsidR="00F813C3" w:rsidRPr="000D268C" w:rsidRDefault="00F813C3" w:rsidP="002C54BF">
            <w:pPr>
              <w:rPr>
                <w:rFonts w:eastAsia="Times New Roman" w:cstheme="minorHAnsi"/>
                <w:b w:val="0"/>
                <w:bCs w:val="0"/>
                <w:color w:val="auto"/>
                <w:lang w:val="en-GB" w:eastAsia="en-GB"/>
              </w:rPr>
            </w:pPr>
            <w:r w:rsidRPr="000D268C">
              <w:rPr>
                <w:rFonts w:eastAsia="Times New Roman" w:cstheme="minorHAnsi"/>
                <w:b w:val="0"/>
                <w:bCs w:val="0"/>
                <w:color w:val="auto"/>
                <w:lang w:val="en-GB" w:eastAsia="en-GB"/>
              </w:rPr>
              <w:t>Source*</w:t>
            </w:r>
          </w:p>
        </w:tc>
        <w:tc>
          <w:tcPr>
            <w:tcW w:w="1417" w:type="dxa"/>
            <w:shd w:val="clear" w:color="auto" w:fill="FFFFFF" w:themeFill="background1"/>
            <w:noWrap/>
            <w:hideMark/>
          </w:tcPr>
          <w:p w14:paraId="57FB00C6"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52</w:t>
            </w:r>
          </w:p>
        </w:tc>
        <w:tc>
          <w:tcPr>
            <w:tcW w:w="1417" w:type="dxa"/>
            <w:shd w:val="clear" w:color="auto" w:fill="FFFFFF" w:themeFill="background1"/>
            <w:noWrap/>
            <w:hideMark/>
          </w:tcPr>
          <w:p w14:paraId="535988EA"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52</w:t>
            </w:r>
          </w:p>
        </w:tc>
        <w:tc>
          <w:tcPr>
            <w:tcW w:w="1417" w:type="dxa"/>
            <w:shd w:val="clear" w:color="auto" w:fill="FFFFFF" w:themeFill="background1"/>
            <w:noWrap/>
            <w:hideMark/>
          </w:tcPr>
          <w:p w14:paraId="2CE662CF"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3539</w:t>
            </w:r>
          </w:p>
        </w:tc>
        <w:tc>
          <w:tcPr>
            <w:tcW w:w="1418" w:type="dxa"/>
            <w:shd w:val="clear" w:color="auto" w:fill="FFFFFF" w:themeFill="background1"/>
            <w:noWrap/>
            <w:hideMark/>
          </w:tcPr>
          <w:p w14:paraId="1D6964F6"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3504</w:t>
            </w:r>
          </w:p>
        </w:tc>
      </w:tr>
      <w:tr w:rsidR="0010531E" w:rsidRPr="000D268C" w14:paraId="6129015A" w14:textId="77777777" w:rsidTr="0010531E">
        <w:trPr>
          <w:trHeight w:val="343"/>
        </w:trPr>
        <w:tc>
          <w:tcPr>
            <w:cnfStyle w:val="001000000000" w:firstRow="0" w:lastRow="0" w:firstColumn="1" w:lastColumn="0" w:oddVBand="0" w:evenVBand="0" w:oddHBand="0" w:evenHBand="0" w:firstRowFirstColumn="0" w:firstRowLastColumn="0" w:lastRowFirstColumn="0" w:lastRowLastColumn="0"/>
            <w:tcW w:w="3397" w:type="dxa"/>
            <w:hideMark/>
          </w:tcPr>
          <w:p w14:paraId="5AC01D07" w14:textId="77777777" w:rsidR="00F813C3" w:rsidRPr="000D268C" w:rsidRDefault="00F813C3" w:rsidP="002C54BF">
            <w:pPr>
              <w:rPr>
                <w:rFonts w:eastAsia="Times New Roman" w:cstheme="minorHAnsi"/>
                <w:b w:val="0"/>
                <w:bCs w:val="0"/>
                <w:color w:val="auto"/>
                <w:lang w:val="en-GB" w:eastAsia="en-GB"/>
              </w:rPr>
            </w:pPr>
            <w:r w:rsidRPr="000D268C">
              <w:rPr>
                <w:rFonts w:eastAsia="Times New Roman" w:cstheme="minorHAnsi"/>
                <w:b w:val="0"/>
                <w:bCs w:val="0"/>
                <w:color w:val="auto"/>
                <w:lang w:val="en-GB" w:eastAsia="en-GB"/>
              </w:rPr>
              <w:t>Claimant function</w:t>
            </w:r>
          </w:p>
        </w:tc>
        <w:tc>
          <w:tcPr>
            <w:tcW w:w="1417" w:type="dxa"/>
            <w:shd w:val="clear" w:color="auto" w:fill="FFFFFF" w:themeFill="background1"/>
            <w:noWrap/>
            <w:hideMark/>
          </w:tcPr>
          <w:p w14:paraId="17267288"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256</w:t>
            </w:r>
          </w:p>
        </w:tc>
        <w:tc>
          <w:tcPr>
            <w:tcW w:w="1417" w:type="dxa"/>
            <w:shd w:val="clear" w:color="auto" w:fill="FFFFFF" w:themeFill="background1"/>
            <w:noWrap/>
            <w:hideMark/>
          </w:tcPr>
          <w:p w14:paraId="39048ED8"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258</w:t>
            </w:r>
          </w:p>
        </w:tc>
        <w:tc>
          <w:tcPr>
            <w:tcW w:w="1417" w:type="dxa"/>
            <w:shd w:val="clear" w:color="auto" w:fill="FFFFFF" w:themeFill="background1"/>
            <w:noWrap/>
            <w:hideMark/>
          </w:tcPr>
          <w:p w14:paraId="7EE8BA39"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231810</w:t>
            </w:r>
          </w:p>
        </w:tc>
        <w:tc>
          <w:tcPr>
            <w:tcW w:w="1418" w:type="dxa"/>
            <w:shd w:val="clear" w:color="auto" w:fill="FFFFFF" w:themeFill="background1"/>
            <w:noWrap/>
            <w:hideMark/>
          </w:tcPr>
          <w:p w14:paraId="413D2108"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229158</w:t>
            </w:r>
          </w:p>
        </w:tc>
      </w:tr>
      <w:tr w:rsidR="0010531E" w:rsidRPr="000D268C" w14:paraId="6F336ACD" w14:textId="77777777" w:rsidTr="0010531E">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3397" w:type="dxa"/>
            <w:hideMark/>
          </w:tcPr>
          <w:p w14:paraId="7D25C48A" w14:textId="77777777" w:rsidR="00F813C3" w:rsidRPr="000D268C" w:rsidRDefault="00F813C3" w:rsidP="002C54BF">
            <w:pPr>
              <w:rPr>
                <w:rFonts w:eastAsia="Times New Roman" w:cstheme="minorHAnsi"/>
                <w:b w:val="0"/>
                <w:bCs w:val="0"/>
                <w:color w:val="auto"/>
                <w:lang w:val="en-GB" w:eastAsia="en-GB"/>
              </w:rPr>
            </w:pPr>
            <w:r w:rsidRPr="000D268C">
              <w:rPr>
                <w:rFonts w:eastAsia="Times New Roman" w:cstheme="minorHAnsi"/>
                <w:b w:val="0"/>
                <w:bCs w:val="0"/>
                <w:color w:val="auto"/>
                <w:lang w:val="en-GB" w:eastAsia="en-GB"/>
              </w:rPr>
              <w:t xml:space="preserve">Claimant nationality** </w:t>
            </w:r>
          </w:p>
        </w:tc>
        <w:tc>
          <w:tcPr>
            <w:tcW w:w="1417" w:type="dxa"/>
            <w:shd w:val="clear" w:color="auto" w:fill="FFFFFF" w:themeFill="background1"/>
            <w:noWrap/>
            <w:hideMark/>
          </w:tcPr>
          <w:p w14:paraId="2CF1E316"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67</w:t>
            </w:r>
          </w:p>
        </w:tc>
        <w:tc>
          <w:tcPr>
            <w:tcW w:w="1417" w:type="dxa"/>
            <w:shd w:val="clear" w:color="auto" w:fill="FFFFFF" w:themeFill="background1"/>
            <w:noWrap/>
            <w:hideMark/>
          </w:tcPr>
          <w:p w14:paraId="56A18DB2"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67</w:t>
            </w:r>
          </w:p>
        </w:tc>
        <w:tc>
          <w:tcPr>
            <w:tcW w:w="1417" w:type="dxa"/>
            <w:shd w:val="clear" w:color="auto" w:fill="FFFFFF" w:themeFill="background1"/>
            <w:noWrap/>
            <w:hideMark/>
          </w:tcPr>
          <w:p w14:paraId="0EC5C32E"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1518</w:t>
            </w:r>
          </w:p>
        </w:tc>
        <w:tc>
          <w:tcPr>
            <w:tcW w:w="1418" w:type="dxa"/>
            <w:shd w:val="clear" w:color="auto" w:fill="FFFFFF" w:themeFill="background1"/>
            <w:noWrap/>
            <w:hideMark/>
          </w:tcPr>
          <w:p w14:paraId="53DD6333"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1512</w:t>
            </w:r>
          </w:p>
        </w:tc>
      </w:tr>
      <w:tr w:rsidR="0010531E" w:rsidRPr="000D268C" w14:paraId="753EE003" w14:textId="77777777" w:rsidTr="0010531E">
        <w:trPr>
          <w:trHeight w:val="343"/>
        </w:trPr>
        <w:tc>
          <w:tcPr>
            <w:cnfStyle w:val="001000000000" w:firstRow="0" w:lastRow="0" w:firstColumn="1" w:lastColumn="0" w:oddVBand="0" w:evenVBand="0" w:oddHBand="0" w:evenHBand="0" w:firstRowFirstColumn="0" w:firstRowLastColumn="0" w:lastRowFirstColumn="0" w:lastRowLastColumn="0"/>
            <w:tcW w:w="3397" w:type="dxa"/>
            <w:hideMark/>
          </w:tcPr>
          <w:p w14:paraId="22951B0F" w14:textId="77777777" w:rsidR="00F813C3" w:rsidRPr="000D268C" w:rsidRDefault="00F813C3" w:rsidP="002C54BF">
            <w:pPr>
              <w:rPr>
                <w:rFonts w:eastAsia="Times New Roman" w:cstheme="minorHAnsi"/>
                <w:b w:val="0"/>
                <w:bCs w:val="0"/>
                <w:color w:val="auto"/>
                <w:lang w:val="en-GB" w:eastAsia="en-GB"/>
              </w:rPr>
            </w:pPr>
            <w:r w:rsidRPr="000D268C">
              <w:rPr>
                <w:rFonts w:eastAsia="Times New Roman" w:cstheme="minorHAnsi"/>
                <w:b w:val="0"/>
                <w:bCs w:val="0"/>
                <w:color w:val="auto"/>
                <w:lang w:val="en-GB" w:eastAsia="en-GB"/>
              </w:rPr>
              <w:t>Claimant party**</w:t>
            </w:r>
          </w:p>
        </w:tc>
        <w:tc>
          <w:tcPr>
            <w:tcW w:w="1417" w:type="dxa"/>
            <w:shd w:val="clear" w:color="auto" w:fill="FFFFFF" w:themeFill="background1"/>
            <w:noWrap/>
            <w:hideMark/>
          </w:tcPr>
          <w:p w14:paraId="4D3BC72B"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67</w:t>
            </w:r>
          </w:p>
        </w:tc>
        <w:tc>
          <w:tcPr>
            <w:tcW w:w="1417" w:type="dxa"/>
            <w:shd w:val="clear" w:color="auto" w:fill="FFFFFF" w:themeFill="background1"/>
            <w:noWrap/>
            <w:hideMark/>
          </w:tcPr>
          <w:p w14:paraId="0954A9B8"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67</w:t>
            </w:r>
          </w:p>
        </w:tc>
        <w:tc>
          <w:tcPr>
            <w:tcW w:w="1417" w:type="dxa"/>
            <w:shd w:val="clear" w:color="auto" w:fill="FFFFFF" w:themeFill="background1"/>
            <w:noWrap/>
            <w:hideMark/>
          </w:tcPr>
          <w:p w14:paraId="0FFFBD4E"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1518</w:t>
            </w:r>
          </w:p>
        </w:tc>
        <w:tc>
          <w:tcPr>
            <w:tcW w:w="1418" w:type="dxa"/>
            <w:shd w:val="clear" w:color="auto" w:fill="FFFFFF" w:themeFill="background1"/>
            <w:noWrap/>
            <w:hideMark/>
          </w:tcPr>
          <w:p w14:paraId="610E1B6C"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1512</w:t>
            </w:r>
          </w:p>
        </w:tc>
      </w:tr>
      <w:tr w:rsidR="0010531E" w:rsidRPr="000D268C" w14:paraId="0AFC227A" w14:textId="77777777" w:rsidTr="0010531E">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3397" w:type="dxa"/>
            <w:noWrap/>
            <w:hideMark/>
          </w:tcPr>
          <w:p w14:paraId="0824D4DF" w14:textId="77777777" w:rsidR="00F813C3" w:rsidRPr="000D268C" w:rsidRDefault="00F813C3" w:rsidP="002C54BF">
            <w:pPr>
              <w:rPr>
                <w:rFonts w:eastAsia="Times New Roman" w:cstheme="minorHAnsi"/>
                <w:b w:val="0"/>
                <w:bCs w:val="0"/>
                <w:color w:val="auto"/>
                <w:lang w:val="en-GB" w:eastAsia="en-GB"/>
              </w:rPr>
            </w:pPr>
            <w:r w:rsidRPr="000D268C">
              <w:rPr>
                <w:rFonts w:eastAsia="Times New Roman" w:cstheme="minorHAnsi"/>
                <w:b w:val="0"/>
                <w:bCs w:val="0"/>
                <w:color w:val="auto"/>
                <w:lang w:val="en-GB" w:eastAsia="en-GB"/>
              </w:rPr>
              <w:t>Addressee function</w:t>
            </w:r>
          </w:p>
        </w:tc>
        <w:tc>
          <w:tcPr>
            <w:tcW w:w="1417" w:type="dxa"/>
            <w:shd w:val="clear" w:color="auto" w:fill="FFFFFF" w:themeFill="background1"/>
            <w:noWrap/>
            <w:hideMark/>
          </w:tcPr>
          <w:p w14:paraId="08071335"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256</w:t>
            </w:r>
          </w:p>
        </w:tc>
        <w:tc>
          <w:tcPr>
            <w:tcW w:w="1417" w:type="dxa"/>
            <w:shd w:val="clear" w:color="auto" w:fill="FFFFFF" w:themeFill="background1"/>
            <w:noWrap/>
            <w:hideMark/>
          </w:tcPr>
          <w:p w14:paraId="12788178"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258</w:t>
            </w:r>
          </w:p>
        </w:tc>
        <w:tc>
          <w:tcPr>
            <w:tcW w:w="1417" w:type="dxa"/>
            <w:shd w:val="clear" w:color="auto" w:fill="FFFFFF" w:themeFill="background1"/>
            <w:noWrap/>
            <w:hideMark/>
          </w:tcPr>
          <w:p w14:paraId="340B8853"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231810</w:t>
            </w:r>
          </w:p>
        </w:tc>
        <w:tc>
          <w:tcPr>
            <w:tcW w:w="1418" w:type="dxa"/>
            <w:shd w:val="clear" w:color="auto" w:fill="FFFFFF" w:themeFill="background1"/>
            <w:noWrap/>
            <w:hideMark/>
          </w:tcPr>
          <w:p w14:paraId="3979A6AE"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229158</w:t>
            </w:r>
          </w:p>
        </w:tc>
      </w:tr>
      <w:tr w:rsidR="0010531E" w:rsidRPr="000D268C" w14:paraId="059A29DB" w14:textId="77777777" w:rsidTr="0010531E">
        <w:trPr>
          <w:trHeight w:val="343"/>
        </w:trPr>
        <w:tc>
          <w:tcPr>
            <w:cnfStyle w:val="001000000000" w:firstRow="0" w:lastRow="0" w:firstColumn="1" w:lastColumn="0" w:oddVBand="0" w:evenVBand="0" w:oddHBand="0" w:evenHBand="0" w:firstRowFirstColumn="0" w:firstRowLastColumn="0" w:lastRowFirstColumn="0" w:lastRowLastColumn="0"/>
            <w:tcW w:w="3397" w:type="dxa"/>
            <w:hideMark/>
          </w:tcPr>
          <w:p w14:paraId="05C35DD1" w14:textId="77777777" w:rsidR="00F813C3" w:rsidRPr="000D268C" w:rsidRDefault="00F813C3" w:rsidP="002C54BF">
            <w:pPr>
              <w:rPr>
                <w:rFonts w:eastAsia="Times New Roman" w:cstheme="minorHAnsi"/>
                <w:b w:val="0"/>
                <w:bCs w:val="0"/>
                <w:color w:val="auto"/>
                <w:lang w:val="en-GB" w:eastAsia="en-GB"/>
              </w:rPr>
            </w:pPr>
            <w:r w:rsidRPr="000D268C">
              <w:rPr>
                <w:rFonts w:eastAsia="Times New Roman" w:cstheme="minorHAnsi"/>
                <w:b w:val="0"/>
                <w:bCs w:val="0"/>
                <w:color w:val="auto"/>
                <w:lang w:val="en-GB" w:eastAsia="en-GB"/>
              </w:rPr>
              <w:t xml:space="preserve">Issue </w:t>
            </w:r>
          </w:p>
        </w:tc>
        <w:tc>
          <w:tcPr>
            <w:tcW w:w="1417" w:type="dxa"/>
            <w:shd w:val="clear" w:color="auto" w:fill="FFFFFF" w:themeFill="background1"/>
            <w:noWrap/>
            <w:hideMark/>
          </w:tcPr>
          <w:p w14:paraId="32F2D6F2"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362</w:t>
            </w:r>
          </w:p>
        </w:tc>
        <w:tc>
          <w:tcPr>
            <w:tcW w:w="1417" w:type="dxa"/>
            <w:shd w:val="clear" w:color="auto" w:fill="FFFFFF" w:themeFill="background1"/>
            <w:noWrap/>
            <w:hideMark/>
          </w:tcPr>
          <w:p w14:paraId="292CC859"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417</w:t>
            </w:r>
          </w:p>
        </w:tc>
        <w:tc>
          <w:tcPr>
            <w:tcW w:w="1417" w:type="dxa"/>
            <w:shd w:val="clear" w:color="auto" w:fill="FFFFFF" w:themeFill="background1"/>
            <w:noWrap/>
            <w:hideMark/>
          </w:tcPr>
          <w:p w14:paraId="360ECE48"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333712</w:t>
            </w:r>
          </w:p>
        </w:tc>
        <w:tc>
          <w:tcPr>
            <w:tcW w:w="1418" w:type="dxa"/>
            <w:shd w:val="clear" w:color="auto" w:fill="FFFFFF" w:themeFill="background1"/>
            <w:noWrap/>
            <w:hideMark/>
          </w:tcPr>
          <w:p w14:paraId="710C72B9"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375425</w:t>
            </w:r>
          </w:p>
        </w:tc>
      </w:tr>
      <w:tr w:rsidR="0010531E" w:rsidRPr="000D268C" w14:paraId="2791B4B2" w14:textId="77777777" w:rsidTr="0010531E">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3397" w:type="dxa"/>
            <w:hideMark/>
          </w:tcPr>
          <w:p w14:paraId="064479C6" w14:textId="77777777" w:rsidR="00F813C3" w:rsidRPr="000D268C" w:rsidRDefault="00F813C3" w:rsidP="002C54BF">
            <w:pPr>
              <w:rPr>
                <w:rFonts w:eastAsia="Times New Roman" w:cstheme="minorHAnsi"/>
                <w:b w:val="0"/>
                <w:bCs w:val="0"/>
                <w:color w:val="auto"/>
                <w:lang w:val="en-GB" w:eastAsia="en-GB"/>
              </w:rPr>
            </w:pPr>
            <w:r w:rsidRPr="000D268C">
              <w:rPr>
                <w:rFonts w:eastAsia="Times New Roman" w:cstheme="minorHAnsi"/>
                <w:b w:val="0"/>
                <w:bCs w:val="0"/>
                <w:color w:val="auto"/>
                <w:lang w:val="en-GB" w:eastAsia="en-GB"/>
              </w:rPr>
              <w:t>Initial question</w:t>
            </w:r>
          </w:p>
        </w:tc>
        <w:tc>
          <w:tcPr>
            <w:tcW w:w="1417" w:type="dxa"/>
            <w:shd w:val="clear" w:color="auto" w:fill="FFFFFF" w:themeFill="background1"/>
            <w:noWrap/>
            <w:hideMark/>
          </w:tcPr>
          <w:p w14:paraId="0C0051C9"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59</w:t>
            </w:r>
          </w:p>
        </w:tc>
        <w:tc>
          <w:tcPr>
            <w:tcW w:w="1417" w:type="dxa"/>
            <w:shd w:val="clear" w:color="auto" w:fill="FFFFFF" w:themeFill="background1"/>
            <w:noWrap/>
            <w:hideMark/>
          </w:tcPr>
          <w:p w14:paraId="034E4FFC"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61</w:t>
            </w:r>
          </w:p>
        </w:tc>
        <w:tc>
          <w:tcPr>
            <w:tcW w:w="1417" w:type="dxa"/>
            <w:shd w:val="clear" w:color="auto" w:fill="FFFFFF" w:themeFill="background1"/>
            <w:noWrap/>
            <w:hideMark/>
          </w:tcPr>
          <w:p w14:paraId="6E5F205B"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31156</w:t>
            </w:r>
          </w:p>
        </w:tc>
        <w:tc>
          <w:tcPr>
            <w:tcW w:w="1418" w:type="dxa"/>
            <w:shd w:val="clear" w:color="auto" w:fill="FFFFFF" w:themeFill="background1"/>
            <w:noWrap/>
            <w:hideMark/>
          </w:tcPr>
          <w:p w14:paraId="52692A89"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29951</w:t>
            </w:r>
          </w:p>
        </w:tc>
      </w:tr>
      <w:tr w:rsidR="0010531E" w:rsidRPr="000D268C" w14:paraId="4C84C591" w14:textId="77777777" w:rsidTr="0010531E">
        <w:trPr>
          <w:trHeight w:val="343"/>
        </w:trPr>
        <w:tc>
          <w:tcPr>
            <w:cnfStyle w:val="001000000000" w:firstRow="0" w:lastRow="0" w:firstColumn="1" w:lastColumn="0" w:oddVBand="0" w:evenVBand="0" w:oddHBand="0" w:evenHBand="0" w:firstRowFirstColumn="0" w:firstRowLastColumn="0" w:lastRowFirstColumn="0" w:lastRowLastColumn="0"/>
            <w:tcW w:w="3397" w:type="dxa"/>
            <w:hideMark/>
          </w:tcPr>
          <w:p w14:paraId="1BCDCBDC" w14:textId="77777777" w:rsidR="00F813C3" w:rsidRPr="000D268C" w:rsidRDefault="00F813C3" w:rsidP="002C54BF">
            <w:pPr>
              <w:rPr>
                <w:rFonts w:eastAsia="Times New Roman" w:cstheme="minorHAnsi"/>
                <w:b w:val="0"/>
                <w:bCs w:val="0"/>
                <w:color w:val="auto"/>
                <w:lang w:val="en-GB" w:eastAsia="en-GB"/>
              </w:rPr>
            </w:pPr>
            <w:proofErr w:type="spellStart"/>
            <w:r w:rsidRPr="000D268C">
              <w:rPr>
                <w:rFonts w:eastAsia="Times New Roman" w:cstheme="minorHAnsi"/>
                <w:b w:val="0"/>
                <w:bCs w:val="0"/>
                <w:color w:val="auto"/>
                <w:lang w:val="en-GB" w:eastAsia="en-GB"/>
              </w:rPr>
              <w:t>Response_Explicit</w:t>
            </w:r>
            <w:proofErr w:type="spellEnd"/>
          </w:p>
        </w:tc>
        <w:tc>
          <w:tcPr>
            <w:tcW w:w="1417" w:type="dxa"/>
            <w:shd w:val="clear" w:color="auto" w:fill="FFFFFF" w:themeFill="background1"/>
            <w:noWrap/>
            <w:hideMark/>
          </w:tcPr>
          <w:p w14:paraId="41127D6E"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78</w:t>
            </w:r>
          </w:p>
        </w:tc>
        <w:tc>
          <w:tcPr>
            <w:tcW w:w="1417" w:type="dxa"/>
            <w:shd w:val="clear" w:color="auto" w:fill="FFFFFF" w:themeFill="background1"/>
            <w:noWrap/>
            <w:hideMark/>
          </w:tcPr>
          <w:p w14:paraId="7D62BBE0"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80</w:t>
            </w:r>
          </w:p>
        </w:tc>
        <w:tc>
          <w:tcPr>
            <w:tcW w:w="1417" w:type="dxa"/>
            <w:shd w:val="clear" w:color="auto" w:fill="FFFFFF" w:themeFill="background1"/>
            <w:noWrap/>
            <w:hideMark/>
          </w:tcPr>
          <w:p w14:paraId="4FCE7530"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101170</w:t>
            </w:r>
          </w:p>
        </w:tc>
        <w:tc>
          <w:tcPr>
            <w:tcW w:w="1418" w:type="dxa"/>
            <w:shd w:val="clear" w:color="auto" w:fill="FFFFFF" w:themeFill="background1"/>
            <w:noWrap/>
            <w:hideMark/>
          </w:tcPr>
          <w:p w14:paraId="3E72932C"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102228</w:t>
            </w:r>
          </w:p>
        </w:tc>
      </w:tr>
      <w:tr w:rsidR="0010531E" w:rsidRPr="000D268C" w14:paraId="4EC1BD28" w14:textId="77777777" w:rsidTr="0010531E">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3397" w:type="dxa"/>
            <w:noWrap/>
            <w:hideMark/>
          </w:tcPr>
          <w:p w14:paraId="1C9C2990" w14:textId="77777777" w:rsidR="00F813C3" w:rsidRPr="000D268C" w:rsidRDefault="00F813C3" w:rsidP="002C54BF">
            <w:pPr>
              <w:rPr>
                <w:rFonts w:eastAsia="Times New Roman" w:cstheme="minorHAnsi"/>
                <w:b w:val="0"/>
                <w:bCs w:val="0"/>
                <w:color w:val="auto"/>
                <w:lang w:val="en-GB" w:eastAsia="en-GB"/>
              </w:rPr>
            </w:pPr>
            <w:proofErr w:type="spellStart"/>
            <w:r w:rsidRPr="000D268C">
              <w:rPr>
                <w:rFonts w:eastAsia="Times New Roman" w:cstheme="minorHAnsi"/>
                <w:b w:val="0"/>
                <w:bCs w:val="0"/>
                <w:color w:val="auto"/>
                <w:lang w:val="en-GB" w:eastAsia="en-GB"/>
              </w:rPr>
              <w:t>Response_Intermediate</w:t>
            </w:r>
            <w:proofErr w:type="spellEnd"/>
          </w:p>
        </w:tc>
        <w:tc>
          <w:tcPr>
            <w:tcW w:w="1417" w:type="dxa"/>
            <w:shd w:val="clear" w:color="auto" w:fill="FFFFFF" w:themeFill="background1"/>
            <w:noWrap/>
            <w:hideMark/>
          </w:tcPr>
          <w:p w14:paraId="2DF343A5"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32</w:t>
            </w:r>
          </w:p>
        </w:tc>
        <w:tc>
          <w:tcPr>
            <w:tcW w:w="1417" w:type="dxa"/>
            <w:shd w:val="clear" w:color="auto" w:fill="FFFFFF" w:themeFill="background1"/>
            <w:noWrap/>
            <w:hideMark/>
          </w:tcPr>
          <w:p w14:paraId="6876CB9C"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31</w:t>
            </w:r>
          </w:p>
        </w:tc>
        <w:tc>
          <w:tcPr>
            <w:tcW w:w="1417" w:type="dxa"/>
            <w:shd w:val="clear" w:color="auto" w:fill="FFFFFF" w:themeFill="background1"/>
            <w:noWrap/>
            <w:hideMark/>
          </w:tcPr>
          <w:p w14:paraId="306E0221"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33667</w:t>
            </w:r>
          </w:p>
        </w:tc>
        <w:tc>
          <w:tcPr>
            <w:tcW w:w="1418" w:type="dxa"/>
            <w:shd w:val="clear" w:color="auto" w:fill="FFFFFF" w:themeFill="background1"/>
            <w:noWrap/>
            <w:hideMark/>
          </w:tcPr>
          <w:p w14:paraId="07547965"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33510</w:t>
            </w:r>
          </w:p>
        </w:tc>
      </w:tr>
      <w:tr w:rsidR="0010531E" w:rsidRPr="000D268C" w14:paraId="419A12F8" w14:textId="77777777" w:rsidTr="0010531E">
        <w:trPr>
          <w:trHeight w:val="343"/>
        </w:trPr>
        <w:tc>
          <w:tcPr>
            <w:cnfStyle w:val="001000000000" w:firstRow="0" w:lastRow="0" w:firstColumn="1" w:lastColumn="0" w:oddVBand="0" w:evenVBand="0" w:oddHBand="0" w:evenHBand="0" w:firstRowFirstColumn="0" w:firstRowLastColumn="0" w:lastRowFirstColumn="0" w:lastRowLastColumn="0"/>
            <w:tcW w:w="3397" w:type="dxa"/>
            <w:noWrap/>
            <w:hideMark/>
          </w:tcPr>
          <w:p w14:paraId="79827A79" w14:textId="77777777" w:rsidR="00F813C3" w:rsidRPr="000D268C" w:rsidRDefault="00F813C3" w:rsidP="002C54BF">
            <w:pPr>
              <w:rPr>
                <w:rFonts w:eastAsia="Times New Roman" w:cstheme="minorHAnsi"/>
                <w:b w:val="0"/>
                <w:bCs w:val="0"/>
                <w:color w:val="auto"/>
                <w:lang w:val="en-GB" w:eastAsia="en-GB"/>
              </w:rPr>
            </w:pPr>
            <w:proofErr w:type="spellStart"/>
            <w:r w:rsidRPr="000D268C">
              <w:rPr>
                <w:rFonts w:eastAsia="Times New Roman" w:cstheme="minorHAnsi"/>
                <w:b w:val="0"/>
                <w:bCs w:val="0"/>
                <w:color w:val="auto"/>
                <w:lang w:val="en-GB" w:eastAsia="en-GB"/>
              </w:rPr>
              <w:t>Response_Non</w:t>
            </w:r>
            <w:proofErr w:type="spellEnd"/>
            <w:r w:rsidRPr="000D268C">
              <w:rPr>
                <w:rFonts w:eastAsia="Times New Roman" w:cstheme="minorHAnsi"/>
                <w:b w:val="0"/>
                <w:bCs w:val="0"/>
                <w:color w:val="auto"/>
                <w:lang w:val="en-GB" w:eastAsia="en-GB"/>
              </w:rPr>
              <w:t>-reply</w:t>
            </w:r>
          </w:p>
        </w:tc>
        <w:tc>
          <w:tcPr>
            <w:tcW w:w="1417" w:type="dxa"/>
            <w:shd w:val="clear" w:color="auto" w:fill="FFFFFF" w:themeFill="background1"/>
            <w:noWrap/>
            <w:hideMark/>
          </w:tcPr>
          <w:p w14:paraId="1DA17715"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17</w:t>
            </w:r>
          </w:p>
        </w:tc>
        <w:tc>
          <w:tcPr>
            <w:tcW w:w="1417" w:type="dxa"/>
            <w:shd w:val="clear" w:color="auto" w:fill="FFFFFF" w:themeFill="background1"/>
            <w:noWrap/>
            <w:hideMark/>
          </w:tcPr>
          <w:p w14:paraId="566235AC"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18</w:t>
            </w:r>
          </w:p>
        </w:tc>
        <w:tc>
          <w:tcPr>
            <w:tcW w:w="1417" w:type="dxa"/>
            <w:shd w:val="clear" w:color="auto" w:fill="FFFFFF" w:themeFill="background1"/>
            <w:noWrap/>
            <w:hideMark/>
          </w:tcPr>
          <w:p w14:paraId="10B1E78C"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15511</w:t>
            </w:r>
          </w:p>
        </w:tc>
        <w:tc>
          <w:tcPr>
            <w:tcW w:w="1418" w:type="dxa"/>
            <w:shd w:val="clear" w:color="auto" w:fill="FFFFFF" w:themeFill="background1"/>
            <w:noWrap/>
            <w:hideMark/>
          </w:tcPr>
          <w:p w14:paraId="140C9418" w14:textId="77777777" w:rsidR="00F813C3" w:rsidRPr="000D268C" w:rsidRDefault="00F813C3" w:rsidP="002C54BF">
            <w:pPr>
              <w:jc w:val="center"/>
              <w:cnfStyle w:val="000000000000" w:firstRow="0" w:lastRow="0" w:firstColumn="0" w:lastColumn="0" w:oddVBand="0" w:evenVBand="0" w:oddHBand="0"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14813</w:t>
            </w:r>
          </w:p>
        </w:tc>
      </w:tr>
      <w:tr w:rsidR="0010531E" w:rsidRPr="000D268C" w14:paraId="4D0102EB" w14:textId="77777777" w:rsidTr="0010531E">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3397" w:type="dxa"/>
            <w:noWrap/>
            <w:hideMark/>
          </w:tcPr>
          <w:p w14:paraId="4ED67B0D" w14:textId="77777777" w:rsidR="00F813C3" w:rsidRPr="000D268C" w:rsidRDefault="00F813C3" w:rsidP="002C54BF">
            <w:pPr>
              <w:rPr>
                <w:rFonts w:eastAsia="Times New Roman" w:cstheme="minorHAnsi"/>
                <w:b w:val="0"/>
                <w:bCs w:val="0"/>
                <w:color w:val="auto"/>
                <w:lang w:val="en-GB" w:eastAsia="en-GB"/>
              </w:rPr>
            </w:pPr>
            <w:r w:rsidRPr="000D268C">
              <w:rPr>
                <w:rFonts w:eastAsia="Times New Roman" w:cstheme="minorHAnsi"/>
                <w:b w:val="0"/>
                <w:bCs w:val="0"/>
                <w:color w:val="auto"/>
                <w:lang w:val="en-GB" w:eastAsia="en-GB"/>
              </w:rPr>
              <w:t>Follow-</w:t>
            </w:r>
            <w:proofErr w:type="spellStart"/>
            <w:r w:rsidRPr="000D268C">
              <w:rPr>
                <w:rFonts w:eastAsia="Times New Roman" w:cstheme="minorHAnsi"/>
                <w:b w:val="0"/>
                <w:bCs w:val="0"/>
                <w:color w:val="auto"/>
                <w:lang w:val="en-GB" w:eastAsia="en-GB"/>
              </w:rPr>
              <w:t>up_continue</w:t>
            </w:r>
            <w:proofErr w:type="spellEnd"/>
            <w:r w:rsidRPr="000D268C">
              <w:rPr>
                <w:rFonts w:eastAsia="Times New Roman" w:cstheme="minorHAnsi"/>
                <w:b w:val="0"/>
                <w:bCs w:val="0"/>
                <w:color w:val="auto"/>
                <w:lang w:val="en-GB" w:eastAsia="en-GB"/>
              </w:rPr>
              <w:t xml:space="preserve"> demands</w:t>
            </w:r>
          </w:p>
        </w:tc>
        <w:tc>
          <w:tcPr>
            <w:tcW w:w="1417" w:type="dxa"/>
            <w:shd w:val="clear" w:color="auto" w:fill="FFFFFF" w:themeFill="background1"/>
            <w:noWrap/>
            <w:hideMark/>
          </w:tcPr>
          <w:p w14:paraId="153B7C17"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70</w:t>
            </w:r>
          </w:p>
        </w:tc>
        <w:tc>
          <w:tcPr>
            <w:tcW w:w="1417" w:type="dxa"/>
            <w:shd w:val="clear" w:color="auto" w:fill="FFFFFF" w:themeFill="background1"/>
            <w:noWrap/>
            <w:hideMark/>
          </w:tcPr>
          <w:p w14:paraId="26143415"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67</w:t>
            </w:r>
          </w:p>
        </w:tc>
        <w:tc>
          <w:tcPr>
            <w:tcW w:w="1417" w:type="dxa"/>
            <w:shd w:val="clear" w:color="auto" w:fill="FFFFFF" w:themeFill="background1"/>
            <w:noWrap/>
            <w:hideMark/>
          </w:tcPr>
          <w:p w14:paraId="701EC62B"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50306</w:t>
            </w:r>
          </w:p>
        </w:tc>
        <w:tc>
          <w:tcPr>
            <w:tcW w:w="1418" w:type="dxa"/>
            <w:shd w:val="clear" w:color="auto" w:fill="FFFFFF" w:themeFill="background1"/>
            <w:noWrap/>
            <w:hideMark/>
          </w:tcPr>
          <w:p w14:paraId="67A556D4" w14:textId="77777777" w:rsidR="00F813C3" w:rsidRPr="000D268C" w:rsidRDefault="00F813C3" w:rsidP="002C54BF">
            <w:pPr>
              <w:jc w:val="center"/>
              <w:cnfStyle w:val="000000100000" w:firstRow="0" w:lastRow="0" w:firstColumn="0" w:lastColumn="0" w:oddVBand="0" w:evenVBand="0" w:oddHBand="1" w:evenHBand="0" w:firstRowFirstColumn="0" w:firstRowLastColumn="0" w:lastRowFirstColumn="0" w:lastRowLastColumn="0"/>
              <w:rPr>
                <w:rFonts w:eastAsia="Times New Roman" w:cstheme="minorHAnsi"/>
                <w:lang w:val="en-GB" w:eastAsia="en-GB"/>
              </w:rPr>
            </w:pPr>
            <w:r w:rsidRPr="000D268C">
              <w:rPr>
                <w:rFonts w:eastAsia="Times New Roman" w:cstheme="minorHAnsi"/>
                <w:lang w:val="en-GB" w:eastAsia="en-GB"/>
              </w:rPr>
              <w:t>48216</w:t>
            </w:r>
          </w:p>
        </w:tc>
      </w:tr>
    </w:tbl>
    <w:p w14:paraId="3AD9CD89" w14:textId="77777777" w:rsidR="00F813C3" w:rsidRPr="000D268C" w:rsidRDefault="00F813C3" w:rsidP="002C54BF">
      <w:pPr>
        <w:spacing w:line="480" w:lineRule="auto"/>
        <w:jc w:val="both"/>
        <w:rPr>
          <w:rFonts w:eastAsia="Times New Roman" w:cstheme="minorHAnsi"/>
          <w:lang w:val="en-GB" w:eastAsia="en-GB"/>
        </w:rPr>
      </w:pPr>
      <w:r w:rsidRPr="000D268C">
        <w:rPr>
          <w:rFonts w:eastAsia="Times New Roman" w:cstheme="minorHAnsi"/>
          <w:lang w:val="en-GB" w:eastAsia="en-GB"/>
        </w:rPr>
        <w:t xml:space="preserve">*codes applied once per document. </w:t>
      </w:r>
    </w:p>
    <w:p w14:paraId="50AEC447" w14:textId="77777777" w:rsidR="00F813C3" w:rsidRPr="000D268C" w:rsidRDefault="00F813C3" w:rsidP="002C54BF">
      <w:pPr>
        <w:spacing w:line="480" w:lineRule="auto"/>
        <w:jc w:val="both"/>
        <w:rPr>
          <w:rFonts w:eastAsia="Times New Roman" w:cstheme="minorHAnsi"/>
          <w:lang w:val="en-GB" w:eastAsia="en-GB"/>
        </w:rPr>
      </w:pPr>
      <w:r w:rsidRPr="000D268C">
        <w:rPr>
          <w:rFonts w:eastAsia="Times New Roman" w:cstheme="minorHAnsi"/>
          <w:lang w:val="en-GB" w:eastAsia="en-GB"/>
        </w:rPr>
        <w:t>**MEPs are only counted once, regardless of how many questions they ask in a letter/at a time in a hearing.</w:t>
      </w:r>
    </w:p>
    <w:p w14:paraId="5BACCAE2" w14:textId="62C4851F" w:rsidR="00F813C3" w:rsidRPr="000D268C" w:rsidRDefault="00F813C3" w:rsidP="002C54BF">
      <w:pPr>
        <w:spacing w:line="480" w:lineRule="auto"/>
        <w:jc w:val="both"/>
        <w:rPr>
          <w:rFonts w:eastAsia="Times New Roman" w:cstheme="minorHAnsi"/>
          <w:sz w:val="22"/>
          <w:szCs w:val="22"/>
          <w:lang w:val="en-GB" w:eastAsia="en-GB"/>
        </w:rPr>
      </w:pPr>
      <w:r w:rsidRPr="000D268C">
        <w:rPr>
          <w:rFonts w:eastAsia="Times New Roman" w:cstheme="minorHAnsi"/>
          <w:sz w:val="22"/>
          <w:szCs w:val="22"/>
          <w:lang w:val="en-GB" w:eastAsia="en-GB"/>
        </w:rPr>
        <w:t>***</w:t>
      </w:r>
      <w:r w:rsidRPr="000D268C">
        <w:rPr>
          <w:rFonts w:cstheme="minorHAnsi"/>
          <w:sz w:val="22"/>
          <w:szCs w:val="22"/>
          <w:lang w:val="en-GB"/>
        </w:rPr>
        <w:t xml:space="preserve">In </w:t>
      </w:r>
      <w:proofErr w:type="spellStart"/>
      <w:r w:rsidRPr="000D268C">
        <w:rPr>
          <w:rFonts w:cstheme="minorHAnsi"/>
          <w:sz w:val="22"/>
          <w:szCs w:val="22"/>
          <w:lang w:val="en-GB"/>
        </w:rPr>
        <w:t>ATLAS.ti</w:t>
      </w:r>
      <w:proofErr w:type="spellEnd"/>
      <w:r w:rsidRPr="000D268C">
        <w:rPr>
          <w:rFonts w:cstheme="minorHAnsi"/>
          <w:sz w:val="22"/>
          <w:szCs w:val="22"/>
          <w:lang w:val="en-GB"/>
        </w:rPr>
        <w:t>, one document constitutes a textual continuum in which each character of the text is a unit of analysis; multiple documents extend the s</w:t>
      </w:r>
      <w:r w:rsidR="00063870" w:rsidRPr="000D268C">
        <w:rPr>
          <w:rFonts w:cstheme="minorHAnsi"/>
          <w:sz w:val="22"/>
          <w:szCs w:val="22"/>
          <w:lang w:val="en-GB"/>
        </w:rPr>
        <w:t>ize</w:t>
      </w:r>
      <w:r w:rsidRPr="000D268C">
        <w:rPr>
          <w:rFonts w:cstheme="minorHAnsi"/>
          <w:sz w:val="22"/>
          <w:szCs w:val="22"/>
          <w:lang w:val="en-GB"/>
        </w:rPr>
        <w:t xml:space="preserve"> of the continuum. For this reasons, units of analysis frequently reach the range of thousands.</w:t>
      </w:r>
    </w:p>
    <w:p w14:paraId="0EF019F2" w14:textId="77777777" w:rsidR="00F813C3" w:rsidRPr="000D268C" w:rsidRDefault="00F813C3" w:rsidP="002C54BF">
      <w:pPr>
        <w:spacing w:line="480" w:lineRule="auto"/>
        <w:jc w:val="both"/>
        <w:rPr>
          <w:rFonts w:cstheme="minorHAnsi"/>
          <w:lang w:val="en-GB"/>
        </w:rPr>
      </w:pPr>
    </w:p>
    <w:p w14:paraId="2C200439" w14:textId="1628F50B" w:rsidR="00F813C3" w:rsidRPr="000D268C" w:rsidRDefault="00F813C3" w:rsidP="002C54BF">
      <w:pPr>
        <w:spacing w:line="480" w:lineRule="auto"/>
        <w:jc w:val="both"/>
        <w:rPr>
          <w:rFonts w:eastAsia="Times New Roman" w:cstheme="minorHAnsi"/>
          <w:lang w:val="en-GB" w:eastAsia="en-GB"/>
        </w:rPr>
      </w:pPr>
      <w:r w:rsidRPr="000D268C">
        <w:rPr>
          <w:rFonts w:eastAsia="Times New Roman" w:cstheme="minorHAnsi"/>
          <w:lang w:val="en-GB" w:eastAsia="en-GB"/>
        </w:rPr>
        <w:lastRenderedPageBreak/>
        <w:t xml:space="preserve">In terms of the number of agreements between coders, what we see is a high level of overlap, suggesting that the two coders understood the text in a similar way. The largest disparity between coders is visible for the variable </w:t>
      </w:r>
      <w:r w:rsidR="00355E94" w:rsidRPr="000D268C">
        <w:rPr>
          <w:rFonts w:eastAsia="Times New Roman" w:cstheme="minorHAnsi"/>
          <w:lang w:val="en-GB" w:eastAsia="en-GB"/>
        </w:rPr>
        <w:t>‘</w:t>
      </w:r>
      <w:r w:rsidRPr="000D268C">
        <w:rPr>
          <w:rFonts w:eastAsia="Times New Roman" w:cstheme="minorHAnsi"/>
          <w:lang w:val="en-GB" w:eastAsia="en-GB"/>
        </w:rPr>
        <w:t>issue</w:t>
      </w:r>
      <w:r w:rsidR="00355E94" w:rsidRPr="000D268C">
        <w:rPr>
          <w:rFonts w:eastAsia="Times New Roman" w:cstheme="minorHAnsi"/>
          <w:lang w:val="en-GB" w:eastAsia="en-GB"/>
        </w:rPr>
        <w:t>’</w:t>
      </w:r>
      <w:r w:rsidRPr="000D268C">
        <w:rPr>
          <w:rFonts w:eastAsia="Times New Roman" w:cstheme="minorHAnsi"/>
          <w:lang w:val="en-GB" w:eastAsia="en-GB"/>
        </w:rPr>
        <w:t>, as coder 2 has assigned 55 more codes than Coder 1</w:t>
      </w:r>
      <w:r w:rsidR="0010531E" w:rsidRPr="000D268C">
        <w:rPr>
          <w:rFonts w:eastAsia="Times New Roman" w:cstheme="minorHAnsi"/>
          <w:lang w:val="en-GB" w:eastAsia="en-GB"/>
        </w:rPr>
        <w:t xml:space="preserve">. </w:t>
      </w:r>
      <w:r w:rsidRPr="000D268C">
        <w:rPr>
          <w:rFonts w:eastAsia="Times New Roman" w:cstheme="minorHAnsi"/>
          <w:lang w:val="en-GB" w:eastAsia="en-GB"/>
        </w:rPr>
        <w:t xml:space="preserve">The codebook mentions that the variable </w:t>
      </w:r>
      <w:r w:rsidR="00355E94" w:rsidRPr="000D268C">
        <w:rPr>
          <w:rFonts w:eastAsia="Times New Roman" w:cstheme="minorHAnsi"/>
          <w:lang w:val="en-GB" w:eastAsia="en-GB"/>
        </w:rPr>
        <w:t>‘</w:t>
      </w:r>
      <w:r w:rsidRPr="000D268C">
        <w:rPr>
          <w:rFonts w:eastAsia="Times New Roman" w:cstheme="minorHAnsi"/>
          <w:lang w:val="en-GB" w:eastAsia="en-GB"/>
        </w:rPr>
        <w:t>issue</w:t>
      </w:r>
      <w:r w:rsidR="00355E94" w:rsidRPr="000D268C">
        <w:rPr>
          <w:rFonts w:eastAsia="Times New Roman" w:cstheme="minorHAnsi"/>
          <w:lang w:val="en-GB" w:eastAsia="en-GB"/>
        </w:rPr>
        <w:t>’</w:t>
      </w:r>
      <w:r w:rsidRPr="000D268C">
        <w:rPr>
          <w:rFonts w:eastAsia="Times New Roman" w:cstheme="minorHAnsi"/>
          <w:lang w:val="en-GB" w:eastAsia="en-GB"/>
        </w:rPr>
        <w:t xml:space="preserve"> can be applied multiple times to the same claim, as a question/answer can have several topics. It is obvious that coder 2 had a much broader understanding of topics than coder 1, which is probably the result of the lack of special</w:t>
      </w:r>
      <w:r w:rsidR="00063870" w:rsidRPr="000D268C">
        <w:rPr>
          <w:rFonts w:eastAsia="Times New Roman" w:cstheme="minorHAnsi"/>
          <w:lang w:val="en-GB" w:eastAsia="en-GB"/>
        </w:rPr>
        <w:t>ise</w:t>
      </w:r>
      <w:r w:rsidRPr="000D268C">
        <w:rPr>
          <w:rFonts w:eastAsia="Times New Roman" w:cstheme="minorHAnsi"/>
          <w:lang w:val="en-GB" w:eastAsia="en-GB"/>
        </w:rPr>
        <w:t xml:space="preserve">d knowledge about banking supervision. However, this is not considered a problem because the main goal of the claim analysis approach is not to capture the precise distribution of topics discussed in Q&amp;A, but to establish the relevance of questions and the degree to which they are answered by executive actors. </w:t>
      </w:r>
    </w:p>
    <w:p w14:paraId="634ED818" w14:textId="1AC36B20" w:rsidR="00F813C3" w:rsidRPr="000D268C" w:rsidRDefault="00F813C3" w:rsidP="002C54BF">
      <w:pPr>
        <w:spacing w:line="480" w:lineRule="auto"/>
        <w:jc w:val="both"/>
        <w:rPr>
          <w:rFonts w:eastAsia="Times New Roman" w:cstheme="minorHAnsi"/>
          <w:lang w:val="en-GB" w:eastAsia="en-GB"/>
        </w:rPr>
      </w:pPr>
      <w:r w:rsidRPr="000D268C">
        <w:rPr>
          <w:rFonts w:eastAsia="Times New Roman" w:cstheme="minorHAnsi"/>
          <w:lang w:val="en-GB" w:eastAsia="en-GB"/>
        </w:rPr>
        <w:tab/>
        <w:t xml:space="preserve">Accordingly, what is more important is the value of coefficients for the variables </w:t>
      </w:r>
      <w:r w:rsidR="00355E94" w:rsidRPr="000D268C">
        <w:rPr>
          <w:rFonts w:eastAsia="Times New Roman" w:cstheme="minorHAnsi"/>
          <w:lang w:val="en-GB" w:eastAsia="en-GB"/>
        </w:rPr>
        <w:t>‘</w:t>
      </w:r>
      <w:r w:rsidRPr="000D268C">
        <w:rPr>
          <w:rFonts w:eastAsia="Times New Roman" w:cstheme="minorHAnsi"/>
          <w:lang w:val="en-GB" w:eastAsia="en-GB"/>
        </w:rPr>
        <w:t>Initial question</w:t>
      </w:r>
      <w:r w:rsidR="00355E94" w:rsidRPr="000D268C">
        <w:rPr>
          <w:rFonts w:eastAsia="Times New Roman" w:cstheme="minorHAnsi"/>
          <w:lang w:val="en-GB" w:eastAsia="en-GB"/>
        </w:rPr>
        <w:t>’</w:t>
      </w:r>
      <w:r w:rsidRPr="000D268C">
        <w:rPr>
          <w:rFonts w:eastAsia="Times New Roman" w:cstheme="minorHAnsi"/>
          <w:lang w:val="en-GB" w:eastAsia="en-GB"/>
        </w:rPr>
        <w:t xml:space="preserve">, </w:t>
      </w:r>
      <w:r w:rsidR="00355E94" w:rsidRPr="000D268C">
        <w:rPr>
          <w:rFonts w:eastAsia="Times New Roman" w:cstheme="minorHAnsi"/>
          <w:lang w:val="en-GB" w:eastAsia="en-GB"/>
        </w:rPr>
        <w:t>‘</w:t>
      </w:r>
      <w:r w:rsidRPr="000D268C">
        <w:rPr>
          <w:rFonts w:eastAsia="Times New Roman" w:cstheme="minorHAnsi"/>
          <w:lang w:val="en-GB" w:eastAsia="en-GB"/>
        </w:rPr>
        <w:t>Follow-up question</w:t>
      </w:r>
      <w:r w:rsidR="00355E94" w:rsidRPr="000D268C">
        <w:rPr>
          <w:rFonts w:eastAsia="Times New Roman" w:cstheme="minorHAnsi"/>
          <w:lang w:val="en-GB" w:eastAsia="en-GB"/>
        </w:rPr>
        <w:t>’</w:t>
      </w:r>
      <w:r w:rsidRPr="000D268C">
        <w:rPr>
          <w:rFonts w:eastAsia="Times New Roman" w:cstheme="minorHAnsi"/>
          <w:lang w:val="en-GB" w:eastAsia="en-GB"/>
        </w:rPr>
        <w:t xml:space="preserve"> and the different types of responses. Given the higher scope for interpretation, values here are lower, but </w:t>
      </w:r>
      <w:r w:rsidR="0010531E" w:rsidRPr="000D268C">
        <w:rPr>
          <w:rFonts w:eastAsia="Times New Roman" w:cstheme="minorHAnsi"/>
          <w:lang w:val="en-GB" w:eastAsia="en-GB"/>
        </w:rPr>
        <w:t xml:space="preserve">they </w:t>
      </w:r>
      <w:r w:rsidRPr="000D268C">
        <w:rPr>
          <w:rFonts w:eastAsia="Times New Roman" w:cstheme="minorHAnsi"/>
          <w:lang w:val="en-GB" w:eastAsia="en-GB"/>
        </w:rPr>
        <w:t xml:space="preserve">still score over 0.700 for </w:t>
      </w:r>
      <w:proofErr w:type="spellStart"/>
      <w:r w:rsidRPr="000D268C">
        <w:rPr>
          <w:rFonts w:cstheme="minorHAnsi"/>
          <w:lang w:val="en-GB"/>
        </w:rPr>
        <w:t>Krippendorff's</w:t>
      </w:r>
      <w:proofErr w:type="spellEnd"/>
      <w:r w:rsidRPr="000D268C">
        <w:rPr>
          <w:rFonts w:cstheme="minorHAnsi"/>
          <w:lang w:val="en-GB"/>
        </w:rPr>
        <w:t xml:space="preserve"> cu-α/Cu-α, which suggests the coding is reliable. </w:t>
      </w:r>
      <w:r w:rsidRPr="000D268C">
        <w:rPr>
          <w:rFonts w:eastAsia="Times New Roman" w:cstheme="minorHAnsi"/>
          <w:lang w:val="en-GB" w:eastAsia="en-GB"/>
        </w:rPr>
        <w:t>The only limitation is the s</w:t>
      </w:r>
      <w:r w:rsidR="00063870" w:rsidRPr="000D268C">
        <w:rPr>
          <w:rFonts w:eastAsia="Times New Roman" w:cstheme="minorHAnsi"/>
          <w:lang w:val="en-GB" w:eastAsia="en-GB"/>
        </w:rPr>
        <w:t>ize</w:t>
      </w:r>
      <w:r w:rsidRPr="000D268C">
        <w:rPr>
          <w:rFonts w:eastAsia="Times New Roman" w:cstheme="minorHAnsi"/>
          <w:lang w:val="en-GB" w:eastAsia="en-GB"/>
        </w:rPr>
        <w:t xml:space="preserve"> of the sample, which might signal a Type 1 error, i.e. accepting data as reliable without this being the case </w:t>
      </w:r>
      <w:r w:rsidRPr="000D268C">
        <w:rPr>
          <w:rFonts w:eastAsia="Times New Roman" w:cstheme="minorHAnsi"/>
          <w:lang w:val="en-GB" w:eastAsia="en-GB"/>
        </w:rPr>
        <w:fldChar w:fldCharType="begin"/>
      </w:r>
      <w:r w:rsidR="00C82021" w:rsidRPr="000D268C">
        <w:rPr>
          <w:rFonts w:eastAsia="Times New Roman" w:cstheme="minorHAnsi"/>
          <w:lang w:val="en-GB" w:eastAsia="en-GB"/>
        </w:rPr>
        <w:instrText xml:space="preserve"> ADDIN ZOTERO_ITEM CSL_CITATION {"citationID":"oO55bVfI","properties":{"formattedCitation":"(Friese, 2019, p. 137)","plainCitation":"(Friese, 2019, p. 137)","noteIndex":0},"citationItems":[{"id":6986,"uris":["http://zotero.org/users/1129714/items/44V9C5L9"],"uri":["http://zotero.org/users/1129714/items/44V9C5L9"],"itemData":{"id":6986,"type":"article","language":"en","source":"Zotero","title":"ATLAS.ti 8 Mac - User Manual. Updated for program version 8.4","URL":"https://downloads.atlasti.com/docs/manual/manual_a8_mac_en.pdf?_ga=2.194419115.769246916.1567676169-2079576425.1564149724","author":[{"family":"Friese","given":"Susanne"}],"accessed":{"date-parts":[["2019",9,5]]},"issued":{"date-parts":[["2019"]]}},"locator":"137"}],"schema":"https://github.com/citation-style-language/schema/raw/master/csl-citation.json"} </w:instrText>
      </w:r>
      <w:r w:rsidRPr="000D268C">
        <w:rPr>
          <w:rFonts w:eastAsia="Times New Roman" w:cstheme="minorHAnsi"/>
          <w:lang w:val="en-GB" w:eastAsia="en-GB"/>
        </w:rPr>
        <w:fldChar w:fldCharType="separate"/>
      </w:r>
      <w:r w:rsidR="000A5639" w:rsidRPr="000D268C">
        <w:rPr>
          <w:rFonts w:eastAsia="Times New Roman" w:cstheme="minorHAnsi"/>
          <w:noProof/>
          <w:lang w:val="en-GB" w:eastAsia="en-GB"/>
        </w:rPr>
        <w:t>(Friese, 2019, p. 137)</w:t>
      </w:r>
      <w:r w:rsidRPr="000D268C">
        <w:rPr>
          <w:rFonts w:eastAsia="Times New Roman" w:cstheme="minorHAnsi"/>
          <w:lang w:val="en-GB" w:eastAsia="en-GB"/>
        </w:rPr>
        <w:fldChar w:fldCharType="end"/>
      </w:r>
      <w:r w:rsidRPr="000D268C">
        <w:rPr>
          <w:rFonts w:eastAsia="Times New Roman" w:cstheme="minorHAnsi"/>
          <w:lang w:val="en-GB" w:eastAsia="en-GB"/>
        </w:rPr>
        <w:t xml:space="preserve">. To demonstrate the reliability of the coding under the circumstances, the next pages include screenshots of </w:t>
      </w:r>
      <w:proofErr w:type="spellStart"/>
      <w:r w:rsidRPr="000D268C">
        <w:rPr>
          <w:rFonts w:eastAsia="Times New Roman" w:cstheme="minorHAnsi"/>
          <w:lang w:val="en-GB" w:eastAsia="en-GB"/>
        </w:rPr>
        <w:t>ATLAS.ti</w:t>
      </w:r>
      <w:proofErr w:type="spellEnd"/>
      <w:r w:rsidRPr="000D268C">
        <w:rPr>
          <w:rFonts w:eastAsia="Times New Roman" w:cstheme="minorHAnsi"/>
          <w:lang w:val="en-GB" w:eastAsia="en-GB"/>
        </w:rPr>
        <w:t xml:space="preserve"> results, which illustrate the overlap between the two coders for each individual sub-code. Coder 1 is marked in red, coder 2 in yellow.</w:t>
      </w:r>
    </w:p>
    <w:p w14:paraId="62C5054E" w14:textId="41AE047B" w:rsidR="00F813C3" w:rsidRPr="000D268C" w:rsidRDefault="00F813C3" w:rsidP="002C54BF">
      <w:pPr>
        <w:spacing w:line="480" w:lineRule="auto"/>
        <w:jc w:val="both"/>
        <w:rPr>
          <w:rFonts w:eastAsia="Times New Roman" w:cstheme="minorHAnsi"/>
          <w:lang w:val="en-GB" w:eastAsia="en-GB"/>
        </w:rPr>
      </w:pPr>
    </w:p>
    <w:p w14:paraId="4BEEC690" w14:textId="7213DCA9" w:rsidR="0010531E" w:rsidRPr="000D268C" w:rsidRDefault="0010531E" w:rsidP="002C54BF">
      <w:pPr>
        <w:spacing w:line="480" w:lineRule="auto"/>
        <w:jc w:val="both"/>
        <w:rPr>
          <w:rFonts w:eastAsia="Times New Roman" w:cstheme="minorHAnsi"/>
          <w:lang w:val="en-GB" w:eastAsia="en-GB"/>
        </w:rPr>
      </w:pPr>
    </w:p>
    <w:p w14:paraId="7F054417" w14:textId="08121A93" w:rsidR="009A7248" w:rsidRPr="000D268C" w:rsidRDefault="009A7248" w:rsidP="002C54BF">
      <w:pPr>
        <w:spacing w:line="480" w:lineRule="auto"/>
        <w:jc w:val="both"/>
        <w:rPr>
          <w:rFonts w:eastAsia="Times New Roman" w:cstheme="minorHAnsi"/>
          <w:lang w:val="en-GB" w:eastAsia="en-GB"/>
        </w:rPr>
      </w:pPr>
    </w:p>
    <w:p w14:paraId="39922264" w14:textId="363E1784" w:rsidR="009A7248" w:rsidRPr="000D268C" w:rsidRDefault="009A7248" w:rsidP="002C54BF">
      <w:pPr>
        <w:spacing w:line="480" w:lineRule="auto"/>
        <w:jc w:val="both"/>
        <w:rPr>
          <w:rFonts w:eastAsia="Times New Roman" w:cstheme="minorHAnsi"/>
          <w:lang w:val="en-GB" w:eastAsia="en-GB"/>
        </w:rPr>
      </w:pPr>
    </w:p>
    <w:p w14:paraId="0718FDD8" w14:textId="64CF079B" w:rsidR="009A7248" w:rsidRPr="000D268C" w:rsidRDefault="009A7248" w:rsidP="002C54BF">
      <w:pPr>
        <w:spacing w:line="480" w:lineRule="auto"/>
        <w:jc w:val="both"/>
        <w:rPr>
          <w:rFonts w:eastAsia="Times New Roman" w:cstheme="minorHAnsi"/>
          <w:lang w:val="en-GB" w:eastAsia="en-GB"/>
        </w:rPr>
      </w:pPr>
    </w:p>
    <w:p w14:paraId="7563B1BA" w14:textId="77777777" w:rsidR="009A7248" w:rsidRPr="000D268C" w:rsidRDefault="009A7248" w:rsidP="002C54BF">
      <w:pPr>
        <w:spacing w:line="480" w:lineRule="auto"/>
        <w:jc w:val="both"/>
        <w:rPr>
          <w:rFonts w:eastAsia="Times New Roman" w:cstheme="minorHAnsi"/>
          <w:lang w:val="en-GB" w:eastAsia="en-GB"/>
        </w:rPr>
      </w:pPr>
    </w:p>
    <w:p w14:paraId="3B697374" w14:textId="37B98F48" w:rsidR="00F813C3" w:rsidRPr="000D268C" w:rsidRDefault="00F813C3" w:rsidP="002C54BF">
      <w:pPr>
        <w:spacing w:line="480" w:lineRule="auto"/>
        <w:jc w:val="both"/>
        <w:rPr>
          <w:rFonts w:eastAsia="Times New Roman" w:cstheme="minorHAnsi"/>
          <w:lang w:val="en-GB" w:eastAsia="en-GB"/>
        </w:rPr>
      </w:pPr>
      <w:r w:rsidRPr="000D268C">
        <w:rPr>
          <w:rFonts w:eastAsia="Times New Roman" w:cstheme="minorHAnsi"/>
          <w:lang w:val="en-GB" w:eastAsia="en-GB"/>
        </w:rPr>
        <w:lastRenderedPageBreak/>
        <w:t>Year of documents (applied once per document)</w:t>
      </w:r>
    </w:p>
    <w:p w14:paraId="577EF51E" w14:textId="045CA3C4" w:rsidR="00F813C3" w:rsidRPr="000D268C" w:rsidRDefault="00F813C3" w:rsidP="002C54BF">
      <w:pPr>
        <w:spacing w:line="480" w:lineRule="auto"/>
        <w:jc w:val="both"/>
        <w:rPr>
          <w:rFonts w:eastAsia="Times New Roman" w:cstheme="minorHAnsi"/>
          <w:lang w:val="en-GB" w:eastAsia="en-GB"/>
        </w:rPr>
      </w:pPr>
      <w:r w:rsidRPr="000D268C">
        <w:rPr>
          <w:rFonts w:eastAsia="Times New Roman" w:cstheme="minorHAnsi"/>
          <w:noProof/>
          <w:lang w:val="en-GB" w:eastAsia="en-GB"/>
        </w:rPr>
        <w:drawing>
          <wp:inline distT="0" distB="0" distL="0" distR="0" wp14:anchorId="55AE72D2" wp14:editId="2077C233">
            <wp:extent cx="5756910" cy="309054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56910" cy="3090545"/>
                    </a:xfrm>
                    <a:prstGeom prst="rect">
                      <a:avLst/>
                    </a:prstGeom>
                  </pic:spPr>
                </pic:pic>
              </a:graphicData>
            </a:graphic>
          </wp:inline>
        </w:drawing>
      </w:r>
    </w:p>
    <w:p w14:paraId="3C8E60C8" w14:textId="42F152E0" w:rsidR="00F813C3" w:rsidRPr="000D268C" w:rsidRDefault="00F813C3" w:rsidP="002C54BF">
      <w:pPr>
        <w:spacing w:line="480" w:lineRule="auto"/>
        <w:jc w:val="both"/>
        <w:rPr>
          <w:rFonts w:eastAsia="Times New Roman" w:cstheme="minorHAnsi"/>
          <w:lang w:val="en-GB" w:eastAsia="en-GB"/>
        </w:rPr>
      </w:pPr>
      <w:r w:rsidRPr="000D268C">
        <w:rPr>
          <w:rFonts w:eastAsia="Times New Roman" w:cstheme="minorHAnsi"/>
          <w:noProof/>
          <w:lang w:val="en-GB" w:eastAsia="en-GB"/>
        </w:rPr>
        <w:drawing>
          <wp:inline distT="0" distB="0" distL="0" distR="0" wp14:anchorId="2D61E530" wp14:editId="1FA220EE">
            <wp:extent cx="5756910" cy="2842895"/>
            <wp:effectExtent l="0" t="0" r="0" b="190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56910" cy="2842895"/>
                    </a:xfrm>
                    <a:prstGeom prst="rect">
                      <a:avLst/>
                    </a:prstGeom>
                  </pic:spPr>
                </pic:pic>
              </a:graphicData>
            </a:graphic>
          </wp:inline>
        </w:drawing>
      </w:r>
    </w:p>
    <w:p w14:paraId="1CB76CFE" w14:textId="77777777" w:rsidR="00F813C3" w:rsidRPr="000D268C" w:rsidRDefault="00F813C3" w:rsidP="002C54BF">
      <w:pPr>
        <w:spacing w:line="480" w:lineRule="auto"/>
        <w:jc w:val="both"/>
        <w:rPr>
          <w:rFonts w:eastAsia="Times New Roman" w:cstheme="minorHAnsi"/>
          <w:lang w:val="en-GB" w:eastAsia="en-GB"/>
        </w:rPr>
      </w:pPr>
    </w:p>
    <w:p w14:paraId="43DD175A" w14:textId="77777777" w:rsidR="00F813C3" w:rsidRPr="000D268C" w:rsidRDefault="00F813C3" w:rsidP="002C54BF">
      <w:pPr>
        <w:spacing w:line="480" w:lineRule="auto"/>
        <w:jc w:val="both"/>
        <w:rPr>
          <w:rFonts w:eastAsia="Times New Roman" w:cstheme="minorHAnsi"/>
          <w:lang w:val="en-GB" w:eastAsia="en-GB"/>
        </w:rPr>
      </w:pPr>
      <w:r w:rsidRPr="000D268C">
        <w:rPr>
          <w:rFonts w:eastAsia="Times New Roman" w:cstheme="minorHAnsi"/>
          <w:lang w:val="en-GB" w:eastAsia="en-GB"/>
        </w:rPr>
        <w:t>Source of documents (applied once per document)</w:t>
      </w:r>
    </w:p>
    <w:p w14:paraId="0934B693" w14:textId="62B5E389" w:rsidR="0010531E" w:rsidRPr="000D268C" w:rsidRDefault="00F813C3" w:rsidP="002C54BF">
      <w:pPr>
        <w:spacing w:line="480" w:lineRule="auto"/>
        <w:jc w:val="both"/>
        <w:rPr>
          <w:rFonts w:eastAsia="Times New Roman" w:cstheme="minorHAnsi"/>
          <w:lang w:val="en-GB" w:eastAsia="en-GB"/>
        </w:rPr>
      </w:pPr>
      <w:r w:rsidRPr="000D268C">
        <w:rPr>
          <w:rFonts w:eastAsia="Times New Roman" w:cstheme="minorHAnsi"/>
          <w:noProof/>
          <w:lang w:val="en-GB" w:eastAsia="en-GB"/>
        </w:rPr>
        <w:drawing>
          <wp:inline distT="0" distB="0" distL="0" distR="0" wp14:anchorId="29D610AC" wp14:editId="144A5188">
            <wp:extent cx="5756910" cy="124587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56910" cy="1245870"/>
                    </a:xfrm>
                    <a:prstGeom prst="rect">
                      <a:avLst/>
                    </a:prstGeom>
                  </pic:spPr>
                </pic:pic>
              </a:graphicData>
            </a:graphic>
          </wp:inline>
        </w:drawing>
      </w:r>
    </w:p>
    <w:p w14:paraId="72905BAE" w14:textId="77777777" w:rsidR="00F813C3" w:rsidRPr="000D268C" w:rsidRDefault="00F813C3" w:rsidP="002C54BF">
      <w:pPr>
        <w:spacing w:line="480" w:lineRule="auto"/>
        <w:jc w:val="both"/>
        <w:rPr>
          <w:rFonts w:eastAsia="Times New Roman" w:cstheme="minorHAnsi"/>
          <w:lang w:val="en-GB" w:eastAsia="en-GB"/>
        </w:rPr>
      </w:pPr>
      <w:r w:rsidRPr="000D268C">
        <w:rPr>
          <w:rFonts w:eastAsia="Times New Roman" w:cstheme="minorHAnsi"/>
          <w:lang w:val="en-GB" w:eastAsia="en-GB"/>
        </w:rPr>
        <w:lastRenderedPageBreak/>
        <w:t>Claimant function</w:t>
      </w:r>
    </w:p>
    <w:p w14:paraId="271A0D49" w14:textId="4A7750C6" w:rsidR="00F813C3" w:rsidRPr="000D268C" w:rsidRDefault="00F813C3" w:rsidP="002C54BF">
      <w:pPr>
        <w:spacing w:line="480" w:lineRule="auto"/>
        <w:jc w:val="both"/>
        <w:rPr>
          <w:rFonts w:eastAsia="Times New Roman" w:cstheme="minorHAnsi"/>
          <w:lang w:val="en-GB" w:eastAsia="en-GB"/>
        </w:rPr>
      </w:pPr>
      <w:r w:rsidRPr="000D268C">
        <w:rPr>
          <w:rFonts w:eastAsia="Times New Roman" w:cstheme="minorHAnsi"/>
          <w:noProof/>
          <w:lang w:val="en-GB" w:eastAsia="en-GB"/>
        </w:rPr>
        <w:drawing>
          <wp:inline distT="0" distB="0" distL="0" distR="0" wp14:anchorId="022686FB" wp14:editId="1B1503FB">
            <wp:extent cx="5756910" cy="319087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56910" cy="3190875"/>
                    </a:xfrm>
                    <a:prstGeom prst="rect">
                      <a:avLst/>
                    </a:prstGeom>
                  </pic:spPr>
                </pic:pic>
              </a:graphicData>
            </a:graphic>
          </wp:inline>
        </w:drawing>
      </w:r>
    </w:p>
    <w:p w14:paraId="2626C862" w14:textId="77777777" w:rsidR="00F813C3" w:rsidRPr="000D268C" w:rsidRDefault="00F813C3" w:rsidP="002C54BF">
      <w:pPr>
        <w:spacing w:line="480" w:lineRule="auto"/>
        <w:jc w:val="both"/>
        <w:rPr>
          <w:rFonts w:eastAsia="Times New Roman" w:cstheme="minorHAnsi"/>
          <w:lang w:val="en-GB" w:eastAsia="en-GB"/>
        </w:rPr>
      </w:pPr>
    </w:p>
    <w:p w14:paraId="38E21F62" w14:textId="77777777" w:rsidR="00F813C3" w:rsidRPr="000D268C" w:rsidRDefault="00F813C3" w:rsidP="002C54BF">
      <w:pPr>
        <w:spacing w:line="480" w:lineRule="auto"/>
        <w:jc w:val="both"/>
        <w:rPr>
          <w:rFonts w:eastAsia="Times New Roman" w:cstheme="minorHAnsi"/>
          <w:lang w:val="en-GB" w:eastAsia="en-GB"/>
        </w:rPr>
      </w:pPr>
      <w:r w:rsidRPr="000D268C">
        <w:rPr>
          <w:rFonts w:eastAsia="Times New Roman" w:cstheme="minorHAnsi"/>
          <w:lang w:val="en-GB" w:eastAsia="en-GB"/>
        </w:rPr>
        <w:t>Claimant nationality (only results different from 0 for both coders)</w:t>
      </w:r>
    </w:p>
    <w:p w14:paraId="55DACCE4" w14:textId="02BA49CE" w:rsidR="00F813C3" w:rsidRPr="000D268C" w:rsidRDefault="00F813C3" w:rsidP="002C54BF">
      <w:pPr>
        <w:spacing w:line="480" w:lineRule="auto"/>
        <w:jc w:val="both"/>
        <w:rPr>
          <w:rFonts w:eastAsia="Times New Roman" w:cstheme="minorHAnsi"/>
          <w:lang w:val="en-GB" w:eastAsia="en-GB"/>
        </w:rPr>
      </w:pPr>
      <w:r w:rsidRPr="000D268C">
        <w:rPr>
          <w:rFonts w:eastAsia="Times New Roman" w:cstheme="minorHAnsi"/>
          <w:noProof/>
          <w:lang w:val="en-GB" w:eastAsia="en-GB"/>
        </w:rPr>
        <w:drawing>
          <wp:inline distT="0" distB="0" distL="0" distR="0" wp14:anchorId="104681E4" wp14:editId="7BF1B9CD">
            <wp:extent cx="5756910" cy="3593465"/>
            <wp:effectExtent l="0" t="0" r="0" b="63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56910" cy="3593465"/>
                    </a:xfrm>
                    <a:prstGeom prst="rect">
                      <a:avLst/>
                    </a:prstGeom>
                  </pic:spPr>
                </pic:pic>
              </a:graphicData>
            </a:graphic>
          </wp:inline>
        </w:drawing>
      </w:r>
    </w:p>
    <w:p w14:paraId="45F31BF2" w14:textId="70A2DE33" w:rsidR="00F813C3" w:rsidRPr="000D268C" w:rsidRDefault="00F813C3" w:rsidP="002C54BF">
      <w:pPr>
        <w:spacing w:line="480" w:lineRule="auto"/>
        <w:jc w:val="both"/>
        <w:rPr>
          <w:rFonts w:eastAsia="Times New Roman" w:cstheme="minorHAnsi"/>
          <w:lang w:val="en-GB" w:eastAsia="en-GB"/>
        </w:rPr>
      </w:pPr>
      <w:r w:rsidRPr="000D268C">
        <w:rPr>
          <w:rFonts w:eastAsia="Times New Roman" w:cstheme="minorHAnsi"/>
          <w:noProof/>
          <w:lang w:val="en-GB" w:eastAsia="en-GB"/>
        </w:rPr>
        <w:lastRenderedPageBreak/>
        <w:drawing>
          <wp:inline distT="0" distB="0" distL="0" distR="0" wp14:anchorId="0371F399" wp14:editId="459AED74">
            <wp:extent cx="5756910" cy="1099608"/>
            <wp:effectExtent l="0" t="0" r="0" b="571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3"/>
                    <a:srcRect t="5114"/>
                    <a:stretch/>
                  </pic:blipFill>
                  <pic:spPr bwMode="auto">
                    <a:xfrm>
                      <a:off x="0" y="0"/>
                      <a:ext cx="5756910" cy="1099608"/>
                    </a:xfrm>
                    <a:prstGeom prst="rect">
                      <a:avLst/>
                    </a:prstGeom>
                    <a:ln>
                      <a:noFill/>
                    </a:ln>
                    <a:extLst>
                      <a:ext uri="{53640926-AAD7-44D8-BBD7-CCE9431645EC}">
                        <a14:shadowObscured xmlns:a14="http://schemas.microsoft.com/office/drawing/2010/main"/>
                      </a:ext>
                    </a:extLst>
                  </pic:spPr>
                </pic:pic>
              </a:graphicData>
            </a:graphic>
          </wp:inline>
        </w:drawing>
      </w:r>
    </w:p>
    <w:p w14:paraId="54186306" w14:textId="77777777" w:rsidR="00F813C3" w:rsidRPr="000D268C" w:rsidRDefault="00F813C3" w:rsidP="002C54BF">
      <w:pPr>
        <w:spacing w:line="480" w:lineRule="auto"/>
        <w:jc w:val="both"/>
        <w:rPr>
          <w:rFonts w:eastAsia="Times New Roman" w:cstheme="minorHAnsi"/>
          <w:lang w:val="en-GB" w:eastAsia="en-GB"/>
        </w:rPr>
      </w:pPr>
    </w:p>
    <w:p w14:paraId="469BBA2A" w14:textId="77777777" w:rsidR="00F813C3" w:rsidRPr="000D268C" w:rsidRDefault="00F813C3" w:rsidP="002C54BF">
      <w:pPr>
        <w:spacing w:line="480" w:lineRule="auto"/>
        <w:jc w:val="both"/>
        <w:rPr>
          <w:rFonts w:eastAsia="Times New Roman" w:cstheme="minorHAnsi"/>
          <w:lang w:val="en-GB" w:eastAsia="en-GB"/>
        </w:rPr>
      </w:pPr>
      <w:r w:rsidRPr="000D268C">
        <w:rPr>
          <w:rFonts w:eastAsia="Times New Roman" w:cstheme="minorHAnsi"/>
          <w:lang w:val="en-GB" w:eastAsia="en-GB"/>
        </w:rPr>
        <w:t>Claimant party</w:t>
      </w:r>
    </w:p>
    <w:p w14:paraId="5F41C70E" w14:textId="3390BE69" w:rsidR="00F813C3" w:rsidRPr="000D268C" w:rsidRDefault="00F813C3" w:rsidP="002C54BF">
      <w:pPr>
        <w:spacing w:line="480" w:lineRule="auto"/>
        <w:jc w:val="both"/>
        <w:rPr>
          <w:rFonts w:eastAsia="Times New Roman" w:cstheme="minorHAnsi"/>
          <w:lang w:val="en-GB" w:eastAsia="en-GB"/>
        </w:rPr>
      </w:pPr>
      <w:r w:rsidRPr="000D268C">
        <w:rPr>
          <w:rFonts w:eastAsia="Times New Roman" w:cstheme="minorHAnsi"/>
          <w:noProof/>
          <w:lang w:val="en-GB" w:eastAsia="en-GB"/>
        </w:rPr>
        <w:drawing>
          <wp:inline distT="0" distB="0" distL="0" distR="0" wp14:anchorId="63944FCF" wp14:editId="4BC69BC7">
            <wp:extent cx="5756910" cy="349313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56910" cy="3493135"/>
                    </a:xfrm>
                    <a:prstGeom prst="rect">
                      <a:avLst/>
                    </a:prstGeom>
                  </pic:spPr>
                </pic:pic>
              </a:graphicData>
            </a:graphic>
          </wp:inline>
        </w:drawing>
      </w:r>
    </w:p>
    <w:p w14:paraId="797E5034" w14:textId="1037C4B8" w:rsidR="00F813C3" w:rsidRPr="000D268C" w:rsidRDefault="00F813C3" w:rsidP="002C54BF">
      <w:pPr>
        <w:spacing w:line="480" w:lineRule="auto"/>
        <w:jc w:val="both"/>
        <w:rPr>
          <w:rFonts w:eastAsia="Times New Roman" w:cstheme="minorHAnsi"/>
          <w:lang w:val="en-GB" w:eastAsia="en-GB"/>
        </w:rPr>
      </w:pPr>
      <w:r w:rsidRPr="000D268C">
        <w:rPr>
          <w:rFonts w:eastAsia="Times New Roman" w:cstheme="minorHAnsi"/>
          <w:noProof/>
          <w:lang w:val="en-GB" w:eastAsia="en-GB"/>
        </w:rPr>
        <w:drawing>
          <wp:inline distT="0" distB="0" distL="0" distR="0" wp14:anchorId="1D530A7F" wp14:editId="15C65E84">
            <wp:extent cx="5756910" cy="735330"/>
            <wp:effectExtent l="0" t="0" r="0" b="127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56910" cy="735330"/>
                    </a:xfrm>
                    <a:prstGeom prst="rect">
                      <a:avLst/>
                    </a:prstGeom>
                  </pic:spPr>
                </pic:pic>
              </a:graphicData>
            </a:graphic>
          </wp:inline>
        </w:drawing>
      </w:r>
    </w:p>
    <w:p w14:paraId="5D9B126D" w14:textId="77777777" w:rsidR="00F813C3" w:rsidRPr="000D268C" w:rsidRDefault="00F813C3" w:rsidP="002C54BF">
      <w:pPr>
        <w:spacing w:line="480" w:lineRule="auto"/>
        <w:jc w:val="both"/>
        <w:rPr>
          <w:rFonts w:eastAsia="Times New Roman" w:cstheme="minorHAnsi"/>
          <w:lang w:val="en-GB" w:eastAsia="en-GB"/>
        </w:rPr>
      </w:pPr>
    </w:p>
    <w:p w14:paraId="129798C2" w14:textId="77777777" w:rsidR="002C54BF" w:rsidRPr="000D268C" w:rsidRDefault="002C54BF" w:rsidP="002C54BF">
      <w:pPr>
        <w:spacing w:line="480" w:lineRule="auto"/>
        <w:jc w:val="both"/>
        <w:rPr>
          <w:rFonts w:eastAsia="Times New Roman" w:cstheme="minorHAnsi"/>
          <w:lang w:val="en-GB" w:eastAsia="en-GB"/>
        </w:rPr>
      </w:pPr>
    </w:p>
    <w:p w14:paraId="1B0DB1F8" w14:textId="77777777" w:rsidR="002C54BF" w:rsidRPr="000D268C" w:rsidRDefault="002C54BF" w:rsidP="002C54BF">
      <w:pPr>
        <w:spacing w:line="480" w:lineRule="auto"/>
        <w:jc w:val="both"/>
        <w:rPr>
          <w:rFonts w:eastAsia="Times New Roman" w:cstheme="minorHAnsi"/>
          <w:lang w:val="en-GB" w:eastAsia="en-GB"/>
        </w:rPr>
      </w:pPr>
    </w:p>
    <w:p w14:paraId="4B19391C" w14:textId="77777777" w:rsidR="002C54BF" w:rsidRPr="000D268C" w:rsidRDefault="002C54BF" w:rsidP="002C54BF">
      <w:pPr>
        <w:spacing w:line="480" w:lineRule="auto"/>
        <w:jc w:val="both"/>
        <w:rPr>
          <w:rFonts w:eastAsia="Times New Roman" w:cstheme="minorHAnsi"/>
          <w:lang w:val="en-GB" w:eastAsia="en-GB"/>
        </w:rPr>
      </w:pPr>
    </w:p>
    <w:p w14:paraId="12D87990" w14:textId="77777777" w:rsidR="002C54BF" w:rsidRPr="000D268C" w:rsidRDefault="002C54BF" w:rsidP="002C54BF">
      <w:pPr>
        <w:spacing w:line="480" w:lineRule="auto"/>
        <w:jc w:val="both"/>
        <w:rPr>
          <w:rFonts w:eastAsia="Times New Roman" w:cstheme="minorHAnsi"/>
          <w:lang w:val="en-GB" w:eastAsia="en-GB"/>
        </w:rPr>
      </w:pPr>
    </w:p>
    <w:p w14:paraId="700AB359" w14:textId="77777777" w:rsidR="002C54BF" w:rsidRPr="000D268C" w:rsidRDefault="002C54BF" w:rsidP="002C54BF">
      <w:pPr>
        <w:spacing w:line="480" w:lineRule="auto"/>
        <w:jc w:val="both"/>
        <w:rPr>
          <w:rFonts w:eastAsia="Times New Roman" w:cstheme="minorHAnsi"/>
          <w:lang w:val="en-GB" w:eastAsia="en-GB"/>
        </w:rPr>
      </w:pPr>
    </w:p>
    <w:p w14:paraId="211ECA86" w14:textId="15BC335A" w:rsidR="00F813C3" w:rsidRPr="000D268C" w:rsidRDefault="00F813C3" w:rsidP="002C54BF">
      <w:pPr>
        <w:spacing w:line="480" w:lineRule="auto"/>
        <w:jc w:val="both"/>
        <w:rPr>
          <w:rFonts w:eastAsia="Times New Roman" w:cstheme="minorHAnsi"/>
          <w:lang w:val="en-GB" w:eastAsia="en-GB"/>
        </w:rPr>
      </w:pPr>
      <w:r w:rsidRPr="000D268C">
        <w:rPr>
          <w:rFonts w:eastAsia="Times New Roman" w:cstheme="minorHAnsi"/>
          <w:lang w:val="en-GB" w:eastAsia="en-GB"/>
        </w:rPr>
        <w:lastRenderedPageBreak/>
        <w:t>Addressee function</w:t>
      </w:r>
    </w:p>
    <w:p w14:paraId="657B1190" w14:textId="4546C212" w:rsidR="008D101C" w:rsidRPr="000D268C" w:rsidRDefault="00F813C3" w:rsidP="002C54BF">
      <w:pPr>
        <w:spacing w:line="480" w:lineRule="auto"/>
        <w:jc w:val="both"/>
        <w:rPr>
          <w:rFonts w:eastAsia="Times New Roman" w:cstheme="minorHAnsi"/>
          <w:lang w:val="en-GB" w:eastAsia="en-GB"/>
        </w:rPr>
      </w:pPr>
      <w:r w:rsidRPr="000D268C">
        <w:rPr>
          <w:rFonts w:eastAsia="Times New Roman" w:cstheme="minorHAnsi"/>
          <w:noProof/>
          <w:lang w:val="en-GB" w:eastAsia="en-GB"/>
        </w:rPr>
        <w:drawing>
          <wp:inline distT="0" distB="0" distL="0" distR="0" wp14:anchorId="7624A027" wp14:editId="7620ECD4">
            <wp:extent cx="5756910" cy="3183890"/>
            <wp:effectExtent l="0" t="0" r="0" b="381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6"/>
                    <a:srcRect/>
                    <a:stretch/>
                  </pic:blipFill>
                  <pic:spPr bwMode="auto">
                    <a:xfrm>
                      <a:off x="0" y="0"/>
                      <a:ext cx="5756910" cy="3183890"/>
                    </a:xfrm>
                    <a:prstGeom prst="rect">
                      <a:avLst/>
                    </a:prstGeom>
                    <a:ln>
                      <a:noFill/>
                    </a:ln>
                    <a:extLst>
                      <a:ext uri="{53640926-AAD7-44D8-BBD7-CCE9431645EC}">
                        <a14:shadowObscured xmlns:a14="http://schemas.microsoft.com/office/drawing/2010/main"/>
                      </a:ext>
                    </a:extLst>
                  </pic:spPr>
                </pic:pic>
              </a:graphicData>
            </a:graphic>
          </wp:inline>
        </w:drawing>
      </w:r>
    </w:p>
    <w:p w14:paraId="469014FD" w14:textId="77777777" w:rsidR="002C54BF" w:rsidRPr="000D268C" w:rsidRDefault="002C54BF" w:rsidP="002C54BF">
      <w:pPr>
        <w:spacing w:line="480" w:lineRule="auto"/>
        <w:jc w:val="both"/>
        <w:rPr>
          <w:rFonts w:eastAsia="Times New Roman" w:cstheme="minorHAnsi"/>
          <w:lang w:val="en-GB" w:eastAsia="en-GB"/>
        </w:rPr>
      </w:pPr>
    </w:p>
    <w:p w14:paraId="54459344" w14:textId="77777777" w:rsidR="00F813C3" w:rsidRPr="000D268C" w:rsidRDefault="00F813C3" w:rsidP="002C54BF">
      <w:pPr>
        <w:spacing w:line="480" w:lineRule="auto"/>
        <w:jc w:val="both"/>
        <w:rPr>
          <w:rFonts w:eastAsia="Times New Roman" w:cstheme="minorHAnsi"/>
          <w:lang w:val="en-GB" w:eastAsia="en-GB"/>
        </w:rPr>
      </w:pPr>
      <w:r w:rsidRPr="000D268C">
        <w:rPr>
          <w:rFonts w:eastAsia="Times New Roman" w:cstheme="minorHAnsi"/>
          <w:lang w:val="en-GB" w:eastAsia="en-GB"/>
        </w:rPr>
        <w:t>Issue</w:t>
      </w:r>
    </w:p>
    <w:p w14:paraId="0C2F785D" w14:textId="4D763789" w:rsidR="00F813C3" w:rsidRPr="000D268C" w:rsidRDefault="00F813C3" w:rsidP="002C54BF">
      <w:pPr>
        <w:spacing w:line="480" w:lineRule="auto"/>
        <w:jc w:val="both"/>
        <w:rPr>
          <w:rFonts w:eastAsia="Times New Roman" w:cstheme="minorHAnsi"/>
          <w:lang w:val="en-GB" w:eastAsia="en-GB"/>
        </w:rPr>
      </w:pPr>
      <w:r w:rsidRPr="000D268C">
        <w:rPr>
          <w:rFonts w:eastAsia="Times New Roman" w:cstheme="minorHAnsi"/>
          <w:noProof/>
          <w:lang w:val="en-GB" w:eastAsia="en-GB"/>
        </w:rPr>
        <w:drawing>
          <wp:inline distT="0" distB="0" distL="0" distR="0" wp14:anchorId="682A7A2C" wp14:editId="409DDF3F">
            <wp:extent cx="5756910" cy="3488055"/>
            <wp:effectExtent l="0" t="0" r="0" b="44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56910" cy="3488055"/>
                    </a:xfrm>
                    <a:prstGeom prst="rect">
                      <a:avLst/>
                    </a:prstGeom>
                  </pic:spPr>
                </pic:pic>
              </a:graphicData>
            </a:graphic>
          </wp:inline>
        </w:drawing>
      </w:r>
    </w:p>
    <w:p w14:paraId="3BBC42D4" w14:textId="38A0D4B7" w:rsidR="0010531E" w:rsidRPr="000D268C" w:rsidRDefault="00F813C3" w:rsidP="002C54BF">
      <w:pPr>
        <w:spacing w:line="480" w:lineRule="auto"/>
        <w:jc w:val="both"/>
        <w:rPr>
          <w:rFonts w:eastAsia="Times New Roman" w:cstheme="minorHAnsi"/>
          <w:lang w:val="en-GB" w:eastAsia="en-GB"/>
        </w:rPr>
      </w:pPr>
      <w:r w:rsidRPr="000D268C">
        <w:rPr>
          <w:rFonts w:eastAsia="Times New Roman" w:cstheme="minorHAnsi"/>
          <w:noProof/>
          <w:lang w:val="en-GB" w:eastAsia="en-GB"/>
        </w:rPr>
        <w:lastRenderedPageBreak/>
        <w:drawing>
          <wp:inline distT="0" distB="0" distL="0" distR="0" wp14:anchorId="038A57FF" wp14:editId="6D5E7886">
            <wp:extent cx="5706110" cy="36322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srcRect l="882"/>
                    <a:stretch/>
                  </pic:blipFill>
                  <pic:spPr bwMode="auto">
                    <a:xfrm>
                      <a:off x="0" y="0"/>
                      <a:ext cx="5706110" cy="3632200"/>
                    </a:xfrm>
                    <a:prstGeom prst="rect">
                      <a:avLst/>
                    </a:prstGeom>
                    <a:ln>
                      <a:noFill/>
                    </a:ln>
                    <a:extLst>
                      <a:ext uri="{53640926-AAD7-44D8-BBD7-CCE9431645EC}">
                        <a14:shadowObscured xmlns:a14="http://schemas.microsoft.com/office/drawing/2010/main"/>
                      </a:ext>
                    </a:extLst>
                  </pic:spPr>
                </pic:pic>
              </a:graphicData>
            </a:graphic>
          </wp:inline>
        </w:drawing>
      </w:r>
    </w:p>
    <w:p w14:paraId="0D0D3B0A" w14:textId="77777777" w:rsidR="002C54BF" w:rsidRPr="000D268C" w:rsidRDefault="002C54BF" w:rsidP="002C54BF">
      <w:pPr>
        <w:spacing w:line="480" w:lineRule="auto"/>
        <w:jc w:val="both"/>
        <w:rPr>
          <w:rFonts w:eastAsia="Times New Roman" w:cstheme="minorHAnsi"/>
          <w:lang w:val="en-GB" w:eastAsia="en-GB"/>
        </w:rPr>
      </w:pPr>
    </w:p>
    <w:p w14:paraId="03CB7CC3" w14:textId="77777777" w:rsidR="00F813C3" w:rsidRPr="000D268C" w:rsidRDefault="00F813C3" w:rsidP="002C54BF">
      <w:pPr>
        <w:spacing w:line="480" w:lineRule="auto"/>
        <w:rPr>
          <w:rFonts w:eastAsia="Times New Roman" w:cstheme="minorHAnsi"/>
          <w:lang w:val="en-GB" w:eastAsia="en-GB"/>
        </w:rPr>
      </w:pPr>
      <w:r w:rsidRPr="000D268C">
        <w:rPr>
          <w:rFonts w:eastAsia="Times New Roman" w:cstheme="minorHAnsi"/>
          <w:lang w:val="en-GB" w:eastAsia="en-GB"/>
        </w:rPr>
        <w:t>Initial question</w:t>
      </w:r>
    </w:p>
    <w:p w14:paraId="307DEF2D" w14:textId="51693C7B" w:rsidR="00F813C3" w:rsidRPr="000D268C" w:rsidRDefault="00F813C3" w:rsidP="002C54BF">
      <w:pPr>
        <w:spacing w:line="480" w:lineRule="auto"/>
        <w:rPr>
          <w:rFonts w:eastAsia="Times New Roman" w:cstheme="minorHAnsi"/>
          <w:lang w:val="en-GB" w:eastAsia="en-GB"/>
        </w:rPr>
      </w:pPr>
      <w:r w:rsidRPr="000D268C">
        <w:rPr>
          <w:rFonts w:eastAsia="Times New Roman" w:cstheme="minorHAnsi"/>
          <w:noProof/>
          <w:lang w:val="en-GB" w:eastAsia="en-GB"/>
        </w:rPr>
        <w:drawing>
          <wp:inline distT="0" distB="0" distL="0" distR="0" wp14:anchorId="5C4290EF" wp14:editId="00BEFC2A">
            <wp:extent cx="5756910" cy="2552065"/>
            <wp:effectExtent l="0" t="0" r="0" b="63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56910" cy="2552065"/>
                    </a:xfrm>
                    <a:prstGeom prst="rect">
                      <a:avLst/>
                    </a:prstGeom>
                  </pic:spPr>
                </pic:pic>
              </a:graphicData>
            </a:graphic>
          </wp:inline>
        </w:drawing>
      </w:r>
    </w:p>
    <w:p w14:paraId="22FD813B" w14:textId="4F9E97D8" w:rsidR="00F813C3" w:rsidRPr="000D268C" w:rsidRDefault="00F813C3" w:rsidP="002C54BF">
      <w:pPr>
        <w:spacing w:line="480" w:lineRule="auto"/>
        <w:rPr>
          <w:rFonts w:eastAsia="Times New Roman" w:cstheme="minorHAnsi"/>
          <w:lang w:val="en-GB" w:eastAsia="en-GB"/>
        </w:rPr>
      </w:pPr>
    </w:p>
    <w:p w14:paraId="12340F91" w14:textId="7245D5D6" w:rsidR="002C54BF" w:rsidRPr="000D268C" w:rsidRDefault="002C54BF" w:rsidP="002C54BF">
      <w:pPr>
        <w:spacing w:line="480" w:lineRule="auto"/>
        <w:rPr>
          <w:rFonts w:eastAsia="Times New Roman" w:cstheme="minorHAnsi"/>
          <w:lang w:val="en-GB" w:eastAsia="en-GB"/>
        </w:rPr>
      </w:pPr>
    </w:p>
    <w:p w14:paraId="7C295A5D" w14:textId="77777777" w:rsidR="002C54BF" w:rsidRPr="000D268C" w:rsidRDefault="002C54BF" w:rsidP="002C54BF">
      <w:pPr>
        <w:spacing w:line="480" w:lineRule="auto"/>
        <w:rPr>
          <w:rFonts w:eastAsia="Times New Roman" w:cstheme="minorHAnsi"/>
          <w:lang w:val="en-GB" w:eastAsia="en-GB"/>
        </w:rPr>
      </w:pPr>
    </w:p>
    <w:p w14:paraId="3C04B3DC" w14:textId="77777777" w:rsidR="0010531E" w:rsidRPr="000D268C" w:rsidRDefault="0010531E" w:rsidP="002C54BF">
      <w:pPr>
        <w:spacing w:line="480" w:lineRule="auto"/>
        <w:rPr>
          <w:rFonts w:eastAsia="Times New Roman" w:cstheme="minorHAnsi"/>
          <w:lang w:val="en-GB" w:eastAsia="en-GB"/>
        </w:rPr>
      </w:pPr>
    </w:p>
    <w:p w14:paraId="72537E9C" w14:textId="77777777" w:rsidR="00F813C3" w:rsidRPr="000D268C" w:rsidRDefault="00F813C3" w:rsidP="002C54BF">
      <w:pPr>
        <w:spacing w:line="480" w:lineRule="auto"/>
        <w:rPr>
          <w:rFonts w:eastAsia="Times New Roman" w:cstheme="minorHAnsi"/>
          <w:lang w:val="en-GB" w:eastAsia="en-GB"/>
        </w:rPr>
      </w:pPr>
      <w:proofErr w:type="spellStart"/>
      <w:r w:rsidRPr="000D268C">
        <w:rPr>
          <w:rFonts w:eastAsia="Times New Roman" w:cstheme="minorHAnsi"/>
          <w:lang w:val="en-GB" w:eastAsia="en-GB"/>
        </w:rPr>
        <w:lastRenderedPageBreak/>
        <w:t>Response_explicit</w:t>
      </w:r>
      <w:proofErr w:type="spellEnd"/>
    </w:p>
    <w:p w14:paraId="082D2022" w14:textId="0CB92CC1" w:rsidR="00F813C3" w:rsidRPr="000D268C" w:rsidRDefault="00F813C3" w:rsidP="002C54BF">
      <w:pPr>
        <w:spacing w:line="480" w:lineRule="auto"/>
        <w:rPr>
          <w:rFonts w:eastAsia="Times New Roman" w:cstheme="minorHAnsi"/>
          <w:lang w:val="en-GB" w:eastAsia="en-GB"/>
        </w:rPr>
      </w:pPr>
      <w:r w:rsidRPr="000D268C">
        <w:rPr>
          <w:rFonts w:eastAsia="Times New Roman" w:cstheme="minorHAnsi"/>
          <w:noProof/>
          <w:lang w:val="en-GB" w:eastAsia="en-GB"/>
        </w:rPr>
        <w:drawing>
          <wp:inline distT="0" distB="0" distL="0" distR="0" wp14:anchorId="39DC9AD8" wp14:editId="5F2D242A">
            <wp:extent cx="5756910" cy="308927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5756910" cy="3089275"/>
                    </a:xfrm>
                    <a:prstGeom prst="rect">
                      <a:avLst/>
                    </a:prstGeom>
                  </pic:spPr>
                </pic:pic>
              </a:graphicData>
            </a:graphic>
          </wp:inline>
        </w:drawing>
      </w:r>
    </w:p>
    <w:p w14:paraId="4A9C2B60" w14:textId="1E95AAB1" w:rsidR="0010531E" w:rsidRPr="000D268C" w:rsidRDefault="00F813C3" w:rsidP="002C54BF">
      <w:pPr>
        <w:spacing w:line="480" w:lineRule="auto"/>
        <w:rPr>
          <w:rFonts w:eastAsia="Times New Roman" w:cstheme="minorHAnsi"/>
          <w:lang w:val="en-GB" w:eastAsia="en-GB"/>
        </w:rPr>
      </w:pPr>
      <w:r w:rsidRPr="000D268C">
        <w:rPr>
          <w:rFonts w:eastAsia="Times New Roman" w:cstheme="minorHAnsi"/>
          <w:noProof/>
          <w:lang w:val="en-GB" w:eastAsia="en-GB"/>
        </w:rPr>
        <w:drawing>
          <wp:inline distT="0" distB="0" distL="0" distR="0" wp14:anchorId="61D14070" wp14:editId="33A1F915">
            <wp:extent cx="5756910" cy="752447"/>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srcRect l="735"/>
                    <a:stretch/>
                  </pic:blipFill>
                  <pic:spPr bwMode="auto">
                    <a:xfrm>
                      <a:off x="0" y="0"/>
                      <a:ext cx="5771083" cy="754299"/>
                    </a:xfrm>
                    <a:prstGeom prst="rect">
                      <a:avLst/>
                    </a:prstGeom>
                    <a:ln>
                      <a:noFill/>
                    </a:ln>
                    <a:extLst>
                      <a:ext uri="{53640926-AAD7-44D8-BBD7-CCE9431645EC}">
                        <a14:shadowObscured xmlns:a14="http://schemas.microsoft.com/office/drawing/2010/main"/>
                      </a:ext>
                    </a:extLst>
                  </pic:spPr>
                </pic:pic>
              </a:graphicData>
            </a:graphic>
          </wp:inline>
        </w:drawing>
      </w:r>
    </w:p>
    <w:p w14:paraId="6EC21194" w14:textId="77777777" w:rsidR="002C54BF" w:rsidRPr="000D268C" w:rsidRDefault="002C54BF" w:rsidP="002C54BF">
      <w:pPr>
        <w:spacing w:line="480" w:lineRule="auto"/>
        <w:rPr>
          <w:rFonts w:eastAsia="Times New Roman" w:cstheme="minorHAnsi"/>
          <w:lang w:val="en-GB" w:eastAsia="en-GB"/>
        </w:rPr>
      </w:pPr>
    </w:p>
    <w:p w14:paraId="7295C490" w14:textId="77777777" w:rsidR="00F813C3" w:rsidRPr="000D268C" w:rsidRDefault="00F813C3" w:rsidP="002C54BF">
      <w:pPr>
        <w:spacing w:line="480" w:lineRule="auto"/>
        <w:rPr>
          <w:rFonts w:eastAsia="Times New Roman" w:cstheme="minorHAnsi"/>
          <w:lang w:val="en-GB" w:eastAsia="en-GB"/>
        </w:rPr>
      </w:pPr>
      <w:proofErr w:type="spellStart"/>
      <w:r w:rsidRPr="000D268C">
        <w:rPr>
          <w:rFonts w:eastAsia="Times New Roman" w:cstheme="minorHAnsi"/>
          <w:lang w:val="en-GB" w:eastAsia="en-GB"/>
        </w:rPr>
        <w:t>Response_intermediate</w:t>
      </w:r>
      <w:proofErr w:type="spellEnd"/>
    </w:p>
    <w:p w14:paraId="76A2C42A" w14:textId="2EA1A908" w:rsidR="00F813C3" w:rsidRPr="000D268C" w:rsidRDefault="00F813C3" w:rsidP="002C54BF">
      <w:pPr>
        <w:spacing w:line="480" w:lineRule="auto"/>
        <w:rPr>
          <w:rFonts w:eastAsia="Times New Roman" w:cstheme="minorHAnsi"/>
          <w:lang w:val="en-GB" w:eastAsia="en-GB"/>
        </w:rPr>
      </w:pPr>
      <w:r w:rsidRPr="000D268C">
        <w:rPr>
          <w:rFonts w:eastAsia="Times New Roman" w:cstheme="minorHAnsi"/>
          <w:noProof/>
          <w:lang w:val="en-GB" w:eastAsia="en-GB"/>
        </w:rPr>
        <w:drawing>
          <wp:inline distT="0" distB="0" distL="0" distR="0" wp14:anchorId="67DD5FC9" wp14:editId="32B094F6">
            <wp:extent cx="5756910" cy="3483351"/>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srcRect l="1029"/>
                    <a:stretch/>
                  </pic:blipFill>
                  <pic:spPr bwMode="auto">
                    <a:xfrm>
                      <a:off x="0" y="0"/>
                      <a:ext cx="5762310" cy="3486618"/>
                    </a:xfrm>
                    <a:prstGeom prst="rect">
                      <a:avLst/>
                    </a:prstGeom>
                    <a:ln>
                      <a:noFill/>
                    </a:ln>
                    <a:extLst>
                      <a:ext uri="{53640926-AAD7-44D8-BBD7-CCE9431645EC}">
                        <a14:shadowObscured xmlns:a14="http://schemas.microsoft.com/office/drawing/2010/main"/>
                      </a:ext>
                    </a:extLst>
                  </pic:spPr>
                </pic:pic>
              </a:graphicData>
            </a:graphic>
          </wp:inline>
        </w:drawing>
      </w:r>
    </w:p>
    <w:p w14:paraId="2571A95D" w14:textId="53A48E36" w:rsidR="002C54BF" w:rsidRPr="000D268C" w:rsidRDefault="00F813C3" w:rsidP="002C54BF">
      <w:pPr>
        <w:spacing w:line="480" w:lineRule="auto"/>
        <w:rPr>
          <w:rFonts w:eastAsia="Times New Roman" w:cstheme="minorHAnsi"/>
          <w:lang w:val="en-GB" w:eastAsia="en-GB"/>
        </w:rPr>
      </w:pPr>
      <w:r w:rsidRPr="000D268C">
        <w:rPr>
          <w:rFonts w:eastAsia="Times New Roman" w:cstheme="minorHAnsi"/>
          <w:noProof/>
          <w:lang w:val="en-GB" w:eastAsia="en-GB"/>
        </w:rPr>
        <w:lastRenderedPageBreak/>
        <w:drawing>
          <wp:inline distT="0" distB="0" distL="0" distR="0" wp14:anchorId="3B4F6D45" wp14:editId="711FC9FA">
            <wp:extent cx="5756910" cy="2383155"/>
            <wp:effectExtent l="0" t="0" r="0" b="444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756910" cy="2383155"/>
                    </a:xfrm>
                    <a:prstGeom prst="rect">
                      <a:avLst/>
                    </a:prstGeom>
                  </pic:spPr>
                </pic:pic>
              </a:graphicData>
            </a:graphic>
          </wp:inline>
        </w:drawing>
      </w:r>
    </w:p>
    <w:p w14:paraId="6AF092FE" w14:textId="77777777" w:rsidR="002C54BF" w:rsidRPr="000D268C" w:rsidRDefault="002C54BF" w:rsidP="002C54BF">
      <w:pPr>
        <w:spacing w:line="480" w:lineRule="auto"/>
        <w:rPr>
          <w:rFonts w:eastAsia="Times New Roman" w:cstheme="minorHAnsi"/>
          <w:lang w:val="en-GB" w:eastAsia="en-GB"/>
        </w:rPr>
      </w:pPr>
    </w:p>
    <w:p w14:paraId="1D890D28" w14:textId="77777777" w:rsidR="00F813C3" w:rsidRPr="000D268C" w:rsidRDefault="00F813C3" w:rsidP="002C54BF">
      <w:pPr>
        <w:spacing w:line="480" w:lineRule="auto"/>
        <w:rPr>
          <w:rFonts w:eastAsia="Times New Roman" w:cstheme="minorHAnsi"/>
          <w:lang w:val="en-GB" w:eastAsia="en-GB"/>
        </w:rPr>
      </w:pPr>
      <w:proofErr w:type="spellStart"/>
      <w:r w:rsidRPr="000D268C">
        <w:rPr>
          <w:rFonts w:eastAsia="Times New Roman" w:cstheme="minorHAnsi"/>
          <w:lang w:val="en-GB" w:eastAsia="en-GB"/>
        </w:rPr>
        <w:t>Response_non</w:t>
      </w:r>
      <w:proofErr w:type="spellEnd"/>
      <w:r w:rsidRPr="000D268C">
        <w:rPr>
          <w:rFonts w:eastAsia="Times New Roman" w:cstheme="minorHAnsi"/>
          <w:lang w:val="en-GB" w:eastAsia="en-GB"/>
        </w:rPr>
        <w:t>-reply</w:t>
      </w:r>
    </w:p>
    <w:p w14:paraId="2DCA8648" w14:textId="7A0E84A7" w:rsidR="00F813C3" w:rsidRPr="000D268C" w:rsidRDefault="00F813C3" w:rsidP="002C54BF">
      <w:pPr>
        <w:spacing w:line="480" w:lineRule="auto"/>
        <w:rPr>
          <w:rFonts w:eastAsia="Times New Roman" w:cstheme="minorHAnsi"/>
          <w:lang w:val="en-GB" w:eastAsia="en-GB"/>
        </w:rPr>
      </w:pPr>
      <w:r w:rsidRPr="000D268C">
        <w:rPr>
          <w:rFonts w:eastAsia="Times New Roman" w:cstheme="minorHAnsi"/>
          <w:noProof/>
          <w:lang w:val="en-GB" w:eastAsia="en-GB"/>
        </w:rPr>
        <w:drawing>
          <wp:inline distT="0" distB="0" distL="0" distR="0" wp14:anchorId="6B947AD2" wp14:editId="3A38C5FF">
            <wp:extent cx="5756910" cy="3512820"/>
            <wp:effectExtent l="0" t="0" r="0" b="508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756910" cy="3512820"/>
                    </a:xfrm>
                    <a:prstGeom prst="rect">
                      <a:avLst/>
                    </a:prstGeom>
                  </pic:spPr>
                </pic:pic>
              </a:graphicData>
            </a:graphic>
          </wp:inline>
        </w:drawing>
      </w:r>
    </w:p>
    <w:p w14:paraId="4D8E4E53" w14:textId="342521AE" w:rsidR="00F813C3" w:rsidRPr="000D268C" w:rsidRDefault="00F813C3" w:rsidP="002C54BF">
      <w:pPr>
        <w:spacing w:line="480" w:lineRule="auto"/>
        <w:rPr>
          <w:rFonts w:eastAsia="Times New Roman" w:cstheme="minorHAnsi"/>
          <w:lang w:val="en-GB" w:eastAsia="en-GB"/>
        </w:rPr>
      </w:pPr>
      <w:r w:rsidRPr="000D268C">
        <w:rPr>
          <w:rFonts w:eastAsia="Times New Roman" w:cstheme="minorHAnsi"/>
          <w:noProof/>
          <w:lang w:val="en-GB" w:eastAsia="en-GB"/>
        </w:rPr>
        <w:lastRenderedPageBreak/>
        <w:drawing>
          <wp:inline distT="0" distB="0" distL="0" distR="0" wp14:anchorId="2F109D48" wp14:editId="2B6E9E3C">
            <wp:extent cx="5756910" cy="2832735"/>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756910" cy="2832735"/>
                    </a:xfrm>
                    <a:prstGeom prst="rect">
                      <a:avLst/>
                    </a:prstGeom>
                  </pic:spPr>
                </pic:pic>
              </a:graphicData>
            </a:graphic>
          </wp:inline>
        </w:drawing>
      </w:r>
    </w:p>
    <w:p w14:paraId="414E9BA2" w14:textId="77777777" w:rsidR="0010531E" w:rsidRPr="000D268C" w:rsidRDefault="0010531E" w:rsidP="002C54BF">
      <w:pPr>
        <w:spacing w:line="480" w:lineRule="auto"/>
        <w:rPr>
          <w:rFonts w:eastAsia="Times New Roman" w:cstheme="minorHAnsi"/>
          <w:lang w:val="en-GB" w:eastAsia="en-GB"/>
        </w:rPr>
      </w:pPr>
    </w:p>
    <w:p w14:paraId="7195B3A4" w14:textId="77777777" w:rsidR="00F813C3" w:rsidRPr="000D268C" w:rsidRDefault="00F813C3" w:rsidP="002C54BF">
      <w:pPr>
        <w:spacing w:line="480" w:lineRule="auto"/>
        <w:rPr>
          <w:rFonts w:eastAsia="Times New Roman" w:cstheme="minorHAnsi"/>
          <w:lang w:val="en-GB" w:eastAsia="en-GB"/>
        </w:rPr>
      </w:pPr>
      <w:r w:rsidRPr="000D268C">
        <w:rPr>
          <w:rFonts w:eastAsia="Times New Roman" w:cstheme="minorHAnsi"/>
          <w:lang w:val="en-GB" w:eastAsia="en-GB"/>
        </w:rPr>
        <w:t>Follow-up questions</w:t>
      </w:r>
    </w:p>
    <w:p w14:paraId="17199FCE" w14:textId="07364D18" w:rsidR="00F813C3" w:rsidRPr="000D268C" w:rsidRDefault="00F813C3" w:rsidP="002C54BF">
      <w:pPr>
        <w:spacing w:line="480" w:lineRule="auto"/>
        <w:rPr>
          <w:rFonts w:eastAsia="Times New Roman" w:cstheme="minorHAnsi"/>
          <w:lang w:val="en-GB" w:eastAsia="en-GB"/>
        </w:rPr>
      </w:pPr>
      <w:r w:rsidRPr="000D268C">
        <w:rPr>
          <w:rFonts w:eastAsia="Times New Roman" w:cstheme="minorHAnsi"/>
          <w:noProof/>
          <w:lang w:val="en-GB" w:eastAsia="en-GB"/>
        </w:rPr>
        <w:drawing>
          <wp:inline distT="0" distB="0" distL="0" distR="0" wp14:anchorId="4DB93DC9" wp14:editId="568427A1">
            <wp:extent cx="5756910" cy="2563495"/>
            <wp:effectExtent l="0" t="0" r="0" b="190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756910" cy="2563495"/>
                    </a:xfrm>
                    <a:prstGeom prst="rect">
                      <a:avLst/>
                    </a:prstGeom>
                  </pic:spPr>
                </pic:pic>
              </a:graphicData>
            </a:graphic>
          </wp:inline>
        </w:drawing>
      </w:r>
    </w:p>
    <w:p w14:paraId="4D1453D0" w14:textId="77777777" w:rsidR="00F813C3" w:rsidRPr="000D268C" w:rsidRDefault="00F813C3" w:rsidP="002C54BF">
      <w:pPr>
        <w:spacing w:line="480" w:lineRule="auto"/>
        <w:rPr>
          <w:rFonts w:eastAsia="Times New Roman" w:cstheme="minorHAnsi"/>
          <w:lang w:val="en-GB" w:eastAsia="en-GB"/>
        </w:rPr>
      </w:pPr>
    </w:p>
    <w:p w14:paraId="1FE03253" w14:textId="558D87FD" w:rsidR="002C54BF" w:rsidRPr="000D268C" w:rsidRDefault="002C54BF" w:rsidP="002C54BF">
      <w:pPr>
        <w:spacing w:line="480" w:lineRule="auto"/>
        <w:rPr>
          <w:rFonts w:eastAsia="Times New Roman" w:cstheme="minorHAnsi"/>
          <w:lang w:val="en-GB" w:eastAsia="en-GB"/>
        </w:rPr>
      </w:pPr>
      <w:r w:rsidRPr="000D268C">
        <w:rPr>
          <w:rFonts w:eastAsia="Times New Roman" w:cstheme="minorHAnsi"/>
          <w:lang w:val="en-GB" w:eastAsia="en-GB"/>
        </w:rPr>
        <w:br w:type="page"/>
      </w:r>
    </w:p>
    <w:p w14:paraId="0933221C" w14:textId="53439E08" w:rsidR="00F813C3" w:rsidRPr="000D268C" w:rsidRDefault="00F813C3" w:rsidP="002C54BF">
      <w:pPr>
        <w:pStyle w:val="Heading2"/>
        <w:spacing w:line="480" w:lineRule="auto"/>
        <w:rPr>
          <w:rFonts w:asciiTheme="minorHAnsi" w:hAnsiTheme="minorHAnsi" w:cstheme="minorHAnsi"/>
          <w:b/>
          <w:bCs/>
          <w:color w:val="auto"/>
          <w:sz w:val="24"/>
          <w:szCs w:val="24"/>
          <w:lang w:val="en-GB"/>
        </w:rPr>
      </w:pPr>
      <w:bookmarkStart w:id="20" w:name="_Toc45885413"/>
      <w:r w:rsidRPr="000D268C">
        <w:rPr>
          <w:rFonts w:asciiTheme="minorHAnsi" w:hAnsiTheme="minorHAnsi" w:cstheme="minorHAnsi"/>
          <w:b/>
          <w:bCs/>
          <w:color w:val="auto"/>
          <w:sz w:val="24"/>
          <w:szCs w:val="24"/>
          <w:lang w:val="en-GB"/>
        </w:rPr>
        <w:lastRenderedPageBreak/>
        <w:t>References</w:t>
      </w:r>
      <w:bookmarkEnd w:id="20"/>
    </w:p>
    <w:p w14:paraId="73123CAA" w14:textId="77777777" w:rsidR="000A5639" w:rsidRPr="000D268C" w:rsidRDefault="00812D22" w:rsidP="0016669C">
      <w:pPr>
        <w:pStyle w:val="Bibliography"/>
        <w:rPr>
          <w:rFonts w:cstheme="minorHAnsi"/>
          <w:lang w:val="en-GB"/>
        </w:rPr>
      </w:pPr>
      <w:r w:rsidRPr="000D268C">
        <w:rPr>
          <w:rFonts w:cstheme="minorHAnsi"/>
          <w:lang w:val="en-GB"/>
        </w:rPr>
        <w:fldChar w:fldCharType="begin"/>
      </w:r>
      <w:r w:rsidR="000A5639" w:rsidRPr="000D268C">
        <w:rPr>
          <w:rFonts w:cstheme="minorHAnsi"/>
          <w:lang w:val="en-GB"/>
        </w:rPr>
        <w:instrText xml:space="preserve"> ADDIN ZOTERO_BIBL {"uncited":[],"omitted":[],"custom":[]} CSL_BIBLIOGRAPHY </w:instrText>
      </w:r>
      <w:r w:rsidRPr="000D268C">
        <w:rPr>
          <w:rFonts w:cstheme="minorHAnsi"/>
          <w:lang w:val="en-GB"/>
        </w:rPr>
        <w:fldChar w:fldCharType="separate"/>
      </w:r>
      <w:r w:rsidR="000A5639" w:rsidRPr="000D268C">
        <w:rPr>
          <w:rFonts w:cstheme="minorHAnsi"/>
          <w:lang w:val="en-GB"/>
        </w:rPr>
        <w:t xml:space="preserve">Bergman, T., Müller, W.C., Strøm, K. &amp; Blomgren, M. (2006). Democratic Delegation and Accountability: Cross-national Patterns. In K. Strøm, W. C. Müller &amp; T. Bergman (eds.), </w:t>
      </w:r>
      <w:r w:rsidR="000A5639" w:rsidRPr="000D268C">
        <w:rPr>
          <w:rFonts w:cstheme="minorHAnsi"/>
          <w:i/>
          <w:iCs/>
          <w:lang w:val="en-GB"/>
        </w:rPr>
        <w:t>Parliamentary Democracy: Promise and Problems</w:t>
      </w:r>
      <w:r w:rsidR="000A5639" w:rsidRPr="000D268C">
        <w:rPr>
          <w:rFonts w:cstheme="minorHAnsi"/>
          <w:lang w:val="en-GB"/>
        </w:rPr>
        <w:t>. Oxford: Oxford University Press.</w:t>
      </w:r>
    </w:p>
    <w:p w14:paraId="1DAE4A62" w14:textId="77777777" w:rsidR="000A5639" w:rsidRPr="000D268C" w:rsidRDefault="000A5639" w:rsidP="0016669C">
      <w:pPr>
        <w:pStyle w:val="Bibliography"/>
        <w:rPr>
          <w:rFonts w:cstheme="minorHAnsi"/>
          <w:lang w:val="en-GB"/>
        </w:rPr>
      </w:pPr>
      <w:r w:rsidRPr="000D268C">
        <w:rPr>
          <w:rFonts w:cstheme="minorHAnsi"/>
          <w:lang w:val="en-GB"/>
        </w:rPr>
        <w:t xml:space="preserve">Bovens, M. (2007). Analysing and Assessing Accountability: A Conceptual Framework. </w:t>
      </w:r>
      <w:r w:rsidRPr="000D268C">
        <w:rPr>
          <w:rFonts w:cstheme="minorHAnsi"/>
          <w:i/>
          <w:iCs/>
          <w:lang w:val="en-GB"/>
        </w:rPr>
        <w:t>European Law Journal</w:t>
      </w:r>
      <w:r w:rsidRPr="000D268C">
        <w:rPr>
          <w:rFonts w:cstheme="minorHAnsi"/>
          <w:lang w:val="en-GB"/>
        </w:rPr>
        <w:t xml:space="preserve"> </w:t>
      </w:r>
      <w:r w:rsidRPr="000D268C">
        <w:rPr>
          <w:rFonts w:cstheme="minorHAnsi"/>
          <w:i/>
          <w:iCs/>
          <w:lang w:val="en-GB"/>
        </w:rPr>
        <w:t>13</w:t>
      </w:r>
      <w:r w:rsidRPr="000D268C">
        <w:rPr>
          <w:rFonts w:cstheme="minorHAnsi"/>
          <w:lang w:val="en-GB"/>
        </w:rPr>
        <w:t>(4): 447–468.</w:t>
      </w:r>
    </w:p>
    <w:p w14:paraId="4268588F" w14:textId="77777777" w:rsidR="000A5639" w:rsidRPr="000D268C" w:rsidRDefault="000A5639" w:rsidP="0016669C">
      <w:pPr>
        <w:pStyle w:val="Bibliography"/>
        <w:rPr>
          <w:rFonts w:cstheme="minorHAnsi"/>
          <w:lang w:val="en-GB"/>
        </w:rPr>
      </w:pPr>
      <w:r w:rsidRPr="000D268C">
        <w:rPr>
          <w:rFonts w:cstheme="minorHAnsi"/>
          <w:lang w:val="en-GB"/>
        </w:rPr>
        <w:t xml:space="preserve">Bovens, M., Schillemans, T. &amp; Goodin, R.E. (2014). Public Accountability. In M. Bovens, R. E. Goodin &amp; T. Schillemans (eds.), </w:t>
      </w:r>
      <w:r w:rsidRPr="000D268C">
        <w:rPr>
          <w:rFonts w:cstheme="minorHAnsi"/>
          <w:i/>
          <w:iCs/>
          <w:lang w:val="en-GB"/>
        </w:rPr>
        <w:t>The Oxford Handbook Public Accountability</w:t>
      </w:r>
      <w:r w:rsidRPr="000D268C">
        <w:rPr>
          <w:rFonts w:cstheme="minorHAnsi"/>
          <w:lang w:val="en-GB"/>
        </w:rPr>
        <w:t>. Oxford: Oxford University Press.</w:t>
      </w:r>
    </w:p>
    <w:p w14:paraId="381A4050" w14:textId="77777777" w:rsidR="000A5639" w:rsidRPr="000D268C" w:rsidRDefault="000A5639" w:rsidP="0016669C">
      <w:pPr>
        <w:pStyle w:val="Bibliography"/>
        <w:rPr>
          <w:rFonts w:cstheme="minorHAnsi"/>
          <w:lang w:val="en-GB"/>
        </w:rPr>
      </w:pPr>
      <w:r w:rsidRPr="000D268C">
        <w:rPr>
          <w:rFonts w:cstheme="minorHAnsi"/>
          <w:lang w:val="en-GB"/>
        </w:rPr>
        <w:t xml:space="preserve">Crum, B. (2018). Parliamentary accountability in multilevel governance: what role for parliaments in post-crisis EU economic governance? </w:t>
      </w:r>
      <w:r w:rsidRPr="000D268C">
        <w:rPr>
          <w:rFonts w:cstheme="minorHAnsi"/>
          <w:i/>
          <w:iCs/>
          <w:lang w:val="en-GB"/>
        </w:rPr>
        <w:t>Journal of European Public Policy</w:t>
      </w:r>
      <w:r w:rsidRPr="000D268C">
        <w:rPr>
          <w:rFonts w:cstheme="minorHAnsi"/>
          <w:lang w:val="en-GB"/>
        </w:rPr>
        <w:t xml:space="preserve"> </w:t>
      </w:r>
      <w:r w:rsidRPr="000D268C">
        <w:rPr>
          <w:rFonts w:cstheme="minorHAnsi"/>
          <w:i/>
          <w:iCs/>
          <w:lang w:val="en-GB"/>
        </w:rPr>
        <w:t>25</w:t>
      </w:r>
      <w:r w:rsidRPr="000D268C">
        <w:rPr>
          <w:rFonts w:cstheme="minorHAnsi"/>
          <w:lang w:val="en-GB"/>
        </w:rPr>
        <w:t>(2): 268–286.</w:t>
      </w:r>
    </w:p>
    <w:p w14:paraId="62221926" w14:textId="77777777" w:rsidR="000A5639" w:rsidRPr="000D268C" w:rsidRDefault="000A5639" w:rsidP="0016669C">
      <w:pPr>
        <w:pStyle w:val="Bibliography"/>
        <w:rPr>
          <w:rFonts w:cstheme="minorHAnsi"/>
          <w:lang w:val="en-GB"/>
        </w:rPr>
      </w:pPr>
      <w:r w:rsidRPr="000D268C">
        <w:rPr>
          <w:rFonts w:cstheme="minorHAnsi"/>
          <w:lang w:val="en-GB"/>
        </w:rPr>
        <w:t xml:space="preserve">De Wilde, P., Koopmans, R. &amp; Zürn, M. (2014). The political sociology of cosmopolitanism and communitarianism: Representative claims analysis. </w:t>
      </w:r>
      <w:r w:rsidRPr="000D268C">
        <w:rPr>
          <w:rFonts w:cstheme="minorHAnsi"/>
          <w:i/>
          <w:iCs/>
          <w:lang w:val="en-GB"/>
        </w:rPr>
        <w:t>WZB Discussion Paper</w:t>
      </w:r>
      <w:r w:rsidRPr="000D268C">
        <w:rPr>
          <w:rFonts w:cstheme="minorHAnsi"/>
          <w:lang w:val="en-GB"/>
        </w:rPr>
        <w:t xml:space="preserve"> (SP IV 2014-102).</w:t>
      </w:r>
    </w:p>
    <w:p w14:paraId="512BA9B6" w14:textId="77777777" w:rsidR="000A5639" w:rsidRPr="000D268C" w:rsidRDefault="000A5639" w:rsidP="0016669C">
      <w:pPr>
        <w:pStyle w:val="Bibliography"/>
        <w:rPr>
          <w:rFonts w:cstheme="minorHAnsi"/>
          <w:lang w:val="en-GB"/>
        </w:rPr>
      </w:pPr>
      <w:r w:rsidRPr="000D268C">
        <w:rPr>
          <w:rFonts w:cstheme="minorHAnsi"/>
          <w:lang w:val="en-GB"/>
        </w:rPr>
        <w:t xml:space="preserve">Draghi, M. (2013, November 15). Reply by the ECB President to the letter of the ECON Chair of 28 October 2013. </w:t>
      </w:r>
      <w:r w:rsidRPr="000D268C">
        <w:rPr>
          <w:rFonts w:cstheme="minorHAnsi"/>
          <w:i/>
          <w:iCs/>
          <w:lang w:val="en-GB"/>
        </w:rPr>
        <w:t>European Parliament</w:t>
      </w:r>
      <w:r w:rsidRPr="000D268C">
        <w:rPr>
          <w:rFonts w:cstheme="minorHAnsi"/>
          <w:lang w:val="en-GB"/>
        </w:rPr>
        <w:t>. Retrieved 23 July 2019, from http://www.europarl.europa.eu/document/activities/cont/201311/20131119ATT74688/20131119ATT74688EN.pdf</w:t>
      </w:r>
    </w:p>
    <w:p w14:paraId="131A7BF8" w14:textId="77777777" w:rsidR="000A5639" w:rsidRPr="000D268C" w:rsidRDefault="000A5639" w:rsidP="0016669C">
      <w:pPr>
        <w:pStyle w:val="Bibliography"/>
        <w:rPr>
          <w:rFonts w:cstheme="minorHAnsi"/>
          <w:lang w:val="en-GB"/>
        </w:rPr>
      </w:pPr>
      <w:r w:rsidRPr="000D268C">
        <w:rPr>
          <w:rFonts w:cstheme="minorHAnsi"/>
          <w:lang w:val="en-GB"/>
        </w:rPr>
        <w:t xml:space="preserve">Dubnick, M.J. (2014). Accountability as a cultural keyword. In M. Bovens, R. E. Goodin &amp; T. Schillemans (eds.), </w:t>
      </w:r>
      <w:r w:rsidRPr="000D268C">
        <w:rPr>
          <w:rFonts w:cstheme="minorHAnsi"/>
          <w:i/>
          <w:iCs/>
          <w:lang w:val="en-GB"/>
        </w:rPr>
        <w:t>The Oxford Handbook Public Accountability</w:t>
      </w:r>
      <w:r w:rsidRPr="000D268C">
        <w:rPr>
          <w:rFonts w:cstheme="minorHAnsi"/>
          <w:lang w:val="en-GB"/>
        </w:rPr>
        <w:t>. Oxford: Oxford University Press.</w:t>
      </w:r>
    </w:p>
    <w:p w14:paraId="7A128C31" w14:textId="77777777" w:rsidR="000A5639" w:rsidRPr="000D268C" w:rsidRDefault="000A5639" w:rsidP="0016669C">
      <w:pPr>
        <w:pStyle w:val="Bibliography"/>
        <w:rPr>
          <w:rFonts w:cstheme="minorHAnsi"/>
          <w:lang w:val="en-GB"/>
        </w:rPr>
      </w:pPr>
      <w:r w:rsidRPr="000D268C">
        <w:rPr>
          <w:rFonts w:cstheme="minorHAnsi"/>
          <w:lang w:val="en-GB"/>
        </w:rPr>
        <w:t xml:space="preserve">ECON Committee. (2017, November 9). Public Hearing with Danièle Nouy, Chair of the Supervisory Board of the ECB. </w:t>
      </w:r>
      <w:r w:rsidRPr="000D268C">
        <w:rPr>
          <w:rFonts w:cstheme="minorHAnsi"/>
          <w:i/>
          <w:iCs/>
          <w:lang w:val="en-GB"/>
        </w:rPr>
        <w:t>EPTV | European Parliament</w:t>
      </w:r>
      <w:r w:rsidRPr="000D268C">
        <w:rPr>
          <w:rFonts w:cstheme="minorHAnsi"/>
          <w:lang w:val="en-GB"/>
        </w:rPr>
        <w:t>. Retrieved 13 May 2019, from https://www.europarl.europa.eu/ep-live/en/committees/video?event=20171109-0900-COMMITTEE-ECON</w:t>
      </w:r>
    </w:p>
    <w:p w14:paraId="34992F5C" w14:textId="77777777" w:rsidR="000A5639" w:rsidRPr="000D268C" w:rsidRDefault="000A5639" w:rsidP="0016669C">
      <w:pPr>
        <w:pStyle w:val="Bibliography"/>
        <w:rPr>
          <w:rFonts w:cstheme="minorHAnsi"/>
          <w:lang w:val="en-GB"/>
        </w:rPr>
      </w:pPr>
      <w:r w:rsidRPr="000D268C">
        <w:rPr>
          <w:rFonts w:cstheme="minorHAnsi"/>
          <w:lang w:val="en-GB"/>
        </w:rPr>
        <w:t xml:space="preserve">Eijffinger, S.C.W. &amp; Geraats, P.M. (2006). How transparent are central banks? </w:t>
      </w:r>
      <w:r w:rsidRPr="000D268C">
        <w:rPr>
          <w:rFonts w:cstheme="minorHAnsi"/>
          <w:i/>
          <w:iCs/>
          <w:lang w:val="en-GB"/>
        </w:rPr>
        <w:t>European Journal of Political Economy</w:t>
      </w:r>
      <w:r w:rsidRPr="000D268C">
        <w:rPr>
          <w:rFonts w:cstheme="minorHAnsi"/>
          <w:lang w:val="en-GB"/>
        </w:rPr>
        <w:t xml:space="preserve"> </w:t>
      </w:r>
      <w:r w:rsidRPr="000D268C">
        <w:rPr>
          <w:rFonts w:cstheme="minorHAnsi"/>
          <w:i/>
          <w:iCs/>
          <w:lang w:val="en-GB"/>
        </w:rPr>
        <w:t>22</w:t>
      </w:r>
      <w:r w:rsidRPr="000D268C">
        <w:rPr>
          <w:rFonts w:cstheme="minorHAnsi"/>
          <w:lang w:val="en-GB"/>
        </w:rPr>
        <w:t>(1): 1–21.</w:t>
      </w:r>
    </w:p>
    <w:p w14:paraId="73BAA420" w14:textId="77777777" w:rsidR="000A5639" w:rsidRPr="000D268C" w:rsidRDefault="000A5639" w:rsidP="0016669C">
      <w:pPr>
        <w:pStyle w:val="Bibliography"/>
        <w:rPr>
          <w:rFonts w:cstheme="minorHAnsi"/>
          <w:lang w:val="en-GB"/>
        </w:rPr>
      </w:pPr>
      <w:r w:rsidRPr="000D268C">
        <w:rPr>
          <w:rFonts w:cstheme="minorHAnsi"/>
          <w:lang w:val="en-GB"/>
        </w:rPr>
        <w:t xml:space="preserve">European Central Bank. (n.d.a). Publications published in 2013. </w:t>
      </w:r>
      <w:r w:rsidRPr="000D268C">
        <w:rPr>
          <w:rFonts w:cstheme="minorHAnsi"/>
          <w:i/>
          <w:iCs/>
          <w:lang w:val="en-GB"/>
        </w:rPr>
        <w:t>European Central Bank - Banking Supervision</w:t>
      </w:r>
      <w:r w:rsidRPr="000D268C">
        <w:rPr>
          <w:rFonts w:cstheme="minorHAnsi"/>
          <w:lang w:val="en-GB"/>
        </w:rPr>
        <w:t>. Retrieved 8 February 2019, from https://www.bankingsupervision.europa.eu/press/publications/date/2013/html/index.en.html</w:t>
      </w:r>
    </w:p>
    <w:p w14:paraId="5A37594F" w14:textId="77777777" w:rsidR="000A5639" w:rsidRPr="000D268C" w:rsidRDefault="000A5639" w:rsidP="0016669C">
      <w:pPr>
        <w:pStyle w:val="Bibliography"/>
        <w:rPr>
          <w:rFonts w:cstheme="minorHAnsi"/>
          <w:lang w:val="en-GB"/>
        </w:rPr>
      </w:pPr>
      <w:r w:rsidRPr="000D268C">
        <w:rPr>
          <w:rFonts w:cstheme="minorHAnsi"/>
          <w:lang w:val="en-GB"/>
        </w:rPr>
        <w:t xml:space="preserve">European Central Bank. (n.d.b). Hearings at the European Parliament. </w:t>
      </w:r>
      <w:r w:rsidRPr="000D268C">
        <w:rPr>
          <w:rFonts w:cstheme="minorHAnsi"/>
          <w:i/>
          <w:iCs/>
          <w:lang w:val="en-GB"/>
        </w:rPr>
        <w:t>European Central Bank - Banking Supervision</w:t>
      </w:r>
      <w:r w:rsidRPr="000D268C">
        <w:rPr>
          <w:rFonts w:cstheme="minorHAnsi"/>
          <w:lang w:val="en-GB"/>
        </w:rPr>
        <w:t>. Retrieved 8 February 2019, from https://www.bankingsupervision.europa.eu/press/tvservices/hearings/html/index.en.html</w:t>
      </w:r>
    </w:p>
    <w:p w14:paraId="186A04F1" w14:textId="77777777" w:rsidR="000A5639" w:rsidRPr="000D268C" w:rsidRDefault="000A5639" w:rsidP="0016669C">
      <w:pPr>
        <w:pStyle w:val="Bibliography"/>
        <w:rPr>
          <w:rFonts w:cstheme="minorHAnsi"/>
          <w:lang w:val="en-GB"/>
        </w:rPr>
      </w:pPr>
      <w:r w:rsidRPr="000D268C">
        <w:rPr>
          <w:rFonts w:cstheme="minorHAnsi"/>
          <w:lang w:val="en-GB"/>
        </w:rPr>
        <w:lastRenderedPageBreak/>
        <w:t>European Central Bank. (2013). Interinstitutional Agreement between the European Parliament and the European Central Bank on the practical modalities of the exercise of democratic accountability and oversight over the exercise of the tasks conferred on the ECB within the framework of the Single Supervisory Mechanism (2013/694/EU). Retrieved from https://www.ecb.europa.eu/ecb/legal/pdf/celex_32013q113001_en_txt.pdf</w:t>
      </w:r>
    </w:p>
    <w:p w14:paraId="364C51D7" w14:textId="77777777" w:rsidR="000A5639" w:rsidRPr="000D268C" w:rsidRDefault="000A5639" w:rsidP="0016669C">
      <w:pPr>
        <w:pStyle w:val="Bibliography"/>
        <w:rPr>
          <w:rFonts w:cstheme="minorHAnsi"/>
          <w:lang w:val="en-GB"/>
        </w:rPr>
      </w:pPr>
      <w:r w:rsidRPr="000D268C">
        <w:rPr>
          <w:rFonts w:cstheme="minorHAnsi"/>
          <w:lang w:val="en-GB"/>
        </w:rPr>
        <w:t xml:space="preserve">European Central Bank. (2018a, March). Comparison of pre- and post-consultation versions of the addendum. </w:t>
      </w:r>
      <w:r w:rsidRPr="000D268C">
        <w:rPr>
          <w:rFonts w:cstheme="minorHAnsi"/>
          <w:i/>
          <w:iCs/>
          <w:lang w:val="en-GB"/>
        </w:rPr>
        <w:t>ECB Banking Supervision</w:t>
      </w:r>
      <w:r w:rsidRPr="000D268C">
        <w:rPr>
          <w:rFonts w:cstheme="minorHAnsi"/>
          <w:lang w:val="en-GB"/>
        </w:rPr>
        <w:t>. Retrieved 29 August 2018, from https://www.bankingsupervision.europa.eu/legalframework/publiccons/pdf/npl2/ssm.npl_addendum_compare.en.pdf</w:t>
      </w:r>
    </w:p>
    <w:p w14:paraId="28EC791A" w14:textId="77777777" w:rsidR="000A5639" w:rsidRPr="000D268C" w:rsidRDefault="000A5639" w:rsidP="0016669C">
      <w:pPr>
        <w:pStyle w:val="Bibliography"/>
        <w:rPr>
          <w:rFonts w:cstheme="minorHAnsi"/>
          <w:lang w:val="en-GB"/>
        </w:rPr>
      </w:pPr>
      <w:r w:rsidRPr="000D268C">
        <w:rPr>
          <w:rFonts w:cstheme="minorHAnsi"/>
          <w:lang w:val="en-GB"/>
        </w:rPr>
        <w:t>European Central Bank. (2018b, March 15). ECB Annual Report on supervisory activities 2017. Retrieved 29 June 2018, from https://www.bankingsupervision.europa.eu/press/publications/annual-report/html/ssm.ar2017.en.html#toc26</w:t>
      </w:r>
    </w:p>
    <w:p w14:paraId="12EEA5AD" w14:textId="77777777" w:rsidR="000A5639" w:rsidRPr="000D268C" w:rsidRDefault="000A5639" w:rsidP="0016669C">
      <w:pPr>
        <w:pStyle w:val="Bibliography"/>
        <w:rPr>
          <w:rFonts w:cstheme="minorHAnsi"/>
          <w:lang w:val="en-GB"/>
        </w:rPr>
      </w:pPr>
      <w:r w:rsidRPr="000D268C">
        <w:rPr>
          <w:rFonts w:cstheme="minorHAnsi"/>
          <w:lang w:val="en-GB"/>
        </w:rPr>
        <w:t>European Parliament. (n.d.). Profile page - Sven GIEGOLD - Questions for written answer (including answers). Retrieved 8 February 2019, from http://www.europarl.europa.eu/meps/en/96730/SVEN_GIEGOLD/other-activities/written-questions-other</w:t>
      </w:r>
    </w:p>
    <w:p w14:paraId="68569F68" w14:textId="77777777" w:rsidR="000A5639" w:rsidRPr="000D268C" w:rsidRDefault="000A5639" w:rsidP="0016669C">
      <w:pPr>
        <w:pStyle w:val="Bibliography"/>
        <w:rPr>
          <w:rFonts w:cstheme="minorHAnsi"/>
          <w:lang w:val="en-GB"/>
        </w:rPr>
      </w:pPr>
      <w:r w:rsidRPr="000D268C">
        <w:rPr>
          <w:rFonts w:cstheme="minorHAnsi"/>
          <w:lang w:val="en-GB"/>
        </w:rPr>
        <w:t>European Parliament Multimedia Centre. (n.d.). Recorded committee meetings. Retrieved 8 February 2019, from http://www.europarl.europa.eu/ep-live/en/committees</w:t>
      </w:r>
    </w:p>
    <w:p w14:paraId="5E2E5682" w14:textId="77777777" w:rsidR="000A5639" w:rsidRPr="000D268C" w:rsidRDefault="000A5639" w:rsidP="0016669C">
      <w:pPr>
        <w:pStyle w:val="Bibliography"/>
        <w:rPr>
          <w:rFonts w:cstheme="minorHAnsi"/>
          <w:lang w:val="en-GB"/>
        </w:rPr>
      </w:pPr>
      <w:r w:rsidRPr="000D268C">
        <w:rPr>
          <w:rFonts w:cstheme="minorHAnsi"/>
          <w:lang w:val="en-GB"/>
        </w:rPr>
        <w:t>Friese, S. (2019). ATLAS.ti 8 Mac - User Manual. Updated for program version 8.4. Retrieved from https://downloads.atlasti.com/docs/manual/manual_a8_mac_en.pdf?_ga=2.194419115.769246916.1567676169-2079576425.1564149724</w:t>
      </w:r>
    </w:p>
    <w:p w14:paraId="32B9B17D" w14:textId="77777777" w:rsidR="000A5639" w:rsidRPr="000D268C" w:rsidRDefault="000A5639" w:rsidP="0016669C">
      <w:pPr>
        <w:pStyle w:val="Bibliography"/>
        <w:rPr>
          <w:rFonts w:cstheme="minorHAnsi"/>
          <w:lang w:val="en-GB"/>
        </w:rPr>
      </w:pPr>
      <w:r w:rsidRPr="000D268C">
        <w:rPr>
          <w:rFonts w:cstheme="minorHAnsi"/>
          <w:lang w:val="en-GB"/>
        </w:rPr>
        <w:t xml:space="preserve">Hobolt, S.B. &amp; Tilley, J. (2014). </w:t>
      </w:r>
      <w:r w:rsidRPr="000D268C">
        <w:rPr>
          <w:rFonts w:cstheme="minorHAnsi"/>
          <w:i/>
          <w:iCs/>
          <w:lang w:val="en-GB"/>
        </w:rPr>
        <w:t>Blaming Europe?: Responsibility Without Accountability in the European Union</w:t>
      </w:r>
      <w:r w:rsidRPr="000D268C">
        <w:rPr>
          <w:rFonts w:cstheme="minorHAnsi"/>
          <w:lang w:val="en-GB"/>
        </w:rPr>
        <w:t>. Oxford University Press.</w:t>
      </w:r>
    </w:p>
    <w:p w14:paraId="18DAD058" w14:textId="77777777" w:rsidR="000A5639" w:rsidRPr="000D268C" w:rsidRDefault="000A5639" w:rsidP="0016669C">
      <w:pPr>
        <w:pStyle w:val="Bibliography"/>
        <w:rPr>
          <w:rFonts w:cstheme="minorHAnsi"/>
          <w:lang w:val="en-GB"/>
        </w:rPr>
      </w:pPr>
      <w:r w:rsidRPr="000D268C">
        <w:rPr>
          <w:rFonts w:cstheme="minorHAnsi"/>
          <w:lang w:val="en-GB"/>
        </w:rPr>
        <w:t xml:space="preserve">Hood, C. (2010). </w:t>
      </w:r>
      <w:r w:rsidRPr="000D268C">
        <w:rPr>
          <w:rFonts w:cstheme="minorHAnsi"/>
          <w:i/>
          <w:iCs/>
          <w:lang w:val="en-GB"/>
        </w:rPr>
        <w:t>The Blame Game: Spin, Bureaucracy, and Self-Preservation in Government</w:t>
      </w:r>
      <w:r w:rsidRPr="000D268C">
        <w:rPr>
          <w:rFonts w:cstheme="minorHAnsi"/>
          <w:lang w:val="en-GB"/>
        </w:rPr>
        <w:t>. Princeton, NJ: Princeton University Press.</w:t>
      </w:r>
    </w:p>
    <w:p w14:paraId="1D7781D5" w14:textId="77777777" w:rsidR="000A5639" w:rsidRPr="000D268C" w:rsidRDefault="000A5639" w:rsidP="0016669C">
      <w:pPr>
        <w:pStyle w:val="Bibliography"/>
        <w:rPr>
          <w:rFonts w:cstheme="minorHAnsi"/>
          <w:lang w:val="en-GB"/>
        </w:rPr>
      </w:pPr>
      <w:r w:rsidRPr="000D268C">
        <w:rPr>
          <w:rFonts w:cstheme="minorHAnsi"/>
          <w:lang w:val="en-GB"/>
        </w:rPr>
        <w:t xml:space="preserve">Koop, C. (2014). Theorizing and Explaining Voluntary Accountability. </w:t>
      </w:r>
      <w:r w:rsidRPr="000D268C">
        <w:rPr>
          <w:rFonts w:cstheme="minorHAnsi"/>
          <w:i/>
          <w:iCs/>
          <w:lang w:val="en-GB"/>
        </w:rPr>
        <w:t>Public Administration</w:t>
      </w:r>
      <w:r w:rsidRPr="000D268C">
        <w:rPr>
          <w:rFonts w:cstheme="minorHAnsi"/>
          <w:lang w:val="en-GB"/>
        </w:rPr>
        <w:t xml:space="preserve"> </w:t>
      </w:r>
      <w:r w:rsidRPr="000D268C">
        <w:rPr>
          <w:rFonts w:cstheme="minorHAnsi"/>
          <w:i/>
          <w:iCs/>
          <w:lang w:val="en-GB"/>
        </w:rPr>
        <w:t>92</w:t>
      </w:r>
      <w:r w:rsidRPr="000D268C">
        <w:rPr>
          <w:rFonts w:cstheme="minorHAnsi"/>
          <w:lang w:val="en-GB"/>
        </w:rPr>
        <w:t>(3): 565–581.</w:t>
      </w:r>
    </w:p>
    <w:p w14:paraId="0CBC9542" w14:textId="77777777" w:rsidR="000A5639" w:rsidRPr="000D268C" w:rsidRDefault="000A5639" w:rsidP="0016669C">
      <w:pPr>
        <w:pStyle w:val="Bibliography"/>
        <w:rPr>
          <w:rFonts w:cstheme="minorHAnsi"/>
          <w:lang w:val="en-GB"/>
        </w:rPr>
      </w:pPr>
      <w:r w:rsidRPr="000D268C">
        <w:rPr>
          <w:rFonts w:cstheme="minorHAnsi"/>
          <w:lang w:val="en-GB"/>
        </w:rPr>
        <w:t xml:space="preserve">Koopmans, R. &amp; Statham, P. (1999). Political claims analysis: Integrating protest event and political discourse approaches. </w:t>
      </w:r>
      <w:r w:rsidRPr="000D268C">
        <w:rPr>
          <w:rFonts w:cstheme="minorHAnsi"/>
          <w:i/>
          <w:iCs/>
          <w:lang w:val="en-GB"/>
        </w:rPr>
        <w:t>Mobilization: An International Journal</w:t>
      </w:r>
      <w:r w:rsidRPr="000D268C">
        <w:rPr>
          <w:rFonts w:cstheme="minorHAnsi"/>
          <w:lang w:val="en-GB"/>
        </w:rPr>
        <w:t xml:space="preserve"> </w:t>
      </w:r>
      <w:r w:rsidRPr="000D268C">
        <w:rPr>
          <w:rFonts w:cstheme="minorHAnsi"/>
          <w:i/>
          <w:iCs/>
          <w:lang w:val="en-GB"/>
        </w:rPr>
        <w:t>4</w:t>
      </w:r>
      <w:r w:rsidRPr="000D268C">
        <w:rPr>
          <w:rFonts w:cstheme="minorHAnsi"/>
          <w:lang w:val="en-GB"/>
        </w:rPr>
        <w:t>(2): 203–21.</w:t>
      </w:r>
    </w:p>
    <w:p w14:paraId="39B6C664" w14:textId="77777777" w:rsidR="000A5639" w:rsidRPr="000D268C" w:rsidRDefault="000A5639" w:rsidP="0016669C">
      <w:pPr>
        <w:pStyle w:val="Bibliography"/>
        <w:rPr>
          <w:rFonts w:cstheme="minorHAnsi"/>
          <w:lang w:val="en-GB"/>
        </w:rPr>
      </w:pPr>
      <w:r w:rsidRPr="000D268C">
        <w:rPr>
          <w:rFonts w:cstheme="minorHAnsi"/>
          <w:lang w:val="en-GB"/>
        </w:rPr>
        <w:t xml:space="preserve">Krippendorff, K. (2012). </w:t>
      </w:r>
      <w:r w:rsidRPr="000D268C">
        <w:rPr>
          <w:rFonts w:cstheme="minorHAnsi"/>
          <w:i/>
          <w:iCs/>
          <w:lang w:val="en-GB"/>
        </w:rPr>
        <w:t>Content Analysis: An Introduction To Its Methodology</w:t>
      </w:r>
      <w:r w:rsidRPr="000D268C">
        <w:rPr>
          <w:rFonts w:cstheme="minorHAnsi"/>
          <w:lang w:val="en-GB"/>
        </w:rPr>
        <w:t xml:space="preserve"> (2nd ed.). Los Angeles, CA and London: Sage Publications, Inc.</w:t>
      </w:r>
    </w:p>
    <w:p w14:paraId="33E5B3C2" w14:textId="77777777" w:rsidR="000A5639" w:rsidRPr="000D268C" w:rsidRDefault="000A5639" w:rsidP="0016669C">
      <w:pPr>
        <w:pStyle w:val="Bibliography"/>
        <w:rPr>
          <w:rFonts w:cstheme="minorHAnsi"/>
          <w:lang w:val="en-GB"/>
        </w:rPr>
      </w:pPr>
      <w:r w:rsidRPr="000D268C">
        <w:rPr>
          <w:rFonts w:cstheme="minorHAnsi"/>
          <w:lang w:val="en-GB"/>
        </w:rPr>
        <w:t xml:space="preserve">Lombard, M., Snyder-Duch, J. &amp; Bracken, C.C. (2002). Content Analysis in Mass Communication: Assessment and Reporting of Intercoder Reliability. </w:t>
      </w:r>
      <w:r w:rsidRPr="000D268C">
        <w:rPr>
          <w:rFonts w:cstheme="minorHAnsi"/>
          <w:i/>
          <w:iCs/>
          <w:lang w:val="en-GB"/>
        </w:rPr>
        <w:t>Human Communication Research</w:t>
      </w:r>
      <w:r w:rsidRPr="000D268C">
        <w:rPr>
          <w:rFonts w:cstheme="minorHAnsi"/>
          <w:lang w:val="en-GB"/>
        </w:rPr>
        <w:t xml:space="preserve"> </w:t>
      </w:r>
      <w:r w:rsidRPr="000D268C">
        <w:rPr>
          <w:rFonts w:cstheme="minorHAnsi"/>
          <w:i/>
          <w:iCs/>
          <w:lang w:val="en-GB"/>
        </w:rPr>
        <w:t>28</w:t>
      </w:r>
      <w:r w:rsidRPr="000D268C">
        <w:rPr>
          <w:rFonts w:cstheme="minorHAnsi"/>
          <w:lang w:val="en-GB"/>
        </w:rPr>
        <w:t>(4): 587–604.</w:t>
      </w:r>
    </w:p>
    <w:p w14:paraId="0E2DF39E" w14:textId="77777777" w:rsidR="000A5639" w:rsidRPr="000D268C" w:rsidRDefault="000A5639" w:rsidP="0016669C">
      <w:pPr>
        <w:pStyle w:val="Bibliography"/>
        <w:rPr>
          <w:rFonts w:cstheme="minorHAnsi"/>
          <w:lang w:val="en-GB"/>
        </w:rPr>
      </w:pPr>
      <w:r w:rsidRPr="000D268C">
        <w:rPr>
          <w:rFonts w:cstheme="minorHAnsi"/>
          <w:lang w:val="en-GB"/>
        </w:rPr>
        <w:lastRenderedPageBreak/>
        <w:t xml:space="preserve">Lupia, A. &amp; McCubbins, M.D. (1994). Learning from Oversight: Fire Alarms and Police Patrols Reconstructed. </w:t>
      </w:r>
      <w:r w:rsidRPr="000D268C">
        <w:rPr>
          <w:rFonts w:cstheme="minorHAnsi"/>
          <w:i/>
          <w:iCs/>
          <w:lang w:val="en-GB"/>
        </w:rPr>
        <w:t>Journal of Law, Economics, &amp; Organization</w:t>
      </w:r>
      <w:r w:rsidRPr="000D268C">
        <w:rPr>
          <w:rFonts w:cstheme="minorHAnsi"/>
          <w:lang w:val="en-GB"/>
        </w:rPr>
        <w:t xml:space="preserve"> </w:t>
      </w:r>
      <w:r w:rsidRPr="000D268C">
        <w:rPr>
          <w:rFonts w:cstheme="minorHAnsi"/>
          <w:i/>
          <w:iCs/>
          <w:lang w:val="en-GB"/>
        </w:rPr>
        <w:t>10</w:t>
      </w:r>
      <w:r w:rsidRPr="000D268C">
        <w:rPr>
          <w:rFonts w:cstheme="minorHAnsi"/>
          <w:lang w:val="en-GB"/>
        </w:rPr>
        <w:t>(1): 96–125.</w:t>
      </w:r>
    </w:p>
    <w:p w14:paraId="13E7BB95" w14:textId="77777777" w:rsidR="000A5639" w:rsidRPr="000D268C" w:rsidRDefault="000A5639" w:rsidP="0016669C">
      <w:pPr>
        <w:pStyle w:val="Bibliography"/>
        <w:rPr>
          <w:rFonts w:cstheme="minorHAnsi"/>
          <w:lang w:val="en-GB"/>
        </w:rPr>
      </w:pPr>
      <w:r w:rsidRPr="000D268C">
        <w:rPr>
          <w:rFonts w:cstheme="minorHAnsi"/>
          <w:lang w:val="en-GB"/>
        </w:rPr>
        <w:t xml:space="preserve">Majone, G. (1999). The regulatory state and its legitimacy problems. </w:t>
      </w:r>
      <w:r w:rsidRPr="000D268C">
        <w:rPr>
          <w:rFonts w:cstheme="minorHAnsi"/>
          <w:i/>
          <w:iCs/>
          <w:lang w:val="en-GB"/>
        </w:rPr>
        <w:t>West European Politics</w:t>
      </w:r>
      <w:r w:rsidRPr="000D268C">
        <w:rPr>
          <w:rFonts w:cstheme="minorHAnsi"/>
          <w:lang w:val="en-GB"/>
        </w:rPr>
        <w:t xml:space="preserve"> </w:t>
      </w:r>
      <w:r w:rsidRPr="000D268C">
        <w:rPr>
          <w:rFonts w:cstheme="minorHAnsi"/>
          <w:i/>
          <w:iCs/>
          <w:lang w:val="en-GB"/>
        </w:rPr>
        <w:t>22</w:t>
      </w:r>
      <w:r w:rsidRPr="000D268C">
        <w:rPr>
          <w:rFonts w:cstheme="minorHAnsi"/>
          <w:lang w:val="en-GB"/>
        </w:rPr>
        <w:t>(1): 1–24.</w:t>
      </w:r>
    </w:p>
    <w:p w14:paraId="3C140C09" w14:textId="77777777" w:rsidR="000A5639" w:rsidRPr="000D268C" w:rsidRDefault="000A5639" w:rsidP="0016669C">
      <w:pPr>
        <w:pStyle w:val="Bibliography"/>
        <w:rPr>
          <w:rFonts w:cstheme="minorHAnsi"/>
          <w:lang w:val="en-GB"/>
        </w:rPr>
      </w:pPr>
      <w:r w:rsidRPr="000D268C">
        <w:rPr>
          <w:rFonts w:cstheme="minorHAnsi"/>
          <w:lang w:val="en-GB"/>
        </w:rPr>
        <w:t xml:space="preserve">Marias, N. (2015, March 9). Question for written answer Z-000030/2015 to the European Central Bank. </w:t>
      </w:r>
      <w:r w:rsidRPr="000D268C">
        <w:rPr>
          <w:rFonts w:cstheme="minorHAnsi"/>
          <w:i/>
          <w:iCs/>
          <w:lang w:val="en-GB"/>
        </w:rPr>
        <w:t>European Parliament - Public Register of Documents</w:t>
      </w:r>
      <w:r w:rsidRPr="000D268C">
        <w:rPr>
          <w:rFonts w:cstheme="minorHAnsi"/>
          <w:lang w:val="en-GB"/>
        </w:rPr>
        <w:t>. Retrieved 26 July 2019, from http://www.europarl.europa.eu/RegData/commissions/econ/questions/2015/549211/ECON_QZ(2015)549211_EN.pdf</w:t>
      </w:r>
    </w:p>
    <w:p w14:paraId="681E84FE" w14:textId="77777777" w:rsidR="000A5639" w:rsidRPr="000D268C" w:rsidRDefault="000A5639" w:rsidP="0016669C">
      <w:pPr>
        <w:pStyle w:val="Bibliography"/>
        <w:rPr>
          <w:rFonts w:cstheme="minorHAnsi"/>
          <w:lang w:val="en-GB"/>
        </w:rPr>
      </w:pPr>
      <w:r w:rsidRPr="000D268C">
        <w:rPr>
          <w:rFonts w:cstheme="minorHAnsi"/>
          <w:lang w:val="en-GB"/>
        </w:rPr>
        <w:t xml:space="preserve">Martin, S. (2011). Using Parliamentary Questions to Measure Constituency Focus: An Application to the Irish Case. </w:t>
      </w:r>
      <w:r w:rsidRPr="000D268C">
        <w:rPr>
          <w:rFonts w:cstheme="minorHAnsi"/>
          <w:i/>
          <w:iCs/>
          <w:lang w:val="en-GB"/>
        </w:rPr>
        <w:t>Political Studies</w:t>
      </w:r>
      <w:r w:rsidRPr="000D268C">
        <w:rPr>
          <w:rFonts w:cstheme="minorHAnsi"/>
          <w:lang w:val="en-GB"/>
        </w:rPr>
        <w:t xml:space="preserve"> </w:t>
      </w:r>
      <w:r w:rsidRPr="000D268C">
        <w:rPr>
          <w:rFonts w:cstheme="minorHAnsi"/>
          <w:i/>
          <w:iCs/>
          <w:lang w:val="en-GB"/>
        </w:rPr>
        <w:t>59</w:t>
      </w:r>
      <w:r w:rsidRPr="000D268C">
        <w:rPr>
          <w:rFonts w:cstheme="minorHAnsi"/>
          <w:lang w:val="en-GB"/>
        </w:rPr>
        <w:t>(2): 472–488.</w:t>
      </w:r>
    </w:p>
    <w:p w14:paraId="75E0E84D" w14:textId="77777777" w:rsidR="000A5639" w:rsidRPr="000D268C" w:rsidRDefault="000A5639" w:rsidP="0016669C">
      <w:pPr>
        <w:pStyle w:val="Bibliography"/>
        <w:rPr>
          <w:rFonts w:cstheme="minorHAnsi"/>
          <w:lang w:val="en-GB"/>
        </w:rPr>
      </w:pPr>
      <w:r w:rsidRPr="000D268C">
        <w:rPr>
          <w:rFonts w:cstheme="minorHAnsi"/>
          <w:lang w:val="en-GB"/>
        </w:rPr>
        <w:t xml:space="preserve">McCubbins, M.D. &amp; Schwartz, T. (1984). Congressional Oversight Overlooked: Police Patrols versus Fire Alarms. </w:t>
      </w:r>
      <w:r w:rsidRPr="000D268C">
        <w:rPr>
          <w:rFonts w:cstheme="minorHAnsi"/>
          <w:i/>
          <w:iCs/>
          <w:lang w:val="en-GB"/>
        </w:rPr>
        <w:t>American Journal of Political Science</w:t>
      </w:r>
      <w:r w:rsidRPr="000D268C">
        <w:rPr>
          <w:rFonts w:cstheme="minorHAnsi"/>
          <w:lang w:val="en-GB"/>
        </w:rPr>
        <w:t xml:space="preserve"> </w:t>
      </w:r>
      <w:r w:rsidRPr="000D268C">
        <w:rPr>
          <w:rFonts w:cstheme="minorHAnsi"/>
          <w:i/>
          <w:iCs/>
          <w:lang w:val="en-GB"/>
        </w:rPr>
        <w:t>28</w:t>
      </w:r>
      <w:r w:rsidRPr="000D268C">
        <w:rPr>
          <w:rFonts w:cstheme="minorHAnsi"/>
          <w:lang w:val="en-GB"/>
        </w:rPr>
        <w:t>(1): 165.</w:t>
      </w:r>
    </w:p>
    <w:p w14:paraId="503CBE9E" w14:textId="77777777" w:rsidR="000A5639" w:rsidRPr="000D268C" w:rsidRDefault="000A5639" w:rsidP="0016669C">
      <w:pPr>
        <w:pStyle w:val="Bibliography"/>
        <w:rPr>
          <w:rFonts w:cstheme="minorHAnsi"/>
          <w:lang w:val="en-GB"/>
        </w:rPr>
      </w:pPr>
      <w:r w:rsidRPr="000D268C">
        <w:rPr>
          <w:rFonts w:cstheme="minorHAnsi"/>
          <w:lang w:val="en-GB"/>
        </w:rPr>
        <w:t xml:space="preserve">Moe, T.M. (1984). The New Economics of Organization. </w:t>
      </w:r>
      <w:r w:rsidRPr="000D268C">
        <w:rPr>
          <w:rFonts w:cstheme="minorHAnsi"/>
          <w:i/>
          <w:iCs/>
          <w:lang w:val="en-GB"/>
        </w:rPr>
        <w:t>American Journal of Political Science</w:t>
      </w:r>
      <w:r w:rsidRPr="000D268C">
        <w:rPr>
          <w:rFonts w:cstheme="minorHAnsi"/>
          <w:lang w:val="en-GB"/>
        </w:rPr>
        <w:t xml:space="preserve"> </w:t>
      </w:r>
      <w:r w:rsidRPr="000D268C">
        <w:rPr>
          <w:rFonts w:cstheme="minorHAnsi"/>
          <w:i/>
          <w:iCs/>
          <w:lang w:val="en-GB"/>
        </w:rPr>
        <w:t>28</w:t>
      </w:r>
      <w:r w:rsidRPr="000D268C">
        <w:rPr>
          <w:rFonts w:cstheme="minorHAnsi"/>
          <w:lang w:val="en-GB"/>
        </w:rPr>
        <w:t>(4): 739–777.</w:t>
      </w:r>
    </w:p>
    <w:p w14:paraId="45699BEC" w14:textId="77777777" w:rsidR="000A5639" w:rsidRPr="000D268C" w:rsidRDefault="000A5639" w:rsidP="0016669C">
      <w:pPr>
        <w:pStyle w:val="Bibliography"/>
        <w:rPr>
          <w:rFonts w:cstheme="minorHAnsi"/>
          <w:lang w:val="en-GB"/>
        </w:rPr>
      </w:pPr>
      <w:r w:rsidRPr="000D268C">
        <w:rPr>
          <w:rFonts w:cstheme="minorHAnsi"/>
          <w:lang w:val="en-GB"/>
        </w:rPr>
        <w:t xml:space="preserve">Mulgan, R. (2000). ‘Accountability’: An Ever-Expanding Concept? </w:t>
      </w:r>
      <w:r w:rsidRPr="000D268C">
        <w:rPr>
          <w:rFonts w:cstheme="minorHAnsi"/>
          <w:i/>
          <w:iCs/>
          <w:lang w:val="en-GB"/>
        </w:rPr>
        <w:t>Public Administration</w:t>
      </w:r>
      <w:r w:rsidRPr="000D268C">
        <w:rPr>
          <w:rFonts w:cstheme="minorHAnsi"/>
          <w:lang w:val="en-GB"/>
        </w:rPr>
        <w:t xml:space="preserve"> </w:t>
      </w:r>
      <w:r w:rsidRPr="000D268C">
        <w:rPr>
          <w:rFonts w:cstheme="minorHAnsi"/>
          <w:i/>
          <w:iCs/>
          <w:lang w:val="en-GB"/>
        </w:rPr>
        <w:t>78</w:t>
      </w:r>
      <w:r w:rsidRPr="000D268C">
        <w:rPr>
          <w:rFonts w:cstheme="minorHAnsi"/>
          <w:lang w:val="en-GB"/>
        </w:rPr>
        <w:t>(3): 555–573.</w:t>
      </w:r>
    </w:p>
    <w:p w14:paraId="7F8F957B" w14:textId="77777777" w:rsidR="000A5639" w:rsidRPr="000D268C" w:rsidRDefault="000A5639" w:rsidP="0016669C">
      <w:pPr>
        <w:pStyle w:val="Bibliography"/>
        <w:rPr>
          <w:rFonts w:cstheme="minorHAnsi"/>
          <w:lang w:val="en-GB"/>
        </w:rPr>
      </w:pPr>
      <w:r w:rsidRPr="000D268C">
        <w:rPr>
          <w:rFonts w:cstheme="minorHAnsi"/>
          <w:lang w:val="en-GB"/>
        </w:rPr>
        <w:t xml:space="preserve">Nouy, D. (2015, April 2). Letter from Danièle Nouy, Chair of the Supervisory Board, to Mr Marias, Member of the European Parliament, on the supervision of Greek banks. </w:t>
      </w:r>
      <w:r w:rsidRPr="000D268C">
        <w:rPr>
          <w:rFonts w:cstheme="minorHAnsi"/>
          <w:i/>
          <w:iCs/>
          <w:lang w:val="en-GB"/>
        </w:rPr>
        <w:t>ECB Banking Supervision</w:t>
      </w:r>
      <w:r w:rsidRPr="000D268C">
        <w:rPr>
          <w:rFonts w:cstheme="minorHAnsi"/>
          <w:lang w:val="en-GB"/>
        </w:rPr>
        <w:t>. Retrieved 25 July 2019, from https://www.bankingsupervision.europa.eu/ecb/pub/pdf/150407letter_marias.en.pdf</w:t>
      </w:r>
    </w:p>
    <w:p w14:paraId="42668D57" w14:textId="77777777" w:rsidR="000A5639" w:rsidRPr="000D268C" w:rsidRDefault="000A5639" w:rsidP="0016669C">
      <w:pPr>
        <w:pStyle w:val="Bibliography"/>
        <w:rPr>
          <w:rFonts w:cstheme="minorHAnsi"/>
          <w:lang w:val="en-GB"/>
        </w:rPr>
      </w:pPr>
      <w:r w:rsidRPr="000D268C">
        <w:rPr>
          <w:rFonts w:cstheme="minorHAnsi"/>
          <w:lang w:val="en-GB"/>
        </w:rPr>
        <w:t xml:space="preserve">Nouy, D. (2016, February 26). Letter from Danièle Nouy, Chair of the Supervisory Board, to Mr Zanni, MEP, regarding a credit institution under ECB supervision. </w:t>
      </w:r>
      <w:r w:rsidRPr="000D268C">
        <w:rPr>
          <w:rFonts w:cstheme="minorHAnsi"/>
          <w:i/>
          <w:iCs/>
          <w:lang w:val="en-GB"/>
        </w:rPr>
        <w:t>ECB Banking Supervision</w:t>
      </w:r>
      <w:r w:rsidRPr="000D268C">
        <w:rPr>
          <w:rFonts w:cstheme="minorHAnsi"/>
          <w:lang w:val="en-GB"/>
        </w:rPr>
        <w:t>. Retrieved 25 July 2019, from https://www.bankingsupervision.europa.eu/ecb/pub/pdf/160226letter_zanni.en.pdf?b3043a684302a7225d4afb12edff3f0d</w:t>
      </w:r>
    </w:p>
    <w:p w14:paraId="73490D9B" w14:textId="77777777" w:rsidR="000A5639" w:rsidRPr="000D268C" w:rsidRDefault="000A5639" w:rsidP="0016669C">
      <w:pPr>
        <w:pStyle w:val="Bibliography"/>
        <w:rPr>
          <w:rFonts w:cstheme="minorHAnsi"/>
          <w:lang w:val="en-GB"/>
        </w:rPr>
      </w:pPr>
      <w:r w:rsidRPr="000D268C">
        <w:rPr>
          <w:rFonts w:cstheme="minorHAnsi"/>
          <w:lang w:val="en-GB"/>
        </w:rPr>
        <w:t xml:space="preserve">Nouy, D. (2017, June 28). Letter from Danièle Nouy, Chair of the Supervisory Board, to Ms Berès, MEP, regarding taxes paid by credit institutions. </w:t>
      </w:r>
      <w:r w:rsidRPr="000D268C">
        <w:rPr>
          <w:rFonts w:cstheme="minorHAnsi"/>
          <w:i/>
          <w:iCs/>
          <w:lang w:val="en-GB"/>
        </w:rPr>
        <w:t>ECB Banking Supervision</w:t>
      </w:r>
      <w:r w:rsidRPr="000D268C">
        <w:rPr>
          <w:rFonts w:cstheme="minorHAnsi"/>
          <w:lang w:val="en-GB"/>
        </w:rPr>
        <w:t>. Retrieved 25 July 2019, from https://www.bankingsupervision.europa.eu/ecb/pub/pdf/ssm.mepletter170628_beres.en.pdf?8ca0ac35276c2984f0310fbeb5aeecdd</w:t>
      </w:r>
    </w:p>
    <w:p w14:paraId="549BECB1" w14:textId="77777777" w:rsidR="000A5639" w:rsidRPr="000D268C" w:rsidRDefault="000A5639" w:rsidP="0016669C">
      <w:pPr>
        <w:pStyle w:val="Bibliography"/>
        <w:rPr>
          <w:rFonts w:cstheme="minorHAnsi"/>
          <w:lang w:val="en-GB"/>
        </w:rPr>
      </w:pPr>
      <w:r w:rsidRPr="000D268C">
        <w:rPr>
          <w:rFonts w:cstheme="minorHAnsi"/>
          <w:lang w:val="en-GB"/>
        </w:rPr>
        <w:t xml:space="preserve">Ogul, M.S. (1976). </w:t>
      </w:r>
      <w:r w:rsidRPr="000D268C">
        <w:rPr>
          <w:rFonts w:cstheme="minorHAnsi"/>
          <w:i/>
          <w:iCs/>
          <w:lang w:val="en-GB"/>
        </w:rPr>
        <w:t>Congress Oversees the Bureaucracy</w:t>
      </w:r>
      <w:r w:rsidRPr="000D268C">
        <w:rPr>
          <w:rFonts w:cstheme="minorHAnsi"/>
          <w:lang w:val="en-GB"/>
        </w:rPr>
        <w:t xml:space="preserve"> (1st edition.). Pittsburgh, PA: University of Pittsburgh Press.</w:t>
      </w:r>
    </w:p>
    <w:p w14:paraId="7CD42607" w14:textId="77777777" w:rsidR="000A5639" w:rsidRPr="000D268C" w:rsidRDefault="000A5639" w:rsidP="0016669C">
      <w:pPr>
        <w:pStyle w:val="Bibliography"/>
        <w:rPr>
          <w:rFonts w:cstheme="minorHAnsi"/>
          <w:lang w:val="en-GB"/>
        </w:rPr>
      </w:pPr>
      <w:r w:rsidRPr="000D268C">
        <w:rPr>
          <w:rFonts w:cstheme="minorHAnsi"/>
          <w:lang w:val="en-GB"/>
        </w:rPr>
        <w:t xml:space="preserve">Pelizzo, R. &amp; Stapenhurst, F. (2012). </w:t>
      </w:r>
      <w:r w:rsidRPr="000D268C">
        <w:rPr>
          <w:rFonts w:cstheme="minorHAnsi"/>
          <w:i/>
          <w:iCs/>
          <w:lang w:val="en-GB"/>
        </w:rPr>
        <w:t>Parliamentary Oversight Tools: A Comparative Analysis</w:t>
      </w:r>
      <w:r w:rsidRPr="000D268C">
        <w:rPr>
          <w:rFonts w:cstheme="minorHAnsi"/>
          <w:lang w:val="en-GB"/>
        </w:rPr>
        <w:t>. London and New York, NY: Routledge.</w:t>
      </w:r>
    </w:p>
    <w:p w14:paraId="71C3D1AD" w14:textId="77777777" w:rsidR="000A5639" w:rsidRPr="000D268C" w:rsidRDefault="000A5639" w:rsidP="0016669C">
      <w:pPr>
        <w:pStyle w:val="Bibliography"/>
        <w:rPr>
          <w:rFonts w:cstheme="minorHAnsi"/>
          <w:lang w:val="en-GB"/>
        </w:rPr>
      </w:pPr>
      <w:r w:rsidRPr="000D268C">
        <w:rPr>
          <w:rFonts w:cstheme="minorHAnsi"/>
          <w:lang w:val="en-GB"/>
        </w:rPr>
        <w:t xml:space="preserve">Przeworski, A., Stokes, S.C. &amp; Manin, B. (1999). </w:t>
      </w:r>
      <w:r w:rsidRPr="000D268C">
        <w:rPr>
          <w:rFonts w:cstheme="minorHAnsi"/>
          <w:i/>
          <w:iCs/>
          <w:lang w:val="en-GB"/>
        </w:rPr>
        <w:t>Democracy, Accountability, and Representation</w:t>
      </w:r>
      <w:r w:rsidRPr="000D268C">
        <w:rPr>
          <w:rFonts w:cstheme="minorHAnsi"/>
          <w:lang w:val="en-GB"/>
        </w:rPr>
        <w:t>. Cambridge University Press.</w:t>
      </w:r>
    </w:p>
    <w:p w14:paraId="004FD2DC" w14:textId="77777777" w:rsidR="000A5639" w:rsidRPr="000D268C" w:rsidRDefault="000A5639" w:rsidP="0016669C">
      <w:pPr>
        <w:pStyle w:val="Bibliography"/>
        <w:rPr>
          <w:rFonts w:cstheme="minorHAnsi"/>
          <w:lang w:val="en-GB"/>
        </w:rPr>
      </w:pPr>
      <w:r w:rsidRPr="000D268C">
        <w:rPr>
          <w:rFonts w:cstheme="minorHAnsi"/>
          <w:lang w:val="en-GB"/>
        </w:rPr>
        <w:lastRenderedPageBreak/>
        <w:t xml:space="preserve">Rockman, B.A. (1984). Legislative-Executive Relations and Legislative Oversight. </w:t>
      </w:r>
      <w:r w:rsidRPr="000D268C">
        <w:rPr>
          <w:rFonts w:cstheme="minorHAnsi"/>
          <w:i/>
          <w:iCs/>
          <w:lang w:val="en-GB"/>
        </w:rPr>
        <w:t>Legislative Studies Quarterly</w:t>
      </w:r>
      <w:r w:rsidRPr="000D268C">
        <w:rPr>
          <w:rFonts w:cstheme="minorHAnsi"/>
          <w:lang w:val="en-GB"/>
        </w:rPr>
        <w:t xml:space="preserve"> </w:t>
      </w:r>
      <w:r w:rsidRPr="000D268C">
        <w:rPr>
          <w:rFonts w:cstheme="minorHAnsi"/>
          <w:i/>
          <w:iCs/>
          <w:lang w:val="en-GB"/>
        </w:rPr>
        <w:t>9</w:t>
      </w:r>
      <w:r w:rsidRPr="000D268C">
        <w:rPr>
          <w:rFonts w:cstheme="minorHAnsi"/>
          <w:lang w:val="en-GB"/>
        </w:rPr>
        <w:t>(3): 387–440.</w:t>
      </w:r>
    </w:p>
    <w:p w14:paraId="115902E3" w14:textId="77777777" w:rsidR="000A5639" w:rsidRPr="000D268C" w:rsidRDefault="000A5639" w:rsidP="0016669C">
      <w:pPr>
        <w:pStyle w:val="Bibliography"/>
        <w:rPr>
          <w:rFonts w:cstheme="minorHAnsi"/>
          <w:lang w:val="en-GB"/>
        </w:rPr>
      </w:pPr>
      <w:r w:rsidRPr="000D268C">
        <w:rPr>
          <w:rFonts w:cstheme="minorHAnsi"/>
          <w:lang w:val="en-GB"/>
        </w:rPr>
        <w:t xml:space="preserve">Romzek, B. &amp; Dubnick, M.J. (1998). Accountability. In J. M. Shafritz (ed.), </w:t>
      </w:r>
      <w:r w:rsidRPr="000D268C">
        <w:rPr>
          <w:rFonts w:cstheme="minorHAnsi"/>
          <w:i/>
          <w:iCs/>
          <w:lang w:val="en-GB"/>
        </w:rPr>
        <w:t>International Encyclopedia of Public Policy and Administration</w:t>
      </w:r>
      <w:r w:rsidRPr="000D268C">
        <w:rPr>
          <w:rFonts w:cstheme="minorHAnsi"/>
          <w:lang w:val="en-GB"/>
        </w:rPr>
        <w:t>. Boulder, CO: Westview Press.</w:t>
      </w:r>
    </w:p>
    <w:p w14:paraId="1ED08474" w14:textId="77777777" w:rsidR="000A5639" w:rsidRPr="000D268C" w:rsidRDefault="000A5639" w:rsidP="0016669C">
      <w:pPr>
        <w:pStyle w:val="Bibliography"/>
        <w:rPr>
          <w:rFonts w:cstheme="minorHAnsi"/>
          <w:lang w:val="en-GB"/>
        </w:rPr>
      </w:pPr>
      <w:r w:rsidRPr="000D268C">
        <w:rPr>
          <w:rFonts w:cstheme="minorHAnsi"/>
          <w:lang w:val="en-GB"/>
        </w:rPr>
        <w:t xml:space="preserve">Russo, F. &amp; Wiberg, M. (2010). Parliamentary Questioning in 17 European Parliaments: Some Steps towards Comparison. </w:t>
      </w:r>
      <w:r w:rsidRPr="000D268C">
        <w:rPr>
          <w:rFonts w:cstheme="minorHAnsi"/>
          <w:i/>
          <w:iCs/>
          <w:lang w:val="en-GB"/>
        </w:rPr>
        <w:t>The Journal of Legislative Studies</w:t>
      </w:r>
      <w:r w:rsidRPr="000D268C">
        <w:rPr>
          <w:rFonts w:cstheme="minorHAnsi"/>
          <w:lang w:val="en-GB"/>
        </w:rPr>
        <w:t xml:space="preserve"> </w:t>
      </w:r>
      <w:r w:rsidRPr="000D268C">
        <w:rPr>
          <w:rFonts w:cstheme="minorHAnsi"/>
          <w:i/>
          <w:iCs/>
          <w:lang w:val="en-GB"/>
        </w:rPr>
        <w:t>16</w:t>
      </w:r>
      <w:r w:rsidRPr="000D268C">
        <w:rPr>
          <w:rFonts w:cstheme="minorHAnsi"/>
          <w:lang w:val="en-GB"/>
        </w:rPr>
        <w:t>(2): 215–232.</w:t>
      </w:r>
    </w:p>
    <w:p w14:paraId="40760AA6" w14:textId="77777777" w:rsidR="000A5639" w:rsidRPr="000D268C" w:rsidRDefault="000A5639" w:rsidP="0016669C">
      <w:pPr>
        <w:pStyle w:val="Bibliography"/>
        <w:rPr>
          <w:rFonts w:cstheme="minorHAnsi"/>
          <w:lang w:val="en-GB"/>
        </w:rPr>
      </w:pPr>
      <w:r w:rsidRPr="000D268C">
        <w:rPr>
          <w:rFonts w:cstheme="minorHAnsi"/>
          <w:lang w:val="en-GB"/>
        </w:rPr>
        <w:t xml:space="preserve">Schillemans, T. &amp; Busuioc, M. (2015). Predicting Public Sector Accountability: From Agency Drift to Forum Drift. </w:t>
      </w:r>
      <w:r w:rsidRPr="000D268C">
        <w:rPr>
          <w:rFonts w:cstheme="minorHAnsi"/>
          <w:i/>
          <w:iCs/>
          <w:lang w:val="en-GB"/>
        </w:rPr>
        <w:t>Journal of Public Administration Research and Theory</w:t>
      </w:r>
      <w:r w:rsidRPr="000D268C">
        <w:rPr>
          <w:rFonts w:cstheme="minorHAnsi"/>
          <w:lang w:val="en-GB"/>
        </w:rPr>
        <w:t xml:space="preserve"> </w:t>
      </w:r>
      <w:r w:rsidRPr="000D268C">
        <w:rPr>
          <w:rFonts w:cstheme="minorHAnsi"/>
          <w:i/>
          <w:iCs/>
          <w:lang w:val="en-GB"/>
        </w:rPr>
        <w:t>25</w:t>
      </w:r>
      <w:r w:rsidRPr="000D268C">
        <w:rPr>
          <w:rFonts w:cstheme="minorHAnsi"/>
          <w:lang w:val="en-GB"/>
        </w:rPr>
        <w:t>(1): 191–215.</w:t>
      </w:r>
    </w:p>
    <w:p w14:paraId="0B834A50" w14:textId="77777777" w:rsidR="000A5639" w:rsidRPr="000D268C" w:rsidRDefault="000A5639" w:rsidP="0016669C">
      <w:pPr>
        <w:pStyle w:val="Bibliography"/>
        <w:rPr>
          <w:rFonts w:cstheme="minorHAnsi"/>
          <w:lang w:val="en-GB"/>
        </w:rPr>
      </w:pPr>
      <w:r w:rsidRPr="000D268C">
        <w:rPr>
          <w:rFonts w:cstheme="minorHAnsi"/>
          <w:lang w:val="en-GB"/>
        </w:rPr>
        <w:t xml:space="preserve">Sieberer, U. (2011). The Institutional Power of Western European Parliaments: A Multidimensional Analysis. </w:t>
      </w:r>
      <w:r w:rsidRPr="000D268C">
        <w:rPr>
          <w:rFonts w:cstheme="minorHAnsi"/>
          <w:i/>
          <w:iCs/>
          <w:lang w:val="en-GB"/>
        </w:rPr>
        <w:t>West European Politics</w:t>
      </w:r>
      <w:r w:rsidRPr="000D268C">
        <w:rPr>
          <w:rFonts w:cstheme="minorHAnsi"/>
          <w:lang w:val="en-GB"/>
        </w:rPr>
        <w:t xml:space="preserve"> </w:t>
      </w:r>
      <w:r w:rsidRPr="000D268C">
        <w:rPr>
          <w:rFonts w:cstheme="minorHAnsi"/>
          <w:i/>
          <w:iCs/>
          <w:lang w:val="en-GB"/>
        </w:rPr>
        <w:t>34</w:t>
      </w:r>
      <w:r w:rsidRPr="000D268C">
        <w:rPr>
          <w:rFonts w:cstheme="minorHAnsi"/>
          <w:lang w:val="en-GB"/>
        </w:rPr>
        <w:t>(4): 731–754.</w:t>
      </w:r>
    </w:p>
    <w:p w14:paraId="46C6A7E5" w14:textId="77777777" w:rsidR="000A5639" w:rsidRPr="000D268C" w:rsidRDefault="000A5639" w:rsidP="0016669C">
      <w:pPr>
        <w:pStyle w:val="Bibliography"/>
        <w:rPr>
          <w:rFonts w:cstheme="minorHAnsi"/>
          <w:lang w:val="en-GB"/>
        </w:rPr>
      </w:pPr>
      <w:r w:rsidRPr="000D268C">
        <w:rPr>
          <w:rFonts w:cstheme="minorHAnsi"/>
          <w:lang w:val="en-GB"/>
        </w:rPr>
        <w:t xml:space="preserve">Slapin, J.B. &amp; Proksch, S.-O. (2014). Words as Data: Content Analysis in Legislative Studies. In S. Martin, T. Saalfeld &amp; K. Strøm (eds.), </w:t>
      </w:r>
      <w:r w:rsidRPr="000D268C">
        <w:rPr>
          <w:rFonts w:cstheme="minorHAnsi"/>
          <w:i/>
          <w:iCs/>
          <w:lang w:val="en-GB"/>
        </w:rPr>
        <w:t>The Oxford Handbook of Legislative Studies</w:t>
      </w:r>
      <w:r w:rsidRPr="000D268C">
        <w:rPr>
          <w:rFonts w:cstheme="minorHAnsi"/>
          <w:lang w:val="en-GB"/>
        </w:rPr>
        <w:t>. Oxford: Oxford University Press.</w:t>
      </w:r>
    </w:p>
    <w:p w14:paraId="4E23C4F2" w14:textId="77777777" w:rsidR="000A5639" w:rsidRPr="000D268C" w:rsidRDefault="000A5639" w:rsidP="0016669C">
      <w:pPr>
        <w:pStyle w:val="Bibliography"/>
        <w:rPr>
          <w:rFonts w:cstheme="minorHAnsi"/>
          <w:lang w:val="en-GB"/>
        </w:rPr>
      </w:pPr>
      <w:r w:rsidRPr="000D268C">
        <w:rPr>
          <w:rFonts w:cstheme="minorHAnsi"/>
          <w:lang w:val="en-GB"/>
        </w:rPr>
        <w:t xml:space="preserve">Strøm, K. (2000). Delegation and accountability in parliamentary democracies. </w:t>
      </w:r>
      <w:r w:rsidRPr="000D268C">
        <w:rPr>
          <w:rFonts w:cstheme="minorHAnsi"/>
          <w:i/>
          <w:iCs/>
          <w:lang w:val="en-GB"/>
        </w:rPr>
        <w:t>European Journal of Political Research</w:t>
      </w:r>
      <w:r w:rsidRPr="000D268C">
        <w:rPr>
          <w:rFonts w:cstheme="minorHAnsi"/>
          <w:lang w:val="en-GB"/>
        </w:rPr>
        <w:t xml:space="preserve"> </w:t>
      </w:r>
      <w:r w:rsidRPr="000D268C">
        <w:rPr>
          <w:rFonts w:cstheme="minorHAnsi"/>
          <w:i/>
          <w:iCs/>
          <w:lang w:val="en-GB"/>
        </w:rPr>
        <w:t>37</w:t>
      </w:r>
      <w:r w:rsidRPr="000D268C">
        <w:rPr>
          <w:rFonts w:cstheme="minorHAnsi"/>
          <w:lang w:val="en-GB"/>
        </w:rPr>
        <w:t>(3): 261–289.</w:t>
      </w:r>
    </w:p>
    <w:p w14:paraId="4D476010" w14:textId="77777777" w:rsidR="000A5639" w:rsidRPr="000D268C" w:rsidRDefault="000A5639" w:rsidP="0016669C">
      <w:pPr>
        <w:pStyle w:val="Bibliography"/>
        <w:rPr>
          <w:rFonts w:cstheme="minorHAnsi"/>
          <w:lang w:val="en-GB"/>
        </w:rPr>
      </w:pPr>
      <w:r w:rsidRPr="000D268C">
        <w:rPr>
          <w:rFonts w:cstheme="minorHAnsi"/>
          <w:lang w:val="en-GB"/>
        </w:rPr>
        <w:t xml:space="preserve">Thatcher, M. &amp; Sweet, A.S. (2002). Theory and Practice of Delegation to Non-Majoritarian Institutions. </w:t>
      </w:r>
      <w:r w:rsidRPr="000D268C">
        <w:rPr>
          <w:rFonts w:cstheme="minorHAnsi"/>
          <w:i/>
          <w:iCs/>
          <w:lang w:val="en-GB"/>
        </w:rPr>
        <w:t>West European Politics</w:t>
      </w:r>
      <w:r w:rsidRPr="000D268C">
        <w:rPr>
          <w:rFonts w:cstheme="minorHAnsi"/>
          <w:lang w:val="en-GB"/>
        </w:rPr>
        <w:t xml:space="preserve"> </w:t>
      </w:r>
      <w:r w:rsidRPr="000D268C">
        <w:rPr>
          <w:rFonts w:cstheme="minorHAnsi"/>
          <w:i/>
          <w:iCs/>
          <w:lang w:val="en-GB"/>
        </w:rPr>
        <w:t>25</w:t>
      </w:r>
      <w:r w:rsidRPr="000D268C">
        <w:rPr>
          <w:rFonts w:cstheme="minorHAnsi"/>
          <w:lang w:val="en-GB"/>
        </w:rPr>
        <w:t>(1): 1–22.</w:t>
      </w:r>
    </w:p>
    <w:p w14:paraId="463D3215" w14:textId="77777777" w:rsidR="000A5639" w:rsidRPr="000D268C" w:rsidRDefault="000A5639" w:rsidP="0016669C">
      <w:pPr>
        <w:pStyle w:val="Bibliography"/>
        <w:rPr>
          <w:rFonts w:cstheme="minorHAnsi"/>
          <w:lang w:val="en-GB"/>
        </w:rPr>
      </w:pPr>
      <w:r w:rsidRPr="000D268C">
        <w:rPr>
          <w:rFonts w:cstheme="minorHAnsi"/>
          <w:lang w:val="en-GB"/>
        </w:rPr>
        <w:t xml:space="preserve">Wiberg, M. &amp; Koura, A. (1994). The logic of parliamentary questioning. In M. Wiberg (ed.), </w:t>
      </w:r>
      <w:r w:rsidRPr="000D268C">
        <w:rPr>
          <w:rFonts w:cstheme="minorHAnsi"/>
          <w:i/>
          <w:iCs/>
          <w:lang w:val="en-GB"/>
        </w:rPr>
        <w:t>Parliamentary control in the Nordic countries: forms of questioning and behavioural trends</w:t>
      </w:r>
      <w:r w:rsidRPr="000D268C">
        <w:rPr>
          <w:rFonts w:cstheme="minorHAnsi"/>
          <w:lang w:val="en-GB"/>
        </w:rPr>
        <w:t>. Helsinki: The Finnish Political Science Association.</w:t>
      </w:r>
    </w:p>
    <w:p w14:paraId="10C07D5A" w14:textId="59C34955" w:rsidR="00F813C3" w:rsidRPr="000D268C" w:rsidRDefault="00812D22" w:rsidP="0016669C">
      <w:pPr>
        <w:spacing w:after="240"/>
        <w:rPr>
          <w:rFonts w:cstheme="minorHAnsi"/>
          <w:lang w:val="en-GB"/>
        </w:rPr>
      </w:pPr>
      <w:r w:rsidRPr="000D268C">
        <w:rPr>
          <w:rFonts w:cstheme="minorHAnsi"/>
          <w:lang w:val="en-GB"/>
        </w:rPr>
        <w:fldChar w:fldCharType="end"/>
      </w:r>
    </w:p>
    <w:p w14:paraId="394C21AC" w14:textId="77777777" w:rsidR="00F813C3" w:rsidRPr="000D268C" w:rsidRDefault="00F813C3" w:rsidP="0016669C">
      <w:pPr>
        <w:spacing w:after="120"/>
        <w:jc w:val="both"/>
        <w:rPr>
          <w:rFonts w:cstheme="minorHAnsi"/>
          <w:lang w:val="en-GB"/>
        </w:rPr>
      </w:pPr>
    </w:p>
    <w:sectPr w:rsidR="00F813C3" w:rsidRPr="000D268C" w:rsidSect="00144620">
      <w:pgSz w:w="11900" w:h="16840"/>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BC7E77" w14:textId="77777777" w:rsidR="001219C3" w:rsidRDefault="001219C3" w:rsidP="0010134B">
      <w:r>
        <w:separator/>
      </w:r>
    </w:p>
  </w:endnote>
  <w:endnote w:type="continuationSeparator" w:id="0">
    <w:p w14:paraId="717F18DE" w14:textId="77777777" w:rsidR="001219C3" w:rsidRDefault="001219C3" w:rsidP="001013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255660980"/>
      <w:docPartObj>
        <w:docPartGallery w:val="Page Numbers (Bottom of Page)"/>
        <w:docPartUnique/>
      </w:docPartObj>
    </w:sdtPr>
    <w:sdtEndPr>
      <w:rPr>
        <w:rStyle w:val="PageNumber"/>
      </w:rPr>
    </w:sdtEndPr>
    <w:sdtContent>
      <w:p w14:paraId="34706B4D" w14:textId="134A683C" w:rsidR="005E7FB2" w:rsidRDefault="005E7FB2" w:rsidP="00F813C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36FD5F8" w14:textId="77777777" w:rsidR="005E7FB2" w:rsidRDefault="005E7FB2" w:rsidP="00D120C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314713116"/>
      <w:docPartObj>
        <w:docPartGallery w:val="Page Numbers (Bottom of Page)"/>
        <w:docPartUnique/>
      </w:docPartObj>
    </w:sdtPr>
    <w:sdtEndPr>
      <w:rPr>
        <w:rStyle w:val="PageNumber"/>
      </w:rPr>
    </w:sdtEndPr>
    <w:sdtContent>
      <w:p w14:paraId="5115C351" w14:textId="702AC1A6" w:rsidR="005E7FB2" w:rsidRDefault="005E7FB2" w:rsidP="00F813C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C7A7637" w14:textId="77777777" w:rsidR="005E7FB2" w:rsidRDefault="005E7FB2" w:rsidP="00D120C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EADF40" w14:textId="77777777" w:rsidR="001219C3" w:rsidRDefault="001219C3" w:rsidP="0010134B">
      <w:r>
        <w:separator/>
      </w:r>
    </w:p>
  </w:footnote>
  <w:footnote w:type="continuationSeparator" w:id="0">
    <w:p w14:paraId="2ED90CC2" w14:textId="77777777" w:rsidR="001219C3" w:rsidRDefault="001219C3" w:rsidP="0010134B">
      <w:r>
        <w:continuationSeparator/>
      </w:r>
    </w:p>
  </w:footnote>
  <w:footnote w:id="1">
    <w:p w14:paraId="4142CC73" w14:textId="311B0F09" w:rsidR="005E7FB2" w:rsidRPr="0010531E" w:rsidRDefault="005E7FB2" w:rsidP="00B219C8">
      <w:pPr>
        <w:jc w:val="both"/>
        <w:rPr>
          <w:rFonts w:ascii="Calibri" w:hAnsi="Calibri" w:cs="Calibri"/>
          <w:sz w:val="20"/>
          <w:szCs w:val="20"/>
          <w:lang w:val="en-GB"/>
        </w:rPr>
      </w:pPr>
      <w:r w:rsidRPr="0010531E">
        <w:rPr>
          <w:rStyle w:val="FootnoteReference"/>
          <w:rFonts w:ascii="Calibri" w:hAnsi="Calibri" w:cs="Calibri"/>
          <w:sz w:val="20"/>
          <w:szCs w:val="20"/>
        </w:rPr>
        <w:footnoteRef/>
      </w:r>
      <w:r w:rsidRPr="0010531E">
        <w:rPr>
          <w:rFonts w:ascii="Calibri" w:hAnsi="Calibri" w:cs="Calibri"/>
          <w:sz w:val="20"/>
          <w:szCs w:val="20"/>
          <w:lang w:val="en-US"/>
        </w:rPr>
        <w:t xml:space="preserve"> </w:t>
      </w:r>
      <w:r w:rsidRPr="0010531E">
        <w:rPr>
          <w:rFonts w:ascii="Calibri" w:hAnsi="Calibri" w:cs="Calibri"/>
          <w:sz w:val="20"/>
          <w:szCs w:val="20"/>
          <w:lang w:val="en-GB"/>
        </w:rPr>
        <w:t xml:space="preserve">The 2014 </w:t>
      </w:r>
      <w:r>
        <w:rPr>
          <w:rFonts w:ascii="Calibri" w:hAnsi="Calibri" w:cs="Calibri"/>
          <w:sz w:val="20"/>
          <w:szCs w:val="20"/>
          <w:lang w:val="en-GB"/>
        </w:rPr>
        <w:t>C</w:t>
      </w:r>
      <w:r w:rsidRPr="0010531E">
        <w:rPr>
          <w:rFonts w:ascii="Calibri" w:hAnsi="Calibri" w:cs="Calibri"/>
          <w:sz w:val="20"/>
          <w:szCs w:val="20"/>
          <w:lang w:val="en-GB"/>
        </w:rPr>
        <w:t xml:space="preserve">omprehensive </w:t>
      </w:r>
      <w:r>
        <w:rPr>
          <w:rFonts w:ascii="Calibri" w:hAnsi="Calibri" w:cs="Calibri"/>
          <w:sz w:val="20"/>
          <w:szCs w:val="20"/>
          <w:lang w:val="en-GB"/>
        </w:rPr>
        <w:t>A</w:t>
      </w:r>
      <w:r w:rsidRPr="0010531E">
        <w:rPr>
          <w:rFonts w:ascii="Calibri" w:hAnsi="Calibri" w:cs="Calibri"/>
          <w:sz w:val="20"/>
          <w:szCs w:val="20"/>
          <w:lang w:val="en-GB"/>
        </w:rPr>
        <w:t xml:space="preserve">ssessment was the initial ‘health check’ of 130 largest banks in the euro area to facilitate the ECB takeover of banking supervision. A typical comprehensive assessment includes an asset quality review and a stress test based on EBA methodology. Since then, the ECB organises annual stress tests with fewer banks, sometimes outside of the official Comprehensive Assessment. </w:t>
      </w:r>
    </w:p>
    <w:p w14:paraId="3AAA3A9C" w14:textId="77777777" w:rsidR="005E7FB2" w:rsidRPr="0010531E" w:rsidRDefault="005E7FB2" w:rsidP="00B219C8">
      <w:pPr>
        <w:pStyle w:val="FootnoteText"/>
        <w:rPr>
          <w:rFonts w:ascii="Calibri" w:hAnsi="Calibri" w:cs="Calibri"/>
          <w:lang w:val="en-GB"/>
        </w:rPr>
      </w:pPr>
    </w:p>
  </w:footnote>
  <w:footnote w:id="2">
    <w:p w14:paraId="26F11CA3" w14:textId="5D86B932" w:rsidR="005E7FB2" w:rsidRPr="0010531E" w:rsidRDefault="005E7FB2" w:rsidP="00F813C3">
      <w:pPr>
        <w:jc w:val="both"/>
        <w:rPr>
          <w:rFonts w:ascii="Calibri" w:hAnsi="Calibri" w:cs="Calibri"/>
          <w:color w:val="000000" w:themeColor="text1"/>
          <w:sz w:val="20"/>
          <w:szCs w:val="20"/>
          <w:lang w:val="en-GB"/>
        </w:rPr>
      </w:pPr>
      <w:r w:rsidRPr="0010531E">
        <w:rPr>
          <w:rStyle w:val="FootnoteReference"/>
          <w:rFonts w:ascii="Calibri" w:hAnsi="Calibri" w:cs="Calibri"/>
          <w:sz w:val="20"/>
          <w:szCs w:val="20"/>
        </w:rPr>
        <w:footnoteRef/>
      </w:r>
      <w:r w:rsidRPr="0010531E">
        <w:rPr>
          <w:rFonts w:ascii="Calibri" w:hAnsi="Calibri" w:cs="Calibri"/>
          <w:sz w:val="20"/>
          <w:szCs w:val="20"/>
          <w:lang w:val="en-US"/>
        </w:rPr>
        <w:t xml:space="preserve"> </w:t>
      </w:r>
      <w:r w:rsidRPr="0010531E">
        <w:rPr>
          <w:rFonts w:ascii="Calibri" w:hAnsi="Calibri" w:cs="Calibri"/>
          <w:color w:val="000000" w:themeColor="text1"/>
          <w:sz w:val="20"/>
          <w:szCs w:val="20"/>
          <w:lang w:val="en-GB"/>
        </w:rPr>
        <w:t xml:space="preserve">Data collection started on the ECB website in the section ‘Media &amp; Publications &gt; Publications by date’, where all letters addressed to MEPs are listed chronologically </w:t>
      </w:r>
      <w:r w:rsidRPr="0010531E">
        <w:rPr>
          <w:rFonts w:ascii="Calibri" w:hAnsi="Calibri" w:cs="Calibri"/>
          <w:color w:val="000000" w:themeColor="text1"/>
          <w:sz w:val="20"/>
          <w:szCs w:val="20"/>
          <w:lang w:val="en-GB"/>
        </w:rPr>
        <w:fldChar w:fldCharType="begin"/>
      </w:r>
      <w:r>
        <w:rPr>
          <w:rFonts w:ascii="Calibri" w:hAnsi="Calibri" w:cs="Calibri"/>
          <w:color w:val="000000" w:themeColor="text1"/>
          <w:sz w:val="20"/>
          <w:szCs w:val="20"/>
          <w:lang w:val="en-GB"/>
        </w:rPr>
        <w:instrText xml:space="preserve"> ADDIN ZOTERO_ITEM CSL_CITATION {"citationID":"M6awEI3n","properties":{"formattedCitation":"(European Central Bank, n.d.a)","plainCitation":"(European Central Bank, n.d.a)","noteIndex":2},"citationItems":[{"id":5959,"uris":["http://zotero.org/users/1129714/items/F2I6D4DF"],"uri":["http://zotero.org/users/1129714/items/F2I6D4DF"],"itemData":{"id":5959,"type":"webpage","abstract":"SSM Publications in 2013","container-title":"European Central Bank - Banking Supervision","language":"en","title":"Publications published in 2013","URL":"https://www.bankingsupervision.europa.eu/press/publications/date/2013/html/index.en.html","author":[{"family":"European Central Bank","given":""}],"accessed":{"date-parts":[["2019",2,8]]},"issued":{"literal":"n.d."}}}],"schema":"https://github.com/citation-style-language/schema/raw/master/csl-citation.json"} </w:instrText>
      </w:r>
      <w:r w:rsidRPr="0010531E">
        <w:rPr>
          <w:rFonts w:ascii="Calibri" w:hAnsi="Calibri" w:cs="Calibri"/>
          <w:color w:val="000000" w:themeColor="text1"/>
          <w:sz w:val="20"/>
          <w:szCs w:val="20"/>
          <w:lang w:val="en-GB"/>
        </w:rPr>
        <w:fldChar w:fldCharType="separate"/>
      </w:r>
      <w:r>
        <w:rPr>
          <w:rFonts w:ascii="Calibri" w:hAnsi="Calibri" w:cs="Calibri"/>
          <w:noProof/>
          <w:color w:val="000000" w:themeColor="text1"/>
          <w:sz w:val="20"/>
          <w:szCs w:val="20"/>
          <w:lang w:val="en-GB"/>
        </w:rPr>
        <w:t>(European Central Bank, n.d.a)</w:t>
      </w:r>
      <w:r w:rsidRPr="0010531E">
        <w:rPr>
          <w:rFonts w:ascii="Calibri" w:hAnsi="Calibri" w:cs="Calibri"/>
          <w:color w:val="000000" w:themeColor="text1"/>
          <w:sz w:val="20"/>
          <w:szCs w:val="20"/>
          <w:lang w:val="en-GB"/>
        </w:rPr>
        <w:fldChar w:fldCharType="end"/>
      </w:r>
      <w:r w:rsidRPr="0010531E">
        <w:rPr>
          <w:rFonts w:ascii="Calibri" w:hAnsi="Calibri" w:cs="Calibri"/>
          <w:color w:val="000000" w:themeColor="text1"/>
          <w:sz w:val="20"/>
          <w:szCs w:val="20"/>
          <w:lang w:val="en-GB"/>
        </w:rPr>
        <w:t xml:space="preserve">. The ECB is legally obliged to publish answers within five weeks of the receipt of the question, so it is certain that all letters are included on this page </w:t>
      </w:r>
      <w:r w:rsidRPr="0010531E">
        <w:rPr>
          <w:rFonts w:ascii="Calibri" w:hAnsi="Calibri" w:cs="Calibri"/>
          <w:color w:val="000000" w:themeColor="text1"/>
          <w:sz w:val="20"/>
          <w:szCs w:val="20"/>
          <w:lang w:val="en-GB"/>
        </w:rPr>
        <w:fldChar w:fldCharType="begin"/>
      </w:r>
      <w:r>
        <w:rPr>
          <w:rFonts w:ascii="Calibri" w:hAnsi="Calibri" w:cs="Calibri"/>
          <w:color w:val="000000" w:themeColor="text1"/>
          <w:sz w:val="20"/>
          <w:szCs w:val="20"/>
          <w:lang w:val="en-GB"/>
        </w:rPr>
        <w:instrText xml:space="preserve"> ADDIN ZOTERO_ITEM CSL_CITATION {"citationID":"S9NdM7Ht","properties":{"formattedCitation":"(European Central Bank, 2013)","plainCitation":"(European Central Bank, 2013)","dontUpdate":true,"noteIndex":2},"citationItems":[{"id":2475,"uris":["http://zotero.org/users/1129714/items/H58GFVP4"],"uri":["http://zotero.org/users/1129714/items/H58GFVP4"],"itemData":{"id":2475,"type":"article","language":"en","source":"Zotero","title":"Interinstitutional Agreement between the European Parliament and the European Central Bank on the practical modalities of the exercise of democratic accountability and oversight over the exercise of the tasks conferred on the ECB within the framework of the Single Supervisory Mechanism (2013/694/EU)","URL":"https://www.ecb.europa.eu/ecb/legal/pdf/celex_32013q113001_en_txt.pdf","author":[{"family":"European Central Bank","given":""}],"accessed":{"date-parts":[["2018",10,23]]},"issued":{"date-parts":[["2013"]]}}}],"schema":"https://github.com/citation-style-language/schema/raw/master/csl-citation.json"} </w:instrText>
      </w:r>
      <w:r w:rsidRPr="0010531E">
        <w:rPr>
          <w:rFonts w:ascii="Calibri" w:hAnsi="Calibri" w:cs="Calibri"/>
          <w:color w:val="000000" w:themeColor="text1"/>
          <w:sz w:val="20"/>
          <w:szCs w:val="20"/>
          <w:lang w:val="en-GB"/>
        </w:rPr>
        <w:fldChar w:fldCharType="separate"/>
      </w:r>
      <w:r w:rsidRPr="0010531E">
        <w:rPr>
          <w:rFonts w:ascii="Calibri" w:hAnsi="Calibri" w:cs="Calibri"/>
          <w:noProof/>
          <w:color w:val="000000" w:themeColor="text1"/>
          <w:sz w:val="20"/>
          <w:szCs w:val="20"/>
          <w:lang w:val="en-GB"/>
        </w:rPr>
        <w:t>(European Central Bank, 2013, Art 3)</w:t>
      </w:r>
      <w:r w:rsidRPr="0010531E">
        <w:rPr>
          <w:rFonts w:ascii="Calibri" w:hAnsi="Calibri" w:cs="Calibri"/>
          <w:color w:val="000000" w:themeColor="text1"/>
          <w:sz w:val="20"/>
          <w:szCs w:val="20"/>
          <w:lang w:val="en-GB"/>
        </w:rPr>
        <w:fldChar w:fldCharType="end"/>
      </w:r>
      <w:r w:rsidRPr="0010531E">
        <w:rPr>
          <w:rFonts w:ascii="Calibri" w:hAnsi="Calibri" w:cs="Calibri"/>
          <w:color w:val="000000" w:themeColor="text1"/>
          <w:sz w:val="20"/>
          <w:szCs w:val="20"/>
          <w:lang w:val="en-GB"/>
        </w:rPr>
        <w:t xml:space="preserve">. Based on the answers, the corresponding letters with questions were then retrieved from the EP’s website under the activity of each MEP </w:t>
      </w:r>
      <w:r w:rsidRPr="0010531E">
        <w:rPr>
          <w:rFonts w:ascii="Calibri" w:hAnsi="Calibri" w:cs="Calibri"/>
          <w:color w:val="000000" w:themeColor="text1"/>
          <w:sz w:val="20"/>
          <w:szCs w:val="20"/>
          <w:lang w:val="en-GB"/>
        </w:rPr>
        <w:fldChar w:fldCharType="begin"/>
      </w:r>
      <w:r>
        <w:rPr>
          <w:rFonts w:ascii="Calibri" w:hAnsi="Calibri" w:cs="Calibri"/>
          <w:color w:val="000000" w:themeColor="text1"/>
          <w:sz w:val="20"/>
          <w:szCs w:val="20"/>
          <w:lang w:val="en-GB"/>
        </w:rPr>
        <w:instrText xml:space="preserve"> ADDIN ZOTERO_ITEM CSL_CITATION {"citationID":"PYkG78P8","properties":{"formattedCitation":"(European Parliament, n.d.)","plainCitation":"(European Parliament, n.d.)","dontUpdate":true,"noteIndex":2},"citationItems":[{"id":5961,"uris":["http://zotero.org/users/1129714/items/KCYGF8LN"],"uri":["http://zotero.org/users/1129714/items/KCYGF8LN"],"itemData":{"id":5961,"type":"webpage","language":"en","title":"Profile page - Sven GIEGOLD - Questions for written answer (including answers)","URL":"http://www.europarl.europa.eu/meps/en/96730/SVEN_GIEGOLD/other-activities/written-questions-other","author":[{"family":"European Parliament","given":""}],"accessed":{"date-parts":[["2019",2,8]]},"issued":{"literal":"n.d."}}}],"schema":"https://github.com/citation-style-language/schema/raw/master/csl-citation.json"} </w:instrText>
      </w:r>
      <w:r w:rsidRPr="0010531E">
        <w:rPr>
          <w:rFonts w:ascii="Calibri" w:hAnsi="Calibri" w:cs="Calibri"/>
          <w:color w:val="000000" w:themeColor="text1"/>
          <w:sz w:val="20"/>
          <w:szCs w:val="20"/>
          <w:lang w:val="en-GB"/>
        </w:rPr>
        <w:fldChar w:fldCharType="separate"/>
      </w:r>
      <w:r w:rsidRPr="0010531E">
        <w:rPr>
          <w:rFonts w:ascii="Calibri" w:hAnsi="Calibri" w:cs="Calibri"/>
          <w:noProof/>
          <w:color w:val="000000" w:themeColor="text1"/>
          <w:sz w:val="20"/>
          <w:szCs w:val="20"/>
          <w:lang w:val="en-GB"/>
        </w:rPr>
        <w:t>(e.g. European Parliament, n.d.)</w:t>
      </w:r>
      <w:r w:rsidRPr="0010531E">
        <w:rPr>
          <w:rFonts w:ascii="Calibri" w:hAnsi="Calibri" w:cs="Calibri"/>
          <w:color w:val="000000" w:themeColor="text1"/>
          <w:sz w:val="20"/>
          <w:szCs w:val="20"/>
          <w:lang w:val="en-GB"/>
        </w:rPr>
        <w:fldChar w:fldCharType="end"/>
      </w:r>
      <w:r w:rsidRPr="0010531E">
        <w:rPr>
          <w:rFonts w:ascii="Calibri" w:hAnsi="Calibri" w:cs="Calibri"/>
          <w:color w:val="000000" w:themeColor="text1"/>
          <w:sz w:val="20"/>
          <w:szCs w:val="20"/>
          <w:lang w:val="en-GB"/>
        </w:rPr>
        <w:t xml:space="preserve">. Furthermore, public hearings were initially identified from the list published on the website of ECB Banking Supervision </w:t>
      </w:r>
      <w:r w:rsidRPr="0010531E">
        <w:rPr>
          <w:rFonts w:ascii="Calibri" w:hAnsi="Calibri" w:cs="Calibri"/>
          <w:color w:val="000000" w:themeColor="text1"/>
          <w:sz w:val="20"/>
          <w:szCs w:val="20"/>
          <w:lang w:val="en-GB"/>
        </w:rPr>
        <w:fldChar w:fldCharType="begin"/>
      </w:r>
      <w:r>
        <w:rPr>
          <w:rFonts w:ascii="Calibri" w:hAnsi="Calibri" w:cs="Calibri"/>
          <w:color w:val="000000" w:themeColor="text1"/>
          <w:sz w:val="20"/>
          <w:szCs w:val="20"/>
          <w:lang w:val="en-GB"/>
        </w:rPr>
        <w:instrText xml:space="preserve"> ADDIN ZOTERO_ITEM CSL_CITATION {"citationID":"X67IxKhR","properties":{"formattedCitation":"(European Central Bank, n.d.b)","plainCitation":"(European Central Bank, n.d.b)","noteIndex":2},"citationItems":[{"id":5965,"uris":["http://zotero.org/users/1129714/items/ESFTKUQD"],"uri":["http://zotero.org/users/1129714/items/ESFTKUQD"],"itemData":{"id":5965,"type":"webpage","container-title":"European Central Bank - Banking Supervision","language":"en","title":"Hearings at the European Parliament","URL":"https://www.bankingsupervision.europa.eu/press/tvservices/hearings/html/index.en.html","author":[{"family":"European Central Bank","given":""}],"accessed":{"date-parts":[["2019",2,8]]},"issued":{"literal":"n.d."}}}],"schema":"https://github.com/citation-style-language/schema/raw/master/csl-citation.json"} </w:instrText>
      </w:r>
      <w:r w:rsidRPr="0010531E">
        <w:rPr>
          <w:rFonts w:ascii="Calibri" w:hAnsi="Calibri" w:cs="Calibri"/>
          <w:color w:val="000000" w:themeColor="text1"/>
          <w:sz w:val="20"/>
          <w:szCs w:val="20"/>
          <w:lang w:val="en-GB"/>
        </w:rPr>
        <w:fldChar w:fldCharType="separate"/>
      </w:r>
      <w:r>
        <w:rPr>
          <w:rFonts w:ascii="Calibri" w:hAnsi="Calibri" w:cs="Calibri"/>
          <w:noProof/>
          <w:color w:val="000000" w:themeColor="text1"/>
          <w:sz w:val="20"/>
          <w:szCs w:val="20"/>
          <w:lang w:val="en-GB"/>
        </w:rPr>
        <w:t>(European Central Bank, n.d.b)</w:t>
      </w:r>
      <w:r w:rsidRPr="0010531E">
        <w:rPr>
          <w:rFonts w:ascii="Calibri" w:hAnsi="Calibri" w:cs="Calibri"/>
          <w:color w:val="000000" w:themeColor="text1"/>
          <w:sz w:val="20"/>
          <w:szCs w:val="20"/>
          <w:lang w:val="en-GB"/>
        </w:rPr>
        <w:fldChar w:fldCharType="end"/>
      </w:r>
      <w:r w:rsidRPr="0010531E">
        <w:rPr>
          <w:rFonts w:ascii="Calibri" w:hAnsi="Calibri" w:cs="Calibri"/>
          <w:color w:val="000000" w:themeColor="text1"/>
          <w:sz w:val="20"/>
          <w:szCs w:val="20"/>
          <w:lang w:val="en-GB"/>
        </w:rPr>
        <w:t xml:space="preserve">. Next, the EP’s Multimedia Centre was used to retrieve the relevant video segment of the ECON Committee hearings in which the Chair of the Supervisory Board was present </w:t>
      </w:r>
      <w:r w:rsidRPr="0010531E">
        <w:rPr>
          <w:rFonts w:ascii="Calibri" w:hAnsi="Calibri" w:cs="Calibri"/>
          <w:color w:val="000000" w:themeColor="text1"/>
          <w:sz w:val="20"/>
          <w:szCs w:val="20"/>
          <w:lang w:val="en-GB"/>
        </w:rPr>
        <w:fldChar w:fldCharType="begin"/>
      </w:r>
      <w:r>
        <w:rPr>
          <w:rFonts w:ascii="Calibri" w:hAnsi="Calibri" w:cs="Calibri"/>
          <w:color w:val="000000" w:themeColor="text1"/>
          <w:sz w:val="20"/>
          <w:szCs w:val="20"/>
          <w:lang w:val="en-GB"/>
        </w:rPr>
        <w:instrText xml:space="preserve"> ADDIN ZOTERO_ITEM CSL_CITATION {"citationID":"dx2XHcVZ","properties":{"formattedCitation":"(European Parliament Multimedia Centre, n.d.)","plainCitation":"(European Parliament Multimedia Centre, n.d.)","noteIndex":2},"citationItems":[{"id":5963,"uris":["http://zotero.org/users/1129714/items/3BGVBAH2"],"uri":["http://zotero.org/users/1129714/items/3BGVBAH2"],"itemData":{"id":5963,"type":"webpage","abstract":"Video recordings of previous committee meetings in the European Parliament","language":"en","title":"Recorded committee meetings","URL":"http://www.europarl.europa.eu/ep-live/en/committees","author":[{"family":"European Parliament Multimedia Centre","given":""}],"accessed":{"date-parts":[["2019",2,8]]},"issued":{"literal":"n.d."}}}],"schema":"https://github.com/citation-style-language/schema/raw/master/csl-citation.json"} </w:instrText>
      </w:r>
      <w:r w:rsidRPr="0010531E">
        <w:rPr>
          <w:rFonts w:ascii="Calibri" w:hAnsi="Calibri" w:cs="Calibri"/>
          <w:color w:val="000000" w:themeColor="text1"/>
          <w:sz w:val="20"/>
          <w:szCs w:val="20"/>
          <w:lang w:val="en-GB"/>
        </w:rPr>
        <w:fldChar w:fldCharType="separate"/>
      </w:r>
      <w:r>
        <w:rPr>
          <w:rFonts w:ascii="Calibri" w:hAnsi="Calibri" w:cs="Calibri"/>
          <w:noProof/>
          <w:color w:val="000000" w:themeColor="text1"/>
          <w:sz w:val="20"/>
          <w:szCs w:val="20"/>
          <w:lang w:val="en-GB"/>
        </w:rPr>
        <w:t>(European Parliament Multimedia Centre, n.d.)</w:t>
      </w:r>
      <w:r w:rsidRPr="0010531E">
        <w:rPr>
          <w:rFonts w:ascii="Calibri" w:hAnsi="Calibri" w:cs="Calibri"/>
          <w:color w:val="000000" w:themeColor="text1"/>
          <w:sz w:val="20"/>
          <w:szCs w:val="20"/>
          <w:lang w:val="en-GB"/>
        </w:rPr>
        <w:fldChar w:fldCharType="end"/>
      </w:r>
      <w:r w:rsidRPr="0010531E">
        <w:rPr>
          <w:rFonts w:ascii="Calibri" w:hAnsi="Calibri" w:cs="Calibri"/>
          <w:color w:val="000000" w:themeColor="text1"/>
          <w:sz w:val="20"/>
          <w:szCs w:val="20"/>
          <w:lang w:val="en-GB"/>
        </w:rPr>
        <w:t xml:space="preserve">. The English version of each hearing was then </w:t>
      </w:r>
      <w:r>
        <w:rPr>
          <w:rFonts w:ascii="Calibri" w:hAnsi="Calibri" w:cs="Calibri"/>
          <w:color w:val="000000" w:themeColor="text1"/>
          <w:sz w:val="20"/>
          <w:szCs w:val="20"/>
          <w:lang w:val="en-GB"/>
        </w:rPr>
        <w:t xml:space="preserve">manually </w:t>
      </w:r>
      <w:r w:rsidRPr="0010531E">
        <w:rPr>
          <w:rFonts w:ascii="Calibri" w:hAnsi="Calibri" w:cs="Calibri"/>
          <w:color w:val="000000" w:themeColor="text1"/>
          <w:sz w:val="20"/>
          <w:szCs w:val="20"/>
          <w:lang w:val="en-GB"/>
        </w:rPr>
        <w:t>transcribed by a research associate.</w:t>
      </w:r>
    </w:p>
  </w:footnote>
  <w:footnote w:id="3">
    <w:p w14:paraId="0AE46831" w14:textId="77777777" w:rsidR="005E7FB2" w:rsidRPr="0010531E" w:rsidRDefault="005E7FB2" w:rsidP="00F813C3">
      <w:pPr>
        <w:pStyle w:val="FootnoteText"/>
        <w:rPr>
          <w:rFonts w:ascii="Calibri" w:hAnsi="Calibri" w:cs="Calibri"/>
        </w:rPr>
      </w:pPr>
      <w:r w:rsidRPr="0010531E">
        <w:rPr>
          <w:rStyle w:val="FootnoteReference"/>
          <w:rFonts w:ascii="Calibri" w:hAnsi="Calibri" w:cs="Calibri"/>
        </w:rPr>
        <w:footnoteRef/>
      </w:r>
      <w:r w:rsidRPr="0010531E">
        <w:rPr>
          <w:rFonts w:ascii="Calibri" w:hAnsi="Calibri" w:cs="Calibri"/>
        </w:rPr>
        <w:t xml:space="preserve"> </w:t>
      </w:r>
      <w:proofErr w:type="spellStart"/>
      <w:r w:rsidRPr="0010531E">
        <w:rPr>
          <w:rFonts w:ascii="Calibri" w:hAnsi="Calibri" w:cs="Calibri"/>
        </w:rPr>
        <w:t>ATLAS.ti</w:t>
      </w:r>
      <w:proofErr w:type="spellEnd"/>
      <w:r w:rsidRPr="0010531E">
        <w:rPr>
          <w:rFonts w:ascii="Calibri" w:hAnsi="Calibri" w:cs="Calibri"/>
        </w:rPr>
        <w:t xml:space="preserve"> does not allow changing the order of documents if additional files are uploaded to the software, so the order is not 100% chronological.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C61CCA" w14:textId="6FBC1592" w:rsidR="005E7FB2" w:rsidRPr="000A5639" w:rsidRDefault="005E7FB2" w:rsidP="00F813C3">
    <w:pPr>
      <w:pStyle w:val="Header"/>
      <w:tabs>
        <w:tab w:val="clear" w:pos="4703"/>
        <w:tab w:val="clear" w:pos="9406"/>
        <w:tab w:val="left" w:pos="2279"/>
      </w:tabs>
      <w:rPr>
        <w:lang w:val="en-US"/>
      </w:rPr>
    </w:pPr>
    <w:r w:rsidRPr="000A5639">
      <w:rPr>
        <w:lang w:val="en-US"/>
      </w:rPr>
      <w:t>Maricut-Akbik</w:t>
    </w:r>
  </w:p>
  <w:p w14:paraId="33FD773E" w14:textId="5C048098" w:rsidR="005E7FB2" w:rsidRPr="000A5639" w:rsidRDefault="005E7FB2" w:rsidP="00F813C3">
    <w:pPr>
      <w:pStyle w:val="Header"/>
      <w:tabs>
        <w:tab w:val="clear" w:pos="4703"/>
        <w:tab w:val="clear" w:pos="9406"/>
        <w:tab w:val="left" w:pos="2279"/>
      </w:tabs>
      <w:rPr>
        <w:i/>
        <w:iCs/>
        <w:lang w:val="en-GB"/>
      </w:rPr>
    </w:pPr>
    <w:r w:rsidRPr="000A5639">
      <w:rPr>
        <w:i/>
        <w:iCs/>
        <w:lang w:val="en-US"/>
      </w:rPr>
      <w:t>Q&amp;A in Legislative Oversight: A Framework for Analysis</w:t>
    </w:r>
  </w:p>
  <w:p w14:paraId="3808C44A" w14:textId="77777777" w:rsidR="005E7FB2" w:rsidRPr="00D120C4" w:rsidRDefault="005E7FB2">
    <w:pPr>
      <w:pStyle w:val="Header"/>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A320C"/>
    <w:multiLevelType w:val="hybridMultilevel"/>
    <w:tmpl w:val="4322BEF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0FD0B7B"/>
    <w:multiLevelType w:val="hybridMultilevel"/>
    <w:tmpl w:val="41B880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7605ED"/>
    <w:multiLevelType w:val="hybridMultilevel"/>
    <w:tmpl w:val="D298BB7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46A7BA7"/>
    <w:multiLevelType w:val="hybridMultilevel"/>
    <w:tmpl w:val="DF0690B2"/>
    <w:lvl w:ilvl="0" w:tplc="08090001">
      <w:start w:val="1"/>
      <w:numFmt w:val="bullet"/>
      <w:lvlText w:val=""/>
      <w:lvlJc w:val="left"/>
      <w:pPr>
        <w:ind w:left="360" w:hanging="360"/>
      </w:pPr>
      <w:rPr>
        <w:rFonts w:ascii="Symbol" w:hAnsi="Symbol" w:hint="default"/>
      </w:rPr>
    </w:lvl>
    <w:lvl w:ilvl="1" w:tplc="1AC43E56">
      <w:start w:val="5"/>
      <w:numFmt w:val="bullet"/>
      <w:lvlText w:val="•"/>
      <w:lvlJc w:val="left"/>
      <w:pPr>
        <w:ind w:left="1440" w:hanging="720"/>
      </w:pPr>
      <w:rPr>
        <w:rFonts w:ascii="Calibri" w:eastAsiaTheme="minorHAnsi" w:hAnsi="Calibri" w:cs="Calibri"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8FB439F"/>
    <w:multiLevelType w:val="hybridMultilevel"/>
    <w:tmpl w:val="BC30004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0A0C2C23"/>
    <w:multiLevelType w:val="hybridMultilevel"/>
    <w:tmpl w:val="E3189D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7361E44"/>
    <w:multiLevelType w:val="hybridMultilevel"/>
    <w:tmpl w:val="A7643D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76C4CA4"/>
    <w:multiLevelType w:val="hybridMultilevel"/>
    <w:tmpl w:val="472241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C675B8F"/>
    <w:multiLevelType w:val="hybridMultilevel"/>
    <w:tmpl w:val="6C36B4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F623223"/>
    <w:multiLevelType w:val="hybridMultilevel"/>
    <w:tmpl w:val="6D2CBFB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CA6078A"/>
    <w:multiLevelType w:val="hybridMultilevel"/>
    <w:tmpl w:val="2DB282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47C2472"/>
    <w:multiLevelType w:val="hybridMultilevel"/>
    <w:tmpl w:val="375E80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3CF11AE1"/>
    <w:multiLevelType w:val="hybridMultilevel"/>
    <w:tmpl w:val="9F32B2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4F11D77"/>
    <w:multiLevelType w:val="hybridMultilevel"/>
    <w:tmpl w:val="3ED25E5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55D3359E"/>
    <w:multiLevelType w:val="hybridMultilevel"/>
    <w:tmpl w:val="4762D3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5AB35B3C"/>
    <w:multiLevelType w:val="hybridMultilevel"/>
    <w:tmpl w:val="291429A2"/>
    <w:lvl w:ilvl="0" w:tplc="BCD84DFC">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5D4C6E5E"/>
    <w:multiLevelType w:val="hybridMultilevel"/>
    <w:tmpl w:val="D0F86F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65FA77C6"/>
    <w:multiLevelType w:val="hybridMultilevel"/>
    <w:tmpl w:val="8F86AC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6330105"/>
    <w:multiLevelType w:val="hybridMultilevel"/>
    <w:tmpl w:val="8828C74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7FF76C3"/>
    <w:multiLevelType w:val="hybridMultilevel"/>
    <w:tmpl w:val="D3A884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8386EED"/>
    <w:multiLevelType w:val="hybridMultilevel"/>
    <w:tmpl w:val="C5C6D7F8"/>
    <w:lvl w:ilvl="0" w:tplc="64F6AB08">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68B65C9B"/>
    <w:multiLevelType w:val="hybridMultilevel"/>
    <w:tmpl w:val="F1D414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69966566"/>
    <w:multiLevelType w:val="hybridMultilevel"/>
    <w:tmpl w:val="A0EACA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A5C0D3B"/>
    <w:multiLevelType w:val="hybridMultilevel"/>
    <w:tmpl w:val="D12037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6B2B20EA"/>
    <w:multiLevelType w:val="hybridMultilevel"/>
    <w:tmpl w:val="F0DA9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CA537E5"/>
    <w:multiLevelType w:val="hybridMultilevel"/>
    <w:tmpl w:val="45E01676"/>
    <w:lvl w:ilvl="0" w:tplc="305A6C5C">
      <w:start w:val="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04E3ED8"/>
    <w:multiLevelType w:val="hybridMultilevel"/>
    <w:tmpl w:val="A7643DB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55E56D0"/>
    <w:multiLevelType w:val="hybridMultilevel"/>
    <w:tmpl w:val="0D78FDD2"/>
    <w:lvl w:ilvl="0" w:tplc="7DC6A67A">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5EE70BE"/>
    <w:multiLevelType w:val="hybridMultilevel"/>
    <w:tmpl w:val="236E87A2"/>
    <w:lvl w:ilvl="0" w:tplc="887C7EB4">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7EB6543F"/>
    <w:multiLevelType w:val="hybridMultilevel"/>
    <w:tmpl w:val="179C1236"/>
    <w:lvl w:ilvl="0" w:tplc="1B6C5E7C">
      <w:start w:val="1"/>
      <w:numFmt w:val="upp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7FD44DB0"/>
    <w:multiLevelType w:val="hybridMultilevel"/>
    <w:tmpl w:val="3F9A85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7"/>
  </w:num>
  <w:num w:numId="2">
    <w:abstractNumId w:val="8"/>
  </w:num>
  <w:num w:numId="3">
    <w:abstractNumId w:val="3"/>
  </w:num>
  <w:num w:numId="4">
    <w:abstractNumId w:val="22"/>
  </w:num>
  <w:num w:numId="5">
    <w:abstractNumId w:val="5"/>
  </w:num>
  <w:num w:numId="6">
    <w:abstractNumId w:val="13"/>
  </w:num>
  <w:num w:numId="7">
    <w:abstractNumId w:val="4"/>
  </w:num>
  <w:num w:numId="8">
    <w:abstractNumId w:val="23"/>
  </w:num>
  <w:num w:numId="9">
    <w:abstractNumId w:val="7"/>
  </w:num>
  <w:num w:numId="10">
    <w:abstractNumId w:val="17"/>
  </w:num>
  <w:num w:numId="11">
    <w:abstractNumId w:val="0"/>
  </w:num>
  <w:num w:numId="12">
    <w:abstractNumId w:val="16"/>
  </w:num>
  <w:num w:numId="13">
    <w:abstractNumId w:val="19"/>
  </w:num>
  <w:num w:numId="14">
    <w:abstractNumId w:val="12"/>
  </w:num>
  <w:num w:numId="15">
    <w:abstractNumId w:val="25"/>
  </w:num>
  <w:num w:numId="16">
    <w:abstractNumId w:val="21"/>
  </w:num>
  <w:num w:numId="17">
    <w:abstractNumId w:val="14"/>
  </w:num>
  <w:num w:numId="18">
    <w:abstractNumId w:val="9"/>
  </w:num>
  <w:num w:numId="19">
    <w:abstractNumId w:val="10"/>
  </w:num>
  <w:num w:numId="20">
    <w:abstractNumId w:val="1"/>
  </w:num>
  <w:num w:numId="21">
    <w:abstractNumId w:val="11"/>
  </w:num>
  <w:num w:numId="22">
    <w:abstractNumId w:val="30"/>
  </w:num>
  <w:num w:numId="23">
    <w:abstractNumId w:val="26"/>
  </w:num>
  <w:num w:numId="24">
    <w:abstractNumId w:val="24"/>
  </w:num>
  <w:num w:numId="25">
    <w:abstractNumId w:val="18"/>
  </w:num>
  <w:num w:numId="26">
    <w:abstractNumId w:val="6"/>
  </w:num>
  <w:num w:numId="27">
    <w:abstractNumId w:val="2"/>
  </w:num>
  <w:num w:numId="28">
    <w:abstractNumId w:val="29"/>
  </w:num>
  <w:num w:numId="29">
    <w:abstractNumId w:val="15"/>
  </w:num>
  <w:num w:numId="30">
    <w:abstractNumId w:val="20"/>
  </w:num>
  <w:num w:numId="31">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45F8"/>
    <w:rsid w:val="000315D2"/>
    <w:rsid w:val="00063870"/>
    <w:rsid w:val="00064946"/>
    <w:rsid w:val="000A5639"/>
    <w:rsid w:val="000D268C"/>
    <w:rsid w:val="0010134B"/>
    <w:rsid w:val="0010531E"/>
    <w:rsid w:val="001219C3"/>
    <w:rsid w:val="00126DA6"/>
    <w:rsid w:val="00130DF1"/>
    <w:rsid w:val="00144620"/>
    <w:rsid w:val="0015479D"/>
    <w:rsid w:val="0015722B"/>
    <w:rsid w:val="0016669C"/>
    <w:rsid w:val="0019165F"/>
    <w:rsid w:val="001A144D"/>
    <w:rsid w:val="001A1FC8"/>
    <w:rsid w:val="001A5357"/>
    <w:rsid w:val="001B2DF3"/>
    <w:rsid w:val="001D34F7"/>
    <w:rsid w:val="001D5D1D"/>
    <w:rsid w:val="001E4EB9"/>
    <w:rsid w:val="00205A29"/>
    <w:rsid w:val="00251286"/>
    <w:rsid w:val="00262215"/>
    <w:rsid w:val="002950A7"/>
    <w:rsid w:val="002B7D7C"/>
    <w:rsid w:val="002C54BF"/>
    <w:rsid w:val="002C652E"/>
    <w:rsid w:val="002F14D6"/>
    <w:rsid w:val="002F7075"/>
    <w:rsid w:val="00316C63"/>
    <w:rsid w:val="003229E6"/>
    <w:rsid w:val="003327E2"/>
    <w:rsid w:val="00355E94"/>
    <w:rsid w:val="00362A22"/>
    <w:rsid w:val="00401BD8"/>
    <w:rsid w:val="0040454D"/>
    <w:rsid w:val="0041418F"/>
    <w:rsid w:val="00433D27"/>
    <w:rsid w:val="004545AB"/>
    <w:rsid w:val="004E1FFC"/>
    <w:rsid w:val="004F0B07"/>
    <w:rsid w:val="004F32C5"/>
    <w:rsid w:val="005008D3"/>
    <w:rsid w:val="00505620"/>
    <w:rsid w:val="00532EFD"/>
    <w:rsid w:val="005B1029"/>
    <w:rsid w:val="005E6358"/>
    <w:rsid w:val="005E7FB2"/>
    <w:rsid w:val="0060651D"/>
    <w:rsid w:val="0064276E"/>
    <w:rsid w:val="0066169D"/>
    <w:rsid w:val="00661D22"/>
    <w:rsid w:val="006765AE"/>
    <w:rsid w:val="00677185"/>
    <w:rsid w:val="006F2FD2"/>
    <w:rsid w:val="00711EAC"/>
    <w:rsid w:val="00720ABA"/>
    <w:rsid w:val="00720AE4"/>
    <w:rsid w:val="007564C1"/>
    <w:rsid w:val="00766AFA"/>
    <w:rsid w:val="0078454F"/>
    <w:rsid w:val="00790D41"/>
    <w:rsid w:val="007B4CCE"/>
    <w:rsid w:val="007C0ABD"/>
    <w:rsid w:val="0080135A"/>
    <w:rsid w:val="00812D22"/>
    <w:rsid w:val="00814F78"/>
    <w:rsid w:val="00840557"/>
    <w:rsid w:val="008964DE"/>
    <w:rsid w:val="008A6D67"/>
    <w:rsid w:val="008C00AE"/>
    <w:rsid w:val="008D101C"/>
    <w:rsid w:val="008F5DD3"/>
    <w:rsid w:val="00902EAD"/>
    <w:rsid w:val="009076CC"/>
    <w:rsid w:val="00926F9D"/>
    <w:rsid w:val="00934527"/>
    <w:rsid w:val="00955F9E"/>
    <w:rsid w:val="00973A56"/>
    <w:rsid w:val="00976448"/>
    <w:rsid w:val="00984AD0"/>
    <w:rsid w:val="00987443"/>
    <w:rsid w:val="00991D04"/>
    <w:rsid w:val="009A36D2"/>
    <w:rsid w:val="009A7248"/>
    <w:rsid w:val="009B73EA"/>
    <w:rsid w:val="009C602E"/>
    <w:rsid w:val="009E195C"/>
    <w:rsid w:val="00A4538F"/>
    <w:rsid w:val="00A54206"/>
    <w:rsid w:val="00A774E5"/>
    <w:rsid w:val="00A96835"/>
    <w:rsid w:val="00AB1A2F"/>
    <w:rsid w:val="00AC75D9"/>
    <w:rsid w:val="00AD7CB1"/>
    <w:rsid w:val="00B058AB"/>
    <w:rsid w:val="00B11DC5"/>
    <w:rsid w:val="00B17E5F"/>
    <w:rsid w:val="00B219C8"/>
    <w:rsid w:val="00B2645C"/>
    <w:rsid w:val="00B53EF7"/>
    <w:rsid w:val="00BC14FD"/>
    <w:rsid w:val="00BE1E06"/>
    <w:rsid w:val="00BF2F65"/>
    <w:rsid w:val="00BF57D7"/>
    <w:rsid w:val="00C07C49"/>
    <w:rsid w:val="00C645F8"/>
    <w:rsid w:val="00C664E3"/>
    <w:rsid w:val="00C73216"/>
    <w:rsid w:val="00C82021"/>
    <w:rsid w:val="00C82B76"/>
    <w:rsid w:val="00C944D0"/>
    <w:rsid w:val="00CA12AD"/>
    <w:rsid w:val="00CA5165"/>
    <w:rsid w:val="00CA6663"/>
    <w:rsid w:val="00CA6ECB"/>
    <w:rsid w:val="00CB35D2"/>
    <w:rsid w:val="00CB53D6"/>
    <w:rsid w:val="00CC722D"/>
    <w:rsid w:val="00CF5670"/>
    <w:rsid w:val="00D0499B"/>
    <w:rsid w:val="00D11FD7"/>
    <w:rsid w:val="00D120C4"/>
    <w:rsid w:val="00D160BD"/>
    <w:rsid w:val="00D272E7"/>
    <w:rsid w:val="00D354E0"/>
    <w:rsid w:val="00D416A4"/>
    <w:rsid w:val="00D625BF"/>
    <w:rsid w:val="00DB0EE1"/>
    <w:rsid w:val="00E02DCC"/>
    <w:rsid w:val="00E26D17"/>
    <w:rsid w:val="00E92188"/>
    <w:rsid w:val="00EA3D67"/>
    <w:rsid w:val="00EB2D62"/>
    <w:rsid w:val="00EC302F"/>
    <w:rsid w:val="00EC3689"/>
    <w:rsid w:val="00ED01A8"/>
    <w:rsid w:val="00ED5428"/>
    <w:rsid w:val="00F12747"/>
    <w:rsid w:val="00F2475E"/>
    <w:rsid w:val="00F661C1"/>
    <w:rsid w:val="00F66313"/>
    <w:rsid w:val="00F75B5E"/>
    <w:rsid w:val="00F813C3"/>
    <w:rsid w:val="00FA4024"/>
    <w:rsid w:val="00FA5AB6"/>
    <w:rsid w:val="00FB4F02"/>
    <w:rsid w:val="00FC5F2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AB48C"/>
  <w15:chartTrackingRefBased/>
  <w15:docId w15:val="{ADD32441-6A29-D64A-8D77-A56A8DCE08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0DF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0134B"/>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813C3"/>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645F8"/>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645F8"/>
    <w:rPr>
      <w:rFonts w:ascii="Times New Roman" w:hAnsi="Times New Roman" w:cs="Times New Roman"/>
      <w:sz w:val="18"/>
      <w:szCs w:val="18"/>
    </w:rPr>
  </w:style>
  <w:style w:type="table" w:styleId="GridTable1Light">
    <w:name w:val="Grid Table 1 Light"/>
    <w:basedOn w:val="TableNormal"/>
    <w:uiPriority w:val="46"/>
    <w:rsid w:val="00B11DC5"/>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Heading2Char">
    <w:name w:val="Heading 2 Char"/>
    <w:basedOn w:val="DefaultParagraphFont"/>
    <w:link w:val="Heading2"/>
    <w:uiPriority w:val="9"/>
    <w:rsid w:val="0010134B"/>
    <w:rPr>
      <w:rFonts w:asciiTheme="majorHAnsi" w:eastAsiaTheme="majorEastAsia" w:hAnsiTheme="majorHAnsi" w:cstheme="majorBidi"/>
      <w:color w:val="2F5496" w:themeColor="accent1" w:themeShade="BF"/>
      <w:sz w:val="26"/>
      <w:szCs w:val="26"/>
    </w:rPr>
  </w:style>
  <w:style w:type="paragraph" w:styleId="FootnoteText">
    <w:name w:val="footnote text"/>
    <w:basedOn w:val="Normal"/>
    <w:link w:val="FootnoteTextChar"/>
    <w:uiPriority w:val="99"/>
    <w:unhideWhenUsed/>
    <w:rsid w:val="0010134B"/>
    <w:pPr>
      <w:jc w:val="both"/>
    </w:pPr>
    <w:rPr>
      <w:rFonts w:ascii="Times New Roman" w:hAnsi="Times New Roman" w:cs="Times New Roman"/>
      <w:sz w:val="20"/>
      <w:szCs w:val="20"/>
      <w:lang w:val="en-US"/>
    </w:rPr>
  </w:style>
  <w:style w:type="character" w:customStyle="1" w:styleId="FootnoteTextChar">
    <w:name w:val="Footnote Text Char"/>
    <w:basedOn w:val="DefaultParagraphFont"/>
    <w:link w:val="FootnoteText"/>
    <w:uiPriority w:val="99"/>
    <w:rsid w:val="0010134B"/>
    <w:rPr>
      <w:rFonts w:ascii="Times New Roman" w:hAnsi="Times New Roman" w:cs="Times New Roman"/>
      <w:sz w:val="20"/>
      <w:szCs w:val="20"/>
      <w:lang w:val="en-US"/>
    </w:rPr>
  </w:style>
  <w:style w:type="character" w:styleId="FootnoteReference">
    <w:name w:val="footnote reference"/>
    <w:basedOn w:val="DefaultParagraphFont"/>
    <w:uiPriority w:val="99"/>
    <w:unhideWhenUsed/>
    <w:rsid w:val="0010134B"/>
    <w:rPr>
      <w:vertAlign w:val="superscript"/>
    </w:rPr>
  </w:style>
  <w:style w:type="character" w:customStyle="1" w:styleId="Heading1Char">
    <w:name w:val="Heading 1 Char"/>
    <w:basedOn w:val="DefaultParagraphFont"/>
    <w:link w:val="Heading1"/>
    <w:uiPriority w:val="9"/>
    <w:rsid w:val="00130DF1"/>
    <w:rPr>
      <w:rFonts w:asciiTheme="majorHAnsi" w:eastAsiaTheme="majorEastAsia" w:hAnsiTheme="majorHAnsi" w:cstheme="majorBidi"/>
      <w:color w:val="2F5496" w:themeColor="accent1" w:themeShade="BF"/>
      <w:sz w:val="32"/>
      <w:szCs w:val="32"/>
    </w:rPr>
  </w:style>
  <w:style w:type="character" w:styleId="EndnoteReference">
    <w:name w:val="endnote reference"/>
    <w:basedOn w:val="DefaultParagraphFont"/>
    <w:uiPriority w:val="99"/>
    <w:semiHidden/>
    <w:unhideWhenUsed/>
    <w:rsid w:val="005E6358"/>
    <w:rPr>
      <w:vertAlign w:val="superscript"/>
    </w:rPr>
  </w:style>
  <w:style w:type="paragraph" w:styleId="ListParagraph">
    <w:name w:val="List Paragraph"/>
    <w:basedOn w:val="Normal"/>
    <w:uiPriority w:val="34"/>
    <w:qFormat/>
    <w:rsid w:val="00316C63"/>
    <w:pPr>
      <w:ind w:left="720"/>
      <w:contextualSpacing/>
    </w:pPr>
  </w:style>
  <w:style w:type="character" w:customStyle="1" w:styleId="Heading3Char">
    <w:name w:val="Heading 3 Char"/>
    <w:basedOn w:val="DefaultParagraphFont"/>
    <w:link w:val="Heading3"/>
    <w:uiPriority w:val="9"/>
    <w:rsid w:val="00F813C3"/>
    <w:rPr>
      <w:rFonts w:asciiTheme="majorHAnsi" w:eastAsiaTheme="majorEastAsia" w:hAnsiTheme="majorHAnsi" w:cstheme="majorBidi"/>
      <w:color w:val="1F3763" w:themeColor="accent1" w:themeShade="7F"/>
    </w:rPr>
  </w:style>
  <w:style w:type="table" w:styleId="TableGrid">
    <w:name w:val="Table Grid"/>
    <w:basedOn w:val="TableNormal"/>
    <w:uiPriority w:val="39"/>
    <w:rsid w:val="00F813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
    <w:name w:val="Text"/>
    <w:basedOn w:val="Normal"/>
    <w:rsid w:val="00F813C3"/>
    <w:rPr>
      <w:rFonts w:ascii="Helvetica" w:eastAsia="Helvetica" w:hAnsi="Helvetica" w:cs="Helvetica"/>
      <w:sz w:val="20"/>
      <w:szCs w:val="20"/>
      <w:lang w:val="en-US"/>
    </w:rPr>
  </w:style>
  <w:style w:type="paragraph" w:styleId="Bibliography">
    <w:name w:val="Bibliography"/>
    <w:basedOn w:val="Normal"/>
    <w:next w:val="Normal"/>
    <w:uiPriority w:val="37"/>
    <w:unhideWhenUsed/>
    <w:rsid w:val="00F813C3"/>
    <w:pPr>
      <w:spacing w:after="240"/>
      <w:ind w:left="720" w:hanging="720"/>
    </w:pPr>
  </w:style>
  <w:style w:type="table" w:styleId="GridTable5Dark-Accent3">
    <w:name w:val="Grid Table 5 Dark Accent 3"/>
    <w:basedOn w:val="TableNormal"/>
    <w:uiPriority w:val="50"/>
    <w:rsid w:val="00F813C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PlainTable5">
    <w:name w:val="Plain Table 5"/>
    <w:basedOn w:val="TableNormal"/>
    <w:uiPriority w:val="45"/>
    <w:rsid w:val="00F813C3"/>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Header">
    <w:name w:val="header"/>
    <w:basedOn w:val="Normal"/>
    <w:link w:val="HeaderChar"/>
    <w:uiPriority w:val="99"/>
    <w:unhideWhenUsed/>
    <w:rsid w:val="00F813C3"/>
    <w:pPr>
      <w:tabs>
        <w:tab w:val="center" w:pos="4703"/>
        <w:tab w:val="right" w:pos="9406"/>
      </w:tabs>
    </w:pPr>
  </w:style>
  <w:style w:type="character" w:customStyle="1" w:styleId="HeaderChar">
    <w:name w:val="Header Char"/>
    <w:basedOn w:val="DefaultParagraphFont"/>
    <w:link w:val="Header"/>
    <w:uiPriority w:val="99"/>
    <w:rsid w:val="00F813C3"/>
  </w:style>
  <w:style w:type="paragraph" w:styleId="Footer">
    <w:name w:val="footer"/>
    <w:basedOn w:val="Normal"/>
    <w:link w:val="FooterChar"/>
    <w:uiPriority w:val="99"/>
    <w:unhideWhenUsed/>
    <w:rsid w:val="00F813C3"/>
    <w:pPr>
      <w:tabs>
        <w:tab w:val="center" w:pos="4703"/>
        <w:tab w:val="right" w:pos="9406"/>
      </w:tabs>
    </w:pPr>
  </w:style>
  <w:style w:type="character" w:customStyle="1" w:styleId="FooterChar">
    <w:name w:val="Footer Char"/>
    <w:basedOn w:val="DefaultParagraphFont"/>
    <w:link w:val="Footer"/>
    <w:uiPriority w:val="99"/>
    <w:rsid w:val="00F813C3"/>
  </w:style>
  <w:style w:type="paragraph" w:styleId="TOCHeading">
    <w:name w:val="TOC Heading"/>
    <w:basedOn w:val="Heading1"/>
    <w:next w:val="Normal"/>
    <w:uiPriority w:val="39"/>
    <w:unhideWhenUsed/>
    <w:qFormat/>
    <w:rsid w:val="00F813C3"/>
    <w:pPr>
      <w:spacing w:before="480" w:line="276" w:lineRule="auto"/>
      <w:outlineLvl w:val="9"/>
    </w:pPr>
    <w:rPr>
      <w:b/>
      <w:bCs/>
      <w:sz w:val="28"/>
      <w:szCs w:val="28"/>
      <w:lang w:val="en-US"/>
    </w:rPr>
  </w:style>
  <w:style w:type="paragraph" w:styleId="TOC1">
    <w:name w:val="toc 1"/>
    <w:basedOn w:val="Normal"/>
    <w:next w:val="Normal"/>
    <w:autoRedefine/>
    <w:uiPriority w:val="39"/>
    <w:unhideWhenUsed/>
    <w:rsid w:val="00790D41"/>
    <w:pPr>
      <w:tabs>
        <w:tab w:val="right" w:leader="dot" w:pos="9056"/>
      </w:tabs>
      <w:spacing w:before="120"/>
    </w:pPr>
    <w:rPr>
      <w:rFonts w:ascii="Calibri" w:hAnsi="Calibri" w:cs="Calibri"/>
      <w:b/>
      <w:bCs/>
      <w:noProof/>
      <w:lang w:val="en-GB"/>
    </w:rPr>
  </w:style>
  <w:style w:type="paragraph" w:styleId="TOC2">
    <w:name w:val="toc 2"/>
    <w:basedOn w:val="Normal"/>
    <w:next w:val="Normal"/>
    <w:autoRedefine/>
    <w:uiPriority w:val="39"/>
    <w:unhideWhenUsed/>
    <w:rsid w:val="00F813C3"/>
    <w:pPr>
      <w:spacing w:before="120"/>
      <w:ind w:left="240"/>
    </w:pPr>
    <w:rPr>
      <w:rFonts w:cstheme="minorHAnsi"/>
      <w:b/>
      <w:bCs/>
      <w:sz w:val="22"/>
      <w:szCs w:val="22"/>
    </w:rPr>
  </w:style>
  <w:style w:type="paragraph" w:styleId="TOC3">
    <w:name w:val="toc 3"/>
    <w:basedOn w:val="Normal"/>
    <w:next w:val="Normal"/>
    <w:autoRedefine/>
    <w:uiPriority w:val="39"/>
    <w:unhideWhenUsed/>
    <w:rsid w:val="00F813C3"/>
    <w:pPr>
      <w:ind w:left="480"/>
    </w:pPr>
    <w:rPr>
      <w:rFonts w:cstheme="minorHAnsi"/>
      <w:sz w:val="20"/>
      <w:szCs w:val="20"/>
    </w:rPr>
  </w:style>
  <w:style w:type="character" w:styleId="Hyperlink">
    <w:name w:val="Hyperlink"/>
    <w:basedOn w:val="DefaultParagraphFont"/>
    <w:uiPriority w:val="99"/>
    <w:unhideWhenUsed/>
    <w:rsid w:val="00F813C3"/>
    <w:rPr>
      <w:color w:val="0563C1" w:themeColor="hyperlink"/>
      <w:u w:val="single"/>
    </w:rPr>
  </w:style>
  <w:style w:type="paragraph" w:styleId="TOC4">
    <w:name w:val="toc 4"/>
    <w:basedOn w:val="Normal"/>
    <w:next w:val="Normal"/>
    <w:autoRedefine/>
    <w:uiPriority w:val="39"/>
    <w:semiHidden/>
    <w:unhideWhenUsed/>
    <w:rsid w:val="00F813C3"/>
    <w:pPr>
      <w:ind w:left="720"/>
    </w:pPr>
    <w:rPr>
      <w:rFonts w:cstheme="minorHAnsi"/>
      <w:sz w:val="20"/>
      <w:szCs w:val="20"/>
    </w:rPr>
  </w:style>
  <w:style w:type="paragraph" w:styleId="TOC5">
    <w:name w:val="toc 5"/>
    <w:basedOn w:val="Normal"/>
    <w:next w:val="Normal"/>
    <w:autoRedefine/>
    <w:uiPriority w:val="39"/>
    <w:semiHidden/>
    <w:unhideWhenUsed/>
    <w:rsid w:val="00F813C3"/>
    <w:pPr>
      <w:ind w:left="960"/>
    </w:pPr>
    <w:rPr>
      <w:rFonts w:cstheme="minorHAnsi"/>
      <w:sz w:val="20"/>
      <w:szCs w:val="20"/>
    </w:rPr>
  </w:style>
  <w:style w:type="paragraph" w:styleId="TOC6">
    <w:name w:val="toc 6"/>
    <w:basedOn w:val="Normal"/>
    <w:next w:val="Normal"/>
    <w:autoRedefine/>
    <w:uiPriority w:val="39"/>
    <w:semiHidden/>
    <w:unhideWhenUsed/>
    <w:rsid w:val="00F813C3"/>
    <w:pPr>
      <w:ind w:left="1200"/>
    </w:pPr>
    <w:rPr>
      <w:rFonts w:cstheme="minorHAnsi"/>
      <w:sz w:val="20"/>
      <w:szCs w:val="20"/>
    </w:rPr>
  </w:style>
  <w:style w:type="paragraph" w:styleId="TOC7">
    <w:name w:val="toc 7"/>
    <w:basedOn w:val="Normal"/>
    <w:next w:val="Normal"/>
    <w:autoRedefine/>
    <w:uiPriority w:val="39"/>
    <w:semiHidden/>
    <w:unhideWhenUsed/>
    <w:rsid w:val="00F813C3"/>
    <w:pPr>
      <w:ind w:left="1440"/>
    </w:pPr>
    <w:rPr>
      <w:rFonts w:cstheme="minorHAnsi"/>
      <w:sz w:val="20"/>
      <w:szCs w:val="20"/>
    </w:rPr>
  </w:style>
  <w:style w:type="paragraph" w:styleId="TOC8">
    <w:name w:val="toc 8"/>
    <w:basedOn w:val="Normal"/>
    <w:next w:val="Normal"/>
    <w:autoRedefine/>
    <w:uiPriority w:val="39"/>
    <w:semiHidden/>
    <w:unhideWhenUsed/>
    <w:rsid w:val="00F813C3"/>
    <w:pPr>
      <w:ind w:left="1680"/>
    </w:pPr>
    <w:rPr>
      <w:rFonts w:cstheme="minorHAnsi"/>
      <w:sz w:val="20"/>
      <w:szCs w:val="20"/>
    </w:rPr>
  </w:style>
  <w:style w:type="paragraph" w:styleId="TOC9">
    <w:name w:val="toc 9"/>
    <w:basedOn w:val="Normal"/>
    <w:next w:val="Normal"/>
    <w:autoRedefine/>
    <w:uiPriority w:val="39"/>
    <w:semiHidden/>
    <w:unhideWhenUsed/>
    <w:rsid w:val="00F813C3"/>
    <w:pPr>
      <w:ind w:left="1920"/>
    </w:pPr>
    <w:rPr>
      <w:rFonts w:cstheme="minorHAnsi"/>
      <w:sz w:val="20"/>
      <w:szCs w:val="20"/>
    </w:rPr>
  </w:style>
  <w:style w:type="character" w:styleId="PageNumber">
    <w:name w:val="page number"/>
    <w:basedOn w:val="DefaultParagraphFont"/>
    <w:uiPriority w:val="99"/>
    <w:semiHidden/>
    <w:unhideWhenUsed/>
    <w:rsid w:val="00F813C3"/>
  </w:style>
  <w:style w:type="table" w:styleId="GridTable3">
    <w:name w:val="Grid Table 3"/>
    <w:basedOn w:val="TableNormal"/>
    <w:uiPriority w:val="48"/>
    <w:rsid w:val="00F813C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paragraph" w:styleId="Revision">
    <w:name w:val="Revision"/>
    <w:hidden/>
    <w:uiPriority w:val="99"/>
    <w:semiHidden/>
    <w:rsid w:val="00F813C3"/>
  </w:style>
  <w:style w:type="character" w:styleId="FollowedHyperlink">
    <w:name w:val="FollowedHyperlink"/>
    <w:basedOn w:val="DefaultParagraphFont"/>
    <w:uiPriority w:val="99"/>
    <w:semiHidden/>
    <w:unhideWhenUsed/>
    <w:rsid w:val="00F813C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85157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21" Type="http://schemas.openxmlformats.org/officeDocument/2006/relationships/image" Target="media/image10.png"/><Relationship Id="rId34" Type="http://schemas.openxmlformats.org/officeDocument/2006/relationships/image" Target="media/image23.pn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10" Type="http://schemas.openxmlformats.org/officeDocument/2006/relationships/header" Target="header1.xml"/><Relationship Id="rId19" Type="http://schemas.openxmlformats.org/officeDocument/2006/relationships/image" Target="media/image8.png"/><Relationship Id="rId31"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8" Type="http://schemas.openxmlformats.org/officeDocument/2006/relationships/image" Target="media/image1.png"/><Relationship Id="rId3"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openxmlformats.org/officeDocument/2006/relationships/oleObject" Target="file:////Users/adina/Dropbox/Journal%20articles/EJPR/revision%201/Data%20and%20graphs/R1_Q&amp;A%20in%20LO_Atlas.ti%20output.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barChart>
        <c:barDir val="col"/>
        <c:grouping val="clustered"/>
        <c:varyColors val="0"/>
        <c:ser>
          <c:idx val="0"/>
          <c:order val="0"/>
          <c:tx>
            <c:strRef>
              <c:f>'Final graphs'!$V$6:$V$7</c:f>
              <c:strCache>
                <c:ptCount val="2"/>
                <c:pt idx="0">
                  <c:v>Explicit replies</c:v>
                </c:pt>
                <c:pt idx="1">
                  <c:v>letters</c:v>
                </c:pt>
              </c:strCache>
            </c:strRef>
          </c:tx>
          <c:spPr>
            <a:solidFill>
              <a:schemeClr val="bg1">
                <a:lumMod val="75000"/>
                <a:alpha val="85000"/>
              </a:schemeClr>
            </a:solidFill>
            <a:ln w="9525" cap="flat" cmpd="sng" algn="ctr">
              <a:solidFill>
                <a:schemeClr val="lt1">
                  <a:alpha val="50000"/>
                </a:schemeClr>
              </a:solidFill>
              <a:round/>
            </a:ln>
            <a:effectLst/>
          </c:spPr>
          <c:invertIfNegative val="0"/>
          <c:cat>
            <c:numRef>
              <c:f>'Final graphs'!$U$8:$U$13</c:f>
              <c:numCache>
                <c:formatCode>General</c:formatCode>
                <c:ptCount val="6"/>
                <c:pt idx="0">
                  <c:v>2013</c:v>
                </c:pt>
                <c:pt idx="1">
                  <c:v>2014</c:v>
                </c:pt>
                <c:pt idx="2">
                  <c:v>2015</c:v>
                </c:pt>
                <c:pt idx="3">
                  <c:v>2016</c:v>
                </c:pt>
                <c:pt idx="4">
                  <c:v>2017</c:v>
                </c:pt>
                <c:pt idx="5">
                  <c:v>2018</c:v>
                </c:pt>
              </c:numCache>
            </c:numRef>
          </c:cat>
          <c:val>
            <c:numRef>
              <c:f>'Final graphs'!$V$8:$V$13</c:f>
              <c:numCache>
                <c:formatCode>General</c:formatCode>
                <c:ptCount val="6"/>
                <c:pt idx="0">
                  <c:v>20</c:v>
                </c:pt>
                <c:pt idx="1">
                  <c:v>42</c:v>
                </c:pt>
                <c:pt idx="2">
                  <c:v>25</c:v>
                </c:pt>
                <c:pt idx="3">
                  <c:v>43</c:v>
                </c:pt>
                <c:pt idx="4">
                  <c:v>47</c:v>
                </c:pt>
                <c:pt idx="5">
                  <c:v>8</c:v>
                </c:pt>
              </c:numCache>
            </c:numRef>
          </c:val>
          <c:extLst>
            <c:ext xmlns:c16="http://schemas.microsoft.com/office/drawing/2014/chart" uri="{C3380CC4-5D6E-409C-BE32-E72D297353CC}">
              <c16:uniqueId val="{00000000-7158-E343-92EE-1EF437160521}"/>
            </c:ext>
          </c:extLst>
        </c:ser>
        <c:ser>
          <c:idx val="1"/>
          <c:order val="1"/>
          <c:tx>
            <c:strRef>
              <c:f>'Final graphs'!$W$6:$W$7</c:f>
              <c:strCache>
                <c:ptCount val="2"/>
                <c:pt idx="0">
                  <c:v>Explicit replies</c:v>
                </c:pt>
                <c:pt idx="1">
                  <c:v>hearings</c:v>
                </c:pt>
              </c:strCache>
            </c:strRef>
          </c:tx>
          <c:spPr>
            <a:solidFill>
              <a:schemeClr val="bg2">
                <a:lumMod val="90000"/>
                <a:alpha val="85000"/>
              </a:schemeClr>
            </a:solidFill>
            <a:ln w="9525" cap="flat" cmpd="sng" algn="ctr">
              <a:solidFill>
                <a:schemeClr val="lt1">
                  <a:alpha val="50000"/>
                </a:schemeClr>
              </a:solidFill>
              <a:round/>
            </a:ln>
            <a:effectLst/>
          </c:spPr>
          <c:invertIfNegative val="0"/>
          <c:cat>
            <c:numRef>
              <c:f>'Final graphs'!$U$8:$U$13</c:f>
              <c:numCache>
                <c:formatCode>General</c:formatCode>
                <c:ptCount val="6"/>
                <c:pt idx="0">
                  <c:v>2013</c:v>
                </c:pt>
                <c:pt idx="1">
                  <c:v>2014</c:v>
                </c:pt>
                <c:pt idx="2">
                  <c:v>2015</c:v>
                </c:pt>
                <c:pt idx="3">
                  <c:v>2016</c:v>
                </c:pt>
                <c:pt idx="4">
                  <c:v>2017</c:v>
                </c:pt>
                <c:pt idx="5">
                  <c:v>2018</c:v>
                </c:pt>
              </c:numCache>
            </c:numRef>
          </c:cat>
          <c:val>
            <c:numRef>
              <c:f>'Final graphs'!$W$8:$W$13</c:f>
              <c:numCache>
                <c:formatCode>General</c:formatCode>
                <c:ptCount val="6"/>
                <c:pt idx="0">
                  <c:v>0</c:v>
                </c:pt>
                <c:pt idx="1">
                  <c:v>53</c:v>
                </c:pt>
                <c:pt idx="2">
                  <c:v>59</c:v>
                </c:pt>
                <c:pt idx="3">
                  <c:v>60</c:v>
                </c:pt>
                <c:pt idx="4">
                  <c:v>53</c:v>
                </c:pt>
                <c:pt idx="5">
                  <c:v>19</c:v>
                </c:pt>
              </c:numCache>
            </c:numRef>
          </c:val>
          <c:extLst>
            <c:ext xmlns:c16="http://schemas.microsoft.com/office/drawing/2014/chart" uri="{C3380CC4-5D6E-409C-BE32-E72D297353CC}">
              <c16:uniqueId val="{00000001-7158-E343-92EE-1EF437160521}"/>
            </c:ext>
          </c:extLst>
        </c:ser>
        <c:ser>
          <c:idx val="2"/>
          <c:order val="2"/>
          <c:tx>
            <c:strRef>
              <c:f>'Final graphs'!$X$6:$X$7</c:f>
              <c:strCache>
                <c:ptCount val="2"/>
                <c:pt idx="0">
                  <c:v>Intermediate replies</c:v>
                </c:pt>
                <c:pt idx="1">
                  <c:v>letters</c:v>
                </c:pt>
              </c:strCache>
            </c:strRef>
          </c:tx>
          <c:spPr>
            <a:solidFill>
              <a:schemeClr val="bg1">
                <a:lumMod val="50000"/>
                <a:alpha val="85000"/>
              </a:schemeClr>
            </a:solidFill>
            <a:ln w="9525" cap="flat" cmpd="sng" algn="ctr">
              <a:solidFill>
                <a:schemeClr val="lt1">
                  <a:alpha val="50000"/>
                </a:schemeClr>
              </a:solidFill>
              <a:round/>
            </a:ln>
            <a:effectLst/>
          </c:spPr>
          <c:invertIfNegative val="0"/>
          <c:cat>
            <c:numRef>
              <c:f>'Final graphs'!$U$8:$U$13</c:f>
              <c:numCache>
                <c:formatCode>General</c:formatCode>
                <c:ptCount val="6"/>
                <c:pt idx="0">
                  <c:v>2013</c:v>
                </c:pt>
                <c:pt idx="1">
                  <c:v>2014</c:v>
                </c:pt>
                <c:pt idx="2">
                  <c:v>2015</c:v>
                </c:pt>
                <c:pt idx="3">
                  <c:v>2016</c:v>
                </c:pt>
                <c:pt idx="4">
                  <c:v>2017</c:v>
                </c:pt>
                <c:pt idx="5">
                  <c:v>2018</c:v>
                </c:pt>
              </c:numCache>
            </c:numRef>
          </c:cat>
          <c:val>
            <c:numRef>
              <c:f>'Final graphs'!$X$8:$X$13</c:f>
              <c:numCache>
                <c:formatCode>General</c:formatCode>
                <c:ptCount val="6"/>
                <c:pt idx="0">
                  <c:v>7</c:v>
                </c:pt>
                <c:pt idx="1">
                  <c:v>10</c:v>
                </c:pt>
                <c:pt idx="2">
                  <c:v>12</c:v>
                </c:pt>
                <c:pt idx="3">
                  <c:v>26</c:v>
                </c:pt>
                <c:pt idx="4">
                  <c:v>51</c:v>
                </c:pt>
                <c:pt idx="5">
                  <c:v>12</c:v>
                </c:pt>
              </c:numCache>
            </c:numRef>
          </c:val>
          <c:extLst>
            <c:ext xmlns:c16="http://schemas.microsoft.com/office/drawing/2014/chart" uri="{C3380CC4-5D6E-409C-BE32-E72D297353CC}">
              <c16:uniqueId val="{00000002-7158-E343-92EE-1EF437160521}"/>
            </c:ext>
          </c:extLst>
        </c:ser>
        <c:ser>
          <c:idx val="3"/>
          <c:order val="3"/>
          <c:tx>
            <c:strRef>
              <c:f>'Final graphs'!$Y$6:$Y$7</c:f>
              <c:strCache>
                <c:ptCount val="2"/>
                <c:pt idx="0">
                  <c:v>Intermediate replies</c:v>
                </c:pt>
                <c:pt idx="1">
                  <c:v>hearings</c:v>
                </c:pt>
              </c:strCache>
            </c:strRef>
          </c:tx>
          <c:spPr>
            <a:solidFill>
              <a:schemeClr val="tx1">
                <a:lumMod val="50000"/>
                <a:lumOff val="50000"/>
                <a:alpha val="85000"/>
              </a:schemeClr>
            </a:solidFill>
            <a:ln w="9525" cap="flat" cmpd="sng" algn="ctr">
              <a:solidFill>
                <a:schemeClr val="lt1">
                  <a:alpha val="50000"/>
                </a:schemeClr>
              </a:solidFill>
              <a:round/>
            </a:ln>
            <a:effectLst/>
          </c:spPr>
          <c:invertIfNegative val="0"/>
          <c:cat>
            <c:numRef>
              <c:f>'Final graphs'!$U$8:$U$13</c:f>
              <c:numCache>
                <c:formatCode>General</c:formatCode>
                <c:ptCount val="6"/>
                <c:pt idx="0">
                  <c:v>2013</c:v>
                </c:pt>
                <c:pt idx="1">
                  <c:v>2014</c:v>
                </c:pt>
                <c:pt idx="2">
                  <c:v>2015</c:v>
                </c:pt>
                <c:pt idx="3">
                  <c:v>2016</c:v>
                </c:pt>
                <c:pt idx="4">
                  <c:v>2017</c:v>
                </c:pt>
                <c:pt idx="5">
                  <c:v>2018</c:v>
                </c:pt>
              </c:numCache>
            </c:numRef>
          </c:cat>
          <c:val>
            <c:numRef>
              <c:f>'Final graphs'!$Y$8:$Y$13</c:f>
              <c:numCache>
                <c:formatCode>General</c:formatCode>
                <c:ptCount val="6"/>
                <c:pt idx="0">
                  <c:v>0</c:v>
                </c:pt>
                <c:pt idx="1">
                  <c:v>15</c:v>
                </c:pt>
                <c:pt idx="2">
                  <c:v>20</c:v>
                </c:pt>
                <c:pt idx="3">
                  <c:v>16</c:v>
                </c:pt>
                <c:pt idx="4">
                  <c:v>31</c:v>
                </c:pt>
                <c:pt idx="5">
                  <c:v>4</c:v>
                </c:pt>
              </c:numCache>
            </c:numRef>
          </c:val>
          <c:extLst>
            <c:ext xmlns:c16="http://schemas.microsoft.com/office/drawing/2014/chart" uri="{C3380CC4-5D6E-409C-BE32-E72D297353CC}">
              <c16:uniqueId val="{00000003-7158-E343-92EE-1EF437160521}"/>
            </c:ext>
          </c:extLst>
        </c:ser>
        <c:ser>
          <c:idx val="4"/>
          <c:order val="4"/>
          <c:tx>
            <c:strRef>
              <c:f>'Final graphs'!$Z$6:$Z$7</c:f>
              <c:strCache>
                <c:ptCount val="2"/>
                <c:pt idx="0">
                  <c:v>Non-replies</c:v>
                </c:pt>
                <c:pt idx="1">
                  <c:v>letters</c:v>
                </c:pt>
              </c:strCache>
            </c:strRef>
          </c:tx>
          <c:spPr>
            <a:solidFill>
              <a:schemeClr val="tx1">
                <a:lumMod val="85000"/>
                <a:lumOff val="15000"/>
                <a:alpha val="85000"/>
              </a:schemeClr>
            </a:solidFill>
            <a:ln w="9525" cap="flat" cmpd="sng" algn="ctr">
              <a:solidFill>
                <a:schemeClr val="lt1">
                  <a:alpha val="50000"/>
                </a:schemeClr>
              </a:solidFill>
              <a:round/>
            </a:ln>
            <a:effectLst/>
          </c:spPr>
          <c:invertIfNegative val="0"/>
          <c:cat>
            <c:numRef>
              <c:f>'Final graphs'!$U$8:$U$13</c:f>
              <c:numCache>
                <c:formatCode>General</c:formatCode>
                <c:ptCount val="6"/>
                <c:pt idx="0">
                  <c:v>2013</c:v>
                </c:pt>
                <c:pt idx="1">
                  <c:v>2014</c:v>
                </c:pt>
                <c:pt idx="2">
                  <c:v>2015</c:v>
                </c:pt>
                <c:pt idx="3">
                  <c:v>2016</c:v>
                </c:pt>
                <c:pt idx="4">
                  <c:v>2017</c:v>
                </c:pt>
                <c:pt idx="5">
                  <c:v>2018</c:v>
                </c:pt>
              </c:numCache>
            </c:numRef>
          </c:cat>
          <c:val>
            <c:numRef>
              <c:f>'Final graphs'!$Z$8:$Z$13</c:f>
              <c:numCache>
                <c:formatCode>General</c:formatCode>
                <c:ptCount val="6"/>
                <c:pt idx="0">
                  <c:v>0</c:v>
                </c:pt>
                <c:pt idx="1">
                  <c:v>5</c:v>
                </c:pt>
                <c:pt idx="2">
                  <c:v>1</c:v>
                </c:pt>
                <c:pt idx="3">
                  <c:v>16</c:v>
                </c:pt>
                <c:pt idx="4">
                  <c:v>10</c:v>
                </c:pt>
                <c:pt idx="5">
                  <c:v>2</c:v>
                </c:pt>
              </c:numCache>
            </c:numRef>
          </c:val>
          <c:extLst>
            <c:ext xmlns:c16="http://schemas.microsoft.com/office/drawing/2014/chart" uri="{C3380CC4-5D6E-409C-BE32-E72D297353CC}">
              <c16:uniqueId val="{00000004-7158-E343-92EE-1EF437160521}"/>
            </c:ext>
          </c:extLst>
        </c:ser>
        <c:ser>
          <c:idx val="5"/>
          <c:order val="5"/>
          <c:tx>
            <c:strRef>
              <c:f>'Final graphs'!$AA$6:$AA$7</c:f>
              <c:strCache>
                <c:ptCount val="2"/>
                <c:pt idx="0">
                  <c:v>Non-replies</c:v>
                </c:pt>
                <c:pt idx="1">
                  <c:v>hearings</c:v>
                </c:pt>
              </c:strCache>
            </c:strRef>
          </c:tx>
          <c:spPr>
            <a:solidFill>
              <a:schemeClr val="tx1">
                <a:alpha val="85000"/>
              </a:schemeClr>
            </a:solidFill>
            <a:ln w="9525" cap="flat" cmpd="sng" algn="ctr">
              <a:solidFill>
                <a:schemeClr val="lt1">
                  <a:alpha val="50000"/>
                </a:schemeClr>
              </a:solidFill>
              <a:round/>
            </a:ln>
            <a:effectLst/>
          </c:spPr>
          <c:invertIfNegative val="0"/>
          <c:cat>
            <c:numRef>
              <c:f>'Final graphs'!$U$8:$U$13</c:f>
              <c:numCache>
                <c:formatCode>General</c:formatCode>
                <c:ptCount val="6"/>
                <c:pt idx="0">
                  <c:v>2013</c:v>
                </c:pt>
                <c:pt idx="1">
                  <c:v>2014</c:v>
                </c:pt>
                <c:pt idx="2">
                  <c:v>2015</c:v>
                </c:pt>
                <c:pt idx="3">
                  <c:v>2016</c:v>
                </c:pt>
                <c:pt idx="4">
                  <c:v>2017</c:v>
                </c:pt>
                <c:pt idx="5">
                  <c:v>2018</c:v>
                </c:pt>
              </c:numCache>
            </c:numRef>
          </c:cat>
          <c:val>
            <c:numRef>
              <c:f>'Final graphs'!$AA$8:$AA$13</c:f>
              <c:numCache>
                <c:formatCode>General</c:formatCode>
                <c:ptCount val="6"/>
                <c:pt idx="0">
                  <c:v>0</c:v>
                </c:pt>
                <c:pt idx="1">
                  <c:v>8</c:v>
                </c:pt>
                <c:pt idx="2">
                  <c:v>9</c:v>
                </c:pt>
                <c:pt idx="3">
                  <c:v>8</c:v>
                </c:pt>
                <c:pt idx="4">
                  <c:v>10</c:v>
                </c:pt>
                <c:pt idx="5">
                  <c:v>4</c:v>
                </c:pt>
              </c:numCache>
            </c:numRef>
          </c:val>
          <c:extLst>
            <c:ext xmlns:c16="http://schemas.microsoft.com/office/drawing/2014/chart" uri="{C3380CC4-5D6E-409C-BE32-E72D297353CC}">
              <c16:uniqueId val="{00000005-7158-E343-92EE-1EF437160521}"/>
            </c:ext>
          </c:extLst>
        </c:ser>
        <c:dLbls>
          <c:showLegendKey val="0"/>
          <c:showVal val="0"/>
          <c:showCatName val="0"/>
          <c:showSerName val="0"/>
          <c:showPercent val="0"/>
          <c:showBubbleSize val="0"/>
        </c:dLbls>
        <c:gapWidth val="65"/>
        <c:axId val="364203280"/>
        <c:axId val="364771552"/>
      </c:barChart>
      <c:catAx>
        <c:axId val="364203280"/>
        <c:scaling>
          <c:orientation val="minMax"/>
        </c:scaling>
        <c:delete val="0"/>
        <c:axPos val="b"/>
        <c:minorGridlines>
          <c:spPr>
            <a:ln>
              <a:gradFill>
                <a:gsLst>
                  <a:gs pos="100000">
                    <a:schemeClr val="dk1">
                      <a:lumMod val="95000"/>
                      <a:lumOff val="5000"/>
                      <a:alpha val="42000"/>
                    </a:schemeClr>
                  </a:gs>
                  <a:gs pos="0">
                    <a:schemeClr val="lt1">
                      <a:lumMod val="75000"/>
                      <a:alpha val="36000"/>
                    </a:schemeClr>
                  </a:gs>
                </a:gsLst>
                <a:lin ang="5400000" scaled="0"/>
              </a:gradFill>
            </a:ln>
            <a:effectLst/>
          </c:spPr>
        </c:minorGridlines>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0"/>
          <a:lstStyle/>
          <a:p>
            <a:pPr>
              <a:defRPr sz="900" b="0" i="0" u="none" strike="noStrike" kern="1200" cap="all" baseline="0">
                <a:solidFill>
                  <a:schemeClr val="tx1"/>
                </a:solidFill>
                <a:latin typeface="+mn-lt"/>
                <a:ea typeface="+mn-ea"/>
                <a:cs typeface="+mn-cs"/>
              </a:defRPr>
            </a:pPr>
            <a:endParaRPr lang="en-DE"/>
          </a:p>
        </c:txPr>
        <c:crossAx val="364771552"/>
        <c:crosses val="autoZero"/>
        <c:auto val="0"/>
        <c:lblAlgn val="ctr"/>
        <c:lblOffset val="100"/>
        <c:noMultiLvlLbl val="0"/>
      </c:catAx>
      <c:valAx>
        <c:axId val="364771552"/>
        <c:scaling>
          <c:orientation val="minMax"/>
          <c:max val="60"/>
        </c:scaling>
        <c:delete val="0"/>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DE"/>
          </a:p>
        </c:txPr>
        <c:crossAx val="364203280"/>
        <c:crosses val="autoZero"/>
        <c:crossBetween val="between"/>
      </c:valAx>
      <c:spPr>
        <a:noFill/>
        <a:ln w="25400">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tx1"/>
              </a:solidFill>
              <a:latin typeface="+mn-lt"/>
              <a:ea typeface="+mn-ea"/>
              <a:cs typeface="+mn-cs"/>
            </a:defRPr>
          </a:pPr>
          <a:endParaRPr lang="en-DE"/>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b="0">
          <a:solidFill>
            <a:schemeClr val="tx1"/>
          </a:solidFill>
        </a:defRPr>
      </a:pPr>
      <a:endParaRPr lang="en-DE"/>
    </a:p>
  </c:txPr>
  <c:externalData r:id="rId3">
    <c:autoUpdate val="0"/>
  </c:externalData>
</c:chartSpace>
</file>

<file path=word/charts/colors1.xml><?xml version="1.0" encoding="utf-8"?>
<cs:colorStyle xmlns:cs="http://schemas.microsoft.com/office/drawing/2012/chartStyle" xmlns:a="http://schemas.openxmlformats.org/drawingml/2006/main" meth="cycle" id="20">
  <a:schemeClr val="dk1"/>
  <cs:variation>
    <a:tint val="88500"/>
  </cs:variation>
  <cs:variation>
    <a:tint val="55000"/>
  </cs:variation>
  <cs:variation>
    <a:tint val="75000"/>
  </cs:variation>
  <cs:variation>
    <a:tint val="98500"/>
  </cs:variation>
  <cs:variation>
    <a:tint val="30000"/>
  </cs:variation>
  <cs:variation>
    <a:tint val="60000"/>
  </cs:variation>
  <cs:variation>
    <a:tint val="80000"/>
  </cs:variation>
</cs:colorStyle>
</file>

<file path=word/charts/style1.xml><?xml version="1.0" encoding="utf-8"?>
<cs:chartStyle xmlns:cs="http://schemas.microsoft.com/office/drawing/2012/chartStyle" xmlns:a="http://schemas.openxmlformats.org/drawingml/2006/main" id="218">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DF7A67-FB83-F64B-A401-BB7A3BE9BB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47</Pages>
  <Words>30160</Words>
  <Characters>171913</Characters>
  <Application>Microsoft Office Word</Application>
  <DocSecurity>0</DocSecurity>
  <Lines>1432</Lines>
  <Paragraphs>403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Adina Maricut-Akbik</dc:creator>
  <cp:keywords/>
  <dc:description/>
  <cp:lastModifiedBy>User 1</cp:lastModifiedBy>
  <cp:revision>15</cp:revision>
  <dcterms:created xsi:type="dcterms:W3CDTF">2020-07-17T10:10:00Z</dcterms:created>
  <dcterms:modified xsi:type="dcterms:W3CDTF">2020-07-17T11:58:00Z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zotero-version="5.0.88"&gt;&lt;session id="WGroesqs"/&gt;&lt;style id="http://www.zotero.org/styles/european-journal-of-political-research" hasBibliography="1" bibliographyStyleHasBeenSet="1"/&gt;&lt;prefs&gt;&lt;pref name="fieldType" value="Field"/&gt;&lt;/pref</vt:lpwstr>
  </property>
  <property fmtid="{D5CDD505-2E9C-101B-9397-08002B2CF9AE}" pid="3" name="ZOTERO_PREF_2">
    <vt:lpwstr>s&gt;&lt;/data&gt;</vt:lpwstr>
  </property>
</Properties>
</file>