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410E6" w14:textId="42AF292D" w:rsidR="00C57B65" w:rsidRPr="009F06FB" w:rsidRDefault="00C57B65" w:rsidP="00F612BD">
      <w:pPr>
        <w:jc w:val="left"/>
      </w:pPr>
    </w:p>
    <w:p w14:paraId="54CB6C8D" w14:textId="591AEC75" w:rsidR="003220C0" w:rsidRPr="009F06FB" w:rsidRDefault="003220C0" w:rsidP="002F1EF8">
      <w:pPr>
        <w:jc w:val="center"/>
        <w:rPr>
          <w:b/>
          <w:bCs/>
        </w:rPr>
      </w:pPr>
      <w:r w:rsidRPr="009F06FB">
        <w:rPr>
          <w:b/>
          <w:bCs/>
        </w:rPr>
        <w:t xml:space="preserve">Appendix </w:t>
      </w:r>
      <w:r w:rsidR="00F317E8" w:rsidRPr="009F06FB">
        <w:rPr>
          <w:b/>
          <w:bCs/>
        </w:rPr>
        <w:t>1</w:t>
      </w:r>
      <w:r w:rsidRPr="009F06FB">
        <w:rPr>
          <w:b/>
          <w:bCs/>
        </w:rPr>
        <w:t xml:space="preserve">: Description of </w:t>
      </w:r>
      <w:r w:rsidR="00F317E8" w:rsidRPr="009F06FB">
        <w:rPr>
          <w:b/>
          <w:bCs/>
        </w:rPr>
        <w:t>C</w:t>
      </w:r>
      <w:r w:rsidRPr="009F06FB">
        <w:rPr>
          <w:b/>
          <w:bCs/>
        </w:rPr>
        <w:t xml:space="preserve">oding </w:t>
      </w:r>
      <w:r w:rsidR="00F317E8" w:rsidRPr="009F06FB">
        <w:rPr>
          <w:b/>
          <w:bCs/>
        </w:rPr>
        <w:t>C</w:t>
      </w:r>
      <w:r w:rsidRPr="009F06FB">
        <w:rPr>
          <w:b/>
          <w:bCs/>
        </w:rPr>
        <w:t>ategories</w:t>
      </w:r>
    </w:p>
    <w:p w14:paraId="500DA4DF" w14:textId="6566CA3D" w:rsidR="003220C0" w:rsidRPr="009F06FB" w:rsidRDefault="003220C0" w:rsidP="00F612BD">
      <w:pPr>
        <w:jc w:val="left"/>
      </w:pPr>
    </w:p>
    <w:p w14:paraId="33696792" w14:textId="20D20CD0" w:rsidR="002C53C2" w:rsidRPr="009F06FB" w:rsidRDefault="002C53C2" w:rsidP="00F612BD">
      <w:pPr>
        <w:jc w:val="left"/>
        <w:rPr>
          <w:b/>
          <w:bCs/>
        </w:rPr>
      </w:pPr>
      <w:r w:rsidRPr="009F06FB">
        <w:rPr>
          <w:b/>
          <w:bCs/>
        </w:rPr>
        <w:t>Learner Profiles</w:t>
      </w:r>
    </w:p>
    <w:p w14:paraId="35424335" w14:textId="77777777" w:rsidR="005D0375" w:rsidRPr="009F06FB" w:rsidRDefault="005D0375" w:rsidP="00F612BD">
      <w:pPr>
        <w:jc w:val="left"/>
        <w:rPr>
          <w:b/>
          <w:bCs/>
        </w:rPr>
      </w:pPr>
    </w:p>
    <w:p w14:paraId="7542BDCF" w14:textId="05ADB714" w:rsidR="002C53C2" w:rsidRPr="009F06FB" w:rsidRDefault="002C53C2" w:rsidP="00F612BD">
      <w:pPr>
        <w:jc w:val="left"/>
        <w:rPr>
          <w:b/>
          <w:bCs/>
          <w:i/>
          <w:iCs/>
        </w:rPr>
      </w:pPr>
      <w:r w:rsidRPr="009F06FB">
        <w:rPr>
          <w:b/>
          <w:bCs/>
          <w:i/>
          <w:iCs/>
        </w:rPr>
        <w:t>Learning context</w:t>
      </w:r>
    </w:p>
    <w:p w14:paraId="745533F5" w14:textId="55118131" w:rsidR="002C53C2" w:rsidRPr="009F06FB" w:rsidRDefault="002C53C2" w:rsidP="00F612BD">
      <w:pPr>
        <w:jc w:val="left"/>
      </w:pPr>
      <w:r w:rsidRPr="009F06FB">
        <w:t>This variable was coded as foreign language (FL)</w:t>
      </w:r>
      <w:r w:rsidR="00810DBD" w:rsidRPr="009F06FB">
        <w:t xml:space="preserve"> or </w:t>
      </w:r>
      <w:r w:rsidRPr="009F06FB">
        <w:t xml:space="preserve">second language (SL). Studies </w:t>
      </w:r>
      <w:r w:rsidR="00810DBD" w:rsidRPr="009F06FB">
        <w:t xml:space="preserve">that were </w:t>
      </w:r>
      <w:r w:rsidRPr="009F06FB">
        <w:t xml:space="preserve">coded FL involved participants </w:t>
      </w:r>
      <w:r w:rsidR="00810DBD" w:rsidRPr="009F06FB">
        <w:t xml:space="preserve">in countries where </w:t>
      </w:r>
      <w:r w:rsidR="003F0DCD">
        <w:t xml:space="preserve">the </w:t>
      </w:r>
      <w:r w:rsidR="00810DBD" w:rsidRPr="009F06FB">
        <w:t xml:space="preserve">target language was not spoken, whereas studies that </w:t>
      </w:r>
      <w:r w:rsidR="003F0DCD">
        <w:t xml:space="preserve">were </w:t>
      </w:r>
      <w:r w:rsidR="00810DBD" w:rsidRPr="009F06FB">
        <w:t xml:space="preserve">coded as SL involved those in countries where </w:t>
      </w:r>
      <w:r w:rsidR="003F0DCD">
        <w:t xml:space="preserve">the </w:t>
      </w:r>
      <w:r w:rsidR="00810DBD" w:rsidRPr="009F06FB">
        <w:t xml:space="preserve">target language was spoken outside the experiments. </w:t>
      </w:r>
      <w:r w:rsidR="009E7EE1" w:rsidRPr="009F06FB">
        <w:t>Eighty</w:t>
      </w:r>
      <w:r w:rsidR="00810DBD" w:rsidRPr="009F06FB">
        <w:t xml:space="preserve"> studies were coded as FL, 1</w:t>
      </w:r>
      <w:r w:rsidR="009E7EE1" w:rsidRPr="009F06FB">
        <w:t>6</w:t>
      </w:r>
      <w:r w:rsidR="00810DBD" w:rsidRPr="009F06FB">
        <w:t xml:space="preserve"> studies were coded as SL, and 3 were coded as mixed (SL+FL). The moderator analysis focused on studies coded as either FL or SL.</w:t>
      </w:r>
      <w:r w:rsidR="00AC68DC">
        <w:rPr>
          <w:rFonts w:hint="eastAsia"/>
        </w:rPr>
        <w:t xml:space="preserve"> </w:t>
      </w:r>
      <w:r w:rsidR="00427326">
        <w:rPr>
          <w:rFonts w:hint="eastAsia"/>
        </w:rPr>
        <w:t>There was no missing data for this variable.</w:t>
      </w:r>
    </w:p>
    <w:p w14:paraId="09C2393F" w14:textId="77777777" w:rsidR="00810DBD" w:rsidRPr="009F06FB" w:rsidRDefault="00810DBD" w:rsidP="00F612BD">
      <w:pPr>
        <w:jc w:val="left"/>
      </w:pPr>
    </w:p>
    <w:p w14:paraId="1270248F" w14:textId="098509FC" w:rsidR="00810DBD" w:rsidRPr="009F06FB" w:rsidRDefault="00810DBD" w:rsidP="00F612BD">
      <w:pPr>
        <w:jc w:val="left"/>
        <w:rPr>
          <w:b/>
          <w:bCs/>
          <w:i/>
          <w:iCs/>
        </w:rPr>
      </w:pPr>
      <w:r w:rsidRPr="009F06FB">
        <w:rPr>
          <w:b/>
          <w:bCs/>
          <w:i/>
          <w:iCs/>
        </w:rPr>
        <w:t>L2 proficiency</w:t>
      </w:r>
    </w:p>
    <w:p w14:paraId="757454B7" w14:textId="7BF4B26B" w:rsidR="00810DBD" w:rsidRPr="009F06FB" w:rsidRDefault="00810DBD" w:rsidP="00F612BD">
      <w:pPr>
        <w:jc w:val="left"/>
      </w:pPr>
      <w:r w:rsidRPr="009F06FB">
        <w:t xml:space="preserve">This variable was divided into six categories: novice, beginner, lower-intermediate, intermediate, upper-intermediate, and advanced. </w:t>
      </w:r>
      <w:r w:rsidR="0081757E" w:rsidRPr="009F06FB">
        <w:t xml:space="preserve">Novice was defined as participants who had not studied the target language before taking part in the experiment (e.g., Hirata &amp; Kelly, 2010; </w:t>
      </w:r>
      <w:proofErr w:type="spellStart"/>
      <w:r w:rsidR="0081757E" w:rsidRPr="009F06FB">
        <w:t>Silpachai</w:t>
      </w:r>
      <w:proofErr w:type="spellEnd"/>
      <w:r w:rsidR="0081757E" w:rsidRPr="009F06FB">
        <w:t xml:space="preserve">, 2020). </w:t>
      </w:r>
      <w:r w:rsidR="00A64B18" w:rsidRPr="009F06FB">
        <w:t xml:space="preserve">Because </w:t>
      </w:r>
      <w:r w:rsidR="0081757E" w:rsidRPr="009F06FB">
        <w:t xml:space="preserve">the proficiency levels were determined </w:t>
      </w:r>
      <w:r w:rsidR="00A12D11">
        <w:t>in various ways</w:t>
      </w:r>
      <w:r w:rsidR="0081757E" w:rsidRPr="009F06FB">
        <w:t xml:space="preserve"> across studies</w:t>
      </w:r>
      <w:r w:rsidR="00A64B18" w:rsidRPr="009F06FB">
        <w:t xml:space="preserve">, we set a standard procedure </w:t>
      </w:r>
      <w:r w:rsidR="00A12D11">
        <w:t>for</w:t>
      </w:r>
      <w:r w:rsidR="00A64B18" w:rsidRPr="009F06FB">
        <w:t xml:space="preserve"> coding this variable. </w:t>
      </w:r>
      <w:r w:rsidR="000B7B9D">
        <w:t>D</w:t>
      </w:r>
      <w:r w:rsidR="00A64B18" w:rsidRPr="009F06FB">
        <w:t>ecision</w:t>
      </w:r>
      <w:r w:rsidR="000B7B9D">
        <w:t>s</w:t>
      </w:r>
      <w:r w:rsidR="00A64B18" w:rsidRPr="009F06FB">
        <w:t xml:space="preserve"> on participants’ proficiency levels </w:t>
      </w:r>
      <w:r w:rsidR="000B7B9D">
        <w:t xml:space="preserve">were based </w:t>
      </w:r>
      <w:r w:rsidR="00A64B18" w:rsidRPr="009F06FB">
        <w:t>on standardized proficiency test scores</w:t>
      </w:r>
      <w:r w:rsidR="000B7B9D">
        <w:t xml:space="preserve"> reported in studies</w:t>
      </w:r>
      <w:r w:rsidR="00A64B18" w:rsidRPr="009F06FB">
        <w:t xml:space="preserve"> </w:t>
      </w:r>
      <w:r w:rsidR="000B7B9D">
        <w:t>and/</w:t>
      </w:r>
      <w:r w:rsidR="00A64B18" w:rsidRPr="009F06FB">
        <w:t>or other objective measures</w:t>
      </w:r>
      <w:r w:rsidR="00A12D11">
        <w:t>,</w:t>
      </w:r>
      <w:r w:rsidR="00A64B18" w:rsidRPr="009F06FB">
        <w:t xml:space="preserve"> and when such information was not reported</w:t>
      </w:r>
      <w:r w:rsidR="003230C5" w:rsidRPr="009F06FB">
        <w:t xml:space="preserve">, we relied on researchers’ or instructors’ description of participants’ proficiency. The intercoder agreement for this variable </w:t>
      </w:r>
      <w:r w:rsidR="00F76BB3">
        <w:t>was</w:t>
      </w:r>
      <w:r w:rsidR="003230C5" w:rsidRPr="009F06FB">
        <w:t xml:space="preserve"> </w:t>
      </w:r>
      <w:r w:rsidR="00F000D7">
        <w:t>98.02%</w:t>
      </w:r>
      <w:r w:rsidR="003230C5" w:rsidRPr="009F06FB">
        <w:t xml:space="preserve">, indicating that we established the reliability of coding this variable. The breakdown of studies coded </w:t>
      </w:r>
      <w:r w:rsidR="005D0375" w:rsidRPr="009F06FB">
        <w:t>for L2 proficiency was 1</w:t>
      </w:r>
      <w:r w:rsidR="009E7EE1" w:rsidRPr="009F06FB">
        <w:t>6</w:t>
      </w:r>
      <w:r w:rsidR="005D0375" w:rsidRPr="009F06FB">
        <w:t xml:space="preserve"> studies </w:t>
      </w:r>
      <w:r w:rsidR="00A12D11">
        <w:t>with</w:t>
      </w:r>
      <w:r w:rsidR="005D0375" w:rsidRPr="009F06FB">
        <w:t xml:space="preserve"> novice speakers, 14 studies </w:t>
      </w:r>
      <w:r w:rsidR="00A12D11">
        <w:t>with</w:t>
      </w:r>
      <w:r w:rsidR="005D0375" w:rsidRPr="009F06FB">
        <w:t xml:space="preserve"> beginners, 1</w:t>
      </w:r>
      <w:r w:rsidR="009E7EE1" w:rsidRPr="009F06FB">
        <w:t>2</w:t>
      </w:r>
      <w:r w:rsidR="005D0375" w:rsidRPr="009F06FB">
        <w:t xml:space="preserve"> studies </w:t>
      </w:r>
      <w:r w:rsidR="00A12D11">
        <w:t>with</w:t>
      </w:r>
      <w:r w:rsidR="005D0375" w:rsidRPr="009F06FB">
        <w:t xml:space="preserve"> lower-intermediate speakers, </w:t>
      </w:r>
      <w:r w:rsidR="009E7EE1" w:rsidRPr="009F06FB">
        <w:t>8</w:t>
      </w:r>
      <w:r w:rsidR="005D0375" w:rsidRPr="009F06FB">
        <w:t xml:space="preserve"> studies </w:t>
      </w:r>
      <w:r w:rsidR="00A12D11">
        <w:t>with</w:t>
      </w:r>
      <w:r w:rsidR="005D0375" w:rsidRPr="009F06FB">
        <w:t xml:space="preserve"> intermediate speakers, four studies </w:t>
      </w:r>
      <w:r w:rsidR="00A12D11">
        <w:t>with</w:t>
      </w:r>
      <w:r w:rsidR="005D0375" w:rsidRPr="009F06FB">
        <w:t xml:space="preserve"> upper-intermediate speakers, 1</w:t>
      </w:r>
      <w:r w:rsidR="009E7EE1" w:rsidRPr="009F06FB">
        <w:t>4</w:t>
      </w:r>
      <w:r w:rsidR="005D0375" w:rsidRPr="009F06FB">
        <w:t xml:space="preserve"> studies </w:t>
      </w:r>
      <w:r w:rsidR="00A12D11">
        <w:t>with</w:t>
      </w:r>
      <w:r w:rsidR="005D0375" w:rsidRPr="009F06FB">
        <w:t xml:space="preserve"> advanced speakers, and 8 studies </w:t>
      </w:r>
      <w:r w:rsidR="00A12D11">
        <w:t>with</w:t>
      </w:r>
      <w:r w:rsidR="005D0375" w:rsidRPr="009F06FB">
        <w:t xml:space="preserve"> mixed proficiency levels. No relevant information was provided for 2</w:t>
      </w:r>
      <w:r w:rsidR="009E7EE1" w:rsidRPr="009F06FB">
        <w:t>3</w:t>
      </w:r>
      <w:r w:rsidR="005D0375" w:rsidRPr="009F06FB">
        <w:t xml:space="preserve"> studies</w:t>
      </w:r>
      <w:r w:rsidR="00AC68DC">
        <w:rPr>
          <w:rFonts w:hint="eastAsia"/>
        </w:rPr>
        <w:t xml:space="preserve"> (23.2%)</w:t>
      </w:r>
      <w:r w:rsidR="005D0375" w:rsidRPr="009F06FB">
        <w:t>. The moderator analysis focused on six proficiency levels (novice, beginner, lower-intermediate, intermediate, upper-intermediate, and advanced).</w:t>
      </w:r>
      <w:r w:rsidR="00AC68DC">
        <w:rPr>
          <w:rFonts w:hint="eastAsia"/>
        </w:rPr>
        <w:t xml:space="preserve"> </w:t>
      </w:r>
    </w:p>
    <w:p w14:paraId="39E1421A" w14:textId="11B1ADE6" w:rsidR="005D0375" w:rsidRPr="009F06FB" w:rsidRDefault="005D0375" w:rsidP="00F612BD">
      <w:pPr>
        <w:jc w:val="left"/>
      </w:pPr>
    </w:p>
    <w:p w14:paraId="68690AD9" w14:textId="5C37E499" w:rsidR="005D0375" w:rsidRPr="009F06FB" w:rsidRDefault="005D0375" w:rsidP="00F612BD">
      <w:pPr>
        <w:jc w:val="left"/>
        <w:rPr>
          <w:b/>
          <w:bCs/>
          <w:i/>
          <w:iCs/>
        </w:rPr>
      </w:pPr>
      <w:r w:rsidRPr="009F06FB">
        <w:rPr>
          <w:b/>
          <w:bCs/>
          <w:i/>
          <w:iCs/>
        </w:rPr>
        <w:t>Age of learning (AOL)</w:t>
      </w:r>
    </w:p>
    <w:p w14:paraId="67499C8B" w14:textId="5A468FE7" w:rsidR="005D0375" w:rsidRPr="00B71E67" w:rsidRDefault="005D0375" w:rsidP="00F612BD">
      <w:pPr>
        <w:jc w:val="left"/>
      </w:pPr>
      <w:r w:rsidRPr="009F06FB">
        <w:t xml:space="preserve">This variable </w:t>
      </w:r>
      <w:r w:rsidR="009E7EE1" w:rsidRPr="009F06FB">
        <w:t>was defined as</w:t>
      </w:r>
      <w:r w:rsidRPr="009F06FB">
        <w:t xml:space="preserve"> the age at which participants studied the target language. The mean and median (if the mean was not reported) of AOL were used for this variable. </w:t>
      </w:r>
      <w:r w:rsidR="0066180D">
        <w:t xml:space="preserve">When the information was not available but the range in AOL was reported, the median was calculated (e.g., when the AOL ranges from 2 to 8, the median is 5). </w:t>
      </w:r>
      <w:r w:rsidR="009E7EE1" w:rsidRPr="009F06FB">
        <w:t>A total of 36 studies reported this information</w:t>
      </w:r>
      <w:r w:rsidR="00B71E67">
        <w:rPr>
          <w:rFonts w:hint="eastAsia"/>
        </w:rPr>
        <w:t xml:space="preserve">, 52 studies did not (52.5% missing data), and </w:t>
      </w:r>
      <w:r w:rsidR="00B71E67">
        <w:t>the</w:t>
      </w:r>
      <w:r w:rsidR="00B71E67">
        <w:rPr>
          <w:rFonts w:hint="eastAsia"/>
        </w:rPr>
        <w:t xml:space="preserve"> remaining studies targeted novice learners; </w:t>
      </w:r>
      <w:r w:rsidR="00B71E67">
        <w:t>hence</w:t>
      </w:r>
      <w:r w:rsidR="00B71E67">
        <w:rPr>
          <w:rFonts w:hint="eastAsia"/>
        </w:rPr>
        <w:t>, 36 data points were analyzed for this variable.</w:t>
      </w:r>
    </w:p>
    <w:p w14:paraId="5392DB44" w14:textId="43F29439" w:rsidR="009E7EE1" w:rsidRPr="009F06FB" w:rsidRDefault="009E7EE1" w:rsidP="00F612BD">
      <w:pPr>
        <w:jc w:val="left"/>
      </w:pPr>
    </w:p>
    <w:p w14:paraId="1219258A" w14:textId="77777777" w:rsidR="00E233A6" w:rsidRDefault="00E233A6" w:rsidP="00F612BD">
      <w:pPr>
        <w:jc w:val="left"/>
        <w:rPr>
          <w:b/>
          <w:bCs/>
          <w:i/>
          <w:iCs/>
        </w:rPr>
      </w:pPr>
    </w:p>
    <w:p w14:paraId="4C2D245A" w14:textId="410FB17F" w:rsidR="009E7EE1" w:rsidRPr="009F06FB" w:rsidRDefault="009E7EE1" w:rsidP="00F612BD">
      <w:pPr>
        <w:jc w:val="left"/>
        <w:rPr>
          <w:b/>
          <w:bCs/>
          <w:i/>
          <w:iCs/>
        </w:rPr>
      </w:pPr>
      <w:r w:rsidRPr="009F06FB">
        <w:rPr>
          <w:b/>
          <w:bCs/>
          <w:i/>
          <w:iCs/>
        </w:rPr>
        <w:lastRenderedPageBreak/>
        <w:t>Age of testing (AOT)</w:t>
      </w:r>
    </w:p>
    <w:p w14:paraId="20576C56" w14:textId="6BDB5A1C" w:rsidR="009E7EE1" w:rsidRPr="009F06FB" w:rsidRDefault="009E7EE1" w:rsidP="00F612BD">
      <w:pPr>
        <w:jc w:val="left"/>
      </w:pPr>
      <w:r w:rsidRPr="009F06FB">
        <w:t xml:space="preserve">This variable was defined as the age at which participants took part in the experiment. The mean and median (if the mean was not reported) </w:t>
      </w:r>
      <w:r w:rsidR="00F612BD" w:rsidRPr="009F06FB">
        <w:t xml:space="preserve">of AOT were used for this variable. </w:t>
      </w:r>
      <w:r w:rsidR="0066180D">
        <w:t xml:space="preserve">Like AOL, when the information was not available but the range in AOT was provided, the median was calculated from the range values. </w:t>
      </w:r>
      <w:r w:rsidR="00F612BD" w:rsidRPr="009F06FB">
        <w:t>A total of 91 studies reported this information</w:t>
      </w:r>
      <w:r w:rsidR="00F938D4">
        <w:rPr>
          <w:rFonts w:hint="eastAsia"/>
        </w:rPr>
        <w:t xml:space="preserve"> (8.1% missing data).</w:t>
      </w:r>
    </w:p>
    <w:p w14:paraId="771ADAE4" w14:textId="5C4C426E" w:rsidR="00F612BD" w:rsidRPr="009F06FB" w:rsidRDefault="00F612BD" w:rsidP="00F612BD">
      <w:pPr>
        <w:jc w:val="left"/>
      </w:pPr>
    </w:p>
    <w:p w14:paraId="749D5B7C" w14:textId="57EF41A5" w:rsidR="00F612BD" w:rsidRPr="009F06FB" w:rsidRDefault="00F612BD" w:rsidP="00F612BD">
      <w:pPr>
        <w:jc w:val="left"/>
        <w:rPr>
          <w:b/>
          <w:bCs/>
        </w:rPr>
      </w:pPr>
      <w:r w:rsidRPr="009F06FB">
        <w:rPr>
          <w:b/>
          <w:bCs/>
        </w:rPr>
        <w:t>Stimuli Features</w:t>
      </w:r>
    </w:p>
    <w:p w14:paraId="10B64E9B" w14:textId="77777777" w:rsidR="00F612BD" w:rsidRPr="009F06FB" w:rsidRDefault="00F612BD" w:rsidP="00F612BD">
      <w:pPr>
        <w:jc w:val="left"/>
        <w:rPr>
          <w:b/>
          <w:bCs/>
        </w:rPr>
      </w:pPr>
    </w:p>
    <w:p w14:paraId="298AE439" w14:textId="39D3AB0B" w:rsidR="00F612BD" w:rsidRPr="009F06FB" w:rsidRDefault="00F612BD" w:rsidP="00F612BD">
      <w:pPr>
        <w:jc w:val="left"/>
        <w:rPr>
          <w:b/>
          <w:bCs/>
          <w:i/>
          <w:iCs/>
        </w:rPr>
      </w:pPr>
      <w:r w:rsidRPr="009F06FB">
        <w:rPr>
          <w:b/>
          <w:bCs/>
          <w:i/>
          <w:iCs/>
        </w:rPr>
        <w:t>Target phone</w:t>
      </w:r>
    </w:p>
    <w:p w14:paraId="08558643" w14:textId="188A5F62" w:rsidR="00F612BD" w:rsidRPr="009F06FB" w:rsidRDefault="00F612BD" w:rsidP="00F612BD">
      <w:pPr>
        <w:jc w:val="left"/>
      </w:pPr>
      <w:r w:rsidRPr="009F06FB">
        <w:t xml:space="preserve">This variable was divided into five categories: vowel, obstruent, sonorant, syllable structure, and tone. </w:t>
      </w:r>
      <w:r w:rsidR="00541DC1" w:rsidRPr="009F06FB">
        <w:t xml:space="preserve">The breakdown of studies for this variable was </w:t>
      </w:r>
      <w:r w:rsidR="00907555" w:rsidRPr="009F06FB">
        <w:t>50 studies for vowel, 18 studies for obstruent, 11 studies for sonorant, 3 studies for syllable structure, 9 studies for tone, 7 studies for obstruent + sonorant, and 4 studies for vowel + consonant (both obstruent and sonorant). The moderator analysis focused on the five categories (vowel, obstruent, sonorant, syllable structure, and tone).</w:t>
      </w:r>
      <w:r w:rsidR="00427326">
        <w:rPr>
          <w:rFonts w:hint="eastAsia"/>
        </w:rPr>
        <w:t xml:space="preserve"> There was no missing data for this variable.</w:t>
      </w:r>
    </w:p>
    <w:p w14:paraId="2B9F23DD" w14:textId="132FB007" w:rsidR="00F612BD" w:rsidRPr="009F06FB" w:rsidRDefault="00F612BD" w:rsidP="00F612BD">
      <w:pPr>
        <w:jc w:val="left"/>
      </w:pPr>
    </w:p>
    <w:p w14:paraId="2780AEBF" w14:textId="765F1C75" w:rsidR="00F612BD" w:rsidRPr="009F06FB" w:rsidRDefault="00F612BD" w:rsidP="00F612BD">
      <w:pPr>
        <w:jc w:val="left"/>
        <w:rPr>
          <w:b/>
          <w:bCs/>
          <w:i/>
          <w:iCs/>
        </w:rPr>
      </w:pPr>
      <w:r w:rsidRPr="009F06FB">
        <w:rPr>
          <w:b/>
          <w:bCs/>
          <w:i/>
          <w:iCs/>
        </w:rPr>
        <w:t>Inclusion of nonwords</w:t>
      </w:r>
    </w:p>
    <w:p w14:paraId="3F4B8814" w14:textId="03627062" w:rsidR="00810DBD" w:rsidRPr="009F06FB" w:rsidRDefault="00907555" w:rsidP="00F612BD">
      <w:pPr>
        <w:jc w:val="left"/>
      </w:pPr>
      <w:r w:rsidRPr="009F06FB">
        <w:t xml:space="preserve">This variable </w:t>
      </w:r>
      <w:r w:rsidR="00E65B1E" w:rsidRPr="009F06FB">
        <w:t xml:space="preserve">referred to whether a set of training stimuli contained nonwords (i.e., phonologically plausible words that do not exist in </w:t>
      </w:r>
      <w:r w:rsidR="00AF579F">
        <w:t xml:space="preserve">the </w:t>
      </w:r>
      <w:r w:rsidR="00E65B1E" w:rsidRPr="009F06FB">
        <w:t>target language</w:t>
      </w:r>
      <w:r w:rsidR="00E93835" w:rsidRPr="009F06FB">
        <w:t xml:space="preserve">) </w:t>
      </w:r>
      <w:r w:rsidR="00E65B1E" w:rsidRPr="009F06FB">
        <w:t xml:space="preserve">or not. We coded this variable dichotomously either yes (i.e., training stimuli contained nonwords) or no (i.e., real words). </w:t>
      </w:r>
      <w:r w:rsidR="00AF579F">
        <w:t>F</w:t>
      </w:r>
      <w:r w:rsidR="00E65B1E" w:rsidRPr="009F06FB">
        <w:t>orty studies used nonwords, 57 studies used real words, and the relevant information was missing in two studies</w:t>
      </w:r>
      <w:r w:rsidR="00F57624">
        <w:rPr>
          <w:rFonts w:hint="eastAsia"/>
        </w:rPr>
        <w:t xml:space="preserve"> (2%)</w:t>
      </w:r>
      <w:r w:rsidR="00E65B1E" w:rsidRPr="009F06FB">
        <w:t>.</w:t>
      </w:r>
    </w:p>
    <w:p w14:paraId="03451ADD" w14:textId="5C262559" w:rsidR="002C53C2" w:rsidRPr="009F06FB" w:rsidRDefault="002C53C2" w:rsidP="00F612BD">
      <w:pPr>
        <w:jc w:val="left"/>
      </w:pPr>
    </w:p>
    <w:p w14:paraId="3E73A106" w14:textId="2A11B834" w:rsidR="00E93835" w:rsidRPr="009F06FB" w:rsidRDefault="00E93835" w:rsidP="00F612BD">
      <w:pPr>
        <w:jc w:val="left"/>
        <w:rPr>
          <w:b/>
          <w:bCs/>
        </w:rPr>
      </w:pPr>
      <w:r w:rsidRPr="009F06FB">
        <w:rPr>
          <w:b/>
          <w:bCs/>
        </w:rPr>
        <w:t>Training Features</w:t>
      </w:r>
    </w:p>
    <w:p w14:paraId="04D47CA9" w14:textId="4904E141" w:rsidR="00E93835" w:rsidRPr="009F06FB" w:rsidRDefault="00E93835" w:rsidP="00F612BD">
      <w:pPr>
        <w:jc w:val="left"/>
      </w:pPr>
    </w:p>
    <w:p w14:paraId="6021AF7E" w14:textId="4038760E" w:rsidR="00E93835" w:rsidRPr="009F06FB" w:rsidRDefault="00E93835" w:rsidP="00F612BD">
      <w:pPr>
        <w:jc w:val="left"/>
        <w:rPr>
          <w:b/>
          <w:bCs/>
          <w:i/>
          <w:iCs/>
        </w:rPr>
      </w:pPr>
      <w:r w:rsidRPr="009F06FB">
        <w:rPr>
          <w:b/>
          <w:bCs/>
          <w:i/>
          <w:iCs/>
        </w:rPr>
        <w:t>Task type</w:t>
      </w:r>
    </w:p>
    <w:p w14:paraId="5115DDA9" w14:textId="453D4C8D" w:rsidR="00E93835" w:rsidRPr="009F06FB" w:rsidRDefault="00E93835" w:rsidP="00F612BD">
      <w:pPr>
        <w:jc w:val="left"/>
      </w:pPr>
      <w:r w:rsidRPr="009F06FB">
        <w:t xml:space="preserve">This variable was coded as identification or discrimination tasks. </w:t>
      </w:r>
      <w:proofErr w:type="gramStart"/>
      <w:r w:rsidR="001A04EE" w:rsidRPr="009F06FB">
        <w:t>The majority of</w:t>
      </w:r>
      <w:proofErr w:type="gramEnd"/>
      <w:r w:rsidR="001A04EE" w:rsidRPr="009F06FB">
        <w:t xml:space="preserve"> studies used a forced-choice identification task with various response labels (e.g., keywords, pictures, phonetic symbols). </w:t>
      </w:r>
      <w:r w:rsidR="00B33FFF">
        <w:t>The</w:t>
      </w:r>
      <w:r w:rsidR="001A04EE" w:rsidRPr="009F06FB">
        <w:t xml:space="preserve"> discrimination task</w:t>
      </w:r>
      <w:r w:rsidR="00B33FFF">
        <w:t>s</w:t>
      </w:r>
      <w:r w:rsidR="001A04EE" w:rsidRPr="009F06FB">
        <w:t xml:space="preserve"> consisted of either </w:t>
      </w:r>
      <w:r w:rsidR="00B33FFF">
        <w:t>a</w:t>
      </w:r>
      <w:r w:rsidR="001A04EE" w:rsidRPr="009F06FB">
        <w:t xml:space="preserve"> same-or-different discrimination task (i.e., AX category </w:t>
      </w:r>
      <w:proofErr w:type="gramStart"/>
      <w:r w:rsidR="001A04EE" w:rsidRPr="009F06FB">
        <w:t>discrimination</w:t>
      </w:r>
      <w:proofErr w:type="gramEnd"/>
      <w:r w:rsidR="001A04EE" w:rsidRPr="009F06FB">
        <w:t xml:space="preserve">) or </w:t>
      </w:r>
      <w:r w:rsidR="00B33FFF">
        <w:t>a</w:t>
      </w:r>
      <w:r w:rsidR="001A04EE" w:rsidRPr="009F06FB">
        <w:t xml:space="preserve"> </w:t>
      </w:r>
      <w:r w:rsidR="005F3DD4">
        <w:t xml:space="preserve">category </w:t>
      </w:r>
      <w:r w:rsidR="001A04EE" w:rsidRPr="009F06FB">
        <w:t>discrimination task (</w:t>
      </w:r>
      <w:r w:rsidR="005F3DD4">
        <w:t xml:space="preserve">i.e., </w:t>
      </w:r>
      <w:r w:rsidR="001A04EE" w:rsidRPr="009F06FB">
        <w:t xml:space="preserve">AXB </w:t>
      </w:r>
      <w:r w:rsidR="005F3DD4">
        <w:t>or oddity</w:t>
      </w:r>
      <w:r w:rsidR="001A04EE" w:rsidRPr="009F06FB">
        <w:t xml:space="preserve"> discrimination task). </w:t>
      </w:r>
      <w:r w:rsidR="004E0F63" w:rsidRPr="009F06FB">
        <w:t>A few studies adopted a mixture of different perception tasks such as AX and AXB discrimination + correct or incorrect identification (</w:t>
      </w:r>
      <w:proofErr w:type="spellStart"/>
      <w:r w:rsidR="004E0F63" w:rsidRPr="009F06FB">
        <w:t>Lacabex</w:t>
      </w:r>
      <w:proofErr w:type="spellEnd"/>
      <w:r w:rsidR="004E0F63" w:rsidRPr="009F06FB">
        <w:t xml:space="preserve"> &amp; Gallardo del Puerto, 2014) or AX and AXB discrimination + yes or no identification (Qian, 2018). Eighty-three studies used identification, seven studies used discrimination, and nine studies used mixed task types. The moderator analysis focused on identification and discrimination tasks.</w:t>
      </w:r>
      <w:r w:rsidR="00EB7F3B">
        <w:rPr>
          <w:rFonts w:hint="eastAsia"/>
        </w:rPr>
        <w:t xml:space="preserve"> </w:t>
      </w:r>
      <w:r w:rsidR="00427326">
        <w:rPr>
          <w:rFonts w:hint="eastAsia"/>
        </w:rPr>
        <w:t>There was no missing data for this variable.</w:t>
      </w:r>
    </w:p>
    <w:p w14:paraId="43202353" w14:textId="51A64257" w:rsidR="002C53C2" w:rsidRPr="009F06FB" w:rsidRDefault="002C53C2" w:rsidP="00F612BD">
      <w:pPr>
        <w:jc w:val="left"/>
      </w:pPr>
    </w:p>
    <w:p w14:paraId="724BE16A" w14:textId="4E4495CE" w:rsidR="004E0F63" w:rsidRPr="009F06FB" w:rsidRDefault="004E0F63" w:rsidP="00F612BD">
      <w:pPr>
        <w:jc w:val="left"/>
        <w:rPr>
          <w:b/>
          <w:bCs/>
          <w:i/>
          <w:iCs/>
        </w:rPr>
      </w:pPr>
      <w:r w:rsidRPr="009F06FB">
        <w:rPr>
          <w:b/>
          <w:bCs/>
          <w:i/>
          <w:iCs/>
        </w:rPr>
        <w:t>Response label</w:t>
      </w:r>
    </w:p>
    <w:p w14:paraId="3833DEEC" w14:textId="0C9413B0" w:rsidR="004E0F63" w:rsidRPr="009F06FB" w:rsidRDefault="004E0F63" w:rsidP="00F612BD">
      <w:pPr>
        <w:jc w:val="left"/>
      </w:pPr>
      <w:r w:rsidRPr="009F06FB">
        <w:t xml:space="preserve">This variable </w:t>
      </w:r>
      <w:r w:rsidR="00AD28C3" w:rsidRPr="009F06FB">
        <w:t xml:space="preserve">concerned identification training tasks and </w:t>
      </w:r>
      <w:r w:rsidRPr="009F06FB">
        <w:t xml:space="preserve">was coded into </w:t>
      </w:r>
      <w:r w:rsidR="00AD28C3" w:rsidRPr="009F06FB">
        <w:t xml:space="preserve">four categories: keyword, orthography, phonetic symbol, and visual image. Studies coded as keyword presented word prompts </w:t>
      </w:r>
      <w:r w:rsidR="00AD28C3" w:rsidRPr="009F06FB">
        <w:lastRenderedPageBreak/>
        <w:t>(e.g.,</w:t>
      </w:r>
      <w:r w:rsidR="00AD28C3" w:rsidRPr="009F06FB">
        <w:rPr>
          <w:i/>
          <w:iCs/>
        </w:rPr>
        <w:t xml:space="preserve"> read</w:t>
      </w:r>
      <w:r w:rsidR="00AD28C3" w:rsidRPr="009F06FB">
        <w:t xml:space="preserve"> </w:t>
      </w:r>
      <w:r w:rsidR="008E5CA1" w:rsidRPr="009F06FB">
        <w:t>vs.</w:t>
      </w:r>
      <w:r w:rsidR="00AD28C3" w:rsidRPr="009F06FB">
        <w:t xml:space="preserve"> </w:t>
      </w:r>
      <w:r w:rsidR="00AD28C3" w:rsidRPr="009F06FB">
        <w:rPr>
          <w:i/>
          <w:iCs/>
        </w:rPr>
        <w:t>lead</w:t>
      </w:r>
      <w:r w:rsidR="00AD28C3" w:rsidRPr="009F06FB">
        <w:t xml:space="preserve">), studies coded as orthography presented fractions of words </w:t>
      </w:r>
      <w:r w:rsidR="007A033A" w:rsidRPr="009F06FB">
        <w:t xml:space="preserve">key to identification (e.g., </w:t>
      </w:r>
      <w:r w:rsidR="007A033A" w:rsidRPr="009F06FB">
        <w:rPr>
          <w:i/>
          <w:iCs/>
        </w:rPr>
        <w:t>r</w:t>
      </w:r>
      <w:r w:rsidR="007A033A" w:rsidRPr="009F06FB">
        <w:t xml:space="preserve"> </w:t>
      </w:r>
      <w:r w:rsidR="008E5CA1" w:rsidRPr="009F06FB">
        <w:t>vs.</w:t>
      </w:r>
      <w:r w:rsidR="007A033A" w:rsidRPr="009F06FB">
        <w:t xml:space="preserve"> </w:t>
      </w:r>
      <w:r w:rsidR="007A033A" w:rsidRPr="009F06FB">
        <w:rPr>
          <w:i/>
          <w:iCs/>
        </w:rPr>
        <w:t>l</w:t>
      </w:r>
      <w:r w:rsidR="007A033A" w:rsidRPr="009F06FB">
        <w:t xml:space="preserve">), studies coded as phonetic symbol presented phonetic notation of the target sounds (e.g., </w:t>
      </w:r>
      <w:r w:rsidR="008E5CA1" w:rsidRPr="009F06FB">
        <w:t>/</w:t>
      </w:r>
      <w:r w:rsidR="007A033A" w:rsidRPr="009F06FB">
        <w:t>æ</w:t>
      </w:r>
      <w:r w:rsidR="008E5CA1" w:rsidRPr="009F06FB">
        <w:t>/ vs.</w:t>
      </w:r>
      <w:r w:rsidR="007A033A" w:rsidRPr="009F06FB">
        <w:t xml:space="preserve"> </w:t>
      </w:r>
      <w:r w:rsidR="008E5CA1" w:rsidRPr="009F06FB">
        <w:t>/</w:t>
      </w:r>
      <w:r w:rsidR="007A033A" w:rsidRPr="009F06FB">
        <w:t>ʌ/</w:t>
      </w:r>
      <w:r w:rsidR="008E5CA1" w:rsidRPr="009F06FB">
        <w:t xml:space="preserve">), and studies coded as visual image presented non-orthographic symbols or pictures (e.g., flag images, Thomson, 2012). Other types of response labels included </w:t>
      </w:r>
      <w:r w:rsidR="0095494E" w:rsidRPr="009F06FB">
        <w:t>Pinyin tonal diacritics (</w:t>
      </w:r>
      <w:proofErr w:type="spellStart"/>
      <w:r w:rsidR="0095494E" w:rsidRPr="009F06FB">
        <w:t>Silpachai</w:t>
      </w:r>
      <w:proofErr w:type="spellEnd"/>
      <w:r w:rsidR="0095494E" w:rsidRPr="009F06FB">
        <w:t xml:space="preserve">, 2020), numbers (Wang, 2013), alphabetic letters (Lambacher et al., 2005), and short versus long (Hirata &amp; Kelly, 2010). Out of 83 studies using identification training tasks, </w:t>
      </w:r>
      <w:r w:rsidR="00BB2C21" w:rsidRPr="009F06FB">
        <w:t xml:space="preserve">32 studies used keywords, 19 studies used phonetic symbols, 10 studies used orthography, </w:t>
      </w:r>
      <w:r w:rsidR="002514FF" w:rsidRPr="009F06FB">
        <w:t>5</w:t>
      </w:r>
      <w:r w:rsidR="00BB2C21" w:rsidRPr="009F06FB">
        <w:t xml:space="preserve"> studies used visual image</w:t>
      </w:r>
      <w:r w:rsidR="00D3192E">
        <w:t>s</w:t>
      </w:r>
      <w:r w:rsidR="00BB2C21" w:rsidRPr="009F06FB">
        <w:t xml:space="preserve">, </w:t>
      </w:r>
      <w:r w:rsidR="00D3192E">
        <w:t>1</w:t>
      </w:r>
      <w:r w:rsidR="00BB2C21" w:rsidRPr="009F06FB">
        <w:t xml:space="preserve"> study used keywords + phonetic symbols, 17 studies used other types of response labels, and 1 study did not reveal the relevant information</w:t>
      </w:r>
      <w:r w:rsidR="00EB7F3B">
        <w:rPr>
          <w:rFonts w:hint="eastAsia"/>
        </w:rPr>
        <w:t xml:space="preserve"> (1%)</w:t>
      </w:r>
      <w:r w:rsidR="00BB2C21" w:rsidRPr="009F06FB">
        <w:t>. The moderator analysis focused on the four categories (keyword, orthography, phonetic symbol, and visual image).</w:t>
      </w:r>
    </w:p>
    <w:p w14:paraId="5C8481A9" w14:textId="74668D7F" w:rsidR="004E0F63" w:rsidRPr="009F06FB" w:rsidRDefault="004E0F63" w:rsidP="00F612BD">
      <w:pPr>
        <w:jc w:val="left"/>
      </w:pPr>
    </w:p>
    <w:p w14:paraId="1D4F2C36" w14:textId="7332F4B2" w:rsidR="00BB2C21" w:rsidRPr="009F06FB" w:rsidRDefault="00BB2C21" w:rsidP="00F612BD">
      <w:pPr>
        <w:jc w:val="left"/>
        <w:rPr>
          <w:b/>
          <w:bCs/>
          <w:i/>
          <w:iCs/>
        </w:rPr>
      </w:pPr>
      <w:r w:rsidRPr="009F06FB">
        <w:rPr>
          <w:b/>
          <w:bCs/>
          <w:i/>
          <w:iCs/>
        </w:rPr>
        <w:t>Corrective feedback type</w:t>
      </w:r>
    </w:p>
    <w:p w14:paraId="6AF7ECFC" w14:textId="765F4AC3" w:rsidR="00BB2C21" w:rsidRPr="009F06FB" w:rsidRDefault="00413635" w:rsidP="00F612BD">
      <w:pPr>
        <w:jc w:val="left"/>
      </w:pPr>
      <w:r w:rsidRPr="009F06FB">
        <w:t xml:space="preserve">This variable </w:t>
      </w:r>
      <w:r w:rsidR="00C46943" w:rsidRPr="009F06FB">
        <w:t xml:space="preserve">initially </w:t>
      </w:r>
      <w:r w:rsidRPr="009F06FB">
        <w:t>consisted of</w:t>
      </w:r>
      <w:r w:rsidR="00C46943" w:rsidRPr="009F06FB">
        <w:t xml:space="preserve"> four</w:t>
      </w:r>
      <w:r w:rsidRPr="009F06FB">
        <w:t xml:space="preserve"> </w:t>
      </w:r>
      <w:proofErr w:type="gramStart"/>
      <w:r w:rsidRPr="009F06FB">
        <w:t>categories;</w:t>
      </w:r>
      <w:proofErr w:type="gramEnd"/>
      <w:r w:rsidRPr="009F06FB">
        <w:t xml:space="preserve"> target, </w:t>
      </w:r>
      <w:r w:rsidR="00C46943" w:rsidRPr="009F06FB">
        <w:t xml:space="preserve">nontarget, </w:t>
      </w:r>
      <w:r w:rsidRPr="009F06FB">
        <w:t xml:space="preserve">combined, and wrong. Studies </w:t>
      </w:r>
      <w:r w:rsidR="00DA2FC3">
        <w:t xml:space="preserve">that </w:t>
      </w:r>
      <w:r w:rsidRPr="009F06FB">
        <w:t>provid</w:t>
      </w:r>
      <w:r w:rsidR="00DA2FC3">
        <w:t>ed</w:t>
      </w:r>
      <w:r w:rsidRPr="009F06FB">
        <w:t xml:space="preserve"> the correct </w:t>
      </w:r>
      <w:r w:rsidR="00DA2FC3">
        <w:t xml:space="preserve">(i.e., </w:t>
      </w:r>
      <w:r w:rsidRPr="009F06FB">
        <w:t>target</w:t>
      </w:r>
      <w:r w:rsidR="00DA2FC3">
        <w:t>)</w:t>
      </w:r>
      <w:r w:rsidRPr="009F06FB">
        <w:t xml:space="preserve"> forms of sounds as</w:t>
      </w:r>
      <w:r w:rsidR="00C46943" w:rsidRPr="009F06FB">
        <w:t xml:space="preserve"> positive</w:t>
      </w:r>
      <w:r w:rsidRPr="009F06FB">
        <w:t xml:space="preserve"> feedback when listeners’ responses were incorrect were coded as target. Studies </w:t>
      </w:r>
      <w:r w:rsidR="00DA2FC3">
        <w:t xml:space="preserve">that </w:t>
      </w:r>
      <w:r w:rsidRPr="009F06FB">
        <w:t>provid</w:t>
      </w:r>
      <w:r w:rsidR="00DA2FC3">
        <w:t>ed</w:t>
      </w:r>
      <w:r w:rsidRPr="009F06FB">
        <w:t xml:space="preserve"> </w:t>
      </w:r>
      <w:r w:rsidR="00C46943" w:rsidRPr="009F06FB">
        <w:t xml:space="preserve">the </w:t>
      </w:r>
      <w:r w:rsidRPr="009F06FB">
        <w:t xml:space="preserve">nontarget </w:t>
      </w:r>
      <w:r w:rsidR="00C46943" w:rsidRPr="009F06FB">
        <w:t xml:space="preserve">forms of sounds as negative feedback were coded as nontarget. Studies </w:t>
      </w:r>
      <w:r w:rsidR="00DA2FC3">
        <w:t xml:space="preserve">that </w:t>
      </w:r>
      <w:r w:rsidR="00C46943" w:rsidRPr="009F06FB">
        <w:t>provid</w:t>
      </w:r>
      <w:r w:rsidR="00DA2FC3">
        <w:t>ed</w:t>
      </w:r>
      <w:r w:rsidR="00C46943" w:rsidRPr="009F06FB">
        <w:t xml:space="preserve"> both target and nontarget forms as corrective feedback were coded as combined. Studies </w:t>
      </w:r>
      <w:r w:rsidR="00DA2FC3">
        <w:t xml:space="preserve">that </w:t>
      </w:r>
      <w:r w:rsidR="00C46943" w:rsidRPr="009F06FB">
        <w:t>only signal</w:t>
      </w:r>
      <w:r w:rsidR="00DA2FC3">
        <w:t>ed</w:t>
      </w:r>
      <w:r w:rsidR="00C46943" w:rsidRPr="009F06FB">
        <w:t xml:space="preserve"> whether listeners’ responses were wrong without exposing them to either target or </w:t>
      </w:r>
      <w:proofErr w:type="gramStart"/>
      <w:r w:rsidR="00C46943" w:rsidRPr="009F06FB">
        <w:t>nontarget</w:t>
      </w:r>
      <w:proofErr w:type="gramEnd"/>
      <w:r w:rsidR="00C46943" w:rsidRPr="009F06FB">
        <w:t xml:space="preserve"> forms were coded as wrong. Because there was only one study coded as </w:t>
      </w:r>
      <w:r w:rsidR="00EF7D3E">
        <w:rPr>
          <w:rFonts w:hint="eastAsia"/>
        </w:rPr>
        <w:t>nontarget</w:t>
      </w:r>
      <w:r w:rsidR="00C84B4B" w:rsidRPr="009F06FB">
        <w:t xml:space="preserve"> (Lee &amp; Lyster, 2016)</w:t>
      </w:r>
      <w:r w:rsidR="00C46943" w:rsidRPr="009F06FB">
        <w:t xml:space="preserve">, this category was not </w:t>
      </w:r>
      <w:r w:rsidR="00C84B4B" w:rsidRPr="009F06FB">
        <w:t>included in the analysis</w:t>
      </w:r>
      <w:r w:rsidR="00C46943" w:rsidRPr="009F06FB">
        <w:t xml:space="preserve">. </w:t>
      </w:r>
      <w:r w:rsidR="00C84B4B" w:rsidRPr="009F06FB">
        <w:t xml:space="preserve">Forty-eight studies provided target feedback, 20 studies provided combined feedback, 24 studies provided wrong-signal feedback, one study provided a mixture of two feedback types </w:t>
      </w:r>
      <w:r w:rsidR="00335C38" w:rsidRPr="009F06FB">
        <w:t>in different training tasks (i.e., target for identification, combined for discrimination tasks, Shinohara &amp; Iverson, 2021), and five studies did not provide relevant information</w:t>
      </w:r>
      <w:r w:rsidR="00EF7D3E">
        <w:rPr>
          <w:rFonts w:hint="eastAsia"/>
        </w:rPr>
        <w:t xml:space="preserve"> (5.1%)</w:t>
      </w:r>
      <w:r w:rsidR="00335C38" w:rsidRPr="009F06FB">
        <w:t xml:space="preserve">. </w:t>
      </w:r>
      <w:r w:rsidR="00C84B4B" w:rsidRPr="009F06FB">
        <w:t>The moderator analysis focused on three categories: target</w:t>
      </w:r>
      <w:r w:rsidR="00335C38" w:rsidRPr="009F06FB">
        <w:t>, combined, and wrong.</w:t>
      </w:r>
    </w:p>
    <w:p w14:paraId="1B156CAE" w14:textId="77777777" w:rsidR="00BB2C21" w:rsidRPr="009F06FB" w:rsidRDefault="00BB2C21" w:rsidP="00F612BD">
      <w:pPr>
        <w:jc w:val="left"/>
      </w:pPr>
    </w:p>
    <w:p w14:paraId="61519591" w14:textId="4CDD6E79" w:rsidR="00BB2C21" w:rsidRPr="009F06FB" w:rsidRDefault="00335C38" w:rsidP="00F612BD">
      <w:pPr>
        <w:jc w:val="left"/>
        <w:rPr>
          <w:b/>
          <w:bCs/>
          <w:i/>
          <w:iCs/>
        </w:rPr>
      </w:pPr>
      <w:r w:rsidRPr="009F06FB">
        <w:rPr>
          <w:b/>
          <w:bCs/>
          <w:i/>
          <w:iCs/>
        </w:rPr>
        <w:t>T</w:t>
      </w:r>
      <w:r w:rsidR="002C53C2" w:rsidRPr="009F06FB">
        <w:rPr>
          <w:b/>
          <w:bCs/>
          <w:i/>
          <w:iCs/>
        </w:rPr>
        <w:t>alker presentatio</w:t>
      </w:r>
      <w:r w:rsidRPr="009F06FB">
        <w:rPr>
          <w:b/>
          <w:bCs/>
          <w:i/>
          <w:iCs/>
        </w:rPr>
        <w:t>n</w:t>
      </w:r>
    </w:p>
    <w:p w14:paraId="65E3EBA6" w14:textId="7CB14BF8" w:rsidR="00335C38" w:rsidRPr="009F06FB" w:rsidRDefault="00335C38" w:rsidP="00F612BD">
      <w:pPr>
        <w:jc w:val="left"/>
      </w:pPr>
      <w:proofErr w:type="gramStart"/>
      <w:r w:rsidRPr="009F06FB">
        <w:t>This variable concerned studies</w:t>
      </w:r>
      <w:proofErr w:type="gramEnd"/>
      <w:r w:rsidR="00DA2FC3">
        <w:t xml:space="preserve"> that</w:t>
      </w:r>
      <w:r w:rsidRPr="009F06FB">
        <w:t xml:space="preserve"> us</w:t>
      </w:r>
      <w:r w:rsidR="00DA2FC3">
        <w:t>ed</w:t>
      </w:r>
      <w:r w:rsidRPr="009F06FB">
        <w:t xml:space="preserve"> identification training tasks </w:t>
      </w:r>
      <w:r w:rsidR="00490449" w:rsidRPr="009F06FB">
        <w:t xml:space="preserve">(k = 83) </w:t>
      </w:r>
      <w:r w:rsidRPr="009F06FB">
        <w:t>and consisted of two categories: intermixed and blocked presentation.</w:t>
      </w:r>
      <w:r w:rsidR="000319BF" w:rsidRPr="009F06FB">
        <w:t xml:space="preserve"> When participants were presented with a single talker’s voice in </w:t>
      </w:r>
      <w:r w:rsidR="00DA2FC3">
        <w:t>an individual</w:t>
      </w:r>
      <w:r w:rsidR="000319BF" w:rsidRPr="009F06FB">
        <w:t xml:space="preserve"> training session, such studies were coded as blocked presentation. When participants were presented with two or more talkers’ voices </w:t>
      </w:r>
      <w:r w:rsidR="0005115B">
        <w:t>in an individual</w:t>
      </w:r>
      <w:r w:rsidR="000319BF" w:rsidRPr="009F06FB">
        <w:t xml:space="preserve"> session, such studies were coded as intermixed presentation. Trial-by-trial talker presentation was blocked in 41 studies</w:t>
      </w:r>
      <w:r w:rsidR="00490449" w:rsidRPr="009F06FB">
        <w:t xml:space="preserve"> and intermixed in 35 studies. Three studies adopted both types of ta</w:t>
      </w:r>
      <w:r w:rsidR="0005115B">
        <w:t>l</w:t>
      </w:r>
      <w:r w:rsidR="00490449" w:rsidRPr="009F06FB">
        <w:t xml:space="preserve">ker presentation and </w:t>
      </w:r>
      <w:r w:rsidR="00353A05">
        <w:rPr>
          <w:rFonts w:hint="eastAsia"/>
        </w:rPr>
        <w:t>five</w:t>
      </w:r>
      <w:r w:rsidR="00490449" w:rsidRPr="009F06FB">
        <w:t xml:space="preserve"> studies did not provide relevant information</w:t>
      </w:r>
      <w:r w:rsidR="00353A05">
        <w:rPr>
          <w:rFonts w:hint="eastAsia"/>
        </w:rPr>
        <w:t xml:space="preserve"> (5.1%)</w:t>
      </w:r>
      <w:r w:rsidR="00490449" w:rsidRPr="009F06FB">
        <w:t>. The moderator analysis focused on the two categories of blocked and intermixed presentation.</w:t>
      </w:r>
    </w:p>
    <w:p w14:paraId="6935A96C" w14:textId="77777777" w:rsidR="00BB2C21" w:rsidRPr="009F06FB" w:rsidRDefault="00BB2C21" w:rsidP="00F612BD">
      <w:pPr>
        <w:jc w:val="left"/>
      </w:pPr>
    </w:p>
    <w:p w14:paraId="3640C046" w14:textId="25CC4DA3" w:rsidR="00490449" w:rsidRPr="009F06FB" w:rsidRDefault="00490449" w:rsidP="00F612BD">
      <w:pPr>
        <w:jc w:val="left"/>
        <w:rPr>
          <w:b/>
          <w:bCs/>
          <w:i/>
          <w:iCs/>
        </w:rPr>
      </w:pPr>
      <w:r w:rsidRPr="009F06FB">
        <w:rPr>
          <w:b/>
          <w:bCs/>
          <w:i/>
          <w:iCs/>
        </w:rPr>
        <w:t>E</w:t>
      </w:r>
      <w:r w:rsidR="002C53C2" w:rsidRPr="009F06FB">
        <w:rPr>
          <w:b/>
          <w:bCs/>
          <w:i/>
          <w:iCs/>
        </w:rPr>
        <w:t>nvironment</w:t>
      </w:r>
    </w:p>
    <w:p w14:paraId="29CB2934" w14:textId="4987BAA6" w:rsidR="00490449" w:rsidRPr="009F06FB" w:rsidRDefault="00490449" w:rsidP="00F612BD">
      <w:pPr>
        <w:jc w:val="left"/>
      </w:pPr>
      <w:r w:rsidRPr="009F06FB">
        <w:t>This variable was coded as laboratory, participant</w:t>
      </w:r>
      <w:r w:rsidR="00647BC4">
        <w:t>-</w:t>
      </w:r>
      <w:r w:rsidRPr="009F06FB">
        <w:t xml:space="preserve">controlled, or classroom environment. When </w:t>
      </w:r>
      <w:r w:rsidR="0057445E">
        <w:t xml:space="preserve">the </w:t>
      </w:r>
      <w:r w:rsidRPr="009F06FB">
        <w:t xml:space="preserve">training schedule was predetermined and participants did not have control of when </w:t>
      </w:r>
      <w:r w:rsidR="0057445E">
        <w:t xml:space="preserve">or where </w:t>
      </w:r>
      <w:r w:rsidRPr="009F06FB">
        <w:t xml:space="preserve">to </w:t>
      </w:r>
      <w:r w:rsidRPr="009F06FB">
        <w:lastRenderedPageBreak/>
        <w:t xml:space="preserve">complete each training session, such studies </w:t>
      </w:r>
      <w:r w:rsidR="0057445E">
        <w:t xml:space="preserve">were labelled as </w:t>
      </w:r>
      <w:r w:rsidRPr="009F06FB">
        <w:t xml:space="preserve">laboratory </w:t>
      </w:r>
      <w:r w:rsidR="0057445E">
        <w:t>because training was largely controlled</w:t>
      </w:r>
      <w:r w:rsidRPr="009F06FB">
        <w:t xml:space="preserve">. </w:t>
      </w:r>
      <w:r w:rsidR="001E3B18" w:rsidRPr="009F06FB">
        <w:t>When participants were allowed some flexibility to choose when or where they complete</w:t>
      </w:r>
      <w:r w:rsidR="00077A1D" w:rsidRPr="009F06FB">
        <w:t>d</w:t>
      </w:r>
      <w:r w:rsidR="001E3B18" w:rsidRPr="009F06FB">
        <w:t xml:space="preserve"> training sessions (e.g., </w:t>
      </w:r>
      <w:r w:rsidR="00077A1D" w:rsidRPr="009F06FB">
        <w:t xml:space="preserve">online, </w:t>
      </w:r>
      <w:proofErr w:type="spellStart"/>
      <w:r w:rsidR="00077A1D" w:rsidRPr="009F06FB">
        <w:t>Huensch</w:t>
      </w:r>
      <w:proofErr w:type="spellEnd"/>
      <w:r w:rsidR="00077A1D" w:rsidRPr="009F06FB">
        <w:t xml:space="preserve"> &amp; Tremblay, 2015), such studies were </w:t>
      </w:r>
      <w:r w:rsidR="0057445E">
        <w:t>coded as</w:t>
      </w:r>
      <w:r w:rsidR="008D442F">
        <w:rPr>
          <w:rFonts w:hint="eastAsia"/>
        </w:rPr>
        <w:t xml:space="preserve"> </w:t>
      </w:r>
      <w:r w:rsidR="00077A1D" w:rsidRPr="009F06FB">
        <w:t xml:space="preserve">the participant-controlled condition. When training sessions were part of regular classroom activities or curriculum (e.g., </w:t>
      </w:r>
      <w:proofErr w:type="spellStart"/>
      <w:r w:rsidR="00077A1D" w:rsidRPr="009F06FB">
        <w:t>Lacabex</w:t>
      </w:r>
      <w:proofErr w:type="spellEnd"/>
      <w:r w:rsidR="00077A1D" w:rsidRPr="009F06FB">
        <w:t xml:space="preserve"> &amp; Gallardo del Puerto, 2014), such studies were </w:t>
      </w:r>
      <w:r w:rsidR="0057445E">
        <w:t>placed in the</w:t>
      </w:r>
      <w:r w:rsidR="00077A1D" w:rsidRPr="009F06FB">
        <w:t xml:space="preserve"> classroom environments</w:t>
      </w:r>
      <w:r w:rsidR="0057445E">
        <w:t xml:space="preserve"> category</w:t>
      </w:r>
      <w:r w:rsidR="00077A1D" w:rsidRPr="009F06FB">
        <w:t xml:space="preserve">. </w:t>
      </w:r>
      <w:r w:rsidR="00E94970" w:rsidRPr="009F06FB">
        <w:t xml:space="preserve">Seventy-six studies were carried out in </w:t>
      </w:r>
      <w:proofErr w:type="gramStart"/>
      <w:r w:rsidR="00E94970" w:rsidRPr="009F06FB">
        <w:t>the laboratory condition</w:t>
      </w:r>
      <w:proofErr w:type="gramEnd"/>
      <w:r w:rsidR="00E94970" w:rsidRPr="009F06FB">
        <w:t>, 15 studies were conducted in the participant-controlled condition, seven studies were conducted in the classroom condition, and one study did not report relevant information</w:t>
      </w:r>
      <w:r w:rsidR="00CE1E4F">
        <w:rPr>
          <w:rFonts w:hint="eastAsia"/>
        </w:rPr>
        <w:t xml:space="preserve"> (1%)</w:t>
      </w:r>
      <w:r w:rsidR="00E94970" w:rsidRPr="009F06FB">
        <w:t>. The moderator analysis focused on the three categories: laboratory, participant</w:t>
      </w:r>
      <w:r w:rsidR="0057445E">
        <w:t>-</w:t>
      </w:r>
      <w:r w:rsidR="00E94970" w:rsidRPr="009F06FB">
        <w:t>controlled, and classroom.</w:t>
      </w:r>
    </w:p>
    <w:p w14:paraId="2750B2C4" w14:textId="77777777" w:rsidR="00BB2C21" w:rsidRPr="009F06FB" w:rsidRDefault="00BB2C21" w:rsidP="00F612BD">
      <w:pPr>
        <w:jc w:val="left"/>
      </w:pPr>
    </w:p>
    <w:p w14:paraId="7BC6A401" w14:textId="00EEB2DF" w:rsidR="00BB2C21" w:rsidRPr="009F06FB" w:rsidRDefault="00E94970" w:rsidP="00F612BD">
      <w:pPr>
        <w:jc w:val="left"/>
        <w:rPr>
          <w:b/>
          <w:bCs/>
          <w:i/>
          <w:iCs/>
        </w:rPr>
      </w:pPr>
      <w:r w:rsidRPr="009F06FB">
        <w:rPr>
          <w:b/>
          <w:bCs/>
          <w:i/>
          <w:iCs/>
        </w:rPr>
        <w:t>A</w:t>
      </w:r>
      <w:r w:rsidR="002C53C2" w:rsidRPr="009F06FB">
        <w:rPr>
          <w:b/>
          <w:bCs/>
          <w:i/>
          <w:iCs/>
        </w:rPr>
        <w:t>daptive training</w:t>
      </w:r>
    </w:p>
    <w:p w14:paraId="3C11A3AC" w14:textId="757BEDF4" w:rsidR="00E94970" w:rsidRPr="009F06FB" w:rsidRDefault="00E94970" w:rsidP="006426C2">
      <w:pPr>
        <w:jc w:val="left"/>
      </w:pPr>
      <w:r w:rsidRPr="009F06FB">
        <w:t xml:space="preserve">This variable was coded dichotomously </w:t>
      </w:r>
      <w:r w:rsidR="00E068A3">
        <w:t xml:space="preserve">as </w:t>
      </w:r>
      <w:r w:rsidRPr="009F06FB">
        <w:t xml:space="preserve">either adaptive or fixed training. Fixed training refers to a regular HVPT </w:t>
      </w:r>
      <w:r w:rsidR="00E068A3">
        <w:t xml:space="preserve">program </w:t>
      </w:r>
      <w:r w:rsidRPr="009F06FB">
        <w:t>in which all participants completed the same number of trials and the same content, whereas</w:t>
      </w:r>
      <w:r w:rsidR="00E35CFC" w:rsidRPr="009F06FB">
        <w:t xml:space="preserve"> in the adaptive mode, the structure of training programs </w:t>
      </w:r>
      <w:r w:rsidR="00965634" w:rsidRPr="009F06FB">
        <w:t>was</w:t>
      </w:r>
      <w:r w:rsidR="00E35CFC" w:rsidRPr="009F06FB">
        <w:t xml:space="preserve"> changed in response to individual learner performance</w:t>
      </w:r>
      <w:r w:rsidR="00965634" w:rsidRPr="009F06FB">
        <w:t xml:space="preserve"> (e.g., Yang et al., 2021). Six studies adopted adaptive training, and 93 studies </w:t>
      </w:r>
      <w:r w:rsidR="00E068A3">
        <w:t xml:space="preserve">utilized </w:t>
      </w:r>
      <w:r w:rsidR="00965634" w:rsidRPr="009F06FB">
        <w:t>regular and fixed training.</w:t>
      </w:r>
      <w:r w:rsidR="00427326">
        <w:rPr>
          <w:rFonts w:hint="eastAsia"/>
        </w:rPr>
        <w:t xml:space="preserve"> There was no missing data for this variable.</w:t>
      </w:r>
    </w:p>
    <w:p w14:paraId="050CAF5C" w14:textId="77777777" w:rsidR="00E94970" w:rsidRPr="009F06FB" w:rsidRDefault="00E94970" w:rsidP="00F612BD">
      <w:pPr>
        <w:jc w:val="left"/>
      </w:pPr>
    </w:p>
    <w:p w14:paraId="70C6CF10" w14:textId="5A6A2C5B" w:rsidR="00965634" w:rsidRPr="009F06FB" w:rsidRDefault="00965634" w:rsidP="00F612BD">
      <w:pPr>
        <w:jc w:val="left"/>
        <w:rPr>
          <w:b/>
          <w:bCs/>
          <w:i/>
          <w:iCs/>
        </w:rPr>
      </w:pPr>
      <w:r w:rsidRPr="009F06FB">
        <w:rPr>
          <w:b/>
          <w:bCs/>
          <w:i/>
          <w:iCs/>
        </w:rPr>
        <w:t>Number of talkers, target phones, phonetic contexts, and response choices</w:t>
      </w:r>
    </w:p>
    <w:p w14:paraId="4064785B" w14:textId="77104027" w:rsidR="002C53C2" w:rsidRPr="009F06FB" w:rsidRDefault="00965634" w:rsidP="00F612BD">
      <w:pPr>
        <w:jc w:val="left"/>
      </w:pPr>
      <w:proofErr w:type="gramStart"/>
      <w:r w:rsidRPr="009F06FB">
        <w:t>Number</w:t>
      </w:r>
      <w:proofErr w:type="gramEnd"/>
      <w:r w:rsidRPr="009F06FB">
        <w:t xml:space="preserve"> of talkers was a simple count of</w:t>
      </w:r>
      <w:r w:rsidR="00A674F4" w:rsidRPr="009F06FB">
        <w:t xml:space="preserve"> native-speaking</w:t>
      </w:r>
      <w:r w:rsidRPr="009F06FB">
        <w:t xml:space="preserve"> talkers producing training stimuli.</w:t>
      </w:r>
      <w:r w:rsidR="00A674F4" w:rsidRPr="009F06FB">
        <w:t xml:space="preserve"> All 99 studies reported this information. </w:t>
      </w:r>
      <w:proofErr w:type="gramStart"/>
      <w:r w:rsidR="00A674F4" w:rsidRPr="009F06FB">
        <w:t>Number</w:t>
      </w:r>
      <w:proofErr w:type="gramEnd"/>
      <w:r w:rsidR="00A674F4" w:rsidRPr="009F06FB">
        <w:t xml:space="preserve"> of target phones was a simple count of L2 sounds trained in the study. For example, when studies aimed to improve identification of /r/ and /l/ contrast (e.g., Lively et al., 1993), the number of phones was two. Number of phonetic contexts was defined as the number of unique words (or syllables) encountered by listeners. For example, when </w:t>
      </w:r>
      <w:r w:rsidR="00D86BE2" w:rsidRPr="009F06FB">
        <w:t>19 minimal pairs for /</w:t>
      </w:r>
      <w:proofErr w:type="spellStart"/>
      <w:r w:rsidR="00D86BE2" w:rsidRPr="009F06FB">
        <w:t>i</w:t>
      </w:r>
      <w:proofErr w:type="spellEnd"/>
      <w:r w:rsidR="00D86BE2" w:rsidRPr="009F06FB">
        <w:t xml:space="preserve">/ and /ɪ/ contrast were used as training stimuli (Giannakopoulou et al., 2013), the number of unique words that listeners encountered during training was </w:t>
      </w:r>
      <w:proofErr w:type="gramStart"/>
      <w:r w:rsidR="00D86BE2" w:rsidRPr="009F06FB">
        <w:t xml:space="preserve">19, </w:t>
      </w:r>
      <w:r w:rsidR="00E543C8">
        <w:t>and</w:t>
      </w:r>
      <w:proofErr w:type="gramEnd"/>
      <w:r w:rsidR="00E543C8">
        <w:t xml:space="preserve"> was </w:t>
      </w:r>
      <w:r w:rsidR="00D86BE2" w:rsidRPr="009F06FB">
        <w:t>therefore coded as 19 for this study. Ninety-four studies reported this information</w:t>
      </w:r>
      <w:r w:rsidR="00F2364B">
        <w:rPr>
          <w:rFonts w:hint="eastAsia"/>
        </w:rPr>
        <w:t xml:space="preserve"> (5.1% missing data)</w:t>
      </w:r>
      <w:r w:rsidR="00D86BE2" w:rsidRPr="009F06FB">
        <w:t xml:space="preserve">. </w:t>
      </w:r>
      <w:r w:rsidR="00AB7A55" w:rsidRPr="009F06FB">
        <w:t xml:space="preserve">Lastly, </w:t>
      </w:r>
      <w:proofErr w:type="gramStart"/>
      <w:r w:rsidR="00AB7A55" w:rsidRPr="009F06FB">
        <w:t>number</w:t>
      </w:r>
      <w:proofErr w:type="gramEnd"/>
      <w:r w:rsidR="00AB7A55" w:rsidRPr="009F06FB">
        <w:t xml:space="preserve"> of response choices </w:t>
      </w:r>
      <w:r w:rsidR="00E543C8">
        <w:t>was coded for</w:t>
      </w:r>
      <w:r w:rsidR="00AB7A55" w:rsidRPr="009F06FB">
        <w:t xml:space="preserve"> identification training tasks</w:t>
      </w:r>
      <w:r w:rsidR="00E543C8">
        <w:t xml:space="preserve">; however, this was not necessary for </w:t>
      </w:r>
      <w:r w:rsidR="00E543C8" w:rsidRPr="009F06FB">
        <w:t>discrimination tasks (i.e., AX and ABX category discrimination)</w:t>
      </w:r>
      <w:r w:rsidR="00AB7A55" w:rsidRPr="009F06FB">
        <w:t xml:space="preserve"> because the number of choices was limited to two or three. This variable </w:t>
      </w:r>
      <w:r w:rsidR="00E543C8">
        <w:t>looked at</w:t>
      </w:r>
      <w:r w:rsidR="00AB7A55" w:rsidRPr="009F06FB">
        <w:t xml:space="preserve"> the number of response choices presented in each trial </w:t>
      </w:r>
      <w:r w:rsidR="00E543C8">
        <w:t xml:space="preserve">for </w:t>
      </w:r>
      <w:r w:rsidR="00AB7A55" w:rsidRPr="009F06FB">
        <w:t xml:space="preserve">listeners </w:t>
      </w:r>
      <w:r w:rsidR="00E543C8">
        <w:t>to</w:t>
      </w:r>
      <w:r w:rsidR="00AB7A55" w:rsidRPr="009F06FB">
        <w:t xml:space="preserve"> choose from. For example, when </w:t>
      </w:r>
      <w:r w:rsidR="00AB7A55" w:rsidRPr="009F06FB">
        <w:rPr>
          <w:i/>
          <w:iCs/>
        </w:rPr>
        <w:t>read</w:t>
      </w:r>
      <w:r w:rsidR="00AB7A55" w:rsidRPr="009F06FB">
        <w:t xml:space="preserve"> and </w:t>
      </w:r>
      <w:r w:rsidR="00AB7A55" w:rsidRPr="009F06FB">
        <w:rPr>
          <w:i/>
          <w:iCs/>
        </w:rPr>
        <w:t>lead</w:t>
      </w:r>
      <w:r w:rsidR="00AB7A55" w:rsidRPr="009F06FB">
        <w:t xml:space="preserve"> were presented </w:t>
      </w:r>
      <w:r w:rsidR="00603FA7" w:rsidRPr="009F06FB">
        <w:t xml:space="preserve">as response choices </w:t>
      </w:r>
      <w:r w:rsidR="00AB7A55" w:rsidRPr="009F06FB">
        <w:t>on a computer screen</w:t>
      </w:r>
      <w:r w:rsidR="00603FA7" w:rsidRPr="009F06FB">
        <w:t>, the number of response choices would be two.</w:t>
      </w:r>
      <w:r w:rsidR="0065386B" w:rsidRPr="009F06FB">
        <w:t xml:space="preserve"> All 83 studies using identification training tasks reported this information.</w:t>
      </w:r>
    </w:p>
    <w:p w14:paraId="279097A2" w14:textId="2A087EB0" w:rsidR="002C53C2" w:rsidRPr="009F06FB" w:rsidRDefault="002C53C2" w:rsidP="00F612BD">
      <w:pPr>
        <w:jc w:val="left"/>
      </w:pPr>
    </w:p>
    <w:p w14:paraId="22F0EEC5" w14:textId="7F088DE2" w:rsidR="00991C87" w:rsidRPr="009F06FB" w:rsidRDefault="00991C87" w:rsidP="00F612BD">
      <w:pPr>
        <w:jc w:val="left"/>
        <w:rPr>
          <w:b/>
          <w:bCs/>
        </w:rPr>
      </w:pPr>
      <w:r w:rsidRPr="009F06FB">
        <w:rPr>
          <w:b/>
          <w:bCs/>
        </w:rPr>
        <w:t>Testing Features</w:t>
      </w:r>
    </w:p>
    <w:p w14:paraId="06380147" w14:textId="2D95C31B" w:rsidR="00991C87" w:rsidRPr="009F06FB" w:rsidRDefault="00991C87" w:rsidP="00F612BD">
      <w:pPr>
        <w:jc w:val="left"/>
      </w:pPr>
    </w:p>
    <w:p w14:paraId="656AB321" w14:textId="5DB8ACBF" w:rsidR="00991C87" w:rsidRPr="009F06FB" w:rsidRDefault="00991C87" w:rsidP="00F612BD">
      <w:pPr>
        <w:jc w:val="left"/>
        <w:rPr>
          <w:b/>
          <w:bCs/>
          <w:i/>
          <w:iCs/>
        </w:rPr>
      </w:pPr>
      <w:r w:rsidRPr="009F06FB">
        <w:rPr>
          <w:b/>
          <w:bCs/>
          <w:i/>
          <w:iCs/>
        </w:rPr>
        <w:t>Test type</w:t>
      </w:r>
    </w:p>
    <w:p w14:paraId="10C8006E" w14:textId="628C0923" w:rsidR="00991C87" w:rsidRPr="009F06FB" w:rsidRDefault="00991C87" w:rsidP="006426C2">
      <w:pPr>
        <w:jc w:val="left"/>
      </w:pPr>
      <w:r w:rsidRPr="009F06FB">
        <w:t xml:space="preserve">This variable was coded </w:t>
      </w:r>
      <w:r w:rsidR="008806E2">
        <w:t xml:space="preserve">as </w:t>
      </w:r>
      <w:r w:rsidRPr="009F06FB">
        <w:t>either identification or discrimination tests (see also Task type above).</w:t>
      </w:r>
      <w:r w:rsidR="004F4CBB" w:rsidRPr="009F06FB">
        <w:t xml:space="preserve"> </w:t>
      </w:r>
      <w:r w:rsidR="006426C2" w:rsidRPr="009F06FB">
        <w:t xml:space="preserve">Eighty-five studies used identification tests, 16 studies used discrimination tests, and three studies </w:t>
      </w:r>
      <w:r w:rsidR="006426C2" w:rsidRPr="009F06FB">
        <w:lastRenderedPageBreak/>
        <w:t>used mixed test types. The moderator analysis focused on the two categories: identification and discrimination tests.</w:t>
      </w:r>
      <w:r w:rsidR="00F2364B">
        <w:rPr>
          <w:rFonts w:hint="eastAsia"/>
        </w:rPr>
        <w:t xml:space="preserve"> There was no missing data for this variable.</w:t>
      </w:r>
    </w:p>
    <w:p w14:paraId="2E47BCB9" w14:textId="7BE44EAB" w:rsidR="00991C87" w:rsidRPr="009F06FB" w:rsidRDefault="00991C87" w:rsidP="00F612BD">
      <w:pPr>
        <w:jc w:val="left"/>
      </w:pPr>
    </w:p>
    <w:p w14:paraId="00AB00D1" w14:textId="6A9077B1" w:rsidR="006426C2" w:rsidRPr="009F06FB" w:rsidRDefault="006426C2" w:rsidP="00F612BD">
      <w:pPr>
        <w:jc w:val="left"/>
        <w:rPr>
          <w:b/>
          <w:bCs/>
          <w:i/>
          <w:iCs/>
        </w:rPr>
      </w:pPr>
      <w:r w:rsidRPr="009F06FB">
        <w:rPr>
          <w:b/>
          <w:bCs/>
          <w:i/>
          <w:iCs/>
        </w:rPr>
        <w:t>Test item and talker type</w:t>
      </w:r>
    </w:p>
    <w:p w14:paraId="434CB6B7" w14:textId="2CA1CFBC" w:rsidR="006426C2" w:rsidRPr="009F06FB" w:rsidRDefault="006426C2" w:rsidP="00F612BD">
      <w:pPr>
        <w:jc w:val="left"/>
      </w:pPr>
      <w:r w:rsidRPr="009F06FB">
        <w:t>This variable consisted of four categories: old item-old talker, old item-new talker, new item-old talker, and new item-new talker. Old items and talkers mean items or talkers that appeared during both training and pretesting. New items and talkers mean items or talkers that appeared during pretesting, but not during training.</w:t>
      </w:r>
      <w:r w:rsidR="00322FD4" w:rsidRPr="009F06FB">
        <w:t xml:space="preserve"> Twenty-seven studies used old item-old talker stimuli, 30 studies used old item-new talker stimuli, 18 studies used new item-old talker stimuli, 52 studies used new item-new talker stimuli, and 19 studies did not provide sufficient information to specify the status of test stimuli. </w:t>
      </w:r>
    </w:p>
    <w:p w14:paraId="30F6BB42" w14:textId="073A2B87" w:rsidR="002C53C2" w:rsidRPr="009F06FB" w:rsidRDefault="002C53C2" w:rsidP="00F612BD">
      <w:pPr>
        <w:jc w:val="left"/>
      </w:pPr>
    </w:p>
    <w:p w14:paraId="5DA488A6" w14:textId="3B651E2B" w:rsidR="00322FD4" w:rsidRPr="009F06FB" w:rsidRDefault="00322FD4" w:rsidP="00F612BD">
      <w:pPr>
        <w:jc w:val="left"/>
        <w:rPr>
          <w:b/>
          <w:bCs/>
        </w:rPr>
      </w:pPr>
      <w:r w:rsidRPr="009F06FB">
        <w:rPr>
          <w:b/>
          <w:bCs/>
        </w:rPr>
        <w:t>Modifications to HVPT</w:t>
      </w:r>
    </w:p>
    <w:p w14:paraId="314333DC" w14:textId="00ED6979" w:rsidR="00322FD4" w:rsidRPr="009F06FB" w:rsidRDefault="00322FD4" w:rsidP="00F612BD">
      <w:pPr>
        <w:jc w:val="left"/>
      </w:pPr>
    </w:p>
    <w:p w14:paraId="2EF3F5B7" w14:textId="7F3BD0DA" w:rsidR="00322FD4" w:rsidRPr="009F06FB" w:rsidRDefault="00322FD4" w:rsidP="00F612BD">
      <w:pPr>
        <w:jc w:val="left"/>
        <w:rPr>
          <w:b/>
          <w:bCs/>
          <w:i/>
          <w:iCs/>
        </w:rPr>
      </w:pPr>
      <w:r w:rsidRPr="009F06FB">
        <w:rPr>
          <w:b/>
          <w:bCs/>
          <w:i/>
          <w:iCs/>
        </w:rPr>
        <w:t>Audiovisual input</w:t>
      </w:r>
    </w:p>
    <w:p w14:paraId="34C83CBF" w14:textId="728399EB" w:rsidR="00322FD4" w:rsidRPr="009F06FB" w:rsidRDefault="00322FD4" w:rsidP="00F612BD">
      <w:pPr>
        <w:jc w:val="left"/>
      </w:pPr>
      <w:r w:rsidRPr="009F06FB">
        <w:t xml:space="preserve">This variable </w:t>
      </w:r>
      <w:r w:rsidR="002D6EF4" w:rsidRPr="009F06FB">
        <w:t>was coded as providing audiovisual input or audio-only input. In studies providing audiovisual input, participants were presented with a talker’s face (Hardison, 2003) or hand gestures (Hirata &amp; Kelly, 2010)</w:t>
      </w:r>
      <w:r w:rsidR="005256AB" w:rsidRPr="009F06FB">
        <w:t xml:space="preserve"> while listening to auditory stimuli. Seven studies provided audiovisual input, and 92 studies provided audio-only input.</w:t>
      </w:r>
      <w:r w:rsidR="00427326">
        <w:rPr>
          <w:rFonts w:hint="eastAsia"/>
        </w:rPr>
        <w:t xml:space="preserve"> There was no missing data for this variable.</w:t>
      </w:r>
    </w:p>
    <w:p w14:paraId="2A23F22E" w14:textId="400E9B96" w:rsidR="005256AB" w:rsidRPr="009F06FB" w:rsidRDefault="005256AB" w:rsidP="00F612BD">
      <w:pPr>
        <w:jc w:val="left"/>
      </w:pPr>
    </w:p>
    <w:p w14:paraId="0B73B145" w14:textId="080289D7" w:rsidR="005256AB" w:rsidRPr="009F06FB" w:rsidRDefault="00DA560F" w:rsidP="00F612BD">
      <w:pPr>
        <w:jc w:val="left"/>
        <w:rPr>
          <w:b/>
          <w:bCs/>
          <w:i/>
          <w:iCs/>
        </w:rPr>
      </w:pPr>
      <w:r w:rsidRPr="009F06FB">
        <w:rPr>
          <w:b/>
          <w:bCs/>
          <w:i/>
          <w:iCs/>
        </w:rPr>
        <w:t>Acoustic cue manipulation</w:t>
      </w:r>
    </w:p>
    <w:p w14:paraId="6E7FA553" w14:textId="6D2E29E2" w:rsidR="005256AB" w:rsidRPr="009F06FB" w:rsidRDefault="005256AB" w:rsidP="00F612BD">
      <w:pPr>
        <w:jc w:val="left"/>
      </w:pPr>
      <w:r w:rsidRPr="009F06FB">
        <w:t>This variable was coded as whether certain acoustic features of</w:t>
      </w:r>
      <w:r w:rsidR="008806E2">
        <w:t xml:space="preserve"> the</w:t>
      </w:r>
      <w:r w:rsidRPr="009F06FB">
        <w:t xml:space="preserve"> training stimuli were synthetically manipulated or not. For example, </w:t>
      </w:r>
      <w:r w:rsidR="00DA560F" w:rsidRPr="009F06FB">
        <w:t xml:space="preserve">with the goal of drawing learners’ attention to vowel quality rather than vowel duration, Wang and Munro (2004) created synthetic stimuli that varied in duration with a view to informing learners that durational cues would not be reliable to distinguish vowel contrasts. Three studies implemented </w:t>
      </w:r>
      <w:r w:rsidR="000962EC" w:rsidRPr="009F06FB">
        <w:t>acoustic cue manipulation, and 9</w:t>
      </w:r>
      <w:r w:rsidR="0004503F">
        <w:rPr>
          <w:rFonts w:hint="eastAsia"/>
        </w:rPr>
        <w:t>6</w:t>
      </w:r>
      <w:r w:rsidR="000962EC" w:rsidRPr="009F06FB">
        <w:t xml:space="preserve"> studies did not.</w:t>
      </w:r>
      <w:r w:rsidR="0004503F">
        <w:rPr>
          <w:rFonts w:hint="eastAsia"/>
        </w:rPr>
        <w:t xml:space="preserve"> There was no missing data for this variable. </w:t>
      </w:r>
    </w:p>
    <w:p w14:paraId="395DBD68" w14:textId="5C381087" w:rsidR="000962EC" w:rsidRPr="009F06FB" w:rsidRDefault="000962EC" w:rsidP="00F612BD">
      <w:pPr>
        <w:jc w:val="left"/>
      </w:pPr>
    </w:p>
    <w:p w14:paraId="6DDEF6DD" w14:textId="3AFE38D2" w:rsidR="000962EC" w:rsidRPr="009F06FB" w:rsidRDefault="000962EC" w:rsidP="00F612BD">
      <w:pPr>
        <w:jc w:val="left"/>
        <w:rPr>
          <w:b/>
          <w:bCs/>
        </w:rPr>
      </w:pPr>
      <w:r w:rsidRPr="009F06FB">
        <w:rPr>
          <w:b/>
          <w:bCs/>
        </w:rPr>
        <w:t>Training Intensity</w:t>
      </w:r>
    </w:p>
    <w:p w14:paraId="45D6A795" w14:textId="56E7CA0E" w:rsidR="000962EC" w:rsidRPr="009F06FB" w:rsidRDefault="000962EC" w:rsidP="00F612BD">
      <w:pPr>
        <w:jc w:val="left"/>
      </w:pPr>
    </w:p>
    <w:p w14:paraId="153F6D81" w14:textId="464D10AB" w:rsidR="000962EC" w:rsidRPr="009F06FB" w:rsidRDefault="000962EC" w:rsidP="00F612BD">
      <w:pPr>
        <w:jc w:val="left"/>
        <w:rPr>
          <w:b/>
          <w:bCs/>
          <w:i/>
          <w:iCs/>
        </w:rPr>
      </w:pPr>
      <w:r w:rsidRPr="009F06FB">
        <w:rPr>
          <w:b/>
          <w:bCs/>
          <w:i/>
          <w:iCs/>
        </w:rPr>
        <w:t>Duration</w:t>
      </w:r>
    </w:p>
    <w:p w14:paraId="15855042" w14:textId="584939E9" w:rsidR="000962EC" w:rsidRPr="009F06FB" w:rsidRDefault="000962EC" w:rsidP="00F612BD">
      <w:pPr>
        <w:jc w:val="left"/>
      </w:pPr>
      <w:r w:rsidRPr="009F06FB">
        <w:t xml:space="preserve">This variable was categorically coded into (a) &gt; 2 months, (b) 1 to 2 months, (c) 1 week to 1 month, and (d) &lt; 1 week. Training lasted for more than 2 months in four studies, 1 to 2 months in 28 studies, 1 week to 1 month in 47 studies, less than 1 week </w:t>
      </w:r>
      <w:r w:rsidR="002F1EF8" w:rsidRPr="009F06FB">
        <w:t>in six studies, and the information was not available in 14 studies</w:t>
      </w:r>
      <w:r w:rsidR="00F429DA">
        <w:rPr>
          <w:rFonts w:hint="eastAsia"/>
        </w:rPr>
        <w:t xml:space="preserve"> (14.1%)</w:t>
      </w:r>
      <w:r w:rsidR="002F1EF8" w:rsidRPr="009F06FB">
        <w:t>.</w:t>
      </w:r>
    </w:p>
    <w:p w14:paraId="1CF1BD07" w14:textId="77777777" w:rsidR="00322FD4" w:rsidRPr="009F06FB" w:rsidRDefault="00322FD4" w:rsidP="00F612BD">
      <w:pPr>
        <w:jc w:val="left"/>
      </w:pPr>
    </w:p>
    <w:p w14:paraId="0A74A59D" w14:textId="4F584CDE" w:rsidR="002F1EF8" w:rsidRPr="009F06FB" w:rsidRDefault="002F1EF8" w:rsidP="00F612BD">
      <w:pPr>
        <w:jc w:val="left"/>
        <w:rPr>
          <w:b/>
          <w:bCs/>
          <w:i/>
          <w:iCs/>
        </w:rPr>
      </w:pPr>
      <w:r w:rsidRPr="009F06FB">
        <w:rPr>
          <w:b/>
          <w:bCs/>
          <w:i/>
          <w:iCs/>
        </w:rPr>
        <w:t>Number of sessions</w:t>
      </w:r>
      <w:r w:rsidR="008350A7" w:rsidRPr="009F06FB">
        <w:rPr>
          <w:b/>
          <w:bCs/>
          <w:i/>
          <w:iCs/>
        </w:rPr>
        <w:t>, n</w:t>
      </w:r>
      <w:r w:rsidRPr="009F06FB">
        <w:rPr>
          <w:b/>
          <w:bCs/>
          <w:i/>
          <w:iCs/>
        </w:rPr>
        <w:t>umber of trials per session</w:t>
      </w:r>
      <w:r w:rsidR="008350A7" w:rsidRPr="009F06FB">
        <w:rPr>
          <w:b/>
          <w:bCs/>
          <w:i/>
          <w:iCs/>
        </w:rPr>
        <w:t xml:space="preserve">, </w:t>
      </w:r>
      <w:r w:rsidRPr="009F06FB">
        <w:rPr>
          <w:b/>
          <w:bCs/>
          <w:i/>
          <w:iCs/>
        </w:rPr>
        <w:t>and total number of trials</w:t>
      </w:r>
    </w:p>
    <w:p w14:paraId="469F9856" w14:textId="7F02C927" w:rsidR="002F1EF8" w:rsidRPr="009F06FB" w:rsidRDefault="008350A7" w:rsidP="00F612BD">
      <w:pPr>
        <w:jc w:val="left"/>
      </w:pPr>
      <w:r w:rsidRPr="009F06FB">
        <w:t>Number of sessions refer</w:t>
      </w:r>
      <w:r w:rsidR="00FF56D2">
        <w:t>s</w:t>
      </w:r>
      <w:r w:rsidRPr="009F06FB">
        <w:t xml:space="preserve"> to</w:t>
      </w:r>
      <w:r w:rsidR="00594558" w:rsidRPr="009F06FB">
        <w:t xml:space="preserve"> the number of sets of training trials that participants completed in one </w:t>
      </w:r>
      <w:r w:rsidR="00594558" w:rsidRPr="009F06FB">
        <w:lastRenderedPageBreak/>
        <w:t xml:space="preserve">go. Ninety-five studies reported this information. </w:t>
      </w:r>
      <w:proofErr w:type="gramStart"/>
      <w:r w:rsidR="00594558" w:rsidRPr="009F06FB">
        <w:t>Number</w:t>
      </w:r>
      <w:proofErr w:type="gramEnd"/>
      <w:r w:rsidR="00594558" w:rsidRPr="009F06FB">
        <w:t xml:space="preserve"> of trials per session was the number of training trials participants completed in each session. Seventy-five studies reported this information. </w:t>
      </w:r>
      <w:proofErr w:type="gramStart"/>
      <w:r w:rsidR="00594558" w:rsidRPr="009F06FB">
        <w:t>Total</w:t>
      </w:r>
      <w:proofErr w:type="gramEnd"/>
      <w:r w:rsidR="00594558" w:rsidRPr="009F06FB">
        <w:t xml:space="preserve"> number of trials was the number of training trials participants completed in each experiment. When this information was not available, </w:t>
      </w:r>
      <w:r w:rsidR="002709F3" w:rsidRPr="009F06FB">
        <w:t>it was calculated by multiplying the number of trials per session by the number of sessions. Eighty-one studies provided this information</w:t>
      </w:r>
      <w:r w:rsidR="00F2364B">
        <w:rPr>
          <w:rFonts w:hint="eastAsia"/>
        </w:rPr>
        <w:t xml:space="preserve"> (18.1% missing data)</w:t>
      </w:r>
      <w:r w:rsidR="002709F3" w:rsidRPr="009F06FB">
        <w:t>.</w:t>
      </w:r>
    </w:p>
    <w:p w14:paraId="48C1F09D" w14:textId="77777777" w:rsidR="008350A7" w:rsidRPr="009F06FB" w:rsidRDefault="008350A7" w:rsidP="00F612BD">
      <w:pPr>
        <w:jc w:val="left"/>
      </w:pPr>
    </w:p>
    <w:p w14:paraId="742A6F54" w14:textId="1FDCFD7C" w:rsidR="002F1EF8" w:rsidRPr="009F06FB" w:rsidRDefault="002F1EF8" w:rsidP="00F612BD">
      <w:pPr>
        <w:jc w:val="left"/>
        <w:rPr>
          <w:b/>
          <w:bCs/>
          <w:i/>
          <w:iCs/>
        </w:rPr>
      </w:pPr>
      <w:r w:rsidRPr="009F06FB">
        <w:rPr>
          <w:b/>
          <w:bCs/>
          <w:i/>
          <w:iCs/>
        </w:rPr>
        <w:t>Training time per session and total training time</w:t>
      </w:r>
    </w:p>
    <w:p w14:paraId="20C7216A" w14:textId="64468BC0" w:rsidR="003220C0" w:rsidRPr="009F06FB" w:rsidRDefault="002709F3" w:rsidP="00F612BD">
      <w:pPr>
        <w:jc w:val="left"/>
      </w:pPr>
      <w:r w:rsidRPr="009F06FB">
        <w:t>Training time per session was the time participants spent completing training trials in each session (min). Eighty-one studies reported this information. Total training time was the time participants spent completing all training trials in each experiment (min). When this information was not available, it was calculated by multiplying training time per session by the number of sessions. Eighty-two studies provided this information</w:t>
      </w:r>
      <w:r w:rsidR="00F2364B">
        <w:rPr>
          <w:rFonts w:hint="eastAsia"/>
        </w:rPr>
        <w:t xml:space="preserve"> (17.2% missing data)</w:t>
      </w:r>
      <w:r w:rsidRPr="009F06FB">
        <w:t>.</w:t>
      </w:r>
    </w:p>
    <w:p w14:paraId="42FAF9C6" w14:textId="3A3CF919" w:rsidR="00AB4DC1" w:rsidRPr="009F06FB" w:rsidRDefault="00AB4DC1" w:rsidP="00F612BD">
      <w:pPr>
        <w:jc w:val="left"/>
      </w:pPr>
    </w:p>
    <w:p w14:paraId="502D0920" w14:textId="00C28716" w:rsidR="00AB4DC1" w:rsidRPr="009F06FB" w:rsidRDefault="00AB4DC1" w:rsidP="00AB4DC1">
      <w:pPr>
        <w:jc w:val="center"/>
        <w:rPr>
          <w:b/>
          <w:bCs/>
        </w:rPr>
      </w:pPr>
      <w:r w:rsidRPr="009F06FB">
        <w:rPr>
          <w:b/>
          <w:bCs/>
        </w:rPr>
        <w:t>References</w:t>
      </w:r>
    </w:p>
    <w:p w14:paraId="42A3B9A8" w14:textId="5ACF2956" w:rsidR="00990496" w:rsidRPr="00990496" w:rsidRDefault="00990496" w:rsidP="00990496">
      <w:pPr>
        <w:pStyle w:val="a3"/>
        <w:spacing w:line="240" w:lineRule="auto"/>
        <w:jc w:val="left"/>
      </w:pPr>
      <w:r w:rsidRPr="00990496">
        <w:t xml:space="preserve">Giannakopoulou, A., Uther, M., &amp; Ylinen, S. (2013). Enhanced plasticity in spoken language acquisition for child learners: Evidence from phonetic training studies in child and adult learners of English. </w:t>
      </w:r>
      <w:r w:rsidRPr="00990496">
        <w:rPr>
          <w:i/>
          <w:iCs/>
        </w:rPr>
        <w:t>Child Language Teaching and Therapy</w:t>
      </w:r>
      <w:r w:rsidRPr="00990496">
        <w:t xml:space="preserve">, </w:t>
      </w:r>
      <w:r w:rsidRPr="00990496">
        <w:rPr>
          <w:i/>
          <w:iCs/>
        </w:rPr>
        <w:t>29</w:t>
      </w:r>
      <w:r w:rsidRPr="00990496">
        <w:t>(2), 201–218. https://doi.org/10.1177/0265659012467473</w:t>
      </w:r>
    </w:p>
    <w:p w14:paraId="1E16434A" w14:textId="77777777" w:rsidR="00990496" w:rsidRPr="00990496" w:rsidRDefault="00990496" w:rsidP="00990496">
      <w:pPr>
        <w:pStyle w:val="a3"/>
        <w:spacing w:line="240" w:lineRule="auto"/>
        <w:jc w:val="left"/>
      </w:pPr>
      <w:r w:rsidRPr="00990496">
        <w:t xml:space="preserve">Hardison, D. M. (2003). Acquisition of second-language speech: Effects of visual cues, context, and talker variability. </w:t>
      </w:r>
      <w:r w:rsidRPr="00990496">
        <w:rPr>
          <w:i/>
          <w:iCs/>
        </w:rPr>
        <w:t>Applied Psycholinguistics</w:t>
      </w:r>
      <w:r w:rsidRPr="00990496">
        <w:t xml:space="preserve">, </w:t>
      </w:r>
      <w:r w:rsidRPr="00990496">
        <w:rPr>
          <w:i/>
          <w:iCs/>
        </w:rPr>
        <w:t>24</w:t>
      </w:r>
      <w:r w:rsidRPr="00990496">
        <w:t>(4), 495–522. https://doi.org/10.1017/S0142716403000250</w:t>
      </w:r>
    </w:p>
    <w:p w14:paraId="57203EE1" w14:textId="77777777" w:rsidR="00990496" w:rsidRPr="00990496" w:rsidRDefault="00990496" w:rsidP="00990496">
      <w:pPr>
        <w:pStyle w:val="a3"/>
        <w:spacing w:line="240" w:lineRule="auto"/>
        <w:jc w:val="left"/>
      </w:pPr>
      <w:r w:rsidRPr="00990496">
        <w:t xml:space="preserve">Hirata, Y., &amp; Kelly, S. D. (2010). Effects of lips and hands on auditory learning of second-language speech sounds. </w:t>
      </w:r>
      <w:r w:rsidRPr="00990496">
        <w:rPr>
          <w:i/>
          <w:iCs/>
        </w:rPr>
        <w:t>Journal of Speech, Language, and Hearing Research</w:t>
      </w:r>
      <w:r w:rsidRPr="00990496">
        <w:t xml:space="preserve">, </w:t>
      </w:r>
      <w:r w:rsidRPr="00990496">
        <w:rPr>
          <w:i/>
          <w:iCs/>
        </w:rPr>
        <w:t>53</w:t>
      </w:r>
      <w:r w:rsidRPr="00990496">
        <w:t>(2), 298–310. https://doi.org/10.1044/1092-4388(2009/08-0243)</w:t>
      </w:r>
    </w:p>
    <w:p w14:paraId="0B192525" w14:textId="77777777" w:rsidR="00990496" w:rsidRPr="00990496" w:rsidRDefault="00990496" w:rsidP="00990496">
      <w:pPr>
        <w:pStyle w:val="a3"/>
        <w:spacing w:line="240" w:lineRule="auto"/>
        <w:jc w:val="left"/>
      </w:pPr>
      <w:proofErr w:type="spellStart"/>
      <w:r w:rsidRPr="00990496">
        <w:t>Huensch</w:t>
      </w:r>
      <w:proofErr w:type="spellEnd"/>
      <w:r w:rsidRPr="00990496">
        <w:t xml:space="preserve">, A., &amp; Tremblay, A. (2015). Effects of perceptual phonetic training on the perception and production of second language syllable structure. </w:t>
      </w:r>
      <w:r w:rsidRPr="00990496">
        <w:rPr>
          <w:i/>
          <w:iCs/>
        </w:rPr>
        <w:t>Journal of Phonetics</w:t>
      </w:r>
      <w:r w:rsidRPr="00990496">
        <w:t xml:space="preserve">, </w:t>
      </w:r>
      <w:r w:rsidRPr="00990496">
        <w:rPr>
          <w:i/>
          <w:iCs/>
        </w:rPr>
        <w:t>52</w:t>
      </w:r>
      <w:r w:rsidRPr="00990496">
        <w:t>, 105–120. https://doi.org/10.1016/j.wocn.2015.06.007</w:t>
      </w:r>
    </w:p>
    <w:p w14:paraId="5EB2A307" w14:textId="77777777" w:rsidR="00990496" w:rsidRPr="00990496" w:rsidRDefault="00990496" w:rsidP="00990496">
      <w:pPr>
        <w:pStyle w:val="a3"/>
        <w:spacing w:line="240" w:lineRule="auto"/>
        <w:jc w:val="left"/>
      </w:pPr>
      <w:proofErr w:type="spellStart"/>
      <w:r w:rsidRPr="00990496">
        <w:t>Lacabex</w:t>
      </w:r>
      <w:proofErr w:type="spellEnd"/>
      <w:r w:rsidRPr="00990496">
        <w:t xml:space="preserve">, E. G., &amp; Gallardo del Puerto, F. (2014). Two phonetic-training procedures for young learners: Investigating instructional effects on perceptual awareness. </w:t>
      </w:r>
      <w:r w:rsidRPr="00990496">
        <w:rPr>
          <w:i/>
          <w:iCs/>
        </w:rPr>
        <w:t>The Canadian Modern Language Review</w:t>
      </w:r>
      <w:r w:rsidRPr="00990496">
        <w:t xml:space="preserve">, </w:t>
      </w:r>
      <w:r w:rsidRPr="00990496">
        <w:rPr>
          <w:i/>
          <w:iCs/>
        </w:rPr>
        <w:t>70</w:t>
      </w:r>
      <w:r w:rsidRPr="00990496">
        <w:t>(4), 500–531. https://doi.org/10.3138/cmlr.2324</w:t>
      </w:r>
    </w:p>
    <w:p w14:paraId="0625324A" w14:textId="77777777" w:rsidR="00990496" w:rsidRPr="00990496" w:rsidRDefault="00990496" w:rsidP="00990496">
      <w:pPr>
        <w:pStyle w:val="a3"/>
        <w:spacing w:line="240" w:lineRule="auto"/>
        <w:jc w:val="left"/>
      </w:pPr>
      <w:r w:rsidRPr="00990496">
        <w:t xml:space="preserve">Lambacher, S. G., Martens, W. L., </w:t>
      </w:r>
      <w:proofErr w:type="spellStart"/>
      <w:r w:rsidRPr="00990496">
        <w:t>Kakehi</w:t>
      </w:r>
      <w:proofErr w:type="spellEnd"/>
      <w:r w:rsidRPr="00990496">
        <w:t xml:space="preserve">, K., Marasinghe, C. A., &amp; </w:t>
      </w:r>
      <w:proofErr w:type="spellStart"/>
      <w:r w:rsidRPr="00990496">
        <w:t>Molholt</w:t>
      </w:r>
      <w:proofErr w:type="spellEnd"/>
      <w:r w:rsidRPr="00990496">
        <w:t xml:space="preserve">, G. (2005). The effects of identification training on the identification and production of American English vowels by native speakers of Japanese. </w:t>
      </w:r>
      <w:r w:rsidRPr="00990496">
        <w:rPr>
          <w:i/>
          <w:iCs/>
        </w:rPr>
        <w:t>Applied Psycholinguistics</w:t>
      </w:r>
      <w:r w:rsidRPr="00990496">
        <w:t xml:space="preserve">, </w:t>
      </w:r>
      <w:r w:rsidRPr="00990496">
        <w:rPr>
          <w:i/>
          <w:iCs/>
        </w:rPr>
        <w:t>26</w:t>
      </w:r>
      <w:r w:rsidRPr="00990496">
        <w:t>(2), 227–247. https://doi.org/10.1017/S0142716405050150</w:t>
      </w:r>
    </w:p>
    <w:p w14:paraId="5C070631" w14:textId="77777777" w:rsidR="00990496" w:rsidRPr="00990496" w:rsidRDefault="00990496" w:rsidP="00990496">
      <w:pPr>
        <w:pStyle w:val="a3"/>
        <w:spacing w:line="240" w:lineRule="auto"/>
        <w:jc w:val="left"/>
      </w:pPr>
      <w:r w:rsidRPr="00990496">
        <w:t xml:space="preserve">Lee, A. H., &amp; Lyster, R. (2016). Effects of different types of corrective feedback on receptive skills in a second language: A speech perception training study. </w:t>
      </w:r>
      <w:r w:rsidRPr="00990496">
        <w:rPr>
          <w:i/>
          <w:iCs/>
        </w:rPr>
        <w:t>Language Learning</w:t>
      </w:r>
      <w:r w:rsidRPr="00990496">
        <w:t xml:space="preserve">, </w:t>
      </w:r>
      <w:r w:rsidRPr="00990496">
        <w:rPr>
          <w:i/>
          <w:iCs/>
        </w:rPr>
        <w:t>66</w:t>
      </w:r>
      <w:r w:rsidRPr="00990496">
        <w:t>(4), 809–833. https://doi.org/10.1111/lang.12167</w:t>
      </w:r>
    </w:p>
    <w:p w14:paraId="14856051" w14:textId="77777777" w:rsidR="00990496" w:rsidRPr="00990496" w:rsidRDefault="00990496" w:rsidP="00990496">
      <w:pPr>
        <w:pStyle w:val="a3"/>
        <w:spacing w:line="240" w:lineRule="auto"/>
        <w:jc w:val="left"/>
      </w:pPr>
      <w:r w:rsidRPr="00990496">
        <w:lastRenderedPageBreak/>
        <w:t xml:space="preserve">Lively, S. E., Logan, J. S., &amp; Pisoni, D. B. (1993). Training Japanese listeners to identify English /r/ and /l/. II: The role of phonetic environment and talker variability in learning new perceptual categories. </w:t>
      </w:r>
      <w:r w:rsidRPr="00990496">
        <w:rPr>
          <w:i/>
          <w:iCs/>
        </w:rPr>
        <w:t>The Journal of the Acoustical Society of America</w:t>
      </w:r>
      <w:r w:rsidRPr="00990496">
        <w:t xml:space="preserve">, </w:t>
      </w:r>
      <w:r w:rsidRPr="00990496">
        <w:rPr>
          <w:i/>
          <w:iCs/>
        </w:rPr>
        <w:t>94</w:t>
      </w:r>
      <w:r w:rsidRPr="00990496">
        <w:t>(3), 1242–1255. https://doi.org/10.1121/1.408177</w:t>
      </w:r>
    </w:p>
    <w:p w14:paraId="5BCCC716" w14:textId="77777777" w:rsidR="00990496" w:rsidRPr="00990496" w:rsidRDefault="00990496" w:rsidP="00990496">
      <w:pPr>
        <w:pStyle w:val="a3"/>
        <w:spacing w:line="240" w:lineRule="auto"/>
        <w:jc w:val="left"/>
      </w:pPr>
      <w:r w:rsidRPr="00990496">
        <w:t xml:space="preserve">Qian, M. (2018). </w:t>
      </w:r>
      <w:r w:rsidRPr="00990496">
        <w:rPr>
          <w:i/>
          <w:iCs/>
        </w:rPr>
        <w:t>An adaptive computational system for automated, learner-customized segmental perception training in words and sentences: Design, implementation, assessment</w:t>
      </w:r>
      <w:r w:rsidRPr="00990496">
        <w:t xml:space="preserve"> [Unpublished doctoral dissertation]. Iowa State University.</w:t>
      </w:r>
    </w:p>
    <w:p w14:paraId="59FE71A7" w14:textId="77777777" w:rsidR="00990496" w:rsidRPr="00990496" w:rsidRDefault="00990496" w:rsidP="00990496">
      <w:pPr>
        <w:pStyle w:val="a3"/>
        <w:spacing w:line="240" w:lineRule="auto"/>
        <w:jc w:val="left"/>
      </w:pPr>
      <w:r w:rsidRPr="00990496">
        <w:t xml:space="preserve">Shinohara, Y., &amp; Iverson, P. (2021). The effect of age on English /r/-/l/ perceptual training outcomes for Japanese speakers. </w:t>
      </w:r>
      <w:r w:rsidRPr="00990496">
        <w:rPr>
          <w:i/>
          <w:iCs/>
        </w:rPr>
        <w:t>Journal of Phonetics</w:t>
      </w:r>
      <w:r w:rsidRPr="00990496">
        <w:t xml:space="preserve">, </w:t>
      </w:r>
      <w:r w:rsidRPr="00990496">
        <w:rPr>
          <w:i/>
          <w:iCs/>
        </w:rPr>
        <w:t>89</w:t>
      </w:r>
      <w:r w:rsidRPr="00990496">
        <w:t>, 101108. https://doi.org/10.1016/j.wocn.2021.101108</w:t>
      </w:r>
    </w:p>
    <w:p w14:paraId="115B0BA2" w14:textId="77777777" w:rsidR="00990496" w:rsidRPr="00990496" w:rsidRDefault="00990496" w:rsidP="00990496">
      <w:pPr>
        <w:pStyle w:val="a3"/>
        <w:spacing w:line="240" w:lineRule="auto"/>
        <w:jc w:val="left"/>
      </w:pPr>
      <w:proofErr w:type="spellStart"/>
      <w:r w:rsidRPr="00990496">
        <w:t>Silpachai</w:t>
      </w:r>
      <w:proofErr w:type="spellEnd"/>
      <w:r w:rsidRPr="00990496">
        <w:t xml:space="preserve">, A. (2020). The role of talker variability in the perceptual learning of Mandarin tones by American English listeners. </w:t>
      </w:r>
      <w:r w:rsidRPr="00990496">
        <w:rPr>
          <w:i/>
          <w:iCs/>
        </w:rPr>
        <w:t>Journal of Second Language Pronunciation</w:t>
      </w:r>
      <w:r w:rsidRPr="00990496">
        <w:t xml:space="preserve">, </w:t>
      </w:r>
      <w:r w:rsidRPr="00990496">
        <w:rPr>
          <w:i/>
          <w:iCs/>
        </w:rPr>
        <w:t>6</w:t>
      </w:r>
      <w:r w:rsidRPr="00990496">
        <w:t>(2), 209–235. https://doi.org/10.1075/jslp.19010.sil</w:t>
      </w:r>
    </w:p>
    <w:p w14:paraId="6CD9F1E8" w14:textId="77777777" w:rsidR="00990496" w:rsidRPr="00990496" w:rsidRDefault="00990496" w:rsidP="00990496">
      <w:pPr>
        <w:pStyle w:val="a3"/>
        <w:spacing w:line="240" w:lineRule="auto"/>
        <w:jc w:val="left"/>
      </w:pPr>
      <w:r w:rsidRPr="00990496">
        <w:t xml:space="preserve">Thomson, R. I. (2012). Improving L2 listeners’ perception of English vowels: A computer-mediated approach. </w:t>
      </w:r>
      <w:r w:rsidRPr="00990496">
        <w:rPr>
          <w:i/>
          <w:iCs/>
        </w:rPr>
        <w:t>Language Learning</w:t>
      </w:r>
      <w:r w:rsidRPr="00990496">
        <w:t xml:space="preserve">, </w:t>
      </w:r>
      <w:r w:rsidRPr="00990496">
        <w:rPr>
          <w:i/>
          <w:iCs/>
        </w:rPr>
        <w:t>62</w:t>
      </w:r>
      <w:r w:rsidRPr="00990496">
        <w:t>(4), 1231–1258. https://doi.org/10.1111/j.1467-9922.2012.00724.x</w:t>
      </w:r>
    </w:p>
    <w:p w14:paraId="002249FF" w14:textId="77777777" w:rsidR="00990496" w:rsidRPr="00990496" w:rsidRDefault="00990496" w:rsidP="00990496">
      <w:pPr>
        <w:pStyle w:val="a3"/>
        <w:spacing w:line="240" w:lineRule="auto"/>
        <w:jc w:val="left"/>
      </w:pPr>
      <w:r w:rsidRPr="00990496">
        <w:t xml:space="preserve">Wang, X. (2013). Perception of Mandarin tones: The effect of L1 background and training. </w:t>
      </w:r>
      <w:r w:rsidRPr="00990496">
        <w:rPr>
          <w:i/>
          <w:iCs/>
        </w:rPr>
        <w:t>The Modern Language Journal</w:t>
      </w:r>
      <w:r w:rsidRPr="00990496">
        <w:t xml:space="preserve">, </w:t>
      </w:r>
      <w:r w:rsidRPr="00990496">
        <w:rPr>
          <w:i/>
          <w:iCs/>
        </w:rPr>
        <w:t>97</w:t>
      </w:r>
      <w:r w:rsidRPr="00990496">
        <w:t>(1), 144–160. https://doi.org/10.1111/j.1540-4781.2013.01386.x</w:t>
      </w:r>
    </w:p>
    <w:p w14:paraId="3E7D60BA" w14:textId="77777777" w:rsidR="00990496" w:rsidRPr="00990496" w:rsidRDefault="00990496" w:rsidP="00990496">
      <w:pPr>
        <w:pStyle w:val="a3"/>
        <w:spacing w:line="240" w:lineRule="auto"/>
        <w:jc w:val="left"/>
      </w:pPr>
      <w:r w:rsidRPr="00990496">
        <w:t xml:space="preserve">Wang, X., &amp; Munro, M. J. (2004). Computer-based training for learning English vowel contrasts. </w:t>
      </w:r>
      <w:r w:rsidRPr="00990496">
        <w:rPr>
          <w:i/>
          <w:iCs/>
        </w:rPr>
        <w:t>System</w:t>
      </w:r>
      <w:r w:rsidRPr="00990496">
        <w:t xml:space="preserve">, </w:t>
      </w:r>
      <w:r w:rsidRPr="00990496">
        <w:rPr>
          <w:i/>
          <w:iCs/>
        </w:rPr>
        <w:t>32</w:t>
      </w:r>
      <w:r w:rsidRPr="00990496">
        <w:t>(4), 539–552. https://doi.org/10.1016/j.system.2004.09.011</w:t>
      </w:r>
    </w:p>
    <w:p w14:paraId="6AF49609" w14:textId="77777777" w:rsidR="00990496" w:rsidRPr="00990496" w:rsidRDefault="00990496" w:rsidP="00990496">
      <w:pPr>
        <w:pStyle w:val="a3"/>
        <w:spacing w:line="240" w:lineRule="auto"/>
        <w:jc w:val="left"/>
      </w:pPr>
      <w:r w:rsidRPr="00990496">
        <w:t xml:space="preserve">Yang, R., Nanjo, H., &amp; </w:t>
      </w:r>
      <w:proofErr w:type="spellStart"/>
      <w:r w:rsidRPr="00990496">
        <w:t>Dantsuji</w:t>
      </w:r>
      <w:proofErr w:type="spellEnd"/>
      <w:r w:rsidRPr="00990496">
        <w:t xml:space="preserve">, M. (2021). </w:t>
      </w:r>
      <w:proofErr w:type="spellStart"/>
      <w:r w:rsidRPr="00990496">
        <w:t>Self adaptive</w:t>
      </w:r>
      <w:proofErr w:type="spellEnd"/>
      <w:r w:rsidRPr="00990496">
        <w:t xml:space="preserve"> phonetic training for Mandarin nasal codas. </w:t>
      </w:r>
      <w:r w:rsidRPr="00990496">
        <w:rPr>
          <w:i/>
          <w:iCs/>
        </w:rPr>
        <w:t>Computer-Assisted Language Learning Electronic Journal</w:t>
      </w:r>
      <w:r w:rsidRPr="00990496">
        <w:t xml:space="preserve">, </w:t>
      </w:r>
      <w:r w:rsidRPr="00990496">
        <w:rPr>
          <w:i/>
          <w:iCs/>
        </w:rPr>
        <w:t>22</w:t>
      </w:r>
      <w:r w:rsidRPr="00990496">
        <w:t>(1), 391–413.</w:t>
      </w:r>
    </w:p>
    <w:p w14:paraId="45BB3716" w14:textId="4AF6029D" w:rsidR="00F317E8" w:rsidRPr="009F06FB" w:rsidRDefault="00F317E8" w:rsidP="00990496">
      <w:pPr>
        <w:jc w:val="left"/>
        <w:sectPr w:rsidR="00F317E8" w:rsidRPr="009F06FB" w:rsidSect="00F612BD">
          <w:pgSz w:w="11906" w:h="16838"/>
          <w:pgMar w:top="1440" w:right="1080" w:bottom="1440" w:left="1080" w:header="851" w:footer="992" w:gutter="0"/>
          <w:cols w:space="425"/>
          <w:docGrid w:type="lines" w:linePitch="360"/>
        </w:sectPr>
      </w:pPr>
    </w:p>
    <w:p w14:paraId="41C51149" w14:textId="4D31E3A1" w:rsidR="00AB4DC1" w:rsidRPr="009F06FB" w:rsidRDefault="00F317E8" w:rsidP="00F317E8">
      <w:pPr>
        <w:jc w:val="center"/>
        <w:rPr>
          <w:b/>
          <w:bCs/>
        </w:rPr>
      </w:pPr>
      <w:r w:rsidRPr="008D442F">
        <w:rPr>
          <w:b/>
          <w:bCs/>
        </w:rPr>
        <w:lastRenderedPageBreak/>
        <w:t>Appendix 2: Equations for Calculating Effect Sizes and Sampling Variance</w:t>
      </w:r>
    </w:p>
    <w:p w14:paraId="292E6F3D" w14:textId="756E381F" w:rsidR="00EF2DC6" w:rsidRPr="009F06FB" w:rsidRDefault="00EF2DC6" w:rsidP="00F317E8">
      <w:pPr>
        <w:jc w:val="center"/>
      </w:pPr>
    </w:p>
    <w:p w14:paraId="1D082E1D" w14:textId="5F44840F" w:rsidR="00EF2DC6" w:rsidRDefault="00EF2DC6" w:rsidP="00EF2DC6">
      <w:pPr>
        <w:jc w:val="left"/>
        <w:rPr>
          <w:b/>
          <w:bCs/>
        </w:rPr>
      </w:pPr>
      <w:r w:rsidRPr="009F06FB">
        <w:rPr>
          <w:b/>
          <w:bCs/>
        </w:rPr>
        <w:t>Equation 1</w:t>
      </w:r>
    </w:p>
    <w:p w14:paraId="6B1751EC" w14:textId="77777777" w:rsidR="00BE6856" w:rsidRPr="00BE6856" w:rsidRDefault="00BE6856" w:rsidP="00EF2DC6">
      <w:pPr>
        <w:jc w:val="left"/>
        <w:rPr>
          <w:b/>
          <w:bCs/>
        </w:rPr>
      </w:pPr>
    </w:p>
    <w:p w14:paraId="2212001D" w14:textId="65898064" w:rsidR="00EF2DC6" w:rsidRPr="00992DAD" w:rsidRDefault="00000000" w:rsidP="00992DAD">
      <w:pPr>
        <w:ind w:firstLineChars="50" w:firstLine="120"/>
        <w:jc w:val="left"/>
        <w:rPr>
          <w:i/>
        </w:rPr>
      </w:pPr>
      <m:oMathPara>
        <m:oMathParaPr>
          <m:jc m:val="left"/>
        </m:oMathParaPr>
        <m:oMath>
          <m:sSub>
            <m:sSubPr>
              <m:ctrlPr>
                <w:rPr>
                  <w:rFonts w:ascii="Cambria Math" w:hAnsi="Cambria Math"/>
                  <w:i/>
                </w:rPr>
              </m:ctrlPr>
            </m:sSubPr>
            <m:e>
              <m:r>
                <m:rPr>
                  <m:nor/>
                </m:rPr>
                <w:rPr>
                  <w:rFonts w:ascii="Cambria Math" w:hAnsi="Cambria Math"/>
                </w:rPr>
                <m:t xml:space="preserve"> </m:t>
              </m:r>
              <m:r>
                <w:rPr>
                  <w:rFonts w:ascii="Cambria Math" w:hAnsi="Cambria Math"/>
                </w:rPr>
                <m:t>S</m:t>
              </m:r>
            </m:e>
            <m:sub>
              <m:r>
                <m:rPr>
                  <m:nor/>
                </m:rPr>
                <w:rPr>
                  <w:rFonts w:ascii="Cambria Math" w:hAnsi="Cambria Math"/>
                  <w:i/>
                  <w:iCs/>
                </w:rPr>
                <m:t>diff</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SD</m:t>
                  </m:r>
                </m:e>
                <m:sub>
                  <m:r>
                    <w:rPr>
                      <w:rFonts w:ascii="Cambria Math" w:hAnsi="Cambria Math"/>
                    </w:rPr>
                    <m:t>pre</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SD</m:t>
                  </m:r>
                </m:e>
                <m:sub>
                  <m:r>
                    <w:rPr>
                      <w:rFonts w:ascii="Cambria Math" w:hAnsi="Cambria Math"/>
                    </w:rPr>
                    <m:t>post</m:t>
                  </m:r>
                </m:sub>
                <m:sup>
                  <m:r>
                    <w:rPr>
                      <w:rFonts w:ascii="Cambria Math" w:hAnsi="Cambria Math"/>
                    </w:rPr>
                    <m:t>2</m:t>
                  </m:r>
                </m:sup>
              </m:sSubSup>
              <m:r>
                <w:rPr>
                  <w:rFonts w:ascii="Cambria Math" w:hAnsi="Cambria Math"/>
                </w:rPr>
                <m:t>-2×r×</m:t>
              </m:r>
              <m:sSub>
                <m:sSubPr>
                  <m:ctrlPr>
                    <w:rPr>
                      <w:rFonts w:ascii="Cambria Math" w:hAnsi="Cambria Math"/>
                      <w:i/>
                    </w:rPr>
                  </m:ctrlPr>
                </m:sSubPr>
                <m:e>
                  <m:r>
                    <w:rPr>
                      <w:rFonts w:ascii="Cambria Math" w:hAnsi="Cambria Math"/>
                    </w:rPr>
                    <m:t>SD</m:t>
                  </m:r>
                </m:e>
                <m:sub>
                  <m:r>
                    <w:rPr>
                      <w:rFonts w:ascii="Cambria Math" w:hAnsi="Cambria Math"/>
                    </w:rPr>
                    <m:t>pre</m:t>
                  </m:r>
                </m:sub>
              </m:sSub>
              <m:r>
                <w:rPr>
                  <w:rFonts w:ascii="Cambria Math" w:hAnsi="Cambria Math"/>
                </w:rPr>
                <m:t>×</m:t>
              </m:r>
              <m:sSub>
                <m:sSubPr>
                  <m:ctrlPr>
                    <w:rPr>
                      <w:rFonts w:ascii="Cambria Math" w:hAnsi="Cambria Math"/>
                      <w:i/>
                    </w:rPr>
                  </m:ctrlPr>
                </m:sSubPr>
                <m:e>
                  <m:r>
                    <w:rPr>
                      <w:rFonts w:ascii="Cambria Math" w:hAnsi="Cambria Math"/>
                    </w:rPr>
                    <m:t>SD</m:t>
                  </m:r>
                </m:e>
                <m:sub>
                  <m:r>
                    <w:rPr>
                      <w:rFonts w:ascii="Cambria Math" w:hAnsi="Cambria Math"/>
                    </w:rPr>
                    <m:t>post</m:t>
                  </m:r>
                </m:sub>
              </m:sSub>
            </m:e>
          </m:rad>
        </m:oMath>
      </m:oMathPara>
    </w:p>
    <w:p w14:paraId="32EF8CFE" w14:textId="77777777" w:rsidR="00992DAD" w:rsidRDefault="00992DAD" w:rsidP="00992DAD">
      <w:pPr>
        <w:jc w:val="left"/>
      </w:pPr>
    </w:p>
    <w:p w14:paraId="4B08E968" w14:textId="35DFAA41" w:rsidR="00992DAD" w:rsidRDefault="00992DAD" w:rsidP="00992DAD">
      <w:pPr>
        <w:jc w:val="left"/>
      </w:pPr>
      <w:r w:rsidRPr="009F06FB">
        <w:t>This equation was used to calculate the standard deviation of the gain scores (</w:t>
      </w:r>
      <w:proofErr w:type="spellStart"/>
      <w:r w:rsidRPr="00F348A1">
        <w:rPr>
          <w:i/>
          <w:iCs/>
        </w:rPr>
        <w:t>S</w:t>
      </w:r>
      <w:r w:rsidRPr="00F348A1">
        <w:rPr>
          <w:i/>
          <w:iCs/>
          <w:vertAlign w:val="subscript"/>
        </w:rPr>
        <w:t>diff</w:t>
      </w:r>
      <w:proofErr w:type="spellEnd"/>
      <w:r w:rsidRPr="009F06FB">
        <w:t>) from the standard deviations of pretest and posttest scores and their correlation.</w:t>
      </w:r>
    </w:p>
    <w:p w14:paraId="168BFE4E" w14:textId="77777777" w:rsidR="00957C8D" w:rsidRDefault="00957C8D" w:rsidP="005D1B99">
      <w:pPr>
        <w:jc w:val="left"/>
        <w:rPr>
          <w:b/>
          <w:bCs/>
        </w:rPr>
      </w:pPr>
    </w:p>
    <w:p w14:paraId="497ED7C2" w14:textId="0DE147CB" w:rsidR="005D1B99" w:rsidRPr="0013637D" w:rsidRDefault="005D1B99" w:rsidP="005D1B99">
      <w:pPr>
        <w:jc w:val="left"/>
        <w:rPr>
          <w:b/>
          <w:bCs/>
        </w:rPr>
      </w:pPr>
      <w:r w:rsidRPr="0013637D">
        <w:rPr>
          <w:rFonts w:hint="eastAsia"/>
          <w:b/>
          <w:bCs/>
        </w:rPr>
        <w:t>E</w:t>
      </w:r>
      <w:r w:rsidRPr="0013637D">
        <w:rPr>
          <w:b/>
          <w:bCs/>
        </w:rPr>
        <w:t xml:space="preserve">quation </w:t>
      </w:r>
      <w:r>
        <w:rPr>
          <w:rFonts w:hint="eastAsia"/>
          <w:b/>
          <w:bCs/>
        </w:rPr>
        <w:t>2</w:t>
      </w:r>
    </w:p>
    <w:p w14:paraId="22280020" w14:textId="77777777" w:rsidR="005D1B99" w:rsidRDefault="005D1B99" w:rsidP="005D1B99">
      <w:pPr>
        <w:jc w:val="left"/>
      </w:pPr>
    </w:p>
    <w:p w14:paraId="739997F9" w14:textId="443EC679" w:rsidR="005D1B99" w:rsidRPr="00464D65" w:rsidRDefault="00000000" w:rsidP="005D1B99">
      <w:pPr>
        <w:jc w:val="left"/>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within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m:rPr>
                      <m:nor/>
                    </m:rPr>
                    <w:rPr>
                      <w:rFonts w:ascii="Cambria Math" w:hAnsi="Cambria Math"/>
                      <w:i/>
                      <w:iCs/>
                    </w:rPr>
                    <m:t>diff</m:t>
                  </m:r>
                </m:sub>
              </m:sSub>
            </m:num>
            <m:den>
              <m:rad>
                <m:radPr>
                  <m:degHide m:val="1"/>
                  <m:ctrlPr>
                    <w:rPr>
                      <w:rFonts w:ascii="Cambria Math" w:hAnsi="Cambria Math"/>
                      <w:i/>
                    </w:rPr>
                  </m:ctrlPr>
                </m:radPr>
                <m:deg/>
                <m:e>
                  <m:r>
                    <w:rPr>
                      <w:rFonts w:ascii="Cambria Math" w:hAnsi="Cambria Math"/>
                    </w:rPr>
                    <m:t>2(1-r)</m:t>
                  </m:r>
                </m:e>
              </m:rad>
            </m:den>
          </m:f>
        </m:oMath>
      </m:oMathPara>
    </w:p>
    <w:p w14:paraId="66682F2E" w14:textId="77777777" w:rsidR="005D1B99" w:rsidRDefault="005D1B99" w:rsidP="005D1B99">
      <w:pPr>
        <w:jc w:val="left"/>
      </w:pPr>
    </w:p>
    <w:p w14:paraId="45E6DE23" w14:textId="77777777" w:rsidR="005D1B99" w:rsidRDefault="005D1B99" w:rsidP="005D1B99">
      <w:pPr>
        <w:jc w:val="left"/>
      </w:pPr>
      <w:r>
        <w:rPr>
          <w:rFonts w:hint="eastAsia"/>
        </w:rPr>
        <w:t>T</w:t>
      </w:r>
      <w:r>
        <w:t>his equation was used to calculate the standard deviation for independent groups (</w:t>
      </w:r>
      <w:r w:rsidRPr="00E557F1">
        <w:rPr>
          <w:i/>
          <w:iCs/>
        </w:rPr>
        <w:t>S</w:t>
      </w:r>
      <w:r w:rsidRPr="00E557F1">
        <w:rPr>
          <w:i/>
          <w:iCs/>
          <w:vertAlign w:val="subscript"/>
        </w:rPr>
        <w:t>within</w:t>
      </w:r>
      <w:r>
        <w:t>) with the standard deviation for the gain scores (</w:t>
      </w:r>
      <w:proofErr w:type="spellStart"/>
      <w:r w:rsidRPr="00E557F1">
        <w:rPr>
          <w:i/>
          <w:iCs/>
        </w:rPr>
        <w:t>S</w:t>
      </w:r>
      <w:r w:rsidRPr="00E557F1">
        <w:rPr>
          <w:i/>
          <w:iCs/>
          <w:vertAlign w:val="subscript"/>
        </w:rPr>
        <w:t>diff</w:t>
      </w:r>
      <w:proofErr w:type="spellEnd"/>
      <w:r>
        <w:t>) and the pretest-</w:t>
      </w:r>
      <w:proofErr w:type="gramStart"/>
      <w:r>
        <w:t>posttest</w:t>
      </w:r>
      <w:proofErr w:type="gramEnd"/>
      <w:r>
        <w:t xml:space="preserve"> correlation (</w:t>
      </w:r>
      <w:r w:rsidRPr="00E557F1">
        <w:rPr>
          <w:i/>
          <w:iCs/>
        </w:rPr>
        <w:t>r</w:t>
      </w:r>
      <w:r>
        <w:rPr>
          <w:i/>
          <w:iCs/>
        </w:rPr>
        <w:t xml:space="preserve"> </w:t>
      </w:r>
      <w:r>
        <w:t>= 0.6).</w:t>
      </w:r>
    </w:p>
    <w:p w14:paraId="1C4BFAA8" w14:textId="77777777" w:rsidR="001112C0" w:rsidRDefault="001112C0" w:rsidP="00992DAD">
      <w:pPr>
        <w:jc w:val="left"/>
      </w:pPr>
    </w:p>
    <w:p w14:paraId="254E8D6A" w14:textId="06118C23" w:rsidR="00767D64" w:rsidRPr="00091F3D" w:rsidRDefault="00767D64" w:rsidP="00767D64">
      <w:pPr>
        <w:jc w:val="left"/>
        <w:rPr>
          <w:b/>
          <w:bCs/>
        </w:rPr>
      </w:pPr>
      <w:r w:rsidRPr="00091F3D">
        <w:rPr>
          <w:rFonts w:hint="eastAsia"/>
          <w:b/>
          <w:bCs/>
        </w:rPr>
        <w:t>E</w:t>
      </w:r>
      <w:r w:rsidRPr="00091F3D">
        <w:rPr>
          <w:b/>
          <w:bCs/>
        </w:rPr>
        <w:t xml:space="preserve">quation </w:t>
      </w:r>
      <w:r>
        <w:rPr>
          <w:rFonts w:hint="eastAsia"/>
          <w:b/>
          <w:bCs/>
        </w:rPr>
        <w:t>3</w:t>
      </w:r>
    </w:p>
    <w:p w14:paraId="5193DC05" w14:textId="77777777" w:rsidR="00767D64" w:rsidRDefault="00767D64" w:rsidP="00767D64">
      <w:pPr>
        <w:jc w:val="left"/>
      </w:pPr>
    </w:p>
    <w:p w14:paraId="306C94B8" w14:textId="54CBD73A" w:rsidR="00767D64" w:rsidRPr="00B1215E" w:rsidRDefault="00767D64" w:rsidP="00767D64">
      <w:pPr>
        <w:jc w:val="left"/>
      </w:pPr>
      <m:oMathPara>
        <m:oMathParaPr>
          <m:jc m:val="left"/>
        </m:oMathParaPr>
        <m:oMath>
          <m:r>
            <w:rPr>
              <w:rFonts w:ascii="Cambria Math" w:hAnsi="Cambria Math"/>
            </w:rPr>
            <m:t>Cohe</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 xml:space="preserve">s </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i/>
                      <w:iCs/>
                    </w:rPr>
                    <m:t>diff</m:t>
                  </m:r>
                </m:sub>
              </m:sSub>
            </m:num>
            <m:den>
              <m:sSub>
                <m:sSubPr>
                  <m:ctrlPr>
                    <w:rPr>
                      <w:rFonts w:ascii="Cambria Math" w:hAnsi="Cambria Math"/>
                      <w:i/>
                    </w:rPr>
                  </m:ctrlPr>
                </m:sSubPr>
                <m:e>
                  <m:r>
                    <w:rPr>
                      <w:rFonts w:ascii="Cambria Math" w:hAnsi="Cambria Math"/>
                    </w:rPr>
                    <m:t>S</m:t>
                  </m:r>
                </m:e>
                <m:sub>
                  <m:r>
                    <w:rPr>
                      <w:rFonts w:ascii="Cambria Math" w:hAnsi="Cambria Math"/>
                    </w:rPr>
                    <m:t>within</m:t>
                  </m:r>
                </m:sub>
              </m:sSub>
            </m:den>
          </m:f>
        </m:oMath>
      </m:oMathPara>
    </w:p>
    <w:p w14:paraId="509215B5" w14:textId="77777777" w:rsidR="00767D64" w:rsidRDefault="00767D64" w:rsidP="00767D64">
      <w:pPr>
        <w:jc w:val="left"/>
      </w:pPr>
    </w:p>
    <w:p w14:paraId="0F57A9CF" w14:textId="38DB94D1" w:rsidR="00767D64" w:rsidRPr="00D96E32" w:rsidRDefault="00767D64" w:rsidP="00767D64">
      <w:pPr>
        <w:jc w:val="left"/>
      </w:pPr>
      <w:r>
        <w:rPr>
          <w:rFonts w:hint="eastAsia"/>
        </w:rPr>
        <w:t>T</w:t>
      </w:r>
      <w:r>
        <w:t>his equation was used to calculate the standardized mean difference between pretest and posttest scores adjusted for the pretest-posttest correlation (</w:t>
      </w:r>
      <w:r w:rsidRPr="00091F3D">
        <w:rPr>
          <w:i/>
          <w:iCs/>
        </w:rPr>
        <w:t>d</w:t>
      </w:r>
      <w:r w:rsidRPr="00091F3D">
        <w:rPr>
          <w:i/>
          <w:iCs/>
          <w:vertAlign w:val="subscript"/>
        </w:rPr>
        <w:t>s</w:t>
      </w:r>
      <w:r>
        <w:t xml:space="preserve">). </w:t>
      </w:r>
      <w:r w:rsidR="00F5282E">
        <w:rPr>
          <w:rFonts w:hint="eastAsia"/>
        </w:rPr>
        <w:t>This notation is used in contrast to Cohen</w:t>
      </w:r>
      <w:r w:rsidR="00F5282E">
        <w:t>’</w:t>
      </w:r>
      <w:r w:rsidR="00F5282E">
        <w:rPr>
          <w:rFonts w:hint="eastAsia"/>
        </w:rPr>
        <w:t xml:space="preserve">s </w:t>
      </w:r>
      <w:proofErr w:type="spellStart"/>
      <w:r w:rsidR="00F5282E" w:rsidRPr="00F5282E">
        <w:rPr>
          <w:rFonts w:hint="eastAsia"/>
          <w:i/>
          <w:iCs/>
        </w:rPr>
        <w:t>d</w:t>
      </w:r>
      <w:r w:rsidR="00F5282E" w:rsidRPr="00F5282E">
        <w:rPr>
          <w:rFonts w:hint="eastAsia"/>
          <w:i/>
          <w:iCs/>
          <w:vertAlign w:val="subscript"/>
        </w:rPr>
        <w:t>z</w:t>
      </w:r>
      <w:proofErr w:type="spellEnd"/>
      <w:r w:rsidR="00F5282E">
        <w:rPr>
          <w:rFonts w:hint="eastAsia"/>
        </w:rPr>
        <w:t xml:space="preserve">, which is calculated by dividing </w:t>
      </w:r>
      <w:r w:rsidR="00302D15">
        <w:rPr>
          <w:rFonts w:hint="eastAsia"/>
        </w:rPr>
        <w:t>the gain score (</w:t>
      </w:r>
      <w:proofErr w:type="spellStart"/>
      <w:r w:rsidR="00302D15" w:rsidRPr="00302D15">
        <w:rPr>
          <w:rFonts w:hint="eastAsia"/>
          <w:i/>
          <w:iCs/>
        </w:rPr>
        <w:t>M</w:t>
      </w:r>
      <w:r w:rsidR="00302D15" w:rsidRPr="00302D15">
        <w:rPr>
          <w:rFonts w:hint="eastAsia"/>
          <w:i/>
          <w:iCs/>
          <w:vertAlign w:val="subscript"/>
        </w:rPr>
        <w:t>diff</w:t>
      </w:r>
      <w:proofErr w:type="spellEnd"/>
      <w:r w:rsidR="00302D15">
        <w:rPr>
          <w:rFonts w:hint="eastAsia"/>
        </w:rPr>
        <w:t>) by the standard deviation of the gain score (</w:t>
      </w:r>
      <w:proofErr w:type="spellStart"/>
      <w:r w:rsidR="00302D15" w:rsidRPr="00302D15">
        <w:rPr>
          <w:rFonts w:hint="eastAsia"/>
          <w:i/>
          <w:iCs/>
        </w:rPr>
        <w:t>S</w:t>
      </w:r>
      <w:r w:rsidR="00302D15" w:rsidRPr="00302D15">
        <w:rPr>
          <w:rFonts w:hint="eastAsia"/>
          <w:i/>
          <w:iCs/>
          <w:vertAlign w:val="subscript"/>
        </w:rPr>
        <w:t>diff</w:t>
      </w:r>
      <w:proofErr w:type="spellEnd"/>
      <w:r w:rsidR="00302D15">
        <w:rPr>
          <w:rFonts w:hint="eastAsia"/>
        </w:rPr>
        <w:t>)</w:t>
      </w:r>
      <w:r w:rsidR="00F5282E">
        <w:rPr>
          <w:rFonts w:hint="eastAsia"/>
        </w:rPr>
        <w:t>.</w:t>
      </w:r>
    </w:p>
    <w:p w14:paraId="0377E024" w14:textId="77777777" w:rsidR="001112C0" w:rsidRDefault="001112C0" w:rsidP="00992DAD">
      <w:pPr>
        <w:jc w:val="left"/>
      </w:pPr>
    </w:p>
    <w:p w14:paraId="7A05CE48" w14:textId="7108A458" w:rsidR="001112C0" w:rsidRPr="00046E28" w:rsidRDefault="001112C0" w:rsidP="00992DAD">
      <w:pPr>
        <w:jc w:val="left"/>
        <w:rPr>
          <w:b/>
          <w:bCs/>
        </w:rPr>
      </w:pPr>
      <w:r w:rsidRPr="00046E28">
        <w:rPr>
          <w:rFonts w:hint="eastAsia"/>
          <w:b/>
          <w:bCs/>
        </w:rPr>
        <w:t xml:space="preserve">Equation </w:t>
      </w:r>
      <w:r w:rsidR="00767D64" w:rsidRPr="00046E28">
        <w:rPr>
          <w:rFonts w:hint="eastAsia"/>
          <w:b/>
          <w:bCs/>
        </w:rPr>
        <w:t>4</w:t>
      </w:r>
    </w:p>
    <w:p w14:paraId="52E7257D" w14:textId="77777777" w:rsidR="00693314" w:rsidRDefault="00693314" w:rsidP="00992DAD">
      <w:pPr>
        <w:jc w:val="left"/>
      </w:pPr>
    </w:p>
    <w:p w14:paraId="6F2297C6" w14:textId="35BF4F8F" w:rsidR="00693314" w:rsidRPr="00957C8D" w:rsidRDefault="00693314" w:rsidP="00992DAD">
      <w:pPr>
        <w:jc w:val="left"/>
      </w:pPr>
      <m:oMathPara>
        <m:oMathParaPr>
          <m:jc m:val="left"/>
        </m:oMathParaPr>
        <m:oMath>
          <m:r>
            <w:rPr>
              <w:rFonts w:ascii="Cambria Math" w:hAnsi="Cambria Math"/>
            </w:rPr>
            <m:t>Cohe</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 xml:space="preserve">s </m:t>
          </m:r>
          <m:sSub>
            <m:sSubPr>
              <m:ctrlPr>
                <w:rPr>
                  <w:rFonts w:ascii="Cambria Math" w:hAnsi="Cambria Math"/>
                  <w:i/>
                </w:rPr>
              </m:ctrlPr>
            </m:sSubPr>
            <m:e>
              <m:r>
                <w:rPr>
                  <w:rFonts w:ascii="Cambria Math" w:hAnsi="Cambria Math"/>
                </w:rPr>
                <m:t>d</m:t>
              </m:r>
            </m:e>
            <m:sub>
              <m:r>
                <w:rPr>
                  <w:rFonts w:ascii="Cambria Math" w:hAnsi="Cambria Math"/>
                </w:rPr>
                <m:t>z</m:t>
              </m:r>
            </m:sub>
          </m:sSub>
          <m:r>
            <w:rPr>
              <w:rFonts w:ascii="Cambria Math" w:hAnsi="Cambria Math"/>
            </w:rPr>
            <m:t>=</m:t>
          </m:r>
          <m:f>
            <m:fPr>
              <m:ctrlPr>
                <w:rPr>
                  <w:rFonts w:ascii="Cambria Math" w:hAnsi="Cambria Math"/>
                  <w:i/>
                </w:rPr>
              </m:ctrlPr>
            </m:fPr>
            <m:num>
              <m:r>
                <w:rPr>
                  <w:rFonts w:ascii="Cambria Math" w:hAnsi="Cambria Math"/>
                </w:rPr>
                <m:t>t</m:t>
              </m:r>
            </m:num>
            <m:den>
              <m:rad>
                <m:radPr>
                  <m:degHide m:val="1"/>
                  <m:ctrlPr>
                    <w:rPr>
                      <w:rFonts w:ascii="Cambria Math" w:hAnsi="Cambria Math"/>
                      <w:i/>
                    </w:rPr>
                  </m:ctrlPr>
                </m:radPr>
                <m:deg/>
                <m:e>
                  <m:r>
                    <w:rPr>
                      <w:rFonts w:ascii="Cambria Math" w:hAnsi="Cambria Math"/>
                    </w:rPr>
                    <m:t>n</m:t>
                  </m:r>
                </m:e>
              </m:rad>
            </m:den>
          </m:f>
        </m:oMath>
      </m:oMathPara>
    </w:p>
    <w:p w14:paraId="3F742ED0" w14:textId="77777777" w:rsidR="00693314" w:rsidRDefault="00693314" w:rsidP="00992DAD">
      <w:pPr>
        <w:jc w:val="left"/>
      </w:pPr>
    </w:p>
    <w:p w14:paraId="7FCCED1F" w14:textId="1BB99C84" w:rsidR="00957C8D" w:rsidRPr="00957C8D" w:rsidRDefault="00957C8D" w:rsidP="00992DAD">
      <w:pPr>
        <w:jc w:val="left"/>
      </w:pPr>
      <m:oMathPara>
        <m:oMathParaPr>
          <m:jc m:val="left"/>
        </m:oMathParaPr>
        <m:oMath>
          <m:r>
            <w:rPr>
              <w:rFonts w:ascii="Cambria Math" w:hAnsi="Cambria Math"/>
            </w:rPr>
            <m:t>Cohe</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 xml:space="preserve">s </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z</m:t>
              </m:r>
            </m:sub>
          </m:sSub>
          <m:rad>
            <m:radPr>
              <m:degHide m:val="1"/>
              <m:ctrlPr>
                <w:rPr>
                  <w:rFonts w:ascii="Cambria Math" w:hAnsi="Cambria Math"/>
                  <w:i/>
                </w:rPr>
              </m:ctrlPr>
            </m:radPr>
            <m:deg/>
            <m:e>
              <m:r>
                <w:rPr>
                  <w:rFonts w:ascii="Cambria Math" w:hAnsi="Cambria Math"/>
                </w:rPr>
                <m:t>2(1-r)</m:t>
              </m:r>
            </m:e>
          </m:rad>
        </m:oMath>
      </m:oMathPara>
    </w:p>
    <w:p w14:paraId="1974E12F" w14:textId="77777777" w:rsidR="00957C8D" w:rsidRDefault="00957C8D" w:rsidP="00992DAD">
      <w:pPr>
        <w:jc w:val="left"/>
      </w:pPr>
    </w:p>
    <w:p w14:paraId="436F9BE1" w14:textId="5B5CB841" w:rsidR="00046E28" w:rsidRPr="00EA4FA5" w:rsidRDefault="00046E28" w:rsidP="00046E28">
      <w:pPr>
        <w:jc w:val="left"/>
      </w:pPr>
      <m:oMathPara>
        <m:oMathParaPr>
          <m:jc m:val="left"/>
        </m:oMathParaPr>
        <m:oMath>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m:t>
                  </m:r>
                </m:sub>
              </m:sSub>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s</m:t>
                      </m:r>
                    </m:sub>
                    <m:sup>
                      <m:r>
                        <w:rPr>
                          <w:rFonts w:ascii="Cambria Math" w:hAnsi="Cambria Math"/>
                        </w:rPr>
                        <m:t>2</m:t>
                      </m:r>
                    </m:sup>
                  </m:sSubSup>
                </m:num>
                <m:den>
                  <m:r>
                    <w:rPr>
                      <w:rFonts w:ascii="Cambria Math" w:hAnsi="Cambria Math"/>
                    </w:rPr>
                    <m:t>2n</m:t>
                  </m:r>
                </m:den>
              </m:f>
            </m:e>
          </m:d>
          <m:r>
            <w:rPr>
              <w:rFonts w:ascii="Cambria Math" w:hAnsi="Cambria Math"/>
            </w:rPr>
            <m:t>2</m:t>
          </m:r>
          <m:d>
            <m:dPr>
              <m:ctrlPr>
                <w:rPr>
                  <w:rFonts w:ascii="Cambria Math" w:hAnsi="Cambria Math"/>
                  <w:i/>
                </w:rPr>
              </m:ctrlPr>
            </m:dPr>
            <m:e>
              <m:r>
                <w:rPr>
                  <w:rFonts w:ascii="Cambria Math" w:hAnsi="Cambria Math"/>
                </w:rPr>
                <m:t>1-r</m:t>
              </m:r>
            </m:e>
          </m:d>
        </m:oMath>
      </m:oMathPara>
    </w:p>
    <w:p w14:paraId="683CCDDE" w14:textId="77777777" w:rsidR="00046E28" w:rsidRDefault="00046E28" w:rsidP="00992DAD">
      <w:pPr>
        <w:jc w:val="left"/>
      </w:pPr>
    </w:p>
    <w:p w14:paraId="0206EE0F" w14:textId="77777777" w:rsidR="00693314" w:rsidRDefault="00693314" w:rsidP="00992DAD">
      <w:pPr>
        <w:jc w:val="left"/>
      </w:pPr>
    </w:p>
    <w:p w14:paraId="2A400E24" w14:textId="5316F097" w:rsidR="001112C0" w:rsidRPr="00767D64" w:rsidRDefault="00767D64" w:rsidP="001112C0">
      <w:pPr>
        <w:jc w:val="left"/>
        <w:rPr>
          <w:b/>
          <w:bCs/>
        </w:rPr>
      </w:pPr>
      <w:r w:rsidRPr="00767D64">
        <w:rPr>
          <w:rFonts w:hint="eastAsia"/>
          <w:b/>
          <w:bCs/>
        </w:rPr>
        <w:t>Equation 5</w:t>
      </w:r>
    </w:p>
    <w:p w14:paraId="5EAE1F8D" w14:textId="77777777" w:rsidR="00767D64" w:rsidRDefault="00767D64" w:rsidP="001112C0">
      <w:pPr>
        <w:jc w:val="left"/>
      </w:pPr>
    </w:p>
    <w:p w14:paraId="7B67898B" w14:textId="5AF584CF" w:rsidR="001112C0" w:rsidRPr="00767D64" w:rsidRDefault="00767D64" w:rsidP="001112C0">
      <w:pPr>
        <w:jc w:val="left"/>
      </w:pPr>
      <m:oMathPara>
        <m:oMathParaPr>
          <m:jc m:val="left"/>
        </m:oMathParaPr>
        <m:oMath>
          <m:r>
            <w:rPr>
              <w:rFonts w:ascii="Cambria Math" w:hAnsi="Cambria Math"/>
            </w:rPr>
            <m:t>Cohe</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 xml:space="preserve">s </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Gain Score</m:t>
              </m:r>
            </m:num>
            <m:den>
              <m:sSub>
                <m:sSubPr>
                  <m:ctrlPr>
                    <w:rPr>
                      <w:rFonts w:ascii="Cambria Math" w:hAnsi="Cambria Math"/>
                      <w:i/>
                    </w:rPr>
                  </m:ctrlPr>
                </m:sSubPr>
                <m:e>
                  <m:r>
                    <w:rPr>
                      <w:rFonts w:ascii="Cambria Math" w:hAnsi="Cambria Math"/>
                    </w:rPr>
                    <m:t>S</m:t>
                  </m:r>
                </m:e>
                <m:sub>
                  <m:r>
                    <w:rPr>
                      <w:rFonts w:ascii="Cambria Math" w:hAnsi="Cambria Math"/>
                    </w:rPr>
                    <m:t>within</m:t>
                  </m:r>
                </m:sub>
              </m:sSub>
            </m:den>
          </m:f>
        </m:oMath>
      </m:oMathPara>
    </w:p>
    <w:p w14:paraId="7E07967B" w14:textId="77777777" w:rsidR="00767D64" w:rsidRDefault="00767D64" w:rsidP="001112C0">
      <w:pPr>
        <w:jc w:val="left"/>
      </w:pPr>
    </w:p>
    <w:p w14:paraId="7DAB3661" w14:textId="77777777" w:rsidR="003E31D0" w:rsidRPr="00EA4FA5" w:rsidRDefault="003E31D0" w:rsidP="003E31D0">
      <w:pPr>
        <w:jc w:val="left"/>
      </w:pPr>
      <m:oMathPara>
        <m:oMathParaPr>
          <m:jc m:val="left"/>
        </m:oMathParaPr>
        <m:oMath>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m:t>
                  </m:r>
                </m:sub>
              </m:sSub>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s</m:t>
                      </m:r>
                    </m:sub>
                    <m:sup>
                      <m:r>
                        <w:rPr>
                          <w:rFonts w:ascii="Cambria Math" w:hAnsi="Cambria Math"/>
                        </w:rPr>
                        <m:t>2</m:t>
                      </m:r>
                    </m:sup>
                  </m:sSubSup>
                </m:num>
                <m:den>
                  <m:r>
                    <w:rPr>
                      <w:rFonts w:ascii="Cambria Math" w:hAnsi="Cambria Math"/>
                    </w:rPr>
                    <m:t>2n</m:t>
                  </m:r>
                </m:den>
              </m:f>
            </m:e>
          </m:d>
          <m:r>
            <w:rPr>
              <w:rFonts w:ascii="Cambria Math" w:hAnsi="Cambria Math"/>
            </w:rPr>
            <m:t>2</m:t>
          </m:r>
          <m:d>
            <m:dPr>
              <m:ctrlPr>
                <w:rPr>
                  <w:rFonts w:ascii="Cambria Math" w:hAnsi="Cambria Math"/>
                  <w:i/>
                </w:rPr>
              </m:ctrlPr>
            </m:dPr>
            <m:e>
              <m:r>
                <w:rPr>
                  <w:rFonts w:ascii="Cambria Math" w:hAnsi="Cambria Math"/>
                </w:rPr>
                <m:t>1-r</m:t>
              </m:r>
            </m:e>
          </m:d>
        </m:oMath>
      </m:oMathPara>
    </w:p>
    <w:p w14:paraId="68C170CE" w14:textId="2FEF2734" w:rsidR="00EF2DC6" w:rsidRDefault="00EF2DC6" w:rsidP="00EF2DC6">
      <w:pPr>
        <w:jc w:val="left"/>
      </w:pPr>
    </w:p>
    <w:p w14:paraId="43CBA8FB" w14:textId="2264F127" w:rsidR="00046E28" w:rsidRPr="00046E28" w:rsidRDefault="00046E28" w:rsidP="00EF2DC6">
      <w:pPr>
        <w:jc w:val="left"/>
        <w:rPr>
          <w:b/>
          <w:bCs/>
        </w:rPr>
      </w:pPr>
      <w:r w:rsidRPr="00046E28">
        <w:rPr>
          <w:rFonts w:hint="eastAsia"/>
          <w:b/>
          <w:bCs/>
        </w:rPr>
        <w:t>Equation 6</w:t>
      </w:r>
    </w:p>
    <w:p w14:paraId="33B095FB" w14:textId="77777777" w:rsidR="00046E28" w:rsidRDefault="00046E28" w:rsidP="00EF2DC6">
      <w:pPr>
        <w:jc w:val="left"/>
      </w:pPr>
    </w:p>
    <w:p w14:paraId="5241B7FD" w14:textId="77777777" w:rsidR="00046E28" w:rsidRPr="00FB6A0B" w:rsidRDefault="00046E28" w:rsidP="00046E28">
      <w:pPr>
        <w:jc w:val="left"/>
      </w:pPr>
      <m:oMathPara>
        <m:oMathParaPr>
          <m:jc m:val="left"/>
        </m:oMathParaPr>
        <m:oMath>
          <m:r>
            <w:rPr>
              <w:rFonts w:ascii="Cambria Math" w:hAnsi="Cambria Math"/>
            </w:rPr>
            <m:t>J=1 -</m:t>
          </m:r>
          <m:f>
            <m:fPr>
              <m:ctrlPr>
                <w:rPr>
                  <w:rFonts w:ascii="Cambria Math" w:hAnsi="Cambria Math"/>
                  <w:i/>
                </w:rPr>
              </m:ctrlPr>
            </m:fPr>
            <m:num>
              <m:r>
                <w:rPr>
                  <w:rFonts w:ascii="Cambria Math" w:hAnsi="Cambria Math"/>
                </w:rPr>
                <m:t>3</m:t>
              </m:r>
            </m:num>
            <m:den>
              <m:r>
                <w:rPr>
                  <w:rFonts w:ascii="Cambria Math" w:hAnsi="Cambria Math"/>
                </w:rPr>
                <m:t>4</m:t>
              </m:r>
              <m:r>
                <m:rPr>
                  <m:nor/>
                </m:rPr>
                <w:rPr>
                  <w:rFonts w:ascii="Cambria Math" w:hAnsi="Cambria Math"/>
                  <w:i/>
                  <w:iCs/>
                </w:rPr>
                <m:t>df</m:t>
              </m:r>
              <m:r>
                <w:rPr>
                  <w:rFonts w:ascii="Cambria Math" w:hAnsi="Cambria Math"/>
                </w:rPr>
                <m:t>-1</m:t>
              </m:r>
            </m:den>
          </m:f>
        </m:oMath>
      </m:oMathPara>
    </w:p>
    <w:p w14:paraId="3E3C4186" w14:textId="77777777" w:rsidR="00046E28" w:rsidRPr="00FB6A0B" w:rsidRDefault="00046E28" w:rsidP="00046E28">
      <w:pPr>
        <w:jc w:val="left"/>
      </w:pPr>
    </w:p>
    <w:p w14:paraId="28AA78A3" w14:textId="77777777" w:rsidR="00046E28" w:rsidRPr="00FB6A0B" w:rsidRDefault="00046E28" w:rsidP="00046E28">
      <w:pPr>
        <w:jc w:val="left"/>
      </w:pPr>
      <m:oMathPara>
        <m:oMathParaPr>
          <m:jc m:val="left"/>
        </m:oMathParaPr>
        <m:oMath>
          <m:r>
            <w:rPr>
              <w:rFonts w:ascii="Cambria Math" w:hAnsi="Cambria Math"/>
            </w:rPr>
            <m:t>Hedge</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×J</m:t>
          </m:r>
        </m:oMath>
      </m:oMathPara>
    </w:p>
    <w:p w14:paraId="2EE2DF94" w14:textId="77777777" w:rsidR="00046E28" w:rsidRDefault="00046E28" w:rsidP="00046E28">
      <w:pPr>
        <w:jc w:val="left"/>
      </w:pPr>
    </w:p>
    <w:p w14:paraId="50A80CDA" w14:textId="3D3DCF9E" w:rsidR="00046E28" w:rsidRPr="00327B30" w:rsidRDefault="003E31D0" w:rsidP="00046E28">
      <w:pPr>
        <w:jc w:val="left"/>
      </w:pPr>
      <m:oMathPara>
        <m:oMathParaPr>
          <m:jc m:val="left"/>
        </m:oMathParaPr>
        <m:oMath>
          <m:r>
            <w:rPr>
              <w:rFonts w:ascii="Cambria Math" w:hAnsi="Cambria Math"/>
            </w:rPr>
            <m:t>V</m:t>
          </m:r>
          <m:d>
            <m:dPr>
              <m:ctrlPr>
                <w:rPr>
                  <w:rFonts w:ascii="Cambria Math" w:hAnsi="Cambria Math"/>
                  <w:i/>
                </w:rPr>
              </m:ctrlPr>
            </m:dPr>
            <m:e>
              <m:r>
                <w:rPr>
                  <w:rFonts w:ascii="Cambria Math" w:hAnsi="Cambria Math"/>
                </w:rPr>
                <m:t>g</m:t>
              </m:r>
            </m:e>
          </m:d>
          <m:r>
            <w:rPr>
              <w:rFonts w:ascii="Cambria Math" w:hAnsi="Cambria Math"/>
            </w:rPr>
            <m:t>= V(</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2</m:t>
              </m:r>
            </m:sup>
          </m:sSup>
        </m:oMath>
      </m:oMathPara>
    </w:p>
    <w:p w14:paraId="18B0D0AA" w14:textId="77777777" w:rsidR="00046E28" w:rsidRDefault="00046E28" w:rsidP="00EF2DC6">
      <w:pPr>
        <w:jc w:val="left"/>
      </w:pPr>
    </w:p>
    <w:p w14:paraId="4437EF85" w14:textId="5CE599B2" w:rsidR="000C134D" w:rsidRDefault="00046E28" w:rsidP="00EF2DC6">
      <w:pPr>
        <w:jc w:val="left"/>
      </w:pPr>
      <w:r>
        <w:t xml:space="preserve">Cohen’s </w:t>
      </w:r>
      <w:r w:rsidRPr="00B1215E">
        <w:rPr>
          <w:i/>
          <w:iCs/>
        </w:rPr>
        <w:t>d</w:t>
      </w:r>
      <w:r>
        <w:rPr>
          <w:i/>
          <w:iCs/>
          <w:vertAlign w:val="subscript"/>
        </w:rPr>
        <w:t>s</w:t>
      </w:r>
      <w:r>
        <w:t xml:space="preserve"> </w:t>
      </w:r>
      <w:r w:rsidR="00832FB4">
        <w:rPr>
          <w:rFonts w:hint="eastAsia"/>
        </w:rPr>
        <w:t xml:space="preserve">for gain score </w:t>
      </w:r>
      <w:proofErr w:type="gramStart"/>
      <w:r>
        <w:t>was</w:t>
      </w:r>
      <w:proofErr w:type="gramEnd"/>
      <w:r>
        <w:t xml:space="preserve"> converted to Hedges’ </w:t>
      </w:r>
      <w:r w:rsidRPr="00B1215E">
        <w:rPr>
          <w:i/>
          <w:iCs/>
        </w:rPr>
        <w:t>g</w:t>
      </w:r>
      <w:r>
        <w:t xml:space="preserve"> using a correction factor, called </w:t>
      </w:r>
      <w:r w:rsidRPr="00B1215E">
        <w:rPr>
          <w:i/>
          <w:iCs/>
        </w:rPr>
        <w:t>J</w:t>
      </w:r>
      <w:r>
        <w:t xml:space="preserve"> with the degrees of freedom (</w:t>
      </w:r>
      <w:proofErr w:type="spellStart"/>
      <w:r w:rsidRPr="00B1215E">
        <w:rPr>
          <w:i/>
          <w:iCs/>
        </w:rPr>
        <w:t>df</w:t>
      </w:r>
      <w:proofErr w:type="spellEnd"/>
      <w:r>
        <w:t xml:space="preserve"> = </w:t>
      </w:r>
      <w:r w:rsidRPr="00B1215E">
        <w:rPr>
          <w:i/>
          <w:iCs/>
        </w:rPr>
        <w:t>n</w:t>
      </w:r>
      <w:r>
        <w:t xml:space="preserve"> </w:t>
      </w:r>
      <w:r w:rsidRPr="003961BB">
        <w:t>–</w:t>
      </w:r>
      <w:r>
        <w:t xml:space="preserve"> 1)</w:t>
      </w:r>
      <w:r>
        <w:rPr>
          <w:rFonts w:hint="eastAsia"/>
        </w:rPr>
        <w:t xml:space="preserve"> and its sampling variance.</w:t>
      </w:r>
    </w:p>
    <w:p w14:paraId="181CF92F" w14:textId="20290FDB" w:rsidR="00464D65" w:rsidRDefault="00464D65" w:rsidP="00EF2DC6">
      <w:pPr>
        <w:jc w:val="left"/>
      </w:pPr>
    </w:p>
    <w:p w14:paraId="2CDBAD70" w14:textId="77777777" w:rsidR="00EA4FA5" w:rsidRDefault="00EA4FA5" w:rsidP="00EF2DC6">
      <w:pPr>
        <w:jc w:val="left"/>
      </w:pPr>
    </w:p>
    <w:p w14:paraId="6D2455D8" w14:textId="74234149" w:rsidR="006C2669" w:rsidRPr="00B1215E" w:rsidRDefault="006C2669" w:rsidP="00EF2DC6">
      <w:pPr>
        <w:jc w:val="left"/>
        <w:rPr>
          <w:b/>
          <w:bCs/>
        </w:rPr>
      </w:pPr>
      <w:r w:rsidRPr="00B1215E">
        <w:rPr>
          <w:rFonts w:hint="eastAsia"/>
          <w:b/>
          <w:bCs/>
        </w:rPr>
        <w:t>E</w:t>
      </w:r>
      <w:r w:rsidRPr="00B1215E">
        <w:rPr>
          <w:b/>
          <w:bCs/>
        </w:rPr>
        <w:t xml:space="preserve">quation </w:t>
      </w:r>
      <w:r w:rsidR="008864CF">
        <w:rPr>
          <w:rFonts w:hint="eastAsia"/>
          <w:b/>
          <w:bCs/>
        </w:rPr>
        <w:t>7</w:t>
      </w:r>
    </w:p>
    <w:p w14:paraId="52D93BAB" w14:textId="68A74683" w:rsidR="006C2669" w:rsidRDefault="006C2669" w:rsidP="00EF2DC6">
      <w:pPr>
        <w:jc w:val="left"/>
      </w:pPr>
    </w:p>
    <w:p w14:paraId="7448EF1F" w14:textId="27749D17" w:rsidR="00577EC0" w:rsidRPr="00577EC0" w:rsidRDefault="00000000" w:rsidP="00EF2DC6">
      <w:pPr>
        <w:jc w:val="left"/>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pooled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-1</m:t>
                      </m:r>
                    </m:e>
                  </m:d>
                  <m:sSubSup>
                    <m:sSubSupPr>
                      <m:ctrlPr>
                        <w:rPr>
                          <w:rFonts w:ascii="Cambria Math" w:hAnsi="Cambria Math"/>
                          <w:i/>
                        </w:rPr>
                      </m:ctrlPr>
                    </m:sSubSupPr>
                    <m:e>
                      <m:r>
                        <w:rPr>
                          <w:rFonts w:ascii="Cambria Math" w:hAnsi="Cambria Math"/>
                        </w:rPr>
                        <m:t>SD</m:t>
                      </m:r>
                    </m:e>
                    <m:sub>
                      <m:r>
                        <w:rPr>
                          <w:rFonts w:ascii="Cambria Math" w:hAnsi="Cambria Math"/>
                        </w:rPr>
                        <m:t>1</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-1</m:t>
                      </m:r>
                    </m:e>
                  </m:d>
                  <m:sSubSup>
                    <m:sSubSupPr>
                      <m:ctrlPr>
                        <w:rPr>
                          <w:rFonts w:ascii="Cambria Math" w:hAnsi="Cambria Math"/>
                          <w:i/>
                        </w:rPr>
                      </m:ctrlPr>
                    </m:sSubSupPr>
                    <m:e>
                      <m:r>
                        <w:rPr>
                          <w:rFonts w:ascii="Cambria Math" w:hAnsi="Cambria Math"/>
                        </w:rPr>
                        <m:t>SD</m:t>
                      </m:r>
                    </m:e>
                    <m:sub>
                      <m:r>
                        <w:rPr>
                          <w:rFonts w:ascii="Cambria Math" w:hAnsi="Cambria Math"/>
                        </w:rPr>
                        <m:t>2</m:t>
                      </m:r>
                    </m:sub>
                    <m:sup>
                      <m:r>
                        <w:rPr>
                          <w:rFonts w:ascii="Cambria Math" w:hAnsi="Cambria Math"/>
                        </w:rPr>
                        <m:t>2</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-1</m:t>
                      </m:r>
                    </m:e>
                  </m:d>
                  <m:sSubSup>
                    <m:sSubSupPr>
                      <m:ctrlPr>
                        <w:rPr>
                          <w:rFonts w:ascii="Cambria Math" w:hAnsi="Cambria Math"/>
                          <w:i/>
                        </w:rPr>
                      </m:ctrlPr>
                    </m:sSubSupPr>
                    <m:e>
                      <m:r>
                        <w:rPr>
                          <w:rFonts w:ascii="Cambria Math" w:hAnsi="Cambria Math"/>
                        </w:rPr>
                        <m:t>SD</m:t>
                      </m:r>
                    </m:e>
                    <m:sub>
                      <m:r>
                        <w:rPr>
                          <w:rFonts w:ascii="Cambria Math" w:hAnsi="Cambria Math"/>
                        </w:rPr>
                        <m:t>k</m:t>
                      </m:r>
                    </m:sub>
                    <m:sup>
                      <m:r>
                        <w:rPr>
                          <w:rFonts w:ascii="Cambria Math" w:hAnsi="Cambria Math"/>
                        </w:rPr>
                        <m:t>2</m:t>
                      </m:r>
                    </m:sup>
                  </m:sSubSup>
                </m:num>
                <m:den>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-k</m:t>
                  </m:r>
                </m:den>
              </m:f>
            </m:e>
          </m:rad>
        </m:oMath>
      </m:oMathPara>
    </w:p>
    <w:p w14:paraId="09E38011" w14:textId="6F7CCBDC" w:rsidR="00047ACC" w:rsidRDefault="00047ACC" w:rsidP="00EF2DC6">
      <w:pPr>
        <w:jc w:val="left"/>
      </w:pPr>
    </w:p>
    <w:p w14:paraId="51FFD62C" w14:textId="09FD0938" w:rsidR="00DB6C11" w:rsidRDefault="00FA699B" w:rsidP="00EF2DC6">
      <w:pPr>
        <w:jc w:val="left"/>
      </w:pPr>
      <w:r>
        <w:rPr>
          <w:rFonts w:hint="eastAsia"/>
        </w:rPr>
        <w:t>T</w:t>
      </w:r>
      <w:r>
        <w:t>his equation was used to calculate the pooled standard deviation (</w:t>
      </w:r>
      <w:r w:rsidRPr="009B01C7">
        <w:rPr>
          <w:i/>
          <w:iCs/>
        </w:rPr>
        <w:t>S</w:t>
      </w:r>
      <w:r w:rsidRPr="009B01C7">
        <w:rPr>
          <w:i/>
          <w:iCs/>
          <w:vertAlign w:val="subscript"/>
        </w:rPr>
        <w:t>pooled</w:t>
      </w:r>
      <w:r>
        <w:t xml:space="preserve">) for multiple independent groups. </w:t>
      </w:r>
    </w:p>
    <w:p w14:paraId="4121A05A" w14:textId="77777777" w:rsidR="00DB6C11" w:rsidRDefault="00DB6C11" w:rsidP="00EF2DC6">
      <w:pPr>
        <w:jc w:val="left"/>
      </w:pPr>
    </w:p>
    <w:p w14:paraId="30373763" w14:textId="33CFDEDB" w:rsidR="00DB6C11" w:rsidRPr="00DB6C11" w:rsidRDefault="00DB6C11" w:rsidP="00EF2DC6">
      <w:pPr>
        <w:jc w:val="left"/>
        <w:rPr>
          <w:b/>
          <w:bCs/>
        </w:rPr>
      </w:pPr>
      <w:r w:rsidRPr="00DB6C11">
        <w:rPr>
          <w:rFonts w:hint="eastAsia"/>
          <w:b/>
          <w:bCs/>
        </w:rPr>
        <w:t>E</w:t>
      </w:r>
      <w:r w:rsidRPr="00DB6C11">
        <w:rPr>
          <w:b/>
          <w:bCs/>
        </w:rPr>
        <w:t xml:space="preserve">quation </w:t>
      </w:r>
      <w:r w:rsidR="008864CF">
        <w:rPr>
          <w:rFonts w:hint="eastAsia"/>
          <w:b/>
          <w:bCs/>
        </w:rPr>
        <w:t>8</w:t>
      </w:r>
    </w:p>
    <w:p w14:paraId="1DA3AFED" w14:textId="2BA0C8B4" w:rsidR="00B1215E" w:rsidRDefault="00B1215E" w:rsidP="00EF2DC6">
      <w:pPr>
        <w:jc w:val="left"/>
      </w:pPr>
    </w:p>
    <w:p w14:paraId="52405E4E" w14:textId="5BC4AC4E" w:rsidR="00B1215E" w:rsidRPr="00B1215E" w:rsidRDefault="00B1215E" w:rsidP="00EF2DC6">
      <w:pPr>
        <w:jc w:val="left"/>
      </w:pPr>
      <m:oMathPara>
        <m:oMathParaPr>
          <m:jc m:val="left"/>
        </m:oMathParaPr>
        <m:oMath>
          <m:r>
            <w:rPr>
              <w:rFonts w:ascii="Cambria Math" w:hAnsi="Cambria Math"/>
            </w:rPr>
            <m:t>Cohe</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 xml:space="preserve">s </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i/>
                      <w:iCs/>
                    </w:rPr>
                    <m:t>diff</m:t>
                  </m:r>
                </m:sub>
              </m:sSub>
            </m:num>
            <m:den>
              <m:sSub>
                <m:sSubPr>
                  <m:ctrlPr>
                    <w:rPr>
                      <w:rFonts w:ascii="Cambria Math" w:hAnsi="Cambria Math"/>
                      <w:i/>
                    </w:rPr>
                  </m:ctrlPr>
                </m:sSubPr>
                <m:e>
                  <m:r>
                    <w:rPr>
                      <w:rFonts w:ascii="Cambria Math" w:hAnsi="Cambria Math"/>
                    </w:rPr>
                    <m:t>S</m:t>
                  </m:r>
                </m:e>
                <m:sub>
                  <m:r>
                    <w:rPr>
                      <w:rFonts w:ascii="Cambria Math" w:hAnsi="Cambria Math"/>
                    </w:rPr>
                    <m:t>pooled</m:t>
                  </m:r>
                </m:sub>
              </m:sSub>
            </m:den>
          </m:f>
        </m:oMath>
      </m:oMathPara>
    </w:p>
    <w:p w14:paraId="0DE844AC" w14:textId="027CFBDF" w:rsidR="00FA699B" w:rsidRDefault="00FA699B" w:rsidP="00EF2DC6">
      <w:pPr>
        <w:jc w:val="left"/>
      </w:pPr>
    </w:p>
    <w:p w14:paraId="04931790" w14:textId="7DA59CB5" w:rsidR="00510D35" w:rsidRPr="00510D35" w:rsidRDefault="003E31D0" w:rsidP="00EF2DC6">
      <w:pPr>
        <w:jc w:val="left"/>
      </w:pPr>
      <m:oMathPara>
        <m:oMathParaPr>
          <m:jc m:val="left"/>
        </m:oMathParaPr>
        <m:oMath>
          <m: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s</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s</m:t>
                  </m:r>
                </m:sub>
                <m:sup>
                  <m:r>
                    <w:rPr>
                      <w:rFonts w:ascii="Cambria Math" w:hAnsi="Cambria Math"/>
                    </w:rPr>
                    <m:t>2</m:t>
                  </m:r>
                </m:sup>
              </m:sSubSup>
            </m:num>
            <m:den>
              <m:r>
                <w:rPr>
                  <w:rFonts w:ascii="Cambria Math" w:hAnsi="Cambria Math"/>
                </w:rPr>
                <m:t>2(</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den>
          </m:f>
        </m:oMath>
      </m:oMathPara>
    </w:p>
    <w:p w14:paraId="41BC86DA" w14:textId="77777777" w:rsidR="00510D35" w:rsidRDefault="00510D35" w:rsidP="00EF2DC6">
      <w:pPr>
        <w:jc w:val="left"/>
      </w:pPr>
    </w:p>
    <w:p w14:paraId="5345B4C1" w14:textId="5F5D5DF1" w:rsidR="00DB6C11" w:rsidRDefault="00DB6C11" w:rsidP="00DB6C11">
      <w:pPr>
        <w:jc w:val="left"/>
      </w:pPr>
      <w:r>
        <w:t>The group mean difference of gain scores (</w:t>
      </w:r>
      <w:proofErr w:type="spellStart"/>
      <w:r w:rsidRPr="009B01C7">
        <w:rPr>
          <w:i/>
          <w:iCs/>
        </w:rPr>
        <w:t>M</w:t>
      </w:r>
      <w:r w:rsidRPr="009B01C7">
        <w:rPr>
          <w:i/>
          <w:iCs/>
          <w:vertAlign w:val="subscript"/>
        </w:rPr>
        <w:t>diff</w:t>
      </w:r>
      <w:proofErr w:type="spellEnd"/>
      <w:r>
        <w:t xml:space="preserve">) was standardized using </w:t>
      </w:r>
      <w:r w:rsidRPr="009B01C7">
        <w:rPr>
          <w:i/>
          <w:iCs/>
        </w:rPr>
        <w:t>S</w:t>
      </w:r>
      <w:r w:rsidRPr="009B01C7">
        <w:rPr>
          <w:i/>
          <w:iCs/>
          <w:vertAlign w:val="subscript"/>
        </w:rPr>
        <w:t>pooled</w:t>
      </w:r>
      <w:r>
        <w:t xml:space="preserve"> to calculate Cohen’s </w:t>
      </w:r>
      <w:r w:rsidRPr="00832FB4">
        <w:rPr>
          <w:i/>
          <w:iCs/>
        </w:rPr>
        <w:t>d</w:t>
      </w:r>
      <w:r w:rsidRPr="00832FB4">
        <w:rPr>
          <w:i/>
          <w:iCs/>
          <w:vertAlign w:val="subscript"/>
        </w:rPr>
        <w:t>s</w:t>
      </w:r>
      <w:r w:rsidR="00832FB4">
        <w:rPr>
          <w:rFonts w:hint="eastAsia"/>
        </w:rPr>
        <w:t xml:space="preserve">. </w:t>
      </w:r>
    </w:p>
    <w:p w14:paraId="2E7D1833" w14:textId="77777777" w:rsidR="00832FB4" w:rsidRDefault="00832FB4" w:rsidP="00DB6C11">
      <w:pPr>
        <w:jc w:val="left"/>
      </w:pPr>
    </w:p>
    <w:p w14:paraId="7821284D" w14:textId="6356C52F" w:rsidR="00832FB4" w:rsidRDefault="00832FB4" w:rsidP="00DB6C11">
      <w:pPr>
        <w:jc w:val="left"/>
        <w:rPr>
          <w:b/>
          <w:bCs/>
        </w:rPr>
      </w:pPr>
      <w:r w:rsidRPr="00832FB4">
        <w:rPr>
          <w:rFonts w:hint="eastAsia"/>
          <w:b/>
          <w:bCs/>
        </w:rPr>
        <w:t xml:space="preserve">Equation </w:t>
      </w:r>
      <w:r w:rsidR="008864CF">
        <w:rPr>
          <w:rFonts w:hint="eastAsia"/>
          <w:b/>
          <w:bCs/>
        </w:rPr>
        <w:t>9</w:t>
      </w:r>
    </w:p>
    <w:p w14:paraId="34C8F471" w14:textId="77777777" w:rsidR="00832FB4" w:rsidRPr="00832FB4" w:rsidRDefault="00832FB4" w:rsidP="00DB6C11">
      <w:pPr>
        <w:jc w:val="left"/>
        <w:rPr>
          <w:b/>
          <w:bCs/>
        </w:rPr>
      </w:pPr>
    </w:p>
    <w:p w14:paraId="6C212D20" w14:textId="77777777" w:rsidR="00B1215E" w:rsidRPr="00FB6A0B" w:rsidRDefault="00B1215E" w:rsidP="00B1215E">
      <w:pPr>
        <w:jc w:val="left"/>
      </w:pPr>
      <m:oMathPara>
        <m:oMathParaPr>
          <m:jc m:val="left"/>
        </m:oMathParaPr>
        <m:oMath>
          <m:r>
            <w:rPr>
              <w:rFonts w:ascii="Cambria Math" w:hAnsi="Cambria Math"/>
            </w:rPr>
            <m:t>J=1 -</m:t>
          </m:r>
          <m:f>
            <m:fPr>
              <m:ctrlPr>
                <w:rPr>
                  <w:rFonts w:ascii="Cambria Math" w:hAnsi="Cambria Math"/>
                  <w:i/>
                </w:rPr>
              </m:ctrlPr>
            </m:fPr>
            <m:num>
              <m:r>
                <w:rPr>
                  <w:rFonts w:ascii="Cambria Math" w:hAnsi="Cambria Math"/>
                </w:rPr>
                <m:t>3</m:t>
              </m:r>
            </m:num>
            <m:den>
              <m:r>
                <w:rPr>
                  <w:rFonts w:ascii="Cambria Math" w:hAnsi="Cambria Math"/>
                </w:rPr>
                <m:t>4</m:t>
              </m:r>
              <m:r>
                <m:rPr>
                  <m:nor/>
                </m:rPr>
                <w:rPr>
                  <w:rFonts w:ascii="Cambria Math" w:hAnsi="Cambria Math"/>
                  <w:i/>
                  <w:iCs/>
                </w:rPr>
                <m:t>df</m:t>
              </m:r>
              <m:r>
                <w:rPr>
                  <w:rFonts w:ascii="Cambria Math" w:hAnsi="Cambria Math"/>
                </w:rPr>
                <m:t>-1</m:t>
              </m:r>
            </m:den>
          </m:f>
        </m:oMath>
      </m:oMathPara>
    </w:p>
    <w:p w14:paraId="4E826758" w14:textId="7BC38510" w:rsidR="00B1215E" w:rsidRDefault="00B1215E" w:rsidP="00EF2DC6">
      <w:pPr>
        <w:jc w:val="left"/>
      </w:pPr>
    </w:p>
    <w:p w14:paraId="0A921BA2" w14:textId="50D27670" w:rsidR="00B1215E" w:rsidRPr="00327B30" w:rsidRDefault="00B1215E" w:rsidP="00B1215E">
      <w:pPr>
        <w:jc w:val="left"/>
      </w:pPr>
      <m:oMathPara>
        <m:oMathParaPr>
          <m:jc m:val="left"/>
        </m:oMathParaPr>
        <m:oMath>
          <m:r>
            <w:rPr>
              <w:rFonts w:ascii="Cambria Math" w:hAnsi="Cambria Math"/>
            </w:rPr>
            <m:t>Hedge</m:t>
          </m:r>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g=</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×J</m:t>
          </m:r>
        </m:oMath>
      </m:oMathPara>
    </w:p>
    <w:p w14:paraId="263D80A2" w14:textId="77777777" w:rsidR="00327B30" w:rsidRDefault="00327B30" w:rsidP="00B1215E">
      <w:pPr>
        <w:jc w:val="left"/>
      </w:pPr>
    </w:p>
    <w:p w14:paraId="09A60005" w14:textId="77777777" w:rsidR="003E31D0" w:rsidRPr="00327B30" w:rsidRDefault="003E31D0" w:rsidP="003E31D0">
      <w:pPr>
        <w:jc w:val="left"/>
      </w:pPr>
      <m:oMathPara>
        <m:oMathParaPr>
          <m:jc m:val="left"/>
        </m:oMathParaPr>
        <m:oMath>
          <m:r>
            <w:rPr>
              <w:rFonts w:ascii="Cambria Math" w:hAnsi="Cambria Math"/>
            </w:rPr>
            <m:t>V</m:t>
          </m:r>
          <m:d>
            <m:dPr>
              <m:ctrlPr>
                <w:rPr>
                  <w:rFonts w:ascii="Cambria Math" w:hAnsi="Cambria Math"/>
                  <w:i/>
                </w:rPr>
              </m:ctrlPr>
            </m:dPr>
            <m:e>
              <m:r>
                <w:rPr>
                  <w:rFonts w:ascii="Cambria Math" w:hAnsi="Cambria Math"/>
                </w:rPr>
                <m:t>g</m:t>
              </m:r>
            </m:e>
          </m:d>
          <m:r>
            <w:rPr>
              <w:rFonts w:ascii="Cambria Math" w:hAnsi="Cambria Math"/>
            </w:rPr>
            <m:t>= V(</m:t>
          </m:r>
          <m:sSub>
            <m:sSubPr>
              <m:ctrlPr>
                <w:rPr>
                  <w:rFonts w:ascii="Cambria Math" w:hAnsi="Cambria Math"/>
                  <w:i/>
                </w:rPr>
              </m:ctrlPr>
            </m:sSubPr>
            <m:e>
              <m:r>
                <w:rPr>
                  <w:rFonts w:ascii="Cambria Math" w:hAnsi="Cambria Math"/>
                </w:rPr>
                <m:t>d</m:t>
              </m:r>
            </m:e>
            <m:sub>
              <m:r>
                <w:rPr>
                  <w:rFonts w:ascii="Cambria Math" w:hAnsi="Cambria Math"/>
                </w:rPr>
                <m:t>s</m:t>
              </m:r>
            </m:sub>
          </m:sSub>
          <m:r>
            <w:rPr>
              <w:rFonts w:ascii="Cambria Math" w:hAnsi="Cambria Math"/>
            </w:rPr>
            <m:t>)×</m:t>
          </m:r>
          <m:sSup>
            <m:sSupPr>
              <m:ctrlPr>
                <w:rPr>
                  <w:rFonts w:ascii="Cambria Math" w:hAnsi="Cambria Math"/>
                  <w:i/>
                </w:rPr>
              </m:ctrlPr>
            </m:sSupPr>
            <m:e>
              <m:r>
                <w:rPr>
                  <w:rFonts w:ascii="Cambria Math" w:hAnsi="Cambria Math"/>
                </w:rPr>
                <m:t>J</m:t>
              </m:r>
            </m:e>
            <m:sup>
              <m:r>
                <w:rPr>
                  <w:rFonts w:ascii="Cambria Math" w:hAnsi="Cambria Math"/>
                </w:rPr>
                <m:t>2</m:t>
              </m:r>
            </m:sup>
          </m:sSup>
        </m:oMath>
      </m:oMathPara>
    </w:p>
    <w:p w14:paraId="2338C1C1" w14:textId="77777777" w:rsidR="00832FB4" w:rsidRDefault="00832FB4" w:rsidP="00987204">
      <w:pPr>
        <w:jc w:val="left"/>
      </w:pPr>
    </w:p>
    <w:p w14:paraId="72D9BEBD" w14:textId="46B1BCA1" w:rsidR="00832FB4" w:rsidRDefault="00832FB4" w:rsidP="00987204">
      <w:pPr>
        <w:jc w:val="left"/>
      </w:pPr>
      <w:r>
        <w:t xml:space="preserve">Cohen’s </w:t>
      </w:r>
      <w:r w:rsidRPr="00832FB4">
        <w:rPr>
          <w:i/>
          <w:iCs/>
        </w:rPr>
        <w:t>d</w:t>
      </w:r>
      <w:r w:rsidRPr="00832FB4">
        <w:rPr>
          <w:i/>
          <w:iCs/>
          <w:vertAlign w:val="subscript"/>
        </w:rPr>
        <w:t>s</w:t>
      </w:r>
      <w:r>
        <w:rPr>
          <w:rFonts w:hint="eastAsia"/>
        </w:rPr>
        <w:t xml:space="preserve"> for </w:t>
      </w:r>
      <w:r w:rsidR="00BD2C73">
        <w:rPr>
          <w:rFonts w:hint="eastAsia"/>
        </w:rPr>
        <w:t xml:space="preserve">the treatment-control contrast </w:t>
      </w:r>
      <w:proofErr w:type="gramStart"/>
      <w:r>
        <w:t>was</w:t>
      </w:r>
      <w:proofErr w:type="gramEnd"/>
      <w:r>
        <w:t xml:space="preserve"> converted to Hedges’</w:t>
      </w:r>
      <w:r w:rsidRPr="009B01C7">
        <w:rPr>
          <w:i/>
          <w:iCs/>
        </w:rPr>
        <w:t xml:space="preserve"> g</w:t>
      </w:r>
      <w:r>
        <w:t xml:space="preserve"> using a correction factor (</w:t>
      </w:r>
      <w:r w:rsidRPr="002C181B">
        <w:rPr>
          <w:i/>
          <w:iCs/>
        </w:rPr>
        <w:t>J</w:t>
      </w:r>
      <w:r>
        <w:t>) with the degrees of freedom (</w:t>
      </w:r>
      <w:proofErr w:type="spellStart"/>
      <w:r w:rsidRPr="009B01C7">
        <w:rPr>
          <w:i/>
          <w:iCs/>
        </w:rPr>
        <w:t>df</w:t>
      </w:r>
      <w:proofErr w:type="spellEnd"/>
      <w:r w:rsidRPr="009B01C7">
        <w:rPr>
          <w:i/>
          <w:iCs/>
        </w:rPr>
        <w:t xml:space="preserve"> </w:t>
      </w:r>
      <w:r>
        <w:t xml:space="preserve">= </w:t>
      </w:r>
      <w:r w:rsidRPr="009B01C7">
        <w:rPr>
          <w:i/>
          <w:iCs/>
        </w:rPr>
        <w:t>n</w:t>
      </w:r>
      <w:r w:rsidRPr="009B01C7">
        <w:rPr>
          <w:i/>
          <w:iCs/>
          <w:vertAlign w:val="subscript"/>
        </w:rPr>
        <w:t>1</w:t>
      </w:r>
      <w:r>
        <w:t xml:space="preserve"> + </w:t>
      </w:r>
      <w:r w:rsidRPr="009B01C7">
        <w:rPr>
          <w:i/>
          <w:iCs/>
        </w:rPr>
        <w:t>n</w:t>
      </w:r>
      <w:r w:rsidRPr="009B01C7">
        <w:rPr>
          <w:i/>
          <w:iCs/>
          <w:vertAlign w:val="subscript"/>
        </w:rPr>
        <w:t>2</w:t>
      </w:r>
      <w:r>
        <w:t xml:space="preserve"> </w:t>
      </w:r>
      <w:r w:rsidRPr="003961BB">
        <w:t>–</w:t>
      </w:r>
      <w:r>
        <w:t xml:space="preserve"> </w:t>
      </w:r>
      <w:r>
        <w:rPr>
          <w:rFonts w:hint="eastAsia"/>
        </w:rPr>
        <w:t>2</w:t>
      </w:r>
      <w:r>
        <w:t>)</w:t>
      </w:r>
      <w:r>
        <w:rPr>
          <w:rFonts w:hint="eastAsia"/>
        </w:rPr>
        <w:t xml:space="preserve"> and its sampling variance</w:t>
      </w:r>
      <w:r w:rsidR="00BD2C73">
        <w:rPr>
          <w:rFonts w:hint="eastAsia"/>
        </w:rPr>
        <w:t>.</w:t>
      </w:r>
    </w:p>
    <w:p w14:paraId="277EED66" w14:textId="77777777" w:rsidR="00EB5834" w:rsidRDefault="00EB5834" w:rsidP="00987204">
      <w:pPr>
        <w:jc w:val="left"/>
      </w:pPr>
    </w:p>
    <w:p w14:paraId="28A21991" w14:textId="705A5217" w:rsidR="00EB5834" w:rsidRPr="00EB5834" w:rsidRDefault="00EB5834" w:rsidP="00987204">
      <w:pPr>
        <w:jc w:val="left"/>
        <w:rPr>
          <w:b/>
          <w:bCs/>
        </w:rPr>
      </w:pPr>
      <w:r w:rsidRPr="00EB5834">
        <w:rPr>
          <w:rFonts w:hint="eastAsia"/>
          <w:b/>
          <w:bCs/>
        </w:rPr>
        <w:t>Equation 1</w:t>
      </w:r>
      <w:r w:rsidR="008864CF">
        <w:rPr>
          <w:rFonts w:hint="eastAsia"/>
          <w:b/>
          <w:bCs/>
        </w:rPr>
        <w:t>0</w:t>
      </w:r>
    </w:p>
    <w:p w14:paraId="50209224" w14:textId="77777777" w:rsidR="00EB5834" w:rsidRDefault="00EB5834" w:rsidP="00987204">
      <w:pPr>
        <w:jc w:val="left"/>
      </w:pPr>
    </w:p>
    <w:p w14:paraId="0CA2CB8B" w14:textId="04F0A202" w:rsidR="00EB5834" w:rsidRPr="00EB5834" w:rsidRDefault="00EB5834" w:rsidP="00987204">
      <w:pPr>
        <w:jc w:val="left"/>
      </w:pPr>
      <m:oMathPara>
        <m:oMathParaPr>
          <m:jc m:val="left"/>
        </m:oMathParaPr>
        <m:oMath>
          <m:r>
            <w:rPr>
              <w:rFonts w:ascii="Cambria Math" w:hAnsi="Cambria Math"/>
            </w:rPr>
            <m:t>Cohe</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s</m:t>
          </m:r>
          <m:sSub>
            <m:sSubPr>
              <m:ctrlPr>
                <w:rPr>
                  <w:rFonts w:ascii="Cambria Math" w:hAnsi="Cambria Math"/>
                  <w:i/>
                </w:rPr>
              </m:ctrlPr>
            </m:sSubPr>
            <m:e>
              <m:r>
                <w:rPr>
                  <w:rFonts w:ascii="Cambria Math" w:hAnsi="Cambria Math"/>
                </w:rPr>
                <m:t xml:space="preserve"> d</m:t>
              </m:r>
            </m:e>
            <m:sub>
              <m:r>
                <w:rPr>
                  <w:rFonts w:ascii="Cambria Math" w:hAnsi="Cambria Math"/>
                </w:rPr>
                <m:t>s</m:t>
              </m:r>
            </m:sub>
          </m:sSub>
          <m:r>
            <w:rPr>
              <w:rFonts w:ascii="Cambria Math" w:hAnsi="Cambria Math"/>
            </w:rPr>
            <m:t>=</m:t>
          </m:r>
          <m:rad>
            <m:radPr>
              <m:degHide m:val="1"/>
              <m:ctrlPr>
                <w:rPr>
                  <w:rFonts w:ascii="Cambria Math" w:hAnsi="Cambria Math"/>
                  <w:i/>
                </w:rPr>
              </m:ctrlPr>
            </m:radPr>
            <m:deg/>
            <m:e>
              <m:r>
                <w:rPr>
                  <w:rFonts w:ascii="Cambria Math" w:hAnsi="Cambria Math"/>
                </w:rPr>
                <m:t>F</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sSub>
                        <m:sSubPr>
                          <m:ctrlPr>
                            <w:rPr>
                              <w:rFonts w:ascii="Cambria Math" w:hAnsi="Cambria Math"/>
                              <w:i/>
                            </w:rPr>
                          </m:ctrlPr>
                        </m:sSubPr>
                        <m:e>
                          <m:r>
                            <w:rPr>
                              <w:rFonts w:ascii="Cambria Math" w:hAnsi="Cambria Math"/>
                            </w:rPr>
                            <m:t>n</m:t>
                          </m:r>
                        </m:e>
                        <m:sub>
                          <m:r>
                            <w:rPr>
                              <w:rFonts w:ascii="Cambria Math" w:hAnsi="Cambria Math"/>
                            </w:rPr>
                            <m:t>2</m:t>
                          </m:r>
                        </m:sub>
                      </m:sSub>
                    </m:den>
                  </m:f>
                </m:e>
              </m:d>
            </m:e>
          </m:rad>
        </m:oMath>
      </m:oMathPara>
    </w:p>
    <w:p w14:paraId="65D792DF" w14:textId="77777777" w:rsidR="00327B30" w:rsidRPr="00FB6A0B" w:rsidRDefault="00327B30" w:rsidP="00B1215E">
      <w:pPr>
        <w:jc w:val="left"/>
      </w:pPr>
    </w:p>
    <w:p w14:paraId="16D4BECF" w14:textId="77D51A9B" w:rsidR="00B1215E" w:rsidRDefault="00B1215E" w:rsidP="00EF2DC6">
      <w:pPr>
        <w:jc w:val="left"/>
      </w:pPr>
    </w:p>
    <w:p w14:paraId="456AB6ED" w14:textId="2DE1DDD0" w:rsidR="00D96E32" w:rsidRPr="00D3283F" w:rsidRDefault="00D3283F" w:rsidP="00D3283F">
      <w:pPr>
        <w:jc w:val="center"/>
        <w:rPr>
          <w:b/>
          <w:bCs/>
        </w:rPr>
      </w:pPr>
      <w:r w:rsidRPr="00D3283F">
        <w:rPr>
          <w:rFonts w:hint="eastAsia"/>
          <w:b/>
          <w:bCs/>
        </w:rPr>
        <w:t>R</w:t>
      </w:r>
      <w:r w:rsidRPr="00D3283F">
        <w:rPr>
          <w:b/>
          <w:bCs/>
        </w:rPr>
        <w:t>eferences</w:t>
      </w:r>
    </w:p>
    <w:p w14:paraId="460EC012" w14:textId="77777777" w:rsidR="00D3283F" w:rsidRPr="00D3283F" w:rsidRDefault="00D3283F" w:rsidP="00D3283F">
      <w:pPr>
        <w:ind w:left="708" w:hangingChars="295" w:hanging="708"/>
        <w:jc w:val="left"/>
      </w:pPr>
      <w:r w:rsidRPr="00D3283F">
        <w:t xml:space="preserve">Borenstein, M., Hedges, L. V., Higgins, J. P. T., &amp; Rothstein, H. R. (2009). </w:t>
      </w:r>
      <w:r w:rsidRPr="00D3283F">
        <w:rPr>
          <w:i/>
          <w:iCs/>
        </w:rPr>
        <w:t>Introduction to meta-analysis</w:t>
      </w:r>
      <w:r w:rsidRPr="00D3283F">
        <w:t>. Wiley.</w:t>
      </w:r>
    </w:p>
    <w:p w14:paraId="21BEB967" w14:textId="0BEB6D9F" w:rsidR="00273AD4" w:rsidRDefault="00273AD4" w:rsidP="00273AD4">
      <w:pPr>
        <w:ind w:left="720" w:hanging="720"/>
        <w:jc w:val="left"/>
      </w:pPr>
      <w:r>
        <w:rPr>
          <w:rFonts w:hint="eastAsia"/>
        </w:rPr>
        <w:t xml:space="preserve">Lipsey, M. W., &amp; Wilson, D. B. (2001). </w:t>
      </w:r>
      <w:r w:rsidRPr="00273AD4">
        <w:rPr>
          <w:rFonts w:hint="eastAsia"/>
          <w:i/>
          <w:iCs/>
        </w:rPr>
        <w:t>Practical meta-analysis</w:t>
      </w:r>
      <w:r>
        <w:rPr>
          <w:rFonts w:hint="eastAsia"/>
        </w:rPr>
        <w:t>. Sage.</w:t>
      </w:r>
    </w:p>
    <w:p w14:paraId="4D073620" w14:textId="4E189FFE" w:rsidR="00D3283F" w:rsidRPr="00D3283F" w:rsidRDefault="00273AD4" w:rsidP="00273AD4">
      <w:pPr>
        <w:ind w:left="720" w:hanging="720"/>
        <w:jc w:val="left"/>
      </w:pPr>
      <w:r w:rsidRPr="00273AD4">
        <w:t xml:space="preserve">Morris, S. B., &amp; </w:t>
      </w:r>
      <w:proofErr w:type="spellStart"/>
      <w:r w:rsidRPr="00273AD4">
        <w:t>DeShon</w:t>
      </w:r>
      <w:proofErr w:type="spellEnd"/>
      <w:r w:rsidRPr="00273AD4">
        <w:t>, R. P. (1997). Correcting effect sizes computed from factor analysis of variance for use in meta-analysis. </w:t>
      </w:r>
      <w:r w:rsidRPr="00273AD4">
        <w:rPr>
          <w:i/>
          <w:iCs/>
        </w:rPr>
        <w:t>Psychological Methods</w:t>
      </w:r>
      <w:r w:rsidRPr="00273AD4">
        <w:t>, </w:t>
      </w:r>
      <w:r w:rsidRPr="00273AD4">
        <w:rPr>
          <w:i/>
          <w:iCs/>
        </w:rPr>
        <w:t>2</w:t>
      </w:r>
      <w:r w:rsidRPr="00273AD4">
        <w:t>(2), 192</w:t>
      </w:r>
      <w:r w:rsidRPr="00AC0CC4">
        <w:t>–</w:t>
      </w:r>
      <w:r>
        <w:rPr>
          <w:rFonts w:hint="eastAsia"/>
        </w:rPr>
        <w:t xml:space="preserve">199. </w:t>
      </w:r>
      <w:r w:rsidRPr="00273AD4">
        <w:t>https://doi.org/10.1037/1082-989X.2.2.192</w:t>
      </w:r>
    </w:p>
    <w:p w14:paraId="3CF0F546" w14:textId="02FE5221" w:rsidR="00D96E32" w:rsidRDefault="00D96E32" w:rsidP="00EF2DC6">
      <w:pPr>
        <w:jc w:val="left"/>
      </w:pPr>
    </w:p>
    <w:p w14:paraId="589FE104" w14:textId="2B7313FC" w:rsidR="00D96E32" w:rsidRDefault="00D96E32" w:rsidP="00D96E32">
      <w:pPr>
        <w:jc w:val="left"/>
      </w:pPr>
    </w:p>
    <w:p w14:paraId="78D27758" w14:textId="3D397224" w:rsidR="00D96E32" w:rsidRDefault="00D96E32" w:rsidP="00D96E32">
      <w:pPr>
        <w:jc w:val="left"/>
      </w:pPr>
    </w:p>
    <w:p w14:paraId="5FDC9CA1" w14:textId="2D71A641" w:rsidR="00D96E32" w:rsidRDefault="00D96E32" w:rsidP="00D96E32">
      <w:pPr>
        <w:jc w:val="left"/>
      </w:pPr>
    </w:p>
    <w:p w14:paraId="7C03D650" w14:textId="77777777" w:rsidR="00D96E32" w:rsidRDefault="00D96E32" w:rsidP="00D96E32">
      <w:pPr>
        <w:jc w:val="left"/>
      </w:pPr>
    </w:p>
    <w:p w14:paraId="71A16B57" w14:textId="77777777" w:rsidR="00D96E32" w:rsidRPr="00D96E32" w:rsidRDefault="00D96E32" w:rsidP="00EF2DC6">
      <w:pPr>
        <w:jc w:val="left"/>
      </w:pPr>
    </w:p>
    <w:p w14:paraId="5FD54FD0" w14:textId="77777777" w:rsidR="009B01C7" w:rsidRDefault="009B01C7" w:rsidP="00EF2DC6">
      <w:pPr>
        <w:jc w:val="left"/>
        <w:sectPr w:rsidR="009B01C7" w:rsidSect="00F612BD">
          <w:pgSz w:w="11906" w:h="16838"/>
          <w:pgMar w:top="1440" w:right="1080" w:bottom="1440" w:left="1080" w:header="851" w:footer="992" w:gutter="0"/>
          <w:cols w:space="425"/>
          <w:docGrid w:type="lines" w:linePitch="360"/>
        </w:sectPr>
      </w:pPr>
    </w:p>
    <w:p w14:paraId="64457F6E" w14:textId="69D0A69A" w:rsidR="003A7E61" w:rsidRPr="006E3D99" w:rsidRDefault="003A7E61" w:rsidP="003A7E61">
      <w:pPr>
        <w:jc w:val="center"/>
        <w:rPr>
          <w:b/>
          <w:bCs/>
        </w:rPr>
      </w:pPr>
      <w:r>
        <w:rPr>
          <w:b/>
          <w:bCs/>
        </w:rPr>
        <w:lastRenderedPageBreak/>
        <w:tab/>
      </w:r>
      <w:r w:rsidRPr="006E3D99">
        <w:rPr>
          <w:b/>
          <w:bCs/>
        </w:rPr>
        <w:t xml:space="preserve">Appendix </w:t>
      </w:r>
      <w:r>
        <w:rPr>
          <w:rFonts w:hint="eastAsia"/>
          <w:b/>
          <w:bCs/>
        </w:rPr>
        <w:t>3</w:t>
      </w:r>
      <w:r w:rsidRPr="006E3D99">
        <w:rPr>
          <w:b/>
          <w:bCs/>
        </w:rPr>
        <w:t>:</w:t>
      </w:r>
      <w:r>
        <w:rPr>
          <w:rFonts w:hint="eastAsia"/>
          <w:b/>
          <w:bCs/>
        </w:rPr>
        <w:t xml:space="preserve"> Results of Sensitivity Analysis</w:t>
      </w:r>
    </w:p>
    <w:p w14:paraId="5B6AB14C" w14:textId="59369CEA" w:rsidR="003A7E61" w:rsidRDefault="003A7E61" w:rsidP="003A7E61">
      <w:pPr>
        <w:tabs>
          <w:tab w:val="left" w:pos="1855"/>
        </w:tabs>
        <w:rPr>
          <w:b/>
          <w:bCs/>
        </w:rPr>
      </w:pPr>
    </w:p>
    <w:p w14:paraId="498A516B" w14:textId="26EAB5BE" w:rsidR="00927C9C" w:rsidRPr="00322795" w:rsidRDefault="00223C21" w:rsidP="003A7E61">
      <w:pPr>
        <w:tabs>
          <w:tab w:val="left" w:pos="1855"/>
        </w:tabs>
      </w:pPr>
      <w:r w:rsidRPr="002A2E88">
        <w:rPr>
          <w:rFonts w:hint="eastAsia"/>
        </w:rPr>
        <w:t>Regarding the pretest-</w:t>
      </w:r>
      <w:proofErr w:type="gramStart"/>
      <w:r w:rsidRPr="002A2E88">
        <w:rPr>
          <w:rFonts w:hint="eastAsia"/>
        </w:rPr>
        <w:t>posttest</w:t>
      </w:r>
      <w:proofErr w:type="gramEnd"/>
      <w:r w:rsidRPr="002A2E88">
        <w:rPr>
          <w:rFonts w:hint="eastAsia"/>
        </w:rPr>
        <w:t xml:space="preserve"> comparison data</w:t>
      </w:r>
      <w:r>
        <w:rPr>
          <w:rFonts w:hint="eastAsia"/>
        </w:rPr>
        <w:t xml:space="preserve"> (k = 99)</w:t>
      </w:r>
      <w:r w:rsidR="00927C9C">
        <w:rPr>
          <w:rFonts w:hint="eastAsia"/>
        </w:rPr>
        <w:t>,</w:t>
      </w:r>
      <w:r w:rsidR="001A5526">
        <w:rPr>
          <w:rFonts w:hint="eastAsia"/>
        </w:rPr>
        <w:t xml:space="preserve"> we p</w:t>
      </w:r>
      <w:r w:rsidR="000C5476">
        <w:t>e</w:t>
      </w:r>
      <w:r w:rsidR="001A5526">
        <w:rPr>
          <w:rFonts w:hint="eastAsia"/>
        </w:rPr>
        <w:t xml:space="preserve">rformed sensitivity analyses to determine whether the summary effect size and variance estimates substantially vary depending on the different values for within-study correlations used (r = .25, .50, and .75). As summarized in Table 3.1, no substantial changes were observed for the summary effect size (g = 0.915 to 0.917) and </w:t>
      </w:r>
      <w:r w:rsidR="001A5526">
        <w:t>variance</w:t>
      </w:r>
      <w:r w:rsidR="001A5526">
        <w:rPr>
          <w:rFonts w:hint="eastAsia"/>
        </w:rPr>
        <w:t xml:space="preserve"> (tau squared = 0.111 to 0.113). For the treatment-control comparison data (k = </w:t>
      </w:r>
      <w:r w:rsidR="00E163A2">
        <w:rPr>
          <w:rFonts w:hint="eastAsia"/>
        </w:rPr>
        <w:t xml:space="preserve">35), </w:t>
      </w:r>
      <w:r w:rsidR="00322795">
        <w:rPr>
          <w:rFonts w:hint="eastAsia"/>
        </w:rPr>
        <w:t xml:space="preserve">Table 3.2 shows no </w:t>
      </w:r>
      <w:r w:rsidR="00322795">
        <w:t>substantial</w:t>
      </w:r>
      <w:r w:rsidR="00322795">
        <w:rPr>
          <w:rFonts w:hint="eastAsia"/>
        </w:rPr>
        <w:t xml:space="preserve"> changes in the summary effect size (g = 0.668 to 0.678) and variance (tau squared = 0.010 to 0.012) </w:t>
      </w:r>
      <w:proofErr w:type="gramStart"/>
      <w:r w:rsidR="00322795">
        <w:rPr>
          <w:rFonts w:hint="eastAsia"/>
        </w:rPr>
        <w:t xml:space="preserve">as a </w:t>
      </w:r>
      <w:r w:rsidR="00322795">
        <w:t>result</w:t>
      </w:r>
      <w:r w:rsidR="00322795">
        <w:rPr>
          <w:rFonts w:hint="eastAsia"/>
        </w:rPr>
        <w:t xml:space="preserve"> of</w:t>
      </w:r>
      <w:proofErr w:type="gramEnd"/>
      <w:r w:rsidR="00322795">
        <w:rPr>
          <w:rFonts w:hint="eastAsia"/>
        </w:rPr>
        <w:t xml:space="preserve"> using different within-study correlations (r = .25, .50, and .75). Therefore, for both pretest-posttest and treatment-control comparisons, we used r = .50 for computing the summary effect size and its </w:t>
      </w:r>
      <w:r w:rsidR="00322795">
        <w:t>sampling</w:t>
      </w:r>
      <w:r w:rsidR="00322795">
        <w:rPr>
          <w:rFonts w:hint="eastAsia"/>
        </w:rPr>
        <w:t xml:space="preserve"> variance.</w:t>
      </w:r>
    </w:p>
    <w:p w14:paraId="05199A5B" w14:textId="77777777" w:rsidR="001A5526" w:rsidRDefault="001A5526" w:rsidP="003A7E61">
      <w:pPr>
        <w:tabs>
          <w:tab w:val="left" w:pos="1855"/>
        </w:tabs>
      </w:pPr>
    </w:p>
    <w:p w14:paraId="097900B5" w14:textId="187C0861" w:rsidR="00927C9C" w:rsidRPr="001A5526" w:rsidRDefault="001A5526" w:rsidP="003A7E61">
      <w:pPr>
        <w:tabs>
          <w:tab w:val="left" w:pos="1855"/>
        </w:tabs>
      </w:pPr>
      <w:r>
        <w:rPr>
          <w:rFonts w:hint="eastAsia"/>
        </w:rPr>
        <w:t xml:space="preserve">Table 3.1 Results of sensitivity </w:t>
      </w:r>
      <w:r>
        <w:t>analysis</w:t>
      </w:r>
      <w:r>
        <w:rPr>
          <w:rFonts w:hint="eastAsia"/>
        </w:rPr>
        <w:t xml:space="preserve"> for pretest-posttest </w:t>
      </w:r>
      <w:r>
        <w:t>comparison</w:t>
      </w:r>
    </w:p>
    <w:tbl>
      <w:tblPr>
        <w:tblStyle w:val="a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23"/>
        <w:gridCol w:w="1625"/>
        <w:gridCol w:w="1626"/>
        <w:gridCol w:w="1624"/>
        <w:gridCol w:w="1624"/>
        <w:gridCol w:w="1624"/>
      </w:tblGrid>
      <w:tr w:rsidR="001A5526" w14:paraId="4CF7C386" w14:textId="77777777" w:rsidTr="00716F4F">
        <w:tc>
          <w:tcPr>
            <w:tcW w:w="833" w:type="pct"/>
            <w:tcBorders>
              <w:bottom w:val="single" w:sz="4" w:space="0" w:color="auto"/>
            </w:tcBorders>
          </w:tcPr>
          <w:p w14:paraId="60DE308D" w14:textId="77777777" w:rsidR="001A5526" w:rsidRDefault="001A5526" w:rsidP="003A7E61">
            <w:pPr>
              <w:tabs>
                <w:tab w:val="left" w:pos="1855"/>
              </w:tabs>
            </w:pPr>
          </w:p>
        </w:tc>
        <w:tc>
          <w:tcPr>
            <w:tcW w:w="834" w:type="pct"/>
            <w:tcBorders>
              <w:bottom w:val="single" w:sz="4" w:space="0" w:color="auto"/>
            </w:tcBorders>
          </w:tcPr>
          <w:p w14:paraId="46F96E49" w14:textId="555A5943" w:rsidR="001A5526" w:rsidRDefault="001A5526" w:rsidP="003A7E61">
            <w:pPr>
              <w:tabs>
                <w:tab w:val="left" w:pos="1855"/>
              </w:tabs>
            </w:pPr>
            <w:r>
              <w:t>K</w:t>
            </w:r>
          </w:p>
        </w:tc>
        <w:tc>
          <w:tcPr>
            <w:tcW w:w="834" w:type="pct"/>
            <w:tcBorders>
              <w:bottom w:val="single" w:sz="4" w:space="0" w:color="auto"/>
            </w:tcBorders>
          </w:tcPr>
          <w:p w14:paraId="6A08B0EC" w14:textId="1A08A618" w:rsidR="001A5526" w:rsidRDefault="001A5526" w:rsidP="003A7E61">
            <w:pPr>
              <w:tabs>
                <w:tab w:val="left" w:pos="1855"/>
              </w:tabs>
            </w:pPr>
            <w:r>
              <w:rPr>
                <w:rFonts w:hint="eastAsia"/>
              </w:rPr>
              <w:t>M(g)</w:t>
            </w:r>
          </w:p>
        </w:tc>
        <w:tc>
          <w:tcPr>
            <w:tcW w:w="833" w:type="pct"/>
            <w:tcBorders>
              <w:bottom w:val="single" w:sz="4" w:space="0" w:color="auto"/>
            </w:tcBorders>
          </w:tcPr>
          <w:p w14:paraId="4CBBFECC" w14:textId="02C622D3" w:rsidR="001A5526" w:rsidRDefault="001A5526" w:rsidP="003A7E61">
            <w:pPr>
              <w:tabs>
                <w:tab w:val="left" w:pos="1855"/>
              </w:tabs>
            </w:pPr>
            <w:r>
              <w:rPr>
                <w:rFonts w:hint="eastAsia"/>
              </w:rPr>
              <w:t>SE</w:t>
            </w:r>
          </w:p>
        </w:tc>
        <w:tc>
          <w:tcPr>
            <w:tcW w:w="833" w:type="pct"/>
            <w:tcBorders>
              <w:bottom w:val="single" w:sz="4" w:space="0" w:color="auto"/>
            </w:tcBorders>
          </w:tcPr>
          <w:p w14:paraId="6A7835BC" w14:textId="1CD5AF8A" w:rsidR="001A5526" w:rsidRDefault="001A5526" w:rsidP="003A7E61">
            <w:pPr>
              <w:tabs>
                <w:tab w:val="left" w:pos="1855"/>
              </w:tabs>
            </w:pPr>
            <w:r>
              <w:rPr>
                <w:rFonts w:hint="eastAsia"/>
              </w:rPr>
              <w:t>95% CI</w:t>
            </w:r>
          </w:p>
        </w:tc>
        <w:tc>
          <w:tcPr>
            <w:tcW w:w="833" w:type="pct"/>
            <w:tcBorders>
              <w:bottom w:val="single" w:sz="4" w:space="0" w:color="auto"/>
            </w:tcBorders>
          </w:tcPr>
          <w:p w14:paraId="20B24BA2" w14:textId="23F18D77" w:rsidR="001A5526" w:rsidRDefault="001A5526" w:rsidP="003A7E61">
            <w:pPr>
              <w:tabs>
                <w:tab w:val="left" w:pos="1855"/>
              </w:tabs>
            </w:pPr>
            <w:r>
              <w:rPr>
                <w:rFonts w:hint="eastAsia"/>
              </w:rPr>
              <w:t>Tau Squared</w:t>
            </w:r>
          </w:p>
        </w:tc>
      </w:tr>
      <w:tr w:rsidR="001A5526" w14:paraId="0CB55D21" w14:textId="77777777" w:rsidTr="00716F4F">
        <w:tc>
          <w:tcPr>
            <w:tcW w:w="833" w:type="pct"/>
            <w:tcBorders>
              <w:bottom w:val="nil"/>
            </w:tcBorders>
          </w:tcPr>
          <w:p w14:paraId="1799FAB3" w14:textId="75130830" w:rsidR="001A5526" w:rsidRDefault="001A5526" w:rsidP="001A5526">
            <w:pPr>
              <w:tabs>
                <w:tab w:val="left" w:pos="1855"/>
              </w:tabs>
            </w:pPr>
            <w:r>
              <w:t>R</w:t>
            </w:r>
            <w:r>
              <w:rPr>
                <w:rFonts w:hint="eastAsia"/>
              </w:rPr>
              <w:t xml:space="preserve"> = .25</w:t>
            </w:r>
          </w:p>
        </w:tc>
        <w:tc>
          <w:tcPr>
            <w:tcW w:w="834" w:type="pct"/>
            <w:tcBorders>
              <w:bottom w:val="nil"/>
            </w:tcBorders>
          </w:tcPr>
          <w:p w14:paraId="0933682B" w14:textId="641496E0" w:rsidR="001A5526" w:rsidRDefault="001A5526" w:rsidP="001A5526">
            <w:pPr>
              <w:tabs>
                <w:tab w:val="left" w:pos="1855"/>
              </w:tabs>
            </w:pPr>
            <w:r>
              <w:rPr>
                <w:rFonts w:hint="eastAsia"/>
              </w:rPr>
              <w:t>96</w:t>
            </w:r>
          </w:p>
        </w:tc>
        <w:tc>
          <w:tcPr>
            <w:tcW w:w="834" w:type="pct"/>
            <w:tcBorders>
              <w:bottom w:val="nil"/>
            </w:tcBorders>
          </w:tcPr>
          <w:p w14:paraId="142FE382" w14:textId="3DF7723A" w:rsidR="001A5526" w:rsidRDefault="001A5526" w:rsidP="001A5526">
            <w:pPr>
              <w:tabs>
                <w:tab w:val="left" w:pos="1855"/>
              </w:tabs>
            </w:pPr>
            <w:r>
              <w:rPr>
                <w:rFonts w:hint="eastAsia"/>
              </w:rPr>
              <w:t>0.917</w:t>
            </w:r>
          </w:p>
        </w:tc>
        <w:tc>
          <w:tcPr>
            <w:tcW w:w="833" w:type="pct"/>
            <w:tcBorders>
              <w:bottom w:val="nil"/>
            </w:tcBorders>
          </w:tcPr>
          <w:p w14:paraId="6C24303D" w14:textId="69F047F8" w:rsidR="001A5526" w:rsidRDefault="001A5526" w:rsidP="001A5526">
            <w:pPr>
              <w:tabs>
                <w:tab w:val="left" w:pos="1855"/>
              </w:tabs>
            </w:pPr>
            <w:r>
              <w:rPr>
                <w:rFonts w:hint="eastAsia"/>
              </w:rPr>
              <w:t>0.043</w:t>
            </w:r>
          </w:p>
        </w:tc>
        <w:tc>
          <w:tcPr>
            <w:tcW w:w="833" w:type="pct"/>
            <w:tcBorders>
              <w:bottom w:val="nil"/>
            </w:tcBorders>
          </w:tcPr>
          <w:p w14:paraId="0C37BA50" w14:textId="78DCBF12" w:rsidR="001A5526" w:rsidRDefault="001A5526" w:rsidP="001A5526">
            <w:pPr>
              <w:tabs>
                <w:tab w:val="left" w:pos="1855"/>
              </w:tabs>
            </w:pPr>
            <w:r>
              <w:rPr>
                <w:rFonts w:hint="eastAsia"/>
              </w:rPr>
              <w:t>[0.832, 1.002]</w:t>
            </w:r>
          </w:p>
        </w:tc>
        <w:tc>
          <w:tcPr>
            <w:tcW w:w="833" w:type="pct"/>
            <w:tcBorders>
              <w:bottom w:val="nil"/>
            </w:tcBorders>
          </w:tcPr>
          <w:p w14:paraId="50F3387F" w14:textId="479B20FB" w:rsidR="001A5526" w:rsidRDefault="001A5526" w:rsidP="001A5526">
            <w:pPr>
              <w:tabs>
                <w:tab w:val="left" w:pos="1855"/>
              </w:tabs>
            </w:pPr>
            <w:r>
              <w:rPr>
                <w:rFonts w:hint="eastAsia"/>
              </w:rPr>
              <w:t>0.113</w:t>
            </w:r>
          </w:p>
        </w:tc>
      </w:tr>
      <w:tr w:rsidR="001A5526" w14:paraId="22966EE7" w14:textId="77777777" w:rsidTr="00716F4F">
        <w:tc>
          <w:tcPr>
            <w:tcW w:w="833" w:type="pct"/>
            <w:tcBorders>
              <w:top w:val="nil"/>
              <w:bottom w:val="nil"/>
            </w:tcBorders>
          </w:tcPr>
          <w:p w14:paraId="47A4833D" w14:textId="10628321" w:rsidR="001A5526" w:rsidRDefault="001A5526" w:rsidP="001A5526">
            <w:pPr>
              <w:tabs>
                <w:tab w:val="left" w:pos="1855"/>
              </w:tabs>
            </w:pPr>
            <w:r>
              <w:t>R</w:t>
            </w:r>
            <w:r>
              <w:rPr>
                <w:rFonts w:hint="eastAsia"/>
              </w:rPr>
              <w:t xml:space="preserve"> = .50</w:t>
            </w:r>
          </w:p>
        </w:tc>
        <w:tc>
          <w:tcPr>
            <w:tcW w:w="834" w:type="pct"/>
            <w:tcBorders>
              <w:top w:val="nil"/>
              <w:bottom w:val="nil"/>
            </w:tcBorders>
          </w:tcPr>
          <w:p w14:paraId="0D4B9048" w14:textId="2E4D4229" w:rsidR="001A5526" w:rsidRDefault="001A5526" w:rsidP="001A5526">
            <w:pPr>
              <w:tabs>
                <w:tab w:val="left" w:pos="1855"/>
              </w:tabs>
            </w:pPr>
            <w:r>
              <w:rPr>
                <w:rFonts w:hint="eastAsia"/>
              </w:rPr>
              <w:t>96</w:t>
            </w:r>
          </w:p>
        </w:tc>
        <w:tc>
          <w:tcPr>
            <w:tcW w:w="834" w:type="pct"/>
            <w:tcBorders>
              <w:top w:val="nil"/>
              <w:bottom w:val="nil"/>
            </w:tcBorders>
          </w:tcPr>
          <w:p w14:paraId="26EADAD2" w14:textId="64EFE912" w:rsidR="001A5526" w:rsidRDefault="001A5526" w:rsidP="001A5526">
            <w:pPr>
              <w:tabs>
                <w:tab w:val="left" w:pos="1855"/>
              </w:tabs>
            </w:pPr>
            <w:r>
              <w:rPr>
                <w:rFonts w:hint="eastAsia"/>
              </w:rPr>
              <w:t>0.916</w:t>
            </w:r>
          </w:p>
        </w:tc>
        <w:tc>
          <w:tcPr>
            <w:tcW w:w="833" w:type="pct"/>
            <w:tcBorders>
              <w:top w:val="nil"/>
              <w:bottom w:val="nil"/>
            </w:tcBorders>
          </w:tcPr>
          <w:p w14:paraId="1AD97AC4" w14:textId="62CD50FF" w:rsidR="001A5526" w:rsidRDefault="001A5526" w:rsidP="001A5526">
            <w:pPr>
              <w:tabs>
                <w:tab w:val="left" w:pos="1855"/>
              </w:tabs>
            </w:pPr>
            <w:r>
              <w:rPr>
                <w:rFonts w:hint="eastAsia"/>
              </w:rPr>
              <w:t>0.044</w:t>
            </w:r>
          </w:p>
        </w:tc>
        <w:tc>
          <w:tcPr>
            <w:tcW w:w="833" w:type="pct"/>
            <w:tcBorders>
              <w:top w:val="nil"/>
              <w:bottom w:val="nil"/>
            </w:tcBorders>
          </w:tcPr>
          <w:p w14:paraId="244767D4" w14:textId="79A93155" w:rsidR="001A5526" w:rsidRDefault="001A5526" w:rsidP="001A5526">
            <w:pPr>
              <w:tabs>
                <w:tab w:val="left" w:pos="1855"/>
              </w:tabs>
            </w:pPr>
            <w:r>
              <w:rPr>
                <w:rFonts w:hint="eastAsia"/>
              </w:rPr>
              <w:t>[0.830, 1.002]</w:t>
            </w:r>
          </w:p>
        </w:tc>
        <w:tc>
          <w:tcPr>
            <w:tcW w:w="833" w:type="pct"/>
            <w:tcBorders>
              <w:top w:val="nil"/>
              <w:bottom w:val="nil"/>
            </w:tcBorders>
          </w:tcPr>
          <w:p w14:paraId="6266F373" w14:textId="6AD67CE4" w:rsidR="001A5526" w:rsidRDefault="001A5526" w:rsidP="001A5526">
            <w:pPr>
              <w:tabs>
                <w:tab w:val="left" w:pos="1855"/>
              </w:tabs>
            </w:pPr>
            <w:r>
              <w:rPr>
                <w:rFonts w:hint="eastAsia"/>
              </w:rPr>
              <w:t>0.112</w:t>
            </w:r>
          </w:p>
        </w:tc>
      </w:tr>
      <w:tr w:rsidR="001A5526" w14:paraId="3064FEC9" w14:textId="77777777" w:rsidTr="00716F4F">
        <w:tc>
          <w:tcPr>
            <w:tcW w:w="833" w:type="pct"/>
            <w:tcBorders>
              <w:top w:val="nil"/>
            </w:tcBorders>
          </w:tcPr>
          <w:p w14:paraId="24C26BEB" w14:textId="4A04B8E8" w:rsidR="001A5526" w:rsidRDefault="001A5526" w:rsidP="001A5526">
            <w:pPr>
              <w:tabs>
                <w:tab w:val="left" w:pos="1855"/>
              </w:tabs>
            </w:pPr>
            <w:r>
              <w:rPr>
                <w:rFonts w:hint="eastAsia"/>
              </w:rPr>
              <w:t>R = .75</w:t>
            </w:r>
          </w:p>
        </w:tc>
        <w:tc>
          <w:tcPr>
            <w:tcW w:w="834" w:type="pct"/>
            <w:tcBorders>
              <w:top w:val="nil"/>
            </w:tcBorders>
          </w:tcPr>
          <w:p w14:paraId="51B2E14C" w14:textId="6905785E" w:rsidR="001A5526" w:rsidRDefault="001A5526" w:rsidP="001A5526">
            <w:pPr>
              <w:tabs>
                <w:tab w:val="left" w:pos="1855"/>
              </w:tabs>
            </w:pPr>
            <w:r>
              <w:rPr>
                <w:rFonts w:hint="eastAsia"/>
              </w:rPr>
              <w:t>96</w:t>
            </w:r>
          </w:p>
        </w:tc>
        <w:tc>
          <w:tcPr>
            <w:tcW w:w="834" w:type="pct"/>
            <w:tcBorders>
              <w:top w:val="nil"/>
            </w:tcBorders>
          </w:tcPr>
          <w:p w14:paraId="567A1306" w14:textId="15C8809F" w:rsidR="001A5526" w:rsidRDefault="001A5526" w:rsidP="001A5526">
            <w:pPr>
              <w:tabs>
                <w:tab w:val="left" w:pos="1855"/>
              </w:tabs>
            </w:pPr>
            <w:r>
              <w:rPr>
                <w:rFonts w:hint="eastAsia"/>
              </w:rPr>
              <w:t>0.915</w:t>
            </w:r>
          </w:p>
        </w:tc>
        <w:tc>
          <w:tcPr>
            <w:tcW w:w="833" w:type="pct"/>
            <w:tcBorders>
              <w:top w:val="nil"/>
            </w:tcBorders>
          </w:tcPr>
          <w:p w14:paraId="28FEC0A3" w14:textId="46465E8F" w:rsidR="001A5526" w:rsidRDefault="001A5526" w:rsidP="001A5526">
            <w:pPr>
              <w:tabs>
                <w:tab w:val="left" w:pos="1855"/>
              </w:tabs>
            </w:pPr>
            <w:r>
              <w:rPr>
                <w:rFonts w:hint="eastAsia"/>
              </w:rPr>
              <w:t>0.045</w:t>
            </w:r>
          </w:p>
        </w:tc>
        <w:tc>
          <w:tcPr>
            <w:tcW w:w="833" w:type="pct"/>
            <w:tcBorders>
              <w:top w:val="nil"/>
            </w:tcBorders>
          </w:tcPr>
          <w:p w14:paraId="2438B508" w14:textId="29740F59" w:rsidR="001A5526" w:rsidRDefault="001A5526" w:rsidP="001A5526">
            <w:pPr>
              <w:tabs>
                <w:tab w:val="left" w:pos="1855"/>
              </w:tabs>
            </w:pPr>
            <w:r>
              <w:rPr>
                <w:rFonts w:hint="eastAsia"/>
              </w:rPr>
              <w:t>[0.827, 1.002]</w:t>
            </w:r>
          </w:p>
        </w:tc>
        <w:tc>
          <w:tcPr>
            <w:tcW w:w="833" w:type="pct"/>
            <w:tcBorders>
              <w:top w:val="nil"/>
            </w:tcBorders>
          </w:tcPr>
          <w:p w14:paraId="2E85C44E" w14:textId="647DA08C" w:rsidR="001A5526" w:rsidRDefault="001A5526" w:rsidP="001A5526">
            <w:pPr>
              <w:tabs>
                <w:tab w:val="left" w:pos="1855"/>
              </w:tabs>
            </w:pPr>
            <w:r>
              <w:rPr>
                <w:rFonts w:hint="eastAsia"/>
              </w:rPr>
              <w:t>0.111</w:t>
            </w:r>
          </w:p>
        </w:tc>
      </w:tr>
    </w:tbl>
    <w:p w14:paraId="461A73C9" w14:textId="77777777" w:rsidR="00E163A2" w:rsidRDefault="00E163A2" w:rsidP="00E163A2">
      <w:pPr>
        <w:tabs>
          <w:tab w:val="left" w:pos="1855"/>
        </w:tabs>
      </w:pPr>
    </w:p>
    <w:p w14:paraId="5299E360" w14:textId="5C19AEEB" w:rsidR="00E163A2" w:rsidRPr="001A5526" w:rsidRDefault="00E163A2" w:rsidP="00E163A2">
      <w:pPr>
        <w:tabs>
          <w:tab w:val="left" w:pos="1855"/>
        </w:tabs>
      </w:pPr>
      <w:r>
        <w:rPr>
          <w:rFonts w:hint="eastAsia"/>
        </w:rPr>
        <w:t xml:space="preserve">Table 3.2 Results of sensitivity </w:t>
      </w:r>
      <w:r>
        <w:t>analysis</w:t>
      </w:r>
      <w:r>
        <w:rPr>
          <w:rFonts w:hint="eastAsia"/>
        </w:rPr>
        <w:t xml:space="preserve"> for treatment-control comparison</w:t>
      </w:r>
    </w:p>
    <w:tbl>
      <w:tblPr>
        <w:tblStyle w:val="a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623"/>
        <w:gridCol w:w="1625"/>
        <w:gridCol w:w="1626"/>
        <w:gridCol w:w="1624"/>
        <w:gridCol w:w="1624"/>
        <w:gridCol w:w="1624"/>
      </w:tblGrid>
      <w:tr w:rsidR="00E163A2" w14:paraId="3F296F7C" w14:textId="77777777" w:rsidTr="00716F4F">
        <w:tc>
          <w:tcPr>
            <w:tcW w:w="833" w:type="pct"/>
            <w:tcBorders>
              <w:bottom w:val="single" w:sz="4" w:space="0" w:color="auto"/>
            </w:tcBorders>
          </w:tcPr>
          <w:p w14:paraId="74B4BCED" w14:textId="77777777" w:rsidR="00E163A2" w:rsidRDefault="00E163A2" w:rsidP="00D83C52">
            <w:pPr>
              <w:tabs>
                <w:tab w:val="left" w:pos="1855"/>
              </w:tabs>
            </w:pPr>
          </w:p>
        </w:tc>
        <w:tc>
          <w:tcPr>
            <w:tcW w:w="834" w:type="pct"/>
            <w:tcBorders>
              <w:bottom w:val="single" w:sz="4" w:space="0" w:color="auto"/>
            </w:tcBorders>
          </w:tcPr>
          <w:p w14:paraId="54C0D53F" w14:textId="77777777" w:rsidR="00E163A2" w:rsidRDefault="00E163A2" w:rsidP="00D83C52">
            <w:pPr>
              <w:tabs>
                <w:tab w:val="left" w:pos="1855"/>
              </w:tabs>
            </w:pPr>
            <w:r>
              <w:t>K</w:t>
            </w:r>
          </w:p>
        </w:tc>
        <w:tc>
          <w:tcPr>
            <w:tcW w:w="834" w:type="pct"/>
            <w:tcBorders>
              <w:bottom w:val="single" w:sz="4" w:space="0" w:color="auto"/>
            </w:tcBorders>
          </w:tcPr>
          <w:p w14:paraId="04C1A330" w14:textId="77777777" w:rsidR="00E163A2" w:rsidRDefault="00E163A2" w:rsidP="00D83C52">
            <w:pPr>
              <w:tabs>
                <w:tab w:val="left" w:pos="1855"/>
              </w:tabs>
            </w:pPr>
            <w:r>
              <w:rPr>
                <w:rFonts w:hint="eastAsia"/>
              </w:rPr>
              <w:t>M(g)</w:t>
            </w:r>
          </w:p>
        </w:tc>
        <w:tc>
          <w:tcPr>
            <w:tcW w:w="833" w:type="pct"/>
            <w:tcBorders>
              <w:bottom w:val="single" w:sz="4" w:space="0" w:color="auto"/>
            </w:tcBorders>
          </w:tcPr>
          <w:p w14:paraId="139E1EFD" w14:textId="77777777" w:rsidR="00E163A2" w:rsidRDefault="00E163A2" w:rsidP="00D83C52">
            <w:pPr>
              <w:tabs>
                <w:tab w:val="left" w:pos="1855"/>
              </w:tabs>
            </w:pPr>
            <w:r>
              <w:rPr>
                <w:rFonts w:hint="eastAsia"/>
              </w:rPr>
              <w:t>SE</w:t>
            </w:r>
          </w:p>
        </w:tc>
        <w:tc>
          <w:tcPr>
            <w:tcW w:w="833" w:type="pct"/>
            <w:tcBorders>
              <w:bottom w:val="single" w:sz="4" w:space="0" w:color="auto"/>
            </w:tcBorders>
          </w:tcPr>
          <w:p w14:paraId="34178C61" w14:textId="77777777" w:rsidR="00E163A2" w:rsidRDefault="00E163A2" w:rsidP="00D83C52">
            <w:pPr>
              <w:tabs>
                <w:tab w:val="left" w:pos="1855"/>
              </w:tabs>
            </w:pPr>
            <w:r>
              <w:rPr>
                <w:rFonts w:hint="eastAsia"/>
              </w:rPr>
              <w:t>95% CI</w:t>
            </w:r>
          </w:p>
        </w:tc>
        <w:tc>
          <w:tcPr>
            <w:tcW w:w="833" w:type="pct"/>
            <w:tcBorders>
              <w:bottom w:val="single" w:sz="4" w:space="0" w:color="auto"/>
            </w:tcBorders>
          </w:tcPr>
          <w:p w14:paraId="06712F1F" w14:textId="77777777" w:rsidR="00E163A2" w:rsidRDefault="00E163A2" w:rsidP="00D83C52">
            <w:pPr>
              <w:tabs>
                <w:tab w:val="left" w:pos="1855"/>
              </w:tabs>
            </w:pPr>
            <w:r>
              <w:rPr>
                <w:rFonts w:hint="eastAsia"/>
              </w:rPr>
              <w:t>Tau Squared</w:t>
            </w:r>
          </w:p>
        </w:tc>
      </w:tr>
      <w:tr w:rsidR="00E163A2" w14:paraId="1D251D11" w14:textId="77777777" w:rsidTr="00716F4F">
        <w:tc>
          <w:tcPr>
            <w:tcW w:w="833" w:type="pct"/>
            <w:tcBorders>
              <w:bottom w:val="nil"/>
            </w:tcBorders>
          </w:tcPr>
          <w:p w14:paraId="33A6BCDE" w14:textId="77777777" w:rsidR="00E163A2" w:rsidRDefault="00E163A2" w:rsidP="00D83C52">
            <w:pPr>
              <w:tabs>
                <w:tab w:val="left" w:pos="1855"/>
              </w:tabs>
            </w:pPr>
            <w:r>
              <w:t>R</w:t>
            </w:r>
            <w:r>
              <w:rPr>
                <w:rFonts w:hint="eastAsia"/>
              </w:rPr>
              <w:t xml:space="preserve"> = .25</w:t>
            </w:r>
          </w:p>
        </w:tc>
        <w:tc>
          <w:tcPr>
            <w:tcW w:w="834" w:type="pct"/>
            <w:tcBorders>
              <w:bottom w:val="nil"/>
            </w:tcBorders>
          </w:tcPr>
          <w:p w14:paraId="1EA85BCE" w14:textId="5095BCCC" w:rsidR="00E163A2" w:rsidRDefault="00E163A2" w:rsidP="00D83C52">
            <w:pPr>
              <w:tabs>
                <w:tab w:val="left" w:pos="1855"/>
              </w:tabs>
            </w:pPr>
            <w:r>
              <w:rPr>
                <w:rFonts w:hint="eastAsia"/>
              </w:rPr>
              <w:t>32</w:t>
            </w:r>
          </w:p>
        </w:tc>
        <w:tc>
          <w:tcPr>
            <w:tcW w:w="834" w:type="pct"/>
            <w:tcBorders>
              <w:bottom w:val="nil"/>
            </w:tcBorders>
          </w:tcPr>
          <w:p w14:paraId="3BD6A86E" w14:textId="1A05CB86" w:rsidR="00E163A2" w:rsidRDefault="00E163A2" w:rsidP="00D83C52">
            <w:pPr>
              <w:tabs>
                <w:tab w:val="left" w:pos="1855"/>
              </w:tabs>
            </w:pPr>
            <w:r>
              <w:rPr>
                <w:rFonts w:hint="eastAsia"/>
              </w:rPr>
              <w:t>0.668</w:t>
            </w:r>
          </w:p>
        </w:tc>
        <w:tc>
          <w:tcPr>
            <w:tcW w:w="833" w:type="pct"/>
            <w:tcBorders>
              <w:bottom w:val="nil"/>
            </w:tcBorders>
          </w:tcPr>
          <w:p w14:paraId="35085F73" w14:textId="482D74FB" w:rsidR="00E163A2" w:rsidRDefault="00E163A2" w:rsidP="00D83C52">
            <w:pPr>
              <w:tabs>
                <w:tab w:val="left" w:pos="1855"/>
              </w:tabs>
            </w:pPr>
            <w:r>
              <w:rPr>
                <w:rFonts w:hint="eastAsia"/>
              </w:rPr>
              <w:t>0.059</w:t>
            </w:r>
          </w:p>
        </w:tc>
        <w:tc>
          <w:tcPr>
            <w:tcW w:w="833" w:type="pct"/>
            <w:tcBorders>
              <w:bottom w:val="nil"/>
            </w:tcBorders>
          </w:tcPr>
          <w:p w14:paraId="1D42904D" w14:textId="7D8B37F8" w:rsidR="00E163A2" w:rsidRDefault="00E163A2" w:rsidP="00D83C52">
            <w:pPr>
              <w:tabs>
                <w:tab w:val="left" w:pos="1855"/>
              </w:tabs>
            </w:pPr>
            <w:r>
              <w:rPr>
                <w:rFonts w:hint="eastAsia"/>
              </w:rPr>
              <w:t>[0.552, 0.784]</w:t>
            </w:r>
          </w:p>
        </w:tc>
        <w:tc>
          <w:tcPr>
            <w:tcW w:w="833" w:type="pct"/>
            <w:tcBorders>
              <w:bottom w:val="nil"/>
            </w:tcBorders>
          </w:tcPr>
          <w:p w14:paraId="1DA6A56E" w14:textId="5689DE72" w:rsidR="00E163A2" w:rsidRDefault="00E163A2" w:rsidP="00D83C52">
            <w:pPr>
              <w:tabs>
                <w:tab w:val="left" w:pos="1855"/>
              </w:tabs>
            </w:pPr>
            <w:r>
              <w:rPr>
                <w:rFonts w:hint="eastAsia"/>
              </w:rPr>
              <w:t>0.012</w:t>
            </w:r>
          </w:p>
        </w:tc>
      </w:tr>
      <w:tr w:rsidR="00E163A2" w14:paraId="293FE0ED" w14:textId="77777777" w:rsidTr="00716F4F">
        <w:tc>
          <w:tcPr>
            <w:tcW w:w="833" w:type="pct"/>
            <w:tcBorders>
              <w:top w:val="nil"/>
              <w:bottom w:val="nil"/>
            </w:tcBorders>
          </w:tcPr>
          <w:p w14:paraId="33D8E02E" w14:textId="77777777" w:rsidR="00E163A2" w:rsidRDefault="00E163A2" w:rsidP="00D83C52">
            <w:pPr>
              <w:tabs>
                <w:tab w:val="left" w:pos="1855"/>
              </w:tabs>
            </w:pPr>
            <w:r>
              <w:t>R</w:t>
            </w:r>
            <w:r>
              <w:rPr>
                <w:rFonts w:hint="eastAsia"/>
              </w:rPr>
              <w:t xml:space="preserve"> = .50</w:t>
            </w:r>
          </w:p>
        </w:tc>
        <w:tc>
          <w:tcPr>
            <w:tcW w:w="834" w:type="pct"/>
            <w:tcBorders>
              <w:top w:val="nil"/>
              <w:bottom w:val="nil"/>
            </w:tcBorders>
          </w:tcPr>
          <w:p w14:paraId="221D17BC" w14:textId="1EE50A0E" w:rsidR="00E163A2" w:rsidRDefault="00E163A2" w:rsidP="00D83C52">
            <w:pPr>
              <w:tabs>
                <w:tab w:val="left" w:pos="1855"/>
              </w:tabs>
            </w:pPr>
            <w:r>
              <w:rPr>
                <w:rFonts w:hint="eastAsia"/>
              </w:rPr>
              <w:t>32</w:t>
            </w:r>
          </w:p>
        </w:tc>
        <w:tc>
          <w:tcPr>
            <w:tcW w:w="834" w:type="pct"/>
            <w:tcBorders>
              <w:top w:val="nil"/>
              <w:bottom w:val="nil"/>
            </w:tcBorders>
          </w:tcPr>
          <w:p w14:paraId="512444AA" w14:textId="66DF9CDA" w:rsidR="00E163A2" w:rsidRDefault="00E163A2" w:rsidP="00D83C52">
            <w:pPr>
              <w:tabs>
                <w:tab w:val="left" w:pos="1855"/>
              </w:tabs>
            </w:pPr>
            <w:r>
              <w:rPr>
                <w:rFonts w:hint="eastAsia"/>
              </w:rPr>
              <w:t>0.673</w:t>
            </w:r>
          </w:p>
        </w:tc>
        <w:tc>
          <w:tcPr>
            <w:tcW w:w="833" w:type="pct"/>
            <w:tcBorders>
              <w:top w:val="nil"/>
              <w:bottom w:val="nil"/>
            </w:tcBorders>
          </w:tcPr>
          <w:p w14:paraId="776AFE87" w14:textId="755D70AE" w:rsidR="00E163A2" w:rsidRDefault="00E163A2" w:rsidP="00D83C52">
            <w:pPr>
              <w:tabs>
                <w:tab w:val="left" w:pos="1855"/>
              </w:tabs>
            </w:pPr>
            <w:r>
              <w:rPr>
                <w:rFonts w:hint="eastAsia"/>
              </w:rPr>
              <w:t>0.061</w:t>
            </w:r>
          </w:p>
        </w:tc>
        <w:tc>
          <w:tcPr>
            <w:tcW w:w="833" w:type="pct"/>
            <w:tcBorders>
              <w:top w:val="nil"/>
              <w:bottom w:val="nil"/>
            </w:tcBorders>
          </w:tcPr>
          <w:p w14:paraId="5EB379E7" w14:textId="7E0B57F2" w:rsidR="00E163A2" w:rsidRDefault="00E163A2" w:rsidP="00D83C52">
            <w:pPr>
              <w:tabs>
                <w:tab w:val="left" w:pos="1855"/>
              </w:tabs>
            </w:pPr>
            <w:r>
              <w:rPr>
                <w:rFonts w:hint="eastAsia"/>
              </w:rPr>
              <w:t>[0.554, 0.792]</w:t>
            </w:r>
          </w:p>
        </w:tc>
        <w:tc>
          <w:tcPr>
            <w:tcW w:w="833" w:type="pct"/>
            <w:tcBorders>
              <w:top w:val="nil"/>
              <w:bottom w:val="nil"/>
            </w:tcBorders>
          </w:tcPr>
          <w:p w14:paraId="26586C4F" w14:textId="050E71C2" w:rsidR="00E163A2" w:rsidRDefault="00E163A2" w:rsidP="00D83C52">
            <w:pPr>
              <w:tabs>
                <w:tab w:val="left" w:pos="1855"/>
              </w:tabs>
            </w:pPr>
            <w:r>
              <w:rPr>
                <w:rFonts w:hint="eastAsia"/>
              </w:rPr>
              <w:t>0.011</w:t>
            </w:r>
          </w:p>
        </w:tc>
      </w:tr>
      <w:tr w:rsidR="00E163A2" w14:paraId="62AF77CB" w14:textId="77777777" w:rsidTr="00716F4F">
        <w:tc>
          <w:tcPr>
            <w:tcW w:w="833" w:type="pct"/>
            <w:tcBorders>
              <w:top w:val="nil"/>
            </w:tcBorders>
          </w:tcPr>
          <w:p w14:paraId="12A4AFDA" w14:textId="77777777" w:rsidR="00E163A2" w:rsidRDefault="00E163A2" w:rsidP="00D83C52">
            <w:pPr>
              <w:tabs>
                <w:tab w:val="left" w:pos="1855"/>
              </w:tabs>
            </w:pPr>
            <w:r>
              <w:rPr>
                <w:rFonts w:hint="eastAsia"/>
              </w:rPr>
              <w:t>R = .75</w:t>
            </w:r>
          </w:p>
        </w:tc>
        <w:tc>
          <w:tcPr>
            <w:tcW w:w="834" w:type="pct"/>
            <w:tcBorders>
              <w:top w:val="nil"/>
            </w:tcBorders>
          </w:tcPr>
          <w:p w14:paraId="52FB0A2C" w14:textId="14F1E882" w:rsidR="00E163A2" w:rsidRDefault="00E163A2" w:rsidP="00D83C52">
            <w:pPr>
              <w:tabs>
                <w:tab w:val="left" w:pos="1855"/>
              </w:tabs>
            </w:pPr>
            <w:r>
              <w:rPr>
                <w:rFonts w:hint="eastAsia"/>
              </w:rPr>
              <w:t>32</w:t>
            </w:r>
          </w:p>
        </w:tc>
        <w:tc>
          <w:tcPr>
            <w:tcW w:w="834" w:type="pct"/>
            <w:tcBorders>
              <w:top w:val="nil"/>
            </w:tcBorders>
          </w:tcPr>
          <w:p w14:paraId="03C21ADF" w14:textId="4C8F4A4C" w:rsidR="00E163A2" w:rsidRDefault="00322795" w:rsidP="00D83C52">
            <w:pPr>
              <w:tabs>
                <w:tab w:val="left" w:pos="1855"/>
              </w:tabs>
            </w:pPr>
            <w:r>
              <w:rPr>
                <w:rFonts w:hint="eastAsia"/>
              </w:rPr>
              <w:t>0.678</w:t>
            </w:r>
          </w:p>
        </w:tc>
        <w:tc>
          <w:tcPr>
            <w:tcW w:w="833" w:type="pct"/>
            <w:tcBorders>
              <w:top w:val="nil"/>
            </w:tcBorders>
          </w:tcPr>
          <w:p w14:paraId="488D8B2B" w14:textId="212B498D" w:rsidR="00E163A2" w:rsidRDefault="00322795" w:rsidP="00D83C52">
            <w:pPr>
              <w:tabs>
                <w:tab w:val="left" w:pos="1855"/>
              </w:tabs>
            </w:pPr>
            <w:r>
              <w:rPr>
                <w:rFonts w:hint="eastAsia"/>
              </w:rPr>
              <w:t>0.062</w:t>
            </w:r>
          </w:p>
        </w:tc>
        <w:tc>
          <w:tcPr>
            <w:tcW w:w="833" w:type="pct"/>
            <w:tcBorders>
              <w:top w:val="nil"/>
            </w:tcBorders>
          </w:tcPr>
          <w:p w14:paraId="7920C643" w14:textId="478A514A" w:rsidR="00E163A2" w:rsidRDefault="00322795" w:rsidP="00D83C52">
            <w:pPr>
              <w:tabs>
                <w:tab w:val="left" w:pos="1855"/>
              </w:tabs>
            </w:pPr>
            <w:r>
              <w:rPr>
                <w:rFonts w:hint="eastAsia"/>
              </w:rPr>
              <w:t>[0.556, 0.799]</w:t>
            </w:r>
          </w:p>
        </w:tc>
        <w:tc>
          <w:tcPr>
            <w:tcW w:w="833" w:type="pct"/>
            <w:tcBorders>
              <w:top w:val="nil"/>
            </w:tcBorders>
          </w:tcPr>
          <w:p w14:paraId="7962E9C7" w14:textId="08259FF4" w:rsidR="00E163A2" w:rsidRDefault="00322795" w:rsidP="00D83C52">
            <w:pPr>
              <w:tabs>
                <w:tab w:val="left" w:pos="1855"/>
              </w:tabs>
            </w:pPr>
            <w:r>
              <w:rPr>
                <w:rFonts w:hint="eastAsia"/>
              </w:rPr>
              <w:t>0.010</w:t>
            </w:r>
          </w:p>
        </w:tc>
      </w:tr>
    </w:tbl>
    <w:p w14:paraId="429693E1" w14:textId="7FD8AF85" w:rsidR="00E163A2" w:rsidRPr="003A7E61" w:rsidRDefault="00E163A2" w:rsidP="003A7E61">
      <w:pPr>
        <w:tabs>
          <w:tab w:val="left" w:pos="1855"/>
        </w:tabs>
        <w:sectPr w:rsidR="00E163A2" w:rsidRPr="003A7E61" w:rsidSect="00F612BD">
          <w:pgSz w:w="11906" w:h="16838"/>
          <w:pgMar w:top="1440" w:right="1080" w:bottom="1440" w:left="1080" w:header="851" w:footer="992" w:gutter="0"/>
          <w:cols w:space="425"/>
          <w:docGrid w:type="lines" w:linePitch="360"/>
        </w:sectPr>
      </w:pPr>
      <w:r>
        <w:rPr>
          <w:rFonts w:hint="eastAsia"/>
        </w:rPr>
        <w:t xml:space="preserve">  </w:t>
      </w:r>
      <w:r w:rsidR="00927C9C">
        <w:rPr>
          <w:rFonts w:hint="eastAsia"/>
        </w:rPr>
        <w:t xml:space="preserve">  </w:t>
      </w:r>
    </w:p>
    <w:p w14:paraId="48AA3F98" w14:textId="77777777" w:rsidR="003A1763" w:rsidRDefault="003A1763" w:rsidP="009B01C7">
      <w:pPr>
        <w:jc w:val="center"/>
        <w:rPr>
          <w:b/>
          <w:bCs/>
        </w:rPr>
      </w:pPr>
    </w:p>
    <w:p w14:paraId="1F125226" w14:textId="332314D7" w:rsidR="003A1763" w:rsidRDefault="003A1763" w:rsidP="003A1763">
      <w:pPr>
        <w:jc w:val="center"/>
        <w:rPr>
          <w:b/>
          <w:bCs/>
        </w:rPr>
      </w:pPr>
      <w:r>
        <w:rPr>
          <w:b/>
          <w:bCs/>
        </w:rPr>
        <w:tab/>
      </w:r>
      <w:r w:rsidRPr="006E3D99">
        <w:rPr>
          <w:b/>
          <w:bCs/>
        </w:rPr>
        <w:t xml:space="preserve">Appendix </w:t>
      </w:r>
      <w:r>
        <w:rPr>
          <w:rFonts w:hint="eastAsia"/>
          <w:b/>
          <w:bCs/>
        </w:rPr>
        <w:t>4</w:t>
      </w:r>
      <w:r w:rsidRPr="006E3D99">
        <w:rPr>
          <w:b/>
          <w:bCs/>
        </w:rPr>
        <w:t xml:space="preserve">: </w:t>
      </w:r>
      <w:r w:rsidR="008E451E">
        <w:rPr>
          <w:rFonts w:hint="eastAsia"/>
          <w:b/>
          <w:bCs/>
        </w:rPr>
        <w:t>Inspection of Influential Cases</w:t>
      </w:r>
    </w:p>
    <w:p w14:paraId="6BB0BEBC" w14:textId="77777777" w:rsidR="00A166F1" w:rsidRDefault="00A166F1" w:rsidP="003A1763">
      <w:pPr>
        <w:jc w:val="left"/>
      </w:pPr>
    </w:p>
    <w:p w14:paraId="3CA4F24A" w14:textId="457A0DCE" w:rsidR="008E451E" w:rsidRPr="004928A8" w:rsidRDefault="002A2E88" w:rsidP="003A1763">
      <w:pPr>
        <w:jc w:val="left"/>
      </w:pPr>
      <w:r w:rsidRPr="002A2E88">
        <w:rPr>
          <w:rFonts w:hint="eastAsia"/>
        </w:rPr>
        <w:t>Regarding the pretest-posttest comparison data</w:t>
      </w:r>
      <w:r>
        <w:rPr>
          <w:rFonts w:hint="eastAsia"/>
        </w:rPr>
        <w:t xml:space="preserve"> (k = 99)</w:t>
      </w:r>
      <w:r w:rsidRPr="002A2E88">
        <w:rPr>
          <w:rFonts w:hint="eastAsia"/>
        </w:rPr>
        <w:t>, we conducted a leave-one-out analys</w:t>
      </w:r>
      <w:r>
        <w:rPr>
          <w:rFonts w:hint="eastAsia"/>
        </w:rPr>
        <w:t xml:space="preserve">is. </w:t>
      </w:r>
      <w:r w:rsidR="00E741E6">
        <w:rPr>
          <w:rFonts w:hint="eastAsia"/>
        </w:rPr>
        <w:t xml:space="preserve">We did </w:t>
      </w:r>
      <w:r w:rsidR="00E741E6">
        <w:t>not</w:t>
      </w:r>
      <w:r w:rsidR="00E741E6">
        <w:rPr>
          <w:rFonts w:hint="eastAsia"/>
        </w:rPr>
        <w:t xml:space="preserve"> </w:t>
      </w:r>
      <w:r w:rsidR="00525F4A">
        <w:rPr>
          <w:rFonts w:hint="eastAsia"/>
        </w:rPr>
        <w:t xml:space="preserve">use any cut-off criteria to determine </w:t>
      </w:r>
      <w:r w:rsidR="005612F3">
        <w:rPr>
          <w:rFonts w:hint="eastAsia"/>
        </w:rPr>
        <w:t>outliers</w:t>
      </w:r>
      <w:r w:rsidR="00525F4A">
        <w:rPr>
          <w:rFonts w:hint="eastAsia"/>
        </w:rPr>
        <w:t xml:space="preserve"> as a primary approach. This </w:t>
      </w:r>
      <w:r w:rsidR="00525F4A">
        <w:t>traditional</w:t>
      </w:r>
      <w:r w:rsidR="00525F4A">
        <w:rPr>
          <w:rFonts w:hint="eastAsia"/>
        </w:rPr>
        <w:t xml:space="preserve"> approach is not suitable for </w:t>
      </w:r>
      <w:r w:rsidR="005612F3">
        <w:rPr>
          <w:rFonts w:hint="eastAsia"/>
        </w:rPr>
        <w:t xml:space="preserve">the </w:t>
      </w:r>
      <w:r w:rsidR="005612F3">
        <w:t>current</w:t>
      </w:r>
      <w:r w:rsidR="005612F3">
        <w:rPr>
          <w:rFonts w:hint="eastAsia"/>
        </w:rPr>
        <w:t xml:space="preserve"> meta-analysis us</w:t>
      </w:r>
      <w:r w:rsidR="00525F4A">
        <w:rPr>
          <w:rFonts w:hint="eastAsia"/>
        </w:rPr>
        <w:t>ing</w:t>
      </w:r>
      <w:r w:rsidR="005612F3">
        <w:rPr>
          <w:rFonts w:hint="eastAsia"/>
        </w:rPr>
        <w:t xml:space="preserve"> a random- and mixed-effects model (instead of fixed-effects models), dealing with two sources of variability (i.e., sampling variability and between-study heterogeneity) in the same model (</w:t>
      </w:r>
      <w:r w:rsidR="00525F4A">
        <w:rPr>
          <w:rFonts w:hint="eastAsia"/>
        </w:rPr>
        <w:t xml:space="preserve">see </w:t>
      </w:r>
      <w:proofErr w:type="spellStart"/>
      <w:r w:rsidR="005612F3" w:rsidRPr="005612F3">
        <w:t>Viechtbauer</w:t>
      </w:r>
      <w:proofErr w:type="spellEnd"/>
      <w:r w:rsidR="005612F3">
        <w:rPr>
          <w:rFonts w:hint="eastAsia"/>
        </w:rPr>
        <w:t xml:space="preserve"> &amp; </w:t>
      </w:r>
      <w:r w:rsidR="005612F3" w:rsidRPr="005612F3">
        <w:t>Cheung,</w:t>
      </w:r>
      <w:r w:rsidR="00525F4A">
        <w:rPr>
          <w:rFonts w:hint="eastAsia"/>
        </w:rPr>
        <w:t xml:space="preserve"> </w:t>
      </w:r>
      <w:r w:rsidR="005612F3" w:rsidRPr="005612F3">
        <w:t>2010).</w:t>
      </w:r>
      <w:r w:rsidR="00525F4A">
        <w:rPr>
          <w:rFonts w:hint="eastAsia"/>
        </w:rPr>
        <w:t xml:space="preserve"> </w:t>
      </w:r>
      <w:r>
        <w:rPr>
          <w:rFonts w:hint="eastAsia"/>
        </w:rPr>
        <w:t>Th</w:t>
      </w:r>
      <w:r w:rsidR="00525F4A">
        <w:rPr>
          <w:rFonts w:hint="eastAsia"/>
        </w:rPr>
        <w:t xml:space="preserve">e leave-one-out </w:t>
      </w:r>
      <w:r>
        <w:rPr>
          <w:rFonts w:hint="eastAsia"/>
        </w:rPr>
        <w:t xml:space="preserve">analysis </w:t>
      </w:r>
      <w:r w:rsidRPr="002A2E88">
        <w:t>performs the calculation of the mean effect size multiple times by excluding one study at each analysis</w:t>
      </w:r>
      <w:r>
        <w:rPr>
          <w:rFonts w:hint="eastAsia"/>
        </w:rPr>
        <w:t xml:space="preserve">; thus, </w:t>
      </w:r>
      <w:r w:rsidRPr="002A2E88">
        <w:t xml:space="preserve">we can investigate the influence of each study on the overall effect-size estimate and identify </w:t>
      </w:r>
      <w:r w:rsidR="00317F41">
        <w:t xml:space="preserve">overly </w:t>
      </w:r>
      <w:r w:rsidRPr="002A2E88">
        <w:t>influential studies</w:t>
      </w:r>
      <w:r>
        <w:rPr>
          <w:rFonts w:hint="eastAsia"/>
        </w:rPr>
        <w:t xml:space="preserve">. Figure 4.1 is a plot </w:t>
      </w:r>
      <w:r w:rsidR="004928A8">
        <w:rPr>
          <w:rFonts w:hint="eastAsia"/>
        </w:rPr>
        <w:t xml:space="preserve">of the weighted mean while excluding each of the 99 studies included in the meta-analysis. As presented in this </w:t>
      </w:r>
      <w:r w:rsidR="004928A8">
        <w:t>figure</w:t>
      </w:r>
      <w:r w:rsidR="004928A8">
        <w:rPr>
          <w:rFonts w:hint="eastAsia"/>
        </w:rPr>
        <w:t>, this analysis revealed that two cases had a major impact on the overall mean effect size in the current data set</w:t>
      </w:r>
      <w:r w:rsidR="001C1971">
        <w:rPr>
          <w:rFonts w:hint="eastAsia"/>
        </w:rPr>
        <w:t xml:space="preserve"> (i.e., g = 6.60 in </w:t>
      </w:r>
      <w:r w:rsidR="004928A8">
        <w:rPr>
          <w:rFonts w:hint="eastAsia"/>
        </w:rPr>
        <w:t>Y. Li</w:t>
      </w:r>
      <w:r w:rsidR="001C1971">
        <w:rPr>
          <w:rFonts w:hint="eastAsia"/>
        </w:rPr>
        <w:t>, 2015 and g = 4.21 in Qian, 2018) that may potentially lead to the overestimation of the true effect</w:t>
      </w:r>
      <w:r w:rsidR="004E750A">
        <w:rPr>
          <w:rFonts w:hint="eastAsia"/>
        </w:rPr>
        <w:t xml:space="preserve">. </w:t>
      </w:r>
      <w:r w:rsidR="001C1971">
        <w:rPr>
          <w:rFonts w:hint="eastAsia"/>
        </w:rPr>
        <w:t xml:space="preserve">Thus, we </w:t>
      </w:r>
      <w:r w:rsidR="008E451E">
        <w:rPr>
          <w:rFonts w:hint="eastAsia"/>
        </w:rPr>
        <w:t>excluded these two studies from the subsequent analysis. We also excluded o</w:t>
      </w:r>
      <w:r w:rsidR="004928A8">
        <w:rPr>
          <w:rFonts w:hint="eastAsia"/>
        </w:rPr>
        <w:t xml:space="preserve">ne </w:t>
      </w:r>
      <w:r w:rsidR="008E451E">
        <w:rPr>
          <w:rFonts w:hint="eastAsia"/>
        </w:rPr>
        <w:t>study (i.e., Georgiou, 2021)</w:t>
      </w:r>
      <w:r w:rsidR="00317F41">
        <w:t xml:space="preserve"> that</w:t>
      </w:r>
      <w:r w:rsidR="008E451E">
        <w:rPr>
          <w:rFonts w:hint="eastAsia"/>
        </w:rPr>
        <w:t xml:space="preserve"> show</w:t>
      </w:r>
      <w:r w:rsidR="00317F41">
        <w:t>ed</w:t>
      </w:r>
      <w:r w:rsidR="008E451E">
        <w:rPr>
          <w:rFonts w:hint="eastAsia"/>
        </w:rPr>
        <w:t xml:space="preserve"> an extremely high effect size (g = 10.4) almost 10 times larger than the mean effect size (g = 1.02)</w:t>
      </w:r>
      <w:r w:rsidR="00317F41">
        <w:t>.</w:t>
      </w:r>
      <w:r w:rsidR="001C1971">
        <w:rPr>
          <w:rFonts w:hint="eastAsia"/>
        </w:rPr>
        <w:t xml:space="preserve"> A</w:t>
      </w:r>
      <w:r w:rsidR="008E451E">
        <w:rPr>
          <w:rFonts w:hint="eastAsia"/>
        </w:rPr>
        <w:t>lthough the leave-one-out analysis did not seem to show that it was a clear influential case</w:t>
      </w:r>
      <w:r w:rsidR="001C1971">
        <w:rPr>
          <w:rFonts w:hint="eastAsia"/>
        </w:rPr>
        <w:t>, t</w:t>
      </w:r>
      <w:r w:rsidR="008E451E">
        <w:rPr>
          <w:rFonts w:hint="eastAsia"/>
        </w:rPr>
        <w:t>his may be because this study was not given as much weight due to its high sampling variance (variance = 2.93).</w:t>
      </w:r>
      <w:r w:rsidR="004E750A">
        <w:rPr>
          <w:rFonts w:hint="eastAsia"/>
        </w:rPr>
        <w:t xml:space="preserve"> </w:t>
      </w:r>
      <w:r w:rsidR="008E451E">
        <w:rPr>
          <w:rFonts w:hint="eastAsia"/>
        </w:rPr>
        <w:t xml:space="preserve">Regarding the treatment-control comparison (k = </w:t>
      </w:r>
      <w:r w:rsidR="004E750A">
        <w:rPr>
          <w:rFonts w:hint="eastAsia"/>
        </w:rPr>
        <w:t>35), we also conducted a leave-one-out analysis and confirmed that three studies were clear influential cases</w:t>
      </w:r>
      <w:r w:rsidR="001C1971">
        <w:rPr>
          <w:rFonts w:hint="eastAsia"/>
        </w:rPr>
        <w:t xml:space="preserve"> (i.e., g = </w:t>
      </w:r>
      <w:r w:rsidR="00C40524">
        <w:rPr>
          <w:rFonts w:hint="eastAsia"/>
        </w:rPr>
        <w:t>6.34 in Y. Li, g = 1.93 in Qian, 2018, and g = 3.02 in Wong, 2013)</w:t>
      </w:r>
      <w:r w:rsidR="004E750A">
        <w:rPr>
          <w:rFonts w:hint="eastAsia"/>
        </w:rPr>
        <w:t xml:space="preserve">, potentially leading to </w:t>
      </w:r>
      <w:r w:rsidR="001C1971">
        <w:rPr>
          <w:rFonts w:hint="eastAsia"/>
        </w:rPr>
        <w:t>overestimation</w:t>
      </w:r>
      <w:r w:rsidR="004E750A">
        <w:rPr>
          <w:rFonts w:hint="eastAsia"/>
        </w:rPr>
        <w:t xml:space="preserve"> of </w:t>
      </w:r>
      <w:r w:rsidR="001C1971">
        <w:rPr>
          <w:rFonts w:hint="eastAsia"/>
        </w:rPr>
        <w:t>the true effect.</w:t>
      </w:r>
      <w:r w:rsidR="00C40524">
        <w:rPr>
          <w:rFonts w:hint="eastAsia"/>
        </w:rPr>
        <w:t xml:space="preserve"> Therefore, we excluded these three studies for the subsequent analysis.</w:t>
      </w:r>
    </w:p>
    <w:p w14:paraId="0EE0B024" w14:textId="77777777" w:rsidR="004928A8" w:rsidRDefault="004928A8" w:rsidP="003A1763">
      <w:pPr>
        <w:jc w:val="left"/>
      </w:pPr>
    </w:p>
    <w:p w14:paraId="03901F61" w14:textId="3E902AFF" w:rsidR="004928A8" w:rsidRDefault="005612F3" w:rsidP="003A1763">
      <w:pPr>
        <w:jc w:val="left"/>
      </w:pPr>
      <w:proofErr w:type="spellStart"/>
      <w:r w:rsidRPr="005612F3">
        <w:rPr>
          <w:rFonts w:hint="eastAsia"/>
        </w:rPr>
        <w:t>Viechtbauer</w:t>
      </w:r>
      <w:proofErr w:type="spellEnd"/>
      <w:r w:rsidRPr="005612F3">
        <w:rPr>
          <w:rFonts w:hint="eastAsia"/>
        </w:rPr>
        <w:t>, W., &amp; Cheung, M. W. L. (2010). Outlier and influence diagnostics for met</w:t>
      </w:r>
      <w:r>
        <w:rPr>
          <w:rFonts w:hint="eastAsia"/>
        </w:rPr>
        <w:t>a-</w:t>
      </w:r>
      <w:r w:rsidRPr="005612F3">
        <w:rPr>
          <w:rFonts w:hint="eastAsia"/>
        </w:rPr>
        <w:t xml:space="preserve">analysis. </w:t>
      </w:r>
      <w:r w:rsidRPr="00A25F81">
        <w:rPr>
          <w:rFonts w:hint="eastAsia"/>
          <w:i/>
          <w:iCs/>
        </w:rPr>
        <w:t xml:space="preserve">Research </w:t>
      </w:r>
      <w:r w:rsidR="00A25F81">
        <w:rPr>
          <w:rFonts w:hint="eastAsia"/>
          <w:i/>
          <w:iCs/>
        </w:rPr>
        <w:t>S</w:t>
      </w:r>
      <w:r w:rsidRPr="00A25F81">
        <w:rPr>
          <w:rFonts w:hint="eastAsia"/>
          <w:i/>
          <w:iCs/>
        </w:rPr>
        <w:t xml:space="preserve">ynthesis </w:t>
      </w:r>
      <w:r w:rsidR="00A25F81">
        <w:rPr>
          <w:rFonts w:hint="eastAsia"/>
          <w:i/>
          <w:iCs/>
        </w:rPr>
        <w:t>M</w:t>
      </w:r>
      <w:r w:rsidRPr="00A25F81">
        <w:rPr>
          <w:rFonts w:hint="eastAsia"/>
          <w:i/>
          <w:iCs/>
        </w:rPr>
        <w:t>ethods</w:t>
      </w:r>
      <w:r w:rsidRPr="005612F3">
        <w:rPr>
          <w:rFonts w:hint="eastAsia"/>
        </w:rPr>
        <w:t xml:space="preserve">, </w:t>
      </w:r>
      <w:r w:rsidRPr="00A25F81">
        <w:rPr>
          <w:rFonts w:hint="eastAsia"/>
          <w:i/>
          <w:iCs/>
        </w:rPr>
        <w:t>1</w:t>
      </w:r>
      <w:r w:rsidRPr="005612F3">
        <w:rPr>
          <w:rFonts w:hint="eastAsia"/>
        </w:rPr>
        <w:t>(2), 112</w:t>
      </w:r>
      <w:r w:rsidR="00A25F81" w:rsidRPr="00AC0CC4">
        <w:t>–</w:t>
      </w:r>
      <w:r w:rsidRPr="005612F3">
        <w:rPr>
          <w:rFonts w:hint="eastAsia"/>
        </w:rPr>
        <w:t>125.</w:t>
      </w:r>
      <w:r w:rsidR="00A25F81">
        <w:rPr>
          <w:rFonts w:hint="eastAsia"/>
        </w:rPr>
        <w:t xml:space="preserve"> </w:t>
      </w:r>
      <w:r w:rsidR="00A25F81" w:rsidRPr="00A25F81">
        <w:t>https://doi.org/10.1002/jrsm.11</w:t>
      </w:r>
    </w:p>
    <w:p w14:paraId="521A6B7F" w14:textId="77777777" w:rsidR="004928A8" w:rsidRDefault="004928A8" w:rsidP="003A1763">
      <w:pPr>
        <w:jc w:val="left"/>
      </w:pPr>
    </w:p>
    <w:p w14:paraId="0142A1F5" w14:textId="77777777" w:rsidR="004928A8" w:rsidRDefault="004928A8" w:rsidP="003A1763">
      <w:pPr>
        <w:jc w:val="left"/>
      </w:pPr>
    </w:p>
    <w:p w14:paraId="1ED9ACE9" w14:textId="77777777" w:rsidR="004928A8" w:rsidRDefault="004928A8" w:rsidP="003A1763">
      <w:pPr>
        <w:jc w:val="left"/>
      </w:pPr>
    </w:p>
    <w:p w14:paraId="582061D9" w14:textId="77777777" w:rsidR="004928A8" w:rsidRDefault="004928A8" w:rsidP="003A1763">
      <w:pPr>
        <w:jc w:val="left"/>
        <w:sectPr w:rsidR="004928A8" w:rsidSect="00F612BD">
          <w:pgSz w:w="11906" w:h="16838"/>
          <w:pgMar w:top="1440" w:right="1080" w:bottom="1440" w:left="1080" w:header="851" w:footer="992" w:gutter="0"/>
          <w:cols w:space="425"/>
          <w:docGrid w:type="lines" w:linePitch="360"/>
        </w:sectPr>
      </w:pPr>
    </w:p>
    <w:p w14:paraId="5108C2A7" w14:textId="77777777" w:rsidR="004928A8" w:rsidRDefault="004928A8" w:rsidP="003A1763">
      <w:pPr>
        <w:jc w:val="left"/>
      </w:pPr>
    </w:p>
    <w:p w14:paraId="3200203B" w14:textId="77777777" w:rsidR="004928A8" w:rsidRDefault="004928A8" w:rsidP="003A1763">
      <w:pPr>
        <w:jc w:val="left"/>
      </w:pPr>
    </w:p>
    <w:p w14:paraId="61FDD2DC" w14:textId="1FA15F5B" w:rsidR="004928A8" w:rsidRDefault="004928A8" w:rsidP="003A1763">
      <w:pPr>
        <w:jc w:val="left"/>
      </w:pPr>
    </w:p>
    <w:p w14:paraId="47030FC7" w14:textId="77777777" w:rsidR="00E233A6" w:rsidRDefault="004928A8" w:rsidP="003A1763">
      <w:pPr>
        <w:jc w:val="left"/>
      </w:pPr>
      <w:r>
        <w:rPr>
          <w:rFonts w:hint="eastAsia"/>
        </w:rPr>
        <w:t xml:space="preserve">Figure 4.1 </w:t>
      </w:r>
    </w:p>
    <w:p w14:paraId="77E99B46" w14:textId="0569CDA6" w:rsidR="004928A8" w:rsidRPr="004928A8" w:rsidRDefault="004928A8" w:rsidP="003A1763">
      <w:pPr>
        <w:jc w:val="left"/>
      </w:pPr>
      <w:r>
        <w:rPr>
          <w:rFonts w:hint="eastAsia"/>
        </w:rPr>
        <w:t>Plot of the weighted means with each of the 99 effect sizes excluded</w:t>
      </w:r>
      <w:r w:rsidR="00A172C8">
        <w:rPr>
          <w:rFonts w:hint="eastAsia"/>
        </w:rPr>
        <w:t xml:space="preserve"> at each analysis</w:t>
      </w:r>
      <w:r>
        <w:rPr>
          <w:rFonts w:hint="eastAsia"/>
        </w:rPr>
        <w:t xml:space="preserve"> (pretest-</w:t>
      </w:r>
      <w:proofErr w:type="gramStart"/>
      <w:r>
        <w:rPr>
          <w:rFonts w:hint="eastAsia"/>
        </w:rPr>
        <w:t>posttest</w:t>
      </w:r>
      <w:proofErr w:type="gramEnd"/>
      <w:r>
        <w:rPr>
          <w:rFonts w:hint="eastAsia"/>
        </w:rPr>
        <w:t xml:space="preserve"> comparison), </w:t>
      </w:r>
      <w:r>
        <w:t>indicating</w:t>
      </w:r>
      <w:r>
        <w:rPr>
          <w:rFonts w:hint="eastAsia"/>
        </w:rPr>
        <w:t xml:space="preserve"> that two cases (Y. Li, 2015</w:t>
      </w:r>
      <w:r w:rsidR="004E750A">
        <w:rPr>
          <w:rFonts w:hint="eastAsia"/>
        </w:rPr>
        <w:t xml:space="preserve"> and </w:t>
      </w:r>
      <w:r>
        <w:rPr>
          <w:rFonts w:hint="eastAsia"/>
        </w:rPr>
        <w:t xml:space="preserve">Qian, 2018) led to the </w:t>
      </w:r>
      <w:r>
        <w:t>overestimation</w:t>
      </w:r>
      <w:r>
        <w:rPr>
          <w:rFonts w:hint="eastAsia"/>
        </w:rPr>
        <w:t xml:space="preserve"> of the true effect</w:t>
      </w:r>
    </w:p>
    <w:p w14:paraId="7483323A" w14:textId="77777777" w:rsidR="004928A8" w:rsidRDefault="004928A8" w:rsidP="003A1763">
      <w:pPr>
        <w:jc w:val="left"/>
      </w:pPr>
      <w:r>
        <w:rPr>
          <w:noProof/>
        </w:rPr>
        <w:drawing>
          <wp:inline distT="0" distB="0" distL="0" distR="0" wp14:anchorId="0BA20DF1" wp14:editId="34BB71A4">
            <wp:extent cx="9395267" cy="3828322"/>
            <wp:effectExtent l="0" t="0" r="0" b="1270"/>
            <wp:docPr id="14551939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82247" cy="3863764"/>
                    </a:xfrm>
                    <a:prstGeom prst="rect">
                      <a:avLst/>
                    </a:prstGeom>
                    <a:noFill/>
                  </pic:spPr>
                </pic:pic>
              </a:graphicData>
            </a:graphic>
          </wp:inline>
        </w:drawing>
      </w:r>
    </w:p>
    <w:p w14:paraId="4E05AB5E" w14:textId="77777777" w:rsidR="008E451E" w:rsidRDefault="008E451E" w:rsidP="003A1763">
      <w:pPr>
        <w:jc w:val="left"/>
      </w:pPr>
    </w:p>
    <w:p w14:paraId="4A8C13DC" w14:textId="77777777" w:rsidR="008E451E" w:rsidRDefault="008E451E" w:rsidP="003A1763">
      <w:pPr>
        <w:jc w:val="left"/>
        <w:sectPr w:rsidR="008E451E" w:rsidSect="004928A8">
          <w:pgSz w:w="16838" w:h="11906" w:orient="landscape"/>
          <w:pgMar w:top="1080" w:right="1440" w:bottom="1080" w:left="1440" w:header="851" w:footer="992" w:gutter="0"/>
          <w:cols w:space="425"/>
          <w:docGrid w:type="lines" w:linePitch="360"/>
        </w:sectPr>
      </w:pPr>
    </w:p>
    <w:p w14:paraId="6480FD69" w14:textId="77777777" w:rsidR="008E451E" w:rsidRDefault="008E451E" w:rsidP="003A1763">
      <w:pPr>
        <w:jc w:val="left"/>
      </w:pPr>
    </w:p>
    <w:p w14:paraId="1BB0C4FA" w14:textId="77777777" w:rsidR="008E451E" w:rsidRDefault="008E451E" w:rsidP="003A1763">
      <w:pPr>
        <w:jc w:val="left"/>
      </w:pPr>
    </w:p>
    <w:p w14:paraId="4AC19A75" w14:textId="77777777" w:rsidR="0093210A" w:rsidRDefault="008E451E" w:rsidP="008E451E">
      <w:pPr>
        <w:jc w:val="left"/>
      </w:pPr>
      <w:r>
        <w:rPr>
          <w:rFonts w:hint="eastAsia"/>
        </w:rPr>
        <w:t xml:space="preserve">Figure 4.2 </w:t>
      </w:r>
    </w:p>
    <w:p w14:paraId="463B2A4D" w14:textId="2A7AF97B" w:rsidR="008E451E" w:rsidRPr="004928A8" w:rsidRDefault="008E451E" w:rsidP="008E451E">
      <w:pPr>
        <w:jc w:val="left"/>
      </w:pPr>
      <w:r>
        <w:rPr>
          <w:rFonts w:hint="eastAsia"/>
        </w:rPr>
        <w:t xml:space="preserve">Plot of the weighted means with each of the </w:t>
      </w:r>
      <w:r w:rsidR="004E750A">
        <w:rPr>
          <w:rFonts w:hint="eastAsia"/>
        </w:rPr>
        <w:t>35</w:t>
      </w:r>
      <w:r>
        <w:rPr>
          <w:rFonts w:hint="eastAsia"/>
        </w:rPr>
        <w:t xml:space="preserve"> effect sizes excluded </w:t>
      </w:r>
      <w:r w:rsidR="00A172C8">
        <w:rPr>
          <w:rFonts w:hint="eastAsia"/>
        </w:rPr>
        <w:t xml:space="preserve">at each </w:t>
      </w:r>
      <w:r w:rsidR="00A172C8">
        <w:t>analysis</w:t>
      </w:r>
      <w:r w:rsidR="00A172C8">
        <w:rPr>
          <w:rFonts w:hint="eastAsia"/>
        </w:rPr>
        <w:t xml:space="preserve"> </w:t>
      </w:r>
      <w:r>
        <w:rPr>
          <w:rFonts w:hint="eastAsia"/>
        </w:rPr>
        <w:t xml:space="preserve">(pretest-posttest comparison), </w:t>
      </w:r>
      <w:r>
        <w:t>indicating</w:t>
      </w:r>
      <w:r>
        <w:rPr>
          <w:rFonts w:hint="eastAsia"/>
        </w:rPr>
        <w:t xml:space="preserve"> that </w:t>
      </w:r>
      <w:r w:rsidR="004E750A">
        <w:rPr>
          <w:rFonts w:hint="eastAsia"/>
        </w:rPr>
        <w:t>three</w:t>
      </w:r>
      <w:r>
        <w:rPr>
          <w:rFonts w:hint="eastAsia"/>
        </w:rPr>
        <w:t xml:space="preserve"> cases (Y. Li, 2015</w:t>
      </w:r>
      <w:r w:rsidR="004E750A">
        <w:rPr>
          <w:rFonts w:hint="eastAsia"/>
        </w:rPr>
        <w:t xml:space="preserve">, </w:t>
      </w:r>
      <w:r>
        <w:rPr>
          <w:rFonts w:hint="eastAsia"/>
        </w:rPr>
        <w:t>Qian, 2018</w:t>
      </w:r>
      <w:r w:rsidR="004E750A">
        <w:rPr>
          <w:rFonts w:hint="eastAsia"/>
        </w:rPr>
        <w:t>, and Wong, 2013</w:t>
      </w:r>
      <w:r>
        <w:rPr>
          <w:rFonts w:hint="eastAsia"/>
        </w:rPr>
        <w:t xml:space="preserve">) led to the </w:t>
      </w:r>
      <w:r>
        <w:t>overestimation</w:t>
      </w:r>
      <w:r>
        <w:rPr>
          <w:rFonts w:hint="eastAsia"/>
        </w:rPr>
        <w:t xml:space="preserve"> of the true effect</w:t>
      </w:r>
    </w:p>
    <w:p w14:paraId="161D884A" w14:textId="68956471" w:rsidR="008E451E" w:rsidRDefault="008E451E" w:rsidP="003A1763">
      <w:pPr>
        <w:jc w:val="left"/>
      </w:pPr>
    </w:p>
    <w:p w14:paraId="1BF6F4BF" w14:textId="77777777" w:rsidR="008E451E" w:rsidRDefault="008E451E" w:rsidP="003A1763">
      <w:pPr>
        <w:jc w:val="left"/>
      </w:pPr>
    </w:p>
    <w:p w14:paraId="6AA832B0" w14:textId="77777777" w:rsidR="008E451E" w:rsidRDefault="004E750A" w:rsidP="003A1763">
      <w:pPr>
        <w:jc w:val="left"/>
      </w:pPr>
      <w:r>
        <w:rPr>
          <w:noProof/>
        </w:rPr>
        <w:drawing>
          <wp:inline distT="0" distB="0" distL="0" distR="0" wp14:anchorId="6BF83779" wp14:editId="2DE9829C">
            <wp:extent cx="8781557" cy="2576222"/>
            <wp:effectExtent l="0" t="0" r="635" b="0"/>
            <wp:docPr id="11783934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97071" cy="2580773"/>
                    </a:xfrm>
                    <a:prstGeom prst="rect">
                      <a:avLst/>
                    </a:prstGeom>
                    <a:noFill/>
                  </pic:spPr>
                </pic:pic>
              </a:graphicData>
            </a:graphic>
          </wp:inline>
        </w:drawing>
      </w:r>
    </w:p>
    <w:p w14:paraId="65C231BE" w14:textId="024A001B" w:rsidR="00E163A2" w:rsidRDefault="00E163A2" w:rsidP="003A1763">
      <w:pPr>
        <w:jc w:val="left"/>
        <w:sectPr w:rsidR="00E163A2" w:rsidSect="004928A8">
          <w:pgSz w:w="16838" w:h="11906" w:orient="landscape"/>
          <w:pgMar w:top="1080" w:right="1440" w:bottom="1080" w:left="1440" w:header="851" w:footer="992" w:gutter="0"/>
          <w:cols w:space="425"/>
          <w:docGrid w:type="lines" w:linePitch="360"/>
        </w:sectPr>
      </w:pPr>
    </w:p>
    <w:p w14:paraId="6A01837F" w14:textId="77777777" w:rsidR="00FB2E70" w:rsidRDefault="00FB2E70" w:rsidP="00D73E64">
      <w:pPr>
        <w:jc w:val="center"/>
        <w:rPr>
          <w:b/>
          <w:bCs/>
        </w:rPr>
      </w:pPr>
    </w:p>
    <w:p w14:paraId="4C18C6AF" w14:textId="6A4F2F69" w:rsidR="00FB2E70" w:rsidRDefault="00FB2E70" w:rsidP="00D73E64">
      <w:pPr>
        <w:tabs>
          <w:tab w:val="left" w:pos="1397"/>
        </w:tabs>
        <w:jc w:val="center"/>
        <w:rPr>
          <w:b/>
          <w:bCs/>
        </w:rPr>
      </w:pPr>
      <w:r>
        <w:rPr>
          <w:rFonts w:hint="eastAsia"/>
          <w:b/>
          <w:bCs/>
        </w:rPr>
        <w:t>Appendix 5: Forest Plots of 96 Studies (Pretest-Posttest Contrast) and 32 Studies (Treatment-Control Contrast) Included in the Analysis</w:t>
      </w:r>
    </w:p>
    <w:p w14:paraId="5EEE3D46" w14:textId="77777777" w:rsidR="00D73E64" w:rsidRDefault="00D73E64" w:rsidP="00FB2E70">
      <w:pPr>
        <w:tabs>
          <w:tab w:val="left" w:pos="1397"/>
        </w:tabs>
        <w:rPr>
          <w:b/>
          <w:bCs/>
        </w:rPr>
      </w:pPr>
    </w:p>
    <w:p w14:paraId="59C91AC5" w14:textId="17609694" w:rsidR="00D73E64" w:rsidRPr="00D73E64" w:rsidRDefault="00D73E64" w:rsidP="00FB2E70">
      <w:pPr>
        <w:tabs>
          <w:tab w:val="left" w:pos="1397"/>
        </w:tabs>
      </w:pPr>
      <w:r w:rsidRPr="00D73E64">
        <w:rPr>
          <w:rFonts w:hint="eastAsia"/>
        </w:rPr>
        <w:t>Figure 5.1</w:t>
      </w:r>
    </w:p>
    <w:p w14:paraId="3BC0B0E6" w14:textId="72D21B54" w:rsidR="00D73E64" w:rsidRPr="00D73E64" w:rsidRDefault="00D73E64" w:rsidP="00FB2E70">
      <w:pPr>
        <w:tabs>
          <w:tab w:val="left" w:pos="1397"/>
        </w:tabs>
      </w:pPr>
      <w:r w:rsidRPr="00D73E64">
        <w:rPr>
          <w:rFonts w:hint="eastAsia"/>
        </w:rPr>
        <w:t>Forest plot of 96 studies (pretest-posttest comparison)</w:t>
      </w:r>
    </w:p>
    <w:p w14:paraId="26A177FE" w14:textId="47B46CB7" w:rsidR="00D73E64" w:rsidRDefault="00E233A6" w:rsidP="00FB2E70">
      <w:pPr>
        <w:tabs>
          <w:tab w:val="left" w:pos="1397"/>
        </w:tabs>
        <w:rPr>
          <w:b/>
          <w:bCs/>
        </w:rPr>
      </w:pPr>
      <w:r>
        <w:rPr>
          <w:b/>
          <w:bCs/>
          <w:noProof/>
        </w:rPr>
        <w:lastRenderedPageBreak/>
        <w:drawing>
          <wp:inline distT="0" distB="0" distL="0" distR="0" wp14:anchorId="045587F8" wp14:editId="4A367ED3">
            <wp:extent cx="5903595" cy="8858885"/>
            <wp:effectExtent l="0" t="0" r="1905" b="0"/>
            <wp:docPr id="13238827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3595" cy="8858885"/>
                    </a:xfrm>
                    <a:prstGeom prst="rect">
                      <a:avLst/>
                    </a:prstGeom>
                    <a:noFill/>
                    <a:ln>
                      <a:noFill/>
                    </a:ln>
                  </pic:spPr>
                </pic:pic>
              </a:graphicData>
            </a:graphic>
          </wp:inline>
        </w:drawing>
      </w:r>
    </w:p>
    <w:p w14:paraId="7F90E0E9" w14:textId="48BA9BBB" w:rsidR="008F1A18" w:rsidRPr="00D73E64" w:rsidRDefault="008F1A18" w:rsidP="008F1A18">
      <w:pPr>
        <w:tabs>
          <w:tab w:val="left" w:pos="1397"/>
        </w:tabs>
      </w:pPr>
      <w:r w:rsidRPr="00D73E64">
        <w:rPr>
          <w:rFonts w:hint="eastAsia"/>
        </w:rPr>
        <w:lastRenderedPageBreak/>
        <w:t>Figure 5.</w:t>
      </w:r>
      <w:r>
        <w:rPr>
          <w:rFonts w:hint="eastAsia"/>
        </w:rPr>
        <w:t>2</w:t>
      </w:r>
    </w:p>
    <w:p w14:paraId="741149CC" w14:textId="382EFC06" w:rsidR="008F1A18" w:rsidRDefault="008F1A18" w:rsidP="008F1A18">
      <w:pPr>
        <w:tabs>
          <w:tab w:val="left" w:pos="1397"/>
        </w:tabs>
      </w:pPr>
      <w:r w:rsidRPr="00D73E64">
        <w:rPr>
          <w:rFonts w:hint="eastAsia"/>
        </w:rPr>
        <w:t xml:space="preserve">Forest plot of </w:t>
      </w:r>
      <w:r>
        <w:rPr>
          <w:rFonts w:hint="eastAsia"/>
        </w:rPr>
        <w:t>32</w:t>
      </w:r>
      <w:r w:rsidRPr="00D73E64">
        <w:rPr>
          <w:rFonts w:hint="eastAsia"/>
        </w:rPr>
        <w:t xml:space="preserve"> studies (</w:t>
      </w:r>
      <w:r>
        <w:t>treatment</w:t>
      </w:r>
      <w:r>
        <w:rPr>
          <w:rFonts w:hint="eastAsia"/>
        </w:rPr>
        <w:t>-control</w:t>
      </w:r>
      <w:r w:rsidRPr="00D73E64">
        <w:rPr>
          <w:rFonts w:hint="eastAsia"/>
        </w:rPr>
        <w:t xml:space="preserve"> comparison)</w:t>
      </w:r>
    </w:p>
    <w:p w14:paraId="21A0603E" w14:textId="77777777" w:rsidR="008F1A18" w:rsidRDefault="008F1A18" w:rsidP="008F1A18">
      <w:pPr>
        <w:tabs>
          <w:tab w:val="left" w:pos="1397"/>
        </w:tabs>
      </w:pPr>
    </w:p>
    <w:p w14:paraId="476B70CB" w14:textId="6CEDD93F" w:rsidR="008F1A18" w:rsidRPr="00D73E64" w:rsidRDefault="00245DE9" w:rsidP="008F1A18">
      <w:pPr>
        <w:tabs>
          <w:tab w:val="left" w:pos="1397"/>
        </w:tabs>
      </w:pPr>
      <w:r>
        <w:rPr>
          <w:noProof/>
        </w:rPr>
        <w:drawing>
          <wp:inline distT="0" distB="0" distL="0" distR="0" wp14:anchorId="004A4007" wp14:editId="7BB43501">
            <wp:extent cx="6181090" cy="3709035"/>
            <wp:effectExtent l="0" t="0" r="0" b="5715"/>
            <wp:docPr id="11560094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1090" cy="3709035"/>
                    </a:xfrm>
                    <a:prstGeom prst="rect">
                      <a:avLst/>
                    </a:prstGeom>
                    <a:noFill/>
                    <a:ln>
                      <a:noFill/>
                    </a:ln>
                  </pic:spPr>
                </pic:pic>
              </a:graphicData>
            </a:graphic>
          </wp:inline>
        </w:drawing>
      </w:r>
    </w:p>
    <w:p w14:paraId="7BDBCD30" w14:textId="6D8B0049" w:rsidR="00FB2E70" w:rsidRPr="00FB2E70" w:rsidRDefault="00FB2E70" w:rsidP="00FB2E70">
      <w:pPr>
        <w:tabs>
          <w:tab w:val="left" w:pos="1397"/>
        </w:tabs>
        <w:sectPr w:rsidR="00FB2E70" w:rsidRPr="00FB2E70" w:rsidSect="00F612BD">
          <w:pgSz w:w="11906" w:h="16838"/>
          <w:pgMar w:top="1440" w:right="1080" w:bottom="1440" w:left="1080" w:header="851" w:footer="992" w:gutter="0"/>
          <w:cols w:space="425"/>
          <w:docGrid w:type="lines" w:linePitch="360"/>
        </w:sectPr>
      </w:pPr>
      <w:r>
        <w:tab/>
      </w:r>
    </w:p>
    <w:p w14:paraId="7BC418EB" w14:textId="35FFE398" w:rsidR="00733B23" w:rsidRDefault="00733B23" w:rsidP="00733B23">
      <w:pPr>
        <w:jc w:val="center"/>
        <w:rPr>
          <w:b/>
          <w:bCs/>
        </w:rPr>
      </w:pPr>
      <w:r w:rsidRPr="006E3D99">
        <w:rPr>
          <w:b/>
          <w:bCs/>
        </w:rPr>
        <w:lastRenderedPageBreak/>
        <w:t xml:space="preserve">Appendix </w:t>
      </w:r>
      <w:r w:rsidR="00FB2E70">
        <w:rPr>
          <w:rFonts w:hint="eastAsia"/>
          <w:b/>
          <w:bCs/>
        </w:rPr>
        <w:t>6</w:t>
      </w:r>
      <w:r w:rsidRPr="006E3D99">
        <w:rPr>
          <w:b/>
          <w:bCs/>
        </w:rPr>
        <w:t xml:space="preserve">: </w:t>
      </w:r>
      <w:r w:rsidR="002910A6">
        <w:rPr>
          <w:rFonts w:hint="eastAsia"/>
          <w:b/>
          <w:bCs/>
        </w:rPr>
        <w:t xml:space="preserve">Detailed </w:t>
      </w:r>
      <w:r>
        <w:rPr>
          <w:rFonts w:hint="eastAsia"/>
          <w:b/>
          <w:bCs/>
        </w:rPr>
        <w:t>Summar</w:t>
      </w:r>
      <w:r w:rsidR="002910A6">
        <w:rPr>
          <w:rFonts w:hint="eastAsia"/>
          <w:b/>
          <w:bCs/>
        </w:rPr>
        <w:t>ies</w:t>
      </w:r>
      <w:r>
        <w:rPr>
          <w:rFonts w:hint="eastAsia"/>
          <w:b/>
          <w:bCs/>
        </w:rPr>
        <w:t xml:space="preserve"> of Results for Retention (RQ1b)</w:t>
      </w:r>
      <w:r w:rsidR="002910A6">
        <w:rPr>
          <w:rFonts w:hint="eastAsia"/>
          <w:b/>
          <w:bCs/>
        </w:rPr>
        <w:t xml:space="preserve">, </w:t>
      </w:r>
      <w:r>
        <w:rPr>
          <w:rFonts w:hint="eastAsia"/>
          <w:b/>
          <w:bCs/>
        </w:rPr>
        <w:t>Generalization (RQ1c)</w:t>
      </w:r>
      <w:r w:rsidR="002910A6">
        <w:rPr>
          <w:rFonts w:hint="eastAsia"/>
          <w:b/>
          <w:bCs/>
        </w:rPr>
        <w:t xml:space="preserve"> and Control Group (RQ3)</w:t>
      </w:r>
    </w:p>
    <w:p w14:paraId="54F62FDC" w14:textId="77777777" w:rsidR="00733B23" w:rsidRDefault="00733B23" w:rsidP="00733B23">
      <w:pPr>
        <w:jc w:val="center"/>
        <w:rPr>
          <w:b/>
          <w:bCs/>
        </w:rPr>
      </w:pPr>
    </w:p>
    <w:p w14:paraId="7A598522" w14:textId="1BBB069C" w:rsidR="002910A6" w:rsidRPr="002910A6" w:rsidRDefault="002910A6" w:rsidP="002910A6">
      <w:pPr>
        <w:jc w:val="left"/>
        <w:rPr>
          <w:b/>
          <w:bCs/>
        </w:rPr>
      </w:pPr>
      <w:r w:rsidRPr="002910A6">
        <w:rPr>
          <w:b/>
          <w:bCs/>
        </w:rPr>
        <w:t>RQ1b: Is the Perception Accuracy Gain Retained?</w:t>
      </w:r>
    </w:p>
    <w:p w14:paraId="5276DAEA" w14:textId="1A14AD46" w:rsidR="00A72A79" w:rsidRPr="00E21713" w:rsidRDefault="002910A6" w:rsidP="00A72A79">
      <w:pPr>
        <w:ind w:firstLine="840"/>
        <w:jc w:val="left"/>
      </w:pPr>
      <w:proofErr w:type="gramStart"/>
      <w:r>
        <w:rPr>
          <w:rFonts w:hint="eastAsia"/>
        </w:rPr>
        <w:t>In order to</w:t>
      </w:r>
      <w:proofErr w:type="gramEnd"/>
      <w:r>
        <w:rPr>
          <w:rFonts w:hint="eastAsia"/>
        </w:rPr>
        <w:t xml:space="preserve"> determine whether perception accuracy gain from HVPT can be </w:t>
      </w:r>
      <w:r>
        <w:t>retained</w:t>
      </w:r>
      <w:r>
        <w:rPr>
          <w:rFonts w:hint="eastAsia"/>
        </w:rPr>
        <w:t xml:space="preserve"> over time, we conducted</w:t>
      </w:r>
      <w:r w:rsidRPr="002910A6">
        <w:t xml:space="preserve"> </w:t>
      </w:r>
      <w:r>
        <w:t>two analyses of effect-size aggregation</w:t>
      </w:r>
      <w:r>
        <w:rPr>
          <w:rFonts w:hint="eastAsia"/>
        </w:rPr>
        <w:t xml:space="preserve"> </w:t>
      </w:r>
      <w:r>
        <w:t xml:space="preserve">for the comparison of pretest versus delayed posttest scores and posttest </w:t>
      </w:r>
      <w:r>
        <w:rPr>
          <w:rFonts w:hint="eastAsia"/>
        </w:rPr>
        <w:t>versus</w:t>
      </w:r>
      <w:r>
        <w:t xml:space="preserve"> delayed posttest scores. </w:t>
      </w:r>
      <w:r>
        <w:rPr>
          <w:rFonts w:hint="eastAsia"/>
        </w:rPr>
        <w:t xml:space="preserve">A total of </w:t>
      </w:r>
      <w:r>
        <w:t>30 studies report</w:t>
      </w:r>
      <w:r>
        <w:rPr>
          <w:rFonts w:hint="eastAsia"/>
        </w:rPr>
        <w:t>ed</w:t>
      </w:r>
      <w:r>
        <w:t xml:space="preserve"> perception accuracy scores at pretest, posttest, and delayed posttest</w:t>
      </w:r>
      <w:r w:rsidR="000428DA">
        <w:rPr>
          <w:rFonts w:hint="eastAsia"/>
        </w:rPr>
        <w:t xml:space="preserve">. </w:t>
      </w:r>
      <w:r w:rsidR="000428DA">
        <w:t>T</w:t>
      </w:r>
      <w:r w:rsidR="000428DA">
        <w:rPr>
          <w:rFonts w:hint="eastAsia"/>
        </w:rPr>
        <w:t>hirty studies consist of 18 journal articles, nine PhD theses, and three proceeding</w:t>
      </w:r>
      <w:r w:rsidR="00BB61A7">
        <w:rPr>
          <w:rFonts w:hint="eastAsia"/>
        </w:rPr>
        <w:t>s</w:t>
      </w:r>
      <w:r w:rsidR="000428DA">
        <w:rPr>
          <w:rFonts w:hint="eastAsia"/>
        </w:rPr>
        <w:t xml:space="preserve"> reports. </w:t>
      </w:r>
      <w:r w:rsidR="00851068">
        <w:rPr>
          <w:rFonts w:hint="eastAsia"/>
        </w:rPr>
        <w:t xml:space="preserve">The average sample size was </w:t>
      </w:r>
      <w:r w:rsidR="00E21713">
        <w:rPr>
          <w:rFonts w:hint="eastAsia"/>
        </w:rPr>
        <w:t xml:space="preserve">18.8 (range = 8 to 74). </w:t>
      </w:r>
      <w:proofErr w:type="gramStart"/>
      <w:r w:rsidR="000428DA">
        <w:rPr>
          <w:rFonts w:hint="eastAsia"/>
        </w:rPr>
        <w:t>The majority of</w:t>
      </w:r>
      <w:proofErr w:type="gramEnd"/>
      <w:r w:rsidR="000428DA">
        <w:rPr>
          <w:rFonts w:hint="eastAsia"/>
        </w:rPr>
        <w:t xml:space="preserve"> </w:t>
      </w:r>
      <w:r w:rsidR="000428DA">
        <w:t>participants</w:t>
      </w:r>
      <w:r w:rsidR="007B1F27">
        <w:rPr>
          <w:rFonts w:hint="eastAsia"/>
        </w:rPr>
        <w:t xml:space="preserve"> at the time of testing were university students (k = 24) and</w:t>
      </w:r>
      <w:r w:rsidR="000428DA">
        <w:rPr>
          <w:rFonts w:hint="eastAsia"/>
        </w:rPr>
        <w:t xml:space="preserve"> studied target languages in </w:t>
      </w:r>
      <w:r w:rsidR="000428DA">
        <w:t>foreign</w:t>
      </w:r>
      <w:r w:rsidR="000428DA">
        <w:rPr>
          <w:rFonts w:hint="eastAsia"/>
        </w:rPr>
        <w:t xml:space="preserve"> language (FL) contexts (k = 23) in contrast to a few studies focusing on learners in second language (SL) contexts (k = 7). Studies were conducted in various </w:t>
      </w:r>
      <w:r w:rsidR="000428DA">
        <w:t>countries</w:t>
      </w:r>
      <w:r w:rsidR="00E94E91">
        <w:rPr>
          <w:rFonts w:hint="eastAsia"/>
        </w:rPr>
        <w:t xml:space="preserve"> and regions</w:t>
      </w:r>
      <w:r w:rsidR="000428DA">
        <w:rPr>
          <w:rFonts w:hint="eastAsia"/>
        </w:rPr>
        <w:t xml:space="preserve"> such as Argentina (k = 2), Canada (k = </w:t>
      </w:r>
      <w:r w:rsidR="00E94E91">
        <w:rPr>
          <w:rFonts w:hint="eastAsia"/>
        </w:rPr>
        <w:t xml:space="preserve">6), China (k = 1), Hong Kong (k = 3), Japan (k = 1), Malaysia (k = 2), Portugal (k = 1), Spain (k = 8), Taiwan (k = 1), the UK (k = 3), and the USA (k = 3). Most studies focused on English as the target language (k = 23) while others focused on French (k = 2) or Mandarin Chinese (k = 2). Out of 21 studies reporting </w:t>
      </w:r>
      <w:r w:rsidR="00E94E91">
        <w:t>information</w:t>
      </w:r>
      <w:r w:rsidR="00E94E91">
        <w:rPr>
          <w:rFonts w:hint="eastAsia"/>
        </w:rPr>
        <w:t xml:space="preserve"> about the participants</w:t>
      </w:r>
      <w:r w:rsidR="00E94E91">
        <w:t>’</w:t>
      </w:r>
      <w:r w:rsidR="00E94E91">
        <w:rPr>
          <w:rFonts w:hint="eastAsia"/>
        </w:rPr>
        <w:t xml:space="preserve"> L2 proficiency, </w:t>
      </w:r>
      <w:r w:rsidR="007B1F27">
        <w:rPr>
          <w:rFonts w:hint="eastAsia"/>
        </w:rPr>
        <w:t xml:space="preserve">it ranged from novice (k =1), beginner (k = 3), lower-intermediate (k = 1), intermediate (k = 1), upper-intermediate (k = 1), to advanced (k = 9) with the remainder as mixed (k = 4). </w:t>
      </w:r>
      <w:r w:rsidR="00851068">
        <w:t>R</w:t>
      </w:r>
      <w:r w:rsidR="00851068">
        <w:rPr>
          <w:rFonts w:hint="eastAsia"/>
        </w:rPr>
        <w:t xml:space="preserve">egarding target phones, more than half of the studies examined the accuracy at perceiving vowels (k = 15) followed by </w:t>
      </w:r>
      <w:proofErr w:type="spellStart"/>
      <w:r w:rsidR="00851068">
        <w:rPr>
          <w:rFonts w:hint="eastAsia"/>
        </w:rPr>
        <w:t>obstruents</w:t>
      </w:r>
      <w:proofErr w:type="spellEnd"/>
      <w:r w:rsidR="00851068">
        <w:rPr>
          <w:rFonts w:hint="eastAsia"/>
        </w:rPr>
        <w:t xml:space="preserve"> (k = 7), tones (k = 2), syllable structures (k = 1), sonorants (k = 1), and other mixed sounds (e.g., vowels + consonants, k = 4). </w:t>
      </w:r>
      <w:r w:rsidR="00851068">
        <w:t>Twenty</w:t>
      </w:r>
      <w:r w:rsidR="00851068">
        <w:rPr>
          <w:rFonts w:hint="eastAsia"/>
        </w:rPr>
        <w:t xml:space="preserve">-three studies adopted identification tasks, five studies used discrimination tasks, and the remaining two studies used mixed tasks. </w:t>
      </w:r>
      <w:r w:rsidR="00851068" w:rsidRPr="00851068">
        <w:t>The mean interval between posttests and delayed posttests was 2.3 months (SD = 1.8, range = 0.5 to 6 months).</w:t>
      </w:r>
      <w:r w:rsidR="00851068">
        <w:rPr>
          <w:rFonts w:hint="eastAsia"/>
        </w:rPr>
        <w:t xml:space="preserve"> Other basic features of the included studies pertaining to training procedures</w:t>
      </w:r>
      <w:r w:rsidR="00E21713">
        <w:rPr>
          <w:rFonts w:hint="eastAsia"/>
        </w:rPr>
        <w:t xml:space="preserve"> and intensity</w:t>
      </w:r>
      <w:r w:rsidR="00851068">
        <w:rPr>
          <w:rFonts w:hint="eastAsia"/>
        </w:rPr>
        <w:t xml:space="preserve"> (e.g., </w:t>
      </w:r>
      <w:r w:rsidR="00851068">
        <w:t>number</w:t>
      </w:r>
      <w:r w:rsidR="00851068">
        <w:rPr>
          <w:rFonts w:hint="eastAsia"/>
        </w:rPr>
        <w:t xml:space="preserve"> of talkers, trials, and sessions)</w:t>
      </w:r>
      <w:r w:rsidR="00E21713">
        <w:rPr>
          <w:rFonts w:hint="eastAsia"/>
        </w:rPr>
        <w:t xml:space="preserve"> are </w:t>
      </w:r>
      <w:r w:rsidR="00E21713">
        <w:t>summarized</w:t>
      </w:r>
      <w:r w:rsidR="00E21713">
        <w:rPr>
          <w:rFonts w:hint="eastAsia"/>
        </w:rPr>
        <w:t xml:space="preserve"> in Table 6.1.</w:t>
      </w:r>
    </w:p>
    <w:p w14:paraId="29B1DC68" w14:textId="77777777" w:rsidR="007B1F27" w:rsidRDefault="007B1F27" w:rsidP="00E21713">
      <w:pPr>
        <w:jc w:val="left"/>
      </w:pPr>
    </w:p>
    <w:p w14:paraId="15CDD92B" w14:textId="15942541" w:rsidR="009C5B7C" w:rsidRDefault="009C5B7C" w:rsidP="00E21713">
      <w:pPr>
        <w:jc w:val="left"/>
      </w:pPr>
      <w:r>
        <w:rPr>
          <w:rFonts w:hint="eastAsia"/>
        </w:rPr>
        <w:t>Table 6.1. Summary of training procedures and intensity</w:t>
      </w:r>
    </w:p>
    <w:tbl>
      <w:tblPr>
        <w:tblStyle w:val="a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868"/>
        <w:gridCol w:w="1470"/>
        <w:gridCol w:w="1470"/>
        <w:gridCol w:w="1470"/>
        <w:gridCol w:w="1468"/>
      </w:tblGrid>
      <w:tr w:rsidR="000B5825" w14:paraId="1A04EB2E" w14:textId="77777777" w:rsidTr="000B5825">
        <w:tc>
          <w:tcPr>
            <w:tcW w:w="1985" w:type="pct"/>
            <w:tcBorders>
              <w:bottom w:val="single" w:sz="4" w:space="0" w:color="auto"/>
            </w:tcBorders>
          </w:tcPr>
          <w:p w14:paraId="3F77B9F4" w14:textId="77777777" w:rsidR="000B5825" w:rsidRDefault="000B5825" w:rsidP="00E21713">
            <w:pPr>
              <w:jc w:val="left"/>
            </w:pPr>
          </w:p>
        </w:tc>
        <w:tc>
          <w:tcPr>
            <w:tcW w:w="754" w:type="pct"/>
            <w:tcBorders>
              <w:bottom w:val="single" w:sz="4" w:space="0" w:color="auto"/>
            </w:tcBorders>
          </w:tcPr>
          <w:p w14:paraId="27987C7F" w14:textId="655D0505" w:rsidR="000B5825" w:rsidRDefault="000B5825" w:rsidP="00E21713">
            <w:pPr>
              <w:jc w:val="left"/>
            </w:pPr>
            <w:r>
              <w:rPr>
                <w:rFonts w:hint="eastAsia"/>
              </w:rPr>
              <w:t>k</w:t>
            </w:r>
          </w:p>
        </w:tc>
        <w:tc>
          <w:tcPr>
            <w:tcW w:w="754" w:type="pct"/>
            <w:tcBorders>
              <w:bottom w:val="single" w:sz="4" w:space="0" w:color="auto"/>
            </w:tcBorders>
          </w:tcPr>
          <w:p w14:paraId="6F25A5C6" w14:textId="3602E1AD" w:rsidR="000B5825" w:rsidRDefault="000B5825" w:rsidP="00E21713">
            <w:pPr>
              <w:jc w:val="left"/>
            </w:pPr>
            <w:r>
              <w:rPr>
                <w:rFonts w:hint="eastAsia"/>
              </w:rPr>
              <w:t>M</w:t>
            </w:r>
          </w:p>
        </w:tc>
        <w:tc>
          <w:tcPr>
            <w:tcW w:w="754" w:type="pct"/>
            <w:tcBorders>
              <w:bottom w:val="single" w:sz="4" w:space="0" w:color="auto"/>
            </w:tcBorders>
          </w:tcPr>
          <w:p w14:paraId="125583F6" w14:textId="3EFE5612" w:rsidR="000B5825" w:rsidRDefault="000B5825" w:rsidP="00E21713">
            <w:pPr>
              <w:jc w:val="left"/>
            </w:pPr>
            <w:r>
              <w:rPr>
                <w:rFonts w:hint="eastAsia"/>
              </w:rPr>
              <w:t>SD</w:t>
            </w:r>
          </w:p>
        </w:tc>
        <w:tc>
          <w:tcPr>
            <w:tcW w:w="754" w:type="pct"/>
            <w:tcBorders>
              <w:bottom w:val="single" w:sz="4" w:space="0" w:color="auto"/>
            </w:tcBorders>
          </w:tcPr>
          <w:p w14:paraId="75B41E8D" w14:textId="0EAC3A2D" w:rsidR="000B5825" w:rsidRDefault="000B5825" w:rsidP="00E21713">
            <w:pPr>
              <w:jc w:val="left"/>
            </w:pPr>
            <w:r>
              <w:rPr>
                <w:rFonts w:hint="eastAsia"/>
              </w:rPr>
              <w:t>Range</w:t>
            </w:r>
          </w:p>
        </w:tc>
      </w:tr>
      <w:tr w:rsidR="000B5825" w14:paraId="4D3707ED" w14:textId="77777777" w:rsidTr="000B5825">
        <w:tc>
          <w:tcPr>
            <w:tcW w:w="1985" w:type="pct"/>
            <w:tcBorders>
              <w:bottom w:val="nil"/>
            </w:tcBorders>
          </w:tcPr>
          <w:p w14:paraId="49BF032D" w14:textId="5CF1EA76" w:rsidR="000B5825" w:rsidRDefault="000B5825" w:rsidP="00E21713">
            <w:pPr>
              <w:jc w:val="left"/>
            </w:pPr>
            <w:r>
              <w:rPr>
                <w:rFonts w:hint="eastAsia"/>
              </w:rPr>
              <w:t>Number of talkers</w:t>
            </w:r>
          </w:p>
        </w:tc>
        <w:tc>
          <w:tcPr>
            <w:tcW w:w="754" w:type="pct"/>
            <w:tcBorders>
              <w:bottom w:val="nil"/>
            </w:tcBorders>
          </w:tcPr>
          <w:p w14:paraId="5BB52C8E" w14:textId="54AF85F6" w:rsidR="000B5825" w:rsidRDefault="000B5825" w:rsidP="00E21713">
            <w:pPr>
              <w:jc w:val="left"/>
            </w:pPr>
            <w:r>
              <w:rPr>
                <w:rFonts w:hint="eastAsia"/>
              </w:rPr>
              <w:t>30</w:t>
            </w:r>
          </w:p>
        </w:tc>
        <w:tc>
          <w:tcPr>
            <w:tcW w:w="754" w:type="pct"/>
            <w:tcBorders>
              <w:bottom w:val="nil"/>
            </w:tcBorders>
          </w:tcPr>
          <w:p w14:paraId="3FE9A96B" w14:textId="1FECD507" w:rsidR="000B5825" w:rsidRDefault="000B5825" w:rsidP="00E21713">
            <w:pPr>
              <w:jc w:val="left"/>
            </w:pPr>
            <w:r>
              <w:rPr>
                <w:rFonts w:hint="eastAsia"/>
              </w:rPr>
              <w:t>4.5</w:t>
            </w:r>
          </w:p>
        </w:tc>
        <w:tc>
          <w:tcPr>
            <w:tcW w:w="754" w:type="pct"/>
            <w:tcBorders>
              <w:bottom w:val="nil"/>
            </w:tcBorders>
          </w:tcPr>
          <w:p w14:paraId="02154012" w14:textId="293C1614" w:rsidR="000B5825" w:rsidRDefault="000B5825" w:rsidP="00E21713">
            <w:pPr>
              <w:jc w:val="left"/>
            </w:pPr>
            <w:r>
              <w:rPr>
                <w:rFonts w:hint="eastAsia"/>
              </w:rPr>
              <w:t>1.7</w:t>
            </w:r>
          </w:p>
        </w:tc>
        <w:tc>
          <w:tcPr>
            <w:tcW w:w="754" w:type="pct"/>
            <w:tcBorders>
              <w:bottom w:val="nil"/>
            </w:tcBorders>
          </w:tcPr>
          <w:p w14:paraId="0447AFFC" w14:textId="750474AB" w:rsidR="000B5825" w:rsidRDefault="000B5825" w:rsidP="00E21713">
            <w:pPr>
              <w:jc w:val="left"/>
            </w:pPr>
            <w:r>
              <w:rPr>
                <w:rFonts w:hint="eastAsia"/>
              </w:rPr>
              <w:t xml:space="preserve">2 </w:t>
            </w:r>
            <w:r>
              <w:t>–</w:t>
            </w:r>
            <w:r>
              <w:rPr>
                <w:rFonts w:hint="eastAsia"/>
              </w:rPr>
              <w:t xml:space="preserve"> 12</w:t>
            </w:r>
          </w:p>
        </w:tc>
      </w:tr>
      <w:tr w:rsidR="000B5825" w14:paraId="5062E076" w14:textId="77777777" w:rsidTr="000B5825">
        <w:tc>
          <w:tcPr>
            <w:tcW w:w="1985" w:type="pct"/>
            <w:tcBorders>
              <w:top w:val="nil"/>
              <w:bottom w:val="nil"/>
            </w:tcBorders>
          </w:tcPr>
          <w:p w14:paraId="5337F477" w14:textId="365FE782" w:rsidR="000B5825" w:rsidRDefault="000B5825" w:rsidP="00E21713">
            <w:pPr>
              <w:jc w:val="left"/>
            </w:pPr>
            <w:r>
              <w:rPr>
                <w:rFonts w:hint="eastAsia"/>
              </w:rPr>
              <w:t>Number of training sessions</w:t>
            </w:r>
          </w:p>
        </w:tc>
        <w:tc>
          <w:tcPr>
            <w:tcW w:w="754" w:type="pct"/>
            <w:tcBorders>
              <w:top w:val="nil"/>
              <w:bottom w:val="nil"/>
            </w:tcBorders>
          </w:tcPr>
          <w:p w14:paraId="2282DDF7" w14:textId="6F35478F" w:rsidR="000B5825" w:rsidRDefault="000B5825" w:rsidP="00E21713">
            <w:pPr>
              <w:jc w:val="left"/>
            </w:pPr>
            <w:r>
              <w:rPr>
                <w:rFonts w:hint="eastAsia"/>
              </w:rPr>
              <w:t>29</w:t>
            </w:r>
          </w:p>
        </w:tc>
        <w:tc>
          <w:tcPr>
            <w:tcW w:w="754" w:type="pct"/>
            <w:tcBorders>
              <w:top w:val="nil"/>
              <w:bottom w:val="nil"/>
            </w:tcBorders>
          </w:tcPr>
          <w:p w14:paraId="24AA60EF" w14:textId="507B3A92" w:rsidR="000B5825" w:rsidRDefault="000B5825" w:rsidP="00E21713">
            <w:pPr>
              <w:jc w:val="left"/>
            </w:pPr>
            <w:r>
              <w:rPr>
                <w:rFonts w:hint="eastAsia"/>
              </w:rPr>
              <w:t>8.8</w:t>
            </w:r>
          </w:p>
        </w:tc>
        <w:tc>
          <w:tcPr>
            <w:tcW w:w="754" w:type="pct"/>
            <w:tcBorders>
              <w:top w:val="nil"/>
              <w:bottom w:val="nil"/>
            </w:tcBorders>
          </w:tcPr>
          <w:p w14:paraId="37557349" w14:textId="3C066885" w:rsidR="000B5825" w:rsidRDefault="000B5825" w:rsidP="00E21713">
            <w:pPr>
              <w:jc w:val="left"/>
            </w:pPr>
            <w:r>
              <w:rPr>
                <w:rFonts w:hint="eastAsia"/>
              </w:rPr>
              <w:t>8.4</w:t>
            </w:r>
          </w:p>
        </w:tc>
        <w:tc>
          <w:tcPr>
            <w:tcW w:w="754" w:type="pct"/>
            <w:tcBorders>
              <w:top w:val="nil"/>
              <w:bottom w:val="nil"/>
            </w:tcBorders>
          </w:tcPr>
          <w:p w14:paraId="643495C7" w14:textId="14D8E014" w:rsidR="000B5825" w:rsidRDefault="000B5825" w:rsidP="00E21713">
            <w:pPr>
              <w:jc w:val="left"/>
            </w:pPr>
            <w:r>
              <w:rPr>
                <w:rFonts w:hint="eastAsia"/>
              </w:rPr>
              <w:t xml:space="preserve">3 </w:t>
            </w:r>
            <w:r>
              <w:t>–</w:t>
            </w:r>
            <w:r>
              <w:rPr>
                <w:rFonts w:hint="eastAsia"/>
              </w:rPr>
              <w:t xml:space="preserve"> 45</w:t>
            </w:r>
          </w:p>
        </w:tc>
      </w:tr>
      <w:tr w:rsidR="000B5825" w14:paraId="4BEAAD3C" w14:textId="77777777" w:rsidTr="000B5825">
        <w:tc>
          <w:tcPr>
            <w:tcW w:w="1985" w:type="pct"/>
            <w:tcBorders>
              <w:top w:val="nil"/>
              <w:bottom w:val="nil"/>
            </w:tcBorders>
          </w:tcPr>
          <w:p w14:paraId="7C4A01A7" w14:textId="25B06313" w:rsidR="000B5825" w:rsidRDefault="000B5825" w:rsidP="00E21713">
            <w:pPr>
              <w:jc w:val="left"/>
            </w:pPr>
            <w:r>
              <w:rPr>
                <w:rFonts w:hint="eastAsia"/>
              </w:rPr>
              <w:t>Total number of trials</w:t>
            </w:r>
          </w:p>
        </w:tc>
        <w:tc>
          <w:tcPr>
            <w:tcW w:w="754" w:type="pct"/>
            <w:tcBorders>
              <w:top w:val="nil"/>
              <w:bottom w:val="nil"/>
            </w:tcBorders>
          </w:tcPr>
          <w:p w14:paraId="775ED59A" w14:textId="3B5FBFE6" w:rsidR="000B5825" w:rsidRDefault="000B5825" w:rsidP="00E21713">
            <w:pPr>
              <w:jc w:val="left"/>
            </w:pPr>
            <w:r>
              <w:rPr>
                <w:rFonts w:hint="eastAsia"/>
              </w:rPr>
              <w:t>24</w:t>
            </w:r>
          </w:p>
        </w:tc>
        <w:tc>
          <w:tcPr>
            <w:tcW w:w="754" w:type="pct"/>
            <w:tcBorders>
              <w:top w:val="nil"/>
              <w:bottom w:val="nil"/>
            </w:tcBorders>
          </w:tcPr>
          <w:p w14:paraId="3E2E6E5C" w14:textId="118A07ED" w:rsidR="000B5825" w:rsidRDefault="000B5825" w:rsidP="00E21713">
            <w:pPr>
              <w:jc w:val="left"/>
            </w:pPr>
            <w:r>
              <w:rPr>
                <w:rFonts w:hint="eastAsia"/>
              </w:rPr>
              <w:t>2057.9</w:t>
            </w:r>
          </w:p>
        </w:tc>
        <w:tc>
          <w:tcPr>
            <w:tcW w:w="754" w:type="pct"/>
            <w:tcBorders>
              <w:top w:val="nil"/>
              <w:bottom w:val="nil"/>
            </w:tcBorders>
          </w:tcPr>
          <w:p w14:paraId="164CA1A8" w14:textId="4E0792FA" w:rsidR="000B5825" w:rsidRDefault="000B5825" w:rsidP="00E21713">
            <w:pPr>
              <w:jc w:val="left"/>
            </w:pPr>
            <w:r>
              <w:rPr>
                <w:rFonts w:hint="eastAsia"/>
              </w:rPr>
              <w:t>1196.1</w:t>
            </w:r>
          </w:p>
        </w:tc>
        <w:tc>
          <w:tcPr>
            <w:tcW w:w="754" w:type="pct"/>
            <w:tcBorders>
              <w:top w:val="nil"/>
              <w:bottom w:val="nil"/>
            </w:tcBorders>
          </w:tcPr>
          <w:p w14:paraId="14E26288" w14:textId="1860A577" w:rsidR="000B5825" w:rsidRDefault="000B5825" w:rsidP="00E21713">
            <w:pPr>
              <w:jc w:val="left"/>
            </w:pPr>
            <w:r>
              <w:rPr>
                <w:rFonts w:hint="eastAsia"/>
              </w:rPr>
              <w:t xml:space="preserve">792 </w:t>
            </w:r>
            <w:r>
              <w:t>–</w:t>
            </w:r>
            <w:r>
              <w:rPr>
                <w:rFonts w:hint="eastAsia"/>
              </w:rPr>
              <w:t xml:space="preserve"> 6120</w:t>
            </w:r>
          </w:p>
        </w:tc>
      </w:tr>
      <w:tr w:rsidR="000B5825" w14:paraId="04E0144B" w14:textId="77777777" w:rsidTr="000B5825">
        <w:tc>
          <w:tcPr>
            <w:tcW w:w="1985" w:type="pct"/>
            <w:tcBorders>
              <w:top w:val="nil"/>
              <w:bottom w:val="nil"/>
            </w:tcBorders>
          </w:tcPr>
          <w:p w14:paraId="0504A89F" w14:textId="667A461E" w:rsidR="000B5825" w:rsidRDefault="000B5825" w:rsidP="00E21713">
            <w:pPr>
              <w:jc w:val="left"/>
            </w:pPr>
            <w:r>
              <w:rPr>
                <w:rFonts w:hint="eastAsia"/>
              </w:rPr>
              <w:t>Total training time (min)</w:t>
            </w:r>
          </w:p>
        </w:tc>
        <w:tc>
          <w:tcPr>
            <w:tcW w:w="754" w:type="pct"/>
            <w:tcBorders>
              <w:top w:val="nil"/>
              <w:bottom w:val="nil"/>
            </w:tcBorders>
          </w:tcPr>
          <w:p w14:paraId="796BE984" w14:textId="2FA47BE3" w:rsidR="000B5825" w:rsidRDefault="000B5825" w:rsidP="00E21713">
            <w:pPr>
              <w:jc w:val="left"/>
            </w:pPr>
            <w:r>
              <w:rPr>
                <w:rFonts w:hint="eastAsia"/>
              </w:rPr>
              <w:t>27</w:t>
            </w:r>
          </w:p>
        </w:tc>
        <w:tc>
          <w:tcPr>
            <w:tcW w:w="754" w:type="pct"/>
            <w:tcBorders>
              <w:top w:val="nil"/>
              <w:bottom w:val="nil"/>
            </w:tcBorders>
          </w:tcPr>
          <w:p w14:paraId="1EC59CBA" w14:textId="0C35723B" w:rsidR="000B5825" w:rsidRDefault="000B5825" w:rsidP="00E21713">
            <w:pPr>
              <w:jc w:val="left"/>
            </w:pPr>
            <w:r>
              <w:rPr>
                <w:rFonts w:hint="eastAsia"/>
              </w:rPr>
              <w:t>324.1</w:t>
            </w:r>
          </w:p>
        </w:tc>
        <w:tc>
          <w:tcPr>
            <w:tcW w:w="754" w:type="pct"/>
            <w:tcBorders>
              <w:top w:val="nil"/>
              <w:bottom w:val="nil"/>
            </w:tcBorders>
          </w:tcPr>
          <w:p w14:paraId="1E1A518E" w14:textId="19782362" w:rsidR="000B5825" w:rsidRDefault="000B5825" w:rsidP="00E21713">
            <w:pPr>
              <w:jc w:val="left"/>
            </w:pPr>
            <w:r>
              <w:rPr>
                <w:rFonts w:hint="eastAsia"/>
              </w:rPr>
              <w:t>240.0</w:t>
            </w:r>
          </w:p>
        </w:tc>
        <w:tc>
          <w:tcPr>
            <w:tcW w:w="754" w:type="pct"/>
            <w:tcBorders>
              <w:top w:val="nil"/>
              <w:bottom w:val="nil"/>
            </w:tcBorders>
          </w:tcPr>
          <w:p w14:paraId="72B78116" w14:textId="4F6A1C0A" w:rsidR="000B5825" w:rsidRDefault="000B5825" w:rsidP="00E21713">
            <w:pPr>
              <w:jc w:val="left"/>
            </w:pPr>
            <w:r>
              <w:rPr>
                <w:rFonts w:hint="eastAsia"/>
              </w:rPr>
              <w:t xml:space="preserve">60 </w:t>
            </w:r>
            <w:r>
              <w:t>–</w:t>
            </w:r>
            <w:r>
              <w:rPr>
                <w:rFonts w:hint="eastAsia"/>
              </w:rPr>
              <w:t xml:space="preserve"> 1125</w:t>
            </w:r>
          </w:p>
        </w:tc>
      </w:tr>
      <w:tr w:rsidR="000B5825" w14:paraId="49ABE565" w14:textId="77777777" w:rsidTr="000B5825">
        <w:tc>
          <w:tcPr>
            <w:tcW w:w="1985" w:type="pct"/>
            <w:tcBorders>
              <w:top w:val="nil"/>
              <w:bottom w:val="nil"/>
            </w:tcBorders>
          </w:tcPr>
          <w:p w14:paraId="237738EB" w14:textId="0283CFE0" w:rsidR="000B5825" w:rsidRDefault="000B5825" w:rsidP="009C5B7C">
            <w:pPr>
              <w:jc w:val="left"/>
            </w:pPr>
            <w:r>
              <w:rPr>
                <w:rFonts w:hint="eastAsia"/>
              </w:rPr>
              <w:t>Number of trials per session</w:t>
            </w:r>
          </w:p>
        </w:tc>
        <w:tc>
          <w:tcPr>
            <w:tcW w:w="754" w:type="pct"/>
            <w:tcBorders>
              <w:top w:val="nil"/>
              <w:bottom w:val="nil"/>
            </w:tcBorders>
          </w:tcPr>
          <w:p w14:paraId="2C6FFD96" w14:textId="5214C642" w:rsidR="000B5825" w:rsidRDefault="000B5825" w:rsidP="00E21713">
            <w:pPr>
              <w:jc w:val="left"/>
            </w:pPr>
            <w:r>
              <w:rPr>
                <w:rFonts w:hint="eastAsia"/>
              </w:rPr>
              <w:t>22</w:t>
            </w:r>
          </w:p>
        </w:tc>
        <w:tc>
          <w:tcPr>
            <w:tcW w:w="754" w:type="pct"/>
            <w:tcBorders>
              <w:top w:val="nil"/>
              <w:bottom w:val="nil"/>
            </w:tcBorders>
          </w:tcPr>
          <w:p w14:paraId="2FCF67A3" w14:textId="768B6006" w:rsidR="000B5825" w:rsidRDefault="000B5825" w:rsidP="00E21713">
            <w:pPr>
              <w:jc w:val="left"/>
            </w:pPr>
            <w:r>
              <w:rPr>
                <w:rFonts w:hint="eastAsia"/>
              </w:rPr>
              <w:t>283.0</w:t>
            </w:r>
          </w:p>
        </w:tc>
        <w:tc>
          <w:tcPr>
            <w:tcW w:w="754" w:type="pct"/>
            <w:tcBorders>
              <w:top w:val="nil"/>
              <w:bottom w:val="nil"/>
            </w:tcBorders>
          </w:tcPr>
          <w:p w14:paraId="42C7B101" w14:textId="00E20280" w:rsidR="000B5825" w:rsidRDefault="000B5825" w:rsidP="00E21713">
            <w:pPr>
              <w:jc w:val="left"/>
            </w:pPr>
            <w:r>
              <w:rPr>
                <w:rFonts w:hint="eastAsia"/>
              </w:rPr>
              <w:t>155.7</w:t>
            </w:r>
          </w:p>
        </w:tc>
        <w:tc>
          <w:tcPr>
            <w:tcW w:w="754" w:type="pct"/>
            <w:tcBorders>
              <w:top w:val="nil"/>
              <w:bottom w:val="nil"/>
            </w:tcBorders>
          </w:tcPr>
          <w:p w14:paraId="01DE5693" w14:textId="4581717D" w:rsidR="000B5825" w:rsidRDefault="000B5825" w:rsidP="00E21713">
            <w:pPr>
              <w:jc w:val="left"/>
            </w:pPr>
            <w:r>
              <w:rPr>
                <w:rFonts w:hint="eastAsia"/>
              </w:rPr>
              <w:t xml:space="preserve">72 </w:t>
            </w:r>
            <w:r>
              <w:t>–</w:t>
            </w:r>
            <w:r>
              <w:rPr>
                <w:rFonts w:hint="eastAsia"/>
              </w:rPr>
              <w:t xml:space="preserve"> 576</w:t>
            </w:r>
          </w:p>
        </w:tc>
      </w:tr>
      <w:tr w:rsidR="000B5825" w14:paraId="12ECD408" w14:textId="77777777" w:rsidTr="000B5825">
        <w:tc>
          <w:tcPr>
            <w:tcW w:w="1985" w:type="pct"/>
            <w:tcBorders>
              <w:top w:val="nil"/>
            </w:tcBorders>
          </w:tcPr>
          <w:p w14:paraId="628C4309" w14:textId="481C1BE3" w:rsidR="000B5825" w:rsidRDefault="000B5825" w:rsidP="009C5B7C">
            <w:pPr>
              <w:jc w:val="left"/>
            </w:pPr>
            <w:r>
              <w:rPr>
                <w:rFonts w:hint="eastAsia"/>
              </w:rPr>
              <w:t>Training time per session (min)</w:t>
            </w:r>
          </w:p>
        </w:tc>
        <w:tc>
          <w:tcPr>
            <w:tcW w:w="754" w:type="pct"/>
            <w:tcBorders>
              <w:top w:val="nil"/>
            </w:tcBorders>
          </w:tcPr>
          <w:p w14:paraId="07ADF39E" w14:textId="079D0DD6" w:rsidR="000B5825" w:rsidRDefault="000B5825" w:rsidP="009C5B7C">
            <w:pPr>
              <w:jc w:val="left"/>
            </w:pPr>
            <w:r>
              <w:rPr>
                <w:rFonts w:hint="eastAsia"/>
              </w:rPr>
              <w:t>27</w:t>
            </w:r>
          </w:p>
        </w:tc>
        <w:tc>
          <w:tcPr>
            <w:tcW w:w="754" w:type="pct"/>
            <w:tcBorders>
              <w:top w:val="nil"/>
            </w:tcBorders>
          </w:tcPr>
          <w:p w14:paraId="39F49DF7" w14:textId="5F602D12" w:rsidR="000B5825" w:rsidRDefault="000B5825" w:rsidP="009C5B7C">
            <w:pPr>
              <w:jc w:val="left"/>
            </w:pPr>
            <w:r>
              <w:rPr>
                <w:rFonts w:hint="eastAsia"/>
              </w:rPr>
              <w:t>38.0</w:t>
            </w:r>
          </w:p>
        </w:tc>
        <w:tc>
          <w:tcPr>
            <w:tcW w:w="754" w:type="pct"/>
            <w:tcBorders>
              <w:top w:val="nil"/>
            </w:tcBorders>
          </w:tcPr>
          <w:p w14:paraId="785CE392" w14:textId="7072B944" w:rsidR="000B5825" w:rsidRDefault="000B5825" w:rsidP="009C5B7C">
            <w:pPr>
              <w:jc w:val="left"/>
            </w:pPr>
            <w:r>
              <w:rPr>
                <w:rFonts w:hint="eastAsia"/>
              </w:rPr>
              <w:t>20.6</w:t>
            </w:r>
          </w:p>
        </w:tc>
        <w:tc>
          <w:tcPr>
            <w:tcW w:w="754" w:type="pct"/>
            <w:tcBorders>
              <w:top w:val="nil"/>
            </w:tcBorders>
          </w:tcPr>
          <w:p w14:paraId="1E9345E3" w14:textId="7C3A6AB3" w:rsidR="000B5825" w:rsidRDefault="000B5825" w:rsidP="009C5B7C">
            <w:pPr>
              <w:jc w:val="left"/>
            </w:pPr>
            <w:r>
              <w:rPr>
                <w:rFonts w:hint="eastAsia"/>
              </w:rPr>
              <w:t xml:space="preserve">5 </w:t>
            </w:r>
            <w:r>
              <w:t>–</w:t>
            </w:r>
            <w:r>
              <w:rPr>
                <w:rFonts w:hint="eastAsia"/>
              </w:rPr>
              <w:t xml:space="preserve"> 75</w:t>
            </w:r>
          </w:p>
        </w:tc>
      </w:tr>
    </w:tbl>
    <w:p w14:paraId="6B16CF45" w14:textId="77777777" w:rsidR="00650A44" w:rsidRDefault="00650A44" w:rsidP="007B1F27">
      <w:pPr>
        <w:ind w:firstLine="840"/>
        <w:jc w:val="left"/>
      </w:pPr>
    </w:p>
    <w:p w14:paraId="09BB1471" w14:textId="53CE3F9F" w:rsidR="000428DA" w:rsidRDefault="002C1356" w:rsidP="000428DA">
      <w:pPr>
        <w:ind w:firstLine="840"/>
        <w:jc w:val="left"/>
      </w:pPr>
      <w:r>
        <w:rPr>
          <w:rFonts w:hint="eastAsia"/>
        </w:rPr>
        <w:t xml:space="preserve">The first results (i.e., pretest vs. delayed posttest </w:t>
      </w:r>
      <w:r>
        <w:t>performance</w:t>
      </w:r>
      <w:r>
        <w:rPr>
          <w:rFonts w:hint="eastAsia"/>
        </w:rPr>
        <w:t xml:space="preserve">) </w:t>
      </w:r>
      <w:r w:rsidR="002910A6">
        <w:rPr>
          <w:rFonts w:hint="eastAsia"/>
        </w:rPr>
        <w:t>showed that t</w:t>
      </w:r>
      <w:r w:rsidR="002910A6">
        <w:t xml:space="preserve">he mean effect size was significant and large, </w:t>
      </w:r>
      <w:r w:rsidR="005C209F">
        <w:rPr>
          <w:rFonts w:hint="eastAsia"/>
        </w:rPr>
        <w:t xml:space="preserve">k = 30, </w:t>
      </w:r>
      <w:r w:rsidR="002910A6">
        <w:t xml:space="preserve">g = 0.98, SE = 0.10, 95% </w:t>
      </w:r>
      <w:proofErr w:type="gramStart"/>
      <w:r w:rsidR="002910A6">
        <w:t>CI[</w:t>
      </w:r>
      <w:proofErr w:type="gramEnd"/>
      <w:r w:rsidR="002910A6">
        <w:t>0.79, 1.17], p &lt; .001</w:t>
      </w:r>
      <w:r w:rsidR="002910A6">
        <w:rPr>
          <w:rFonts w:hint="eastAsia"/>
        </w:rPr>
        <w:t xml:space="preserve">, indicating </w:t>
      </w:r>
      <w:r w:rsidR="002910A6">
        <w:rPr>
          <w:rFonts w:hint="eastAsia"/>
        </w:rPr>
        <w:lastRenderedPageBreak/>
        <w:t xml:space="preserve">that </w:t>
      </w:r>
      <w:r w:rsidR="005C209F">
        <w:rPr>
          <w:rFonts w:hint="eastAsia"/>
        </w:rPr>
        <w:t xml:space="preserve">delayed posttest scores were larger than pretest scores. The </w:t>
      </w:r>
      <w:r w:rsidR="005C209F">
        <w:t>heterogeneity</w:t>
      </w:r>
      <w:r w:rsidR="005C209F">
        <w:rPr>
          <w:rFonts w:hint="eastAsia"/>
        </w:rPr>
        <w:t xml:space="preserve"> between the studies was </w:t>
      </w:r>
      <w:r w:rsidR="005C209F">
        <w:t>significant</w:t>
      </w:r>
      <w:r w:rsidR="005C209F">
        <w:rPr>
          <w:rFonts w:hint="eastAsia"/>
        </w:rPr>
        <w:t xml:space="preserve"> and </w:t>
      </w:r>
      <w:r w:rsidR="00A72A79">
        <w:rPr>
          <w:rFonts w:hint="eastAsia"/>
        </w:rPr>
        <w:t>high</w:t>
      </w:r>
      <w:r w:rsidR="005C209F">
        <w:rPr>
          <w:rFonts w:hint="eastAsia"/>
        </w:rPr>
        <w:t xml:space="preserve">, </w:t>
      </w:r>
      <w:proofErr w:type="gramStart"/>
      <w:r w:rsidR="005C209F">
        <w:rPr>
          <w:rFonts w:hint="eastAsia"/>
        </w:rPr>
        <w:t>Q(</w:t>
      </w:r>
      <w:proofErr w:type="gramEnd"/>
      <w:r w:rsidR="005C209F">
        <w:rPr>
          <w:rFonts w:hint="eastAsia"/>
        </w:rPr>
        <w:t>29) = 105.97, p &lt; .001, I</w:t>
      </w:r>
      <w:r w:rsidR="005C209F" w:rsidRPr="006F4D1C">
        <w:rPr>
          <w:rFonts w:hint="eastAsia"/>
          <w:vertAlign w:val="superscript"/>
        </w:rPr>
        <w:t>2</w:t>
      </w:r>
      <w:r w:rsidR="005C209F">
        <w:rPr>
          <w:rFonts w:hint="eastAsia"/>
        </w:rPr>
        <w:t xml:space="preserve"> = 72.6%, indicating that </w:t>
      </w:r>
      <w:r w:rsidR="005C209F">
        <w:t>only</w:t>
      </w:r>
      <w:r w:rsidR="005C209F">
        <w:rPr>
          <w:rFonts w:hint="eastAsia"/>
        </w:rPr>
        <w:t xml:space="preserve"> about 30% of the heterogeneity was due to sampling error.</w:t>
      </w:r>
      <w:r w:rsidR="00A172C8">
        <w:rPr>
          <w:rFonts w:hint="eastAsia"/>
        </w:rPr>
        <w:t xml:space="preserve"> </w:t>
      </w:r>
      <w:r w:rsidR="000A3E7B">
        <w:rPr>
          <w:rFonts w:hint="eastAsia"/>
        </w:rPr>
        <w:t xml:space="preserve">The 95% prediction interval ranged from 0.078 to 1.886, </w:t>
      </w:r>
      <w:r w:rsidR="000A3E7B">
        <w:t>indicat</w:t>
      </w:r>
      <w:r w:rsidR="000A3E7B">
        <w:rPr>
          <w:rFonts w:hint="eastAsia"/>
        </w:rPr>
        <w:t xml:space="preserve">ing that with 95% probability a future </w:t>
      </w:r>
      <w:r w:rsidR="000A3E7B">
        <w:t>observation</w:t>
      </w:r>
      <w:r w:rsidR="000A3E7B">
        <w:rPr>
          <w:rFonts w:hint="eastAsia"/>
        </w:rPr>
        <w:t xml:space="preserve"> of the training effect on retention (i.e., pretest vs. delayed posttest comparison) will fall in this interval. </w:t>
      </w:r>
      <w:r w:rsidR="00A172C8">
        <w:rPr>
          <w:rFonts w:hint="eastAsia"/>
        </w:rPr>
        <w:t xml:space="preserve">The result of a leave-one-out analysis did not reveal any clear outliers that had </w:t>
      </w:r>
      <w:r w:rsidR="000A3E7B">
        <w:t>a substantial</w:t>
      </w:r>
      <w:r w:rsidR="00A172C8">
        <w:rPr>
          <w:rFonts w:hint="eastAsia"/>
        </w:rPr>
        <w:t xml:space="preserve"> </w:t>
      </w:r>
      <w:r w:rsidR="00A172C8">
        <w:t>impact</w:t>
      </w:r>
      <w:r w:rsidR="00A172C8">
        <w:rPr>
          <w:rFonts w:hint="eastAsia"/>
        </w:rPr>
        <w:t xml:space="preserve"> on the overall mean effect size (see Figure </w:t>
      </w:r>
      <w:r w:rsidR="00FB2E70">
        <w:rPr>
          <w:rFonts w:hint="eastAsia"/>
        </w:rPr>
        <w:t>6</w:t>
      </w:r>
      <w:r w:rsidR="00A172C8">
        <w:rPr>
          <w:rFonts w:hint="eastAsia"/>
        </w:rPr>
        <w:t xml:space="preserve">.1). </w:t>
      </w:r>
      <w:r w:rsidR="00087416">
        <w:rPr>
          <w:rFonts w:hint="eastAsia"/>
        </w:rPr>
        <w:t>P</w:t>
      </w:r>
      <w:r w:rsidR="00087416" w:rsidRPr="007D77BA">
        <w:t>ublication bias was</w:t>
      </w:r>
      <w:r w:rsidR="00087416">
        <w:rPr>
          <w:rFonts w:hint="eastAsia"/>
        </w:rPr>
        <w:t xml:space="preserve"> first visually</w:t>
      </w:r>
      <w:r w:rsidR="00087416" w:rsidRPr="007D77BA">
        <w:t xml:space="preserve"> assessed with a funnel plot (Figure </w:t>
      </w:r>
      <w:r w:rsidR="00FB2E70">
        <w:rPr>
          <w:rFonts w:hint="eastAsia"/>
        </w:rPr>
        <w:t>6</w:t>
      </w:r>
      <w:r w:rsidR="00087416">
        <w:rPr>
          <w:rFonts w:hint="eastAsia"/>
        </w:rPr>
        <w:t>.2</w:t>
      </w:r>
      <w:r w:rsidR="00087416" w:rsidRPr="007D77BA">
        <w:t>)</w:t>
      </w:r>
      <w:r w:rsidR="00087416">
        <w:t xml:space="preserve">, indicating </w:t>
      </w:r>
      <w:r w:rsidR="00087416" w:rsidRPr="007D77BA">
        <w:t xml:space="preserve">a tendency that studies with a lower precision (or higher SE) produced larger effect sizes. </w:t>
      </w:r>
      <w:r w:rsidR="00087416">
        <w:rPr>
          <w:rFonts w:hint="eastAsia"/>
        </w:rPr>
        <w:t xml:space="preserve">To </w:t>
      </w:r>
      <w:r w:rsidR="00087416">
        <w:t>further</w:t>
      </w:r>
      <w:r w:rsidR="00087416">
        <w:rPr>
          <w:rFonts w:hint="eastAsia"/>
        </w:rPr>
        <w:t xml:space="preserve"> quantify this potential </w:t>
      </w:r>
      <w:r w:rsidR="00087416">
        <w:t>publication</w:t>
      </w:r>
      <w:r w:rsidR="00087416">
        <w:rPr>
          <w:rFonts w:hint="eastAsia"/>
        </w:rPr>
        <w:t xml:space="preserve"> bias </w:t>
      </w:r>
      <w:r w:rsidR="00087416">
        <w:t>asymmetry</w:t>
      </w:r>
      <w:r w:rsidR="00087416">
        <w:rPr>
          <w:rFonts w:hint="eastAsia"/>
        </w:rPr>
        <w:t xml:space="preserve">, we conducted </w:t>
      </w:r>
      <w:r w:rsidR="00087416" w:rsidRPr="007D77BA">
        <w:t xml:space="preserve">Egger’s test, confirming the presence of publication bias, </w:t>
      </w:r>
      <w:proofErr w:type="gramStart"/>
      <w:r w:rsidR="00087416" w:rsidRPr="007D77BA">
        <w:t>t(</w:t>
      </w:r>
      <w:proofErr w:type="gramEnd"/>
      <w:r w:rsidR="00087416">
        <w:rPr>
          <w:rFonts w:hint="eastAsia"/>
        </w:rPr>
        <w:t>28</w:t>
      </w:r>
      <w:r w:rsidR="00087416" w:rsidRPr="007D77BA">
        <w:t xml:space="preserve">) = </w:t>
      </w:r>
      <w:r w:rsidR="00087416">
        <w:rPr>
          <w:rFonts w:hint="eastAsia"/>
        </w:rPr>
        <w:t>4.57</w:t>
      </w:r>
      <w:r w:rsidR="00087416" w:rsidRPr="007D77BA">
        <w:t xml:space="preserve">, p &lt; .001. The trim-and-fill method identified </w:t>
      </w:r>
      <w:r w:rsidR="00087416">
        <w:rPr>
          <w:rFonts w:hint="eastAsia"/>
        </w:rPr>
        <w:t>9</w:t>
      </w:r>
      <w:r w:rsidR="00087416" w:rsidRPr="007D77BA">
        <w:t xml:space="preserve"> </w:t>
      </w:r>
      <w:r w:rsidR="00087416">
        <w:rPr>
          <w:rFonts w:hint="eastAsia"/>
        </w:rPr>
        <w:t xml:space="preserve">samples that could be hypothetically added to retrieve the </w:t>
      </w:r>
      <w:r w:rsidR="00087416">
        <w:t>symmetry</w:t>
      </w:r>
      <w:r w:rsidR="00087416">
        <w:rPr>
          <w:rFonts w:hint="eastAsia"/>
        </w:rPr>
        <w:t xml:space="preserve"> shape of the data distribution</w:t>
      </w:r>
      <w:r w:rsidR="00087416" w:rsidRPr="007D77BA">
        <w:t>, resulting in a smaller estimate</w:t>
      </w:r>
      <w:r w:rsidR="00087416">
        <w:rPr>
          <w:rFonts w:hint="eastAsia"/>
        </w:rPr>
        <w:t xml:space="preserve"> of the mean effect size</w:t>
      </w:r>
      <w:r w:rsidR="00087416" w:rsidRPr="007D77BA">
        <w:t>, g = 0.</w:t>
      </w:r>
      <w:r w:rsidR="00087416">
        <w:rPr>
          <w:rFonts w:hint="eastAsia"/>
        </w:rPr>
        <w:t>73</w:t>
      </w:r>
      <w:r w:rsidR="00087416" w:rsidRPr="007D77BA">
        <w:t xml:space="preserve">, 95% </w:t>
      </w:r>
      <w:proofErr w:type="gramStart"/>
      <w:r w:rsidR="00087416" w:rsidRPr="007D77BA">
        <w:t>CI[</w:t>
      </w:r>
      <w:proofErr w:type="gramEnd"/>
      <w:r w:rsidR="00087416" w:rsidRPr="007D77BA">
        <w:t>0.</w:t>
      </w:r>
      <w:r w:rsidR="00087416">
        <w:rPr>
          <w:rFonts w:hint="eastAsia"/>
        </w:rPr>
        <w:t>53</w:t>
      </w:r>
      <w:r w:rsidR="00087416" w:rsidRPr="007D77BA">
        <w:t>, 0.</w:t>
      </w:r>
      <w:r w:rsidR="00087416">
        <w:rPr>
          <w:rFonts w:hint="eastAsia"/>
        </w:rPr>
        <w:t>94</w:t>
      </w:r>
      <w:r w:rsidR="00087416" w:rsidRPr="007D77BA">
        <w:t>].</w:t>
      </w:r>
      <w:r w:rsidR="00087416">
        <w:rPr>
          <w:rFonts w:hint="eastAsia"/>
        </w:rPr>
        <w:t xml:space="preserve"> These </w:t>
      </w:r>
      <w:r w:rsidR="00087416">
        <w:t>results</w:t>
      </w:r>
      <w:r w:rsidR="00087416">
        <w:rPr>
          <w:rFonts w:hint="eastAsia"/>
        </w:rPr>
        <w:t xml:space="preserve"> indicate the possibility that the observed mean effect was overestimated due to the </w:t>
      </w:r>
      <w:r w:rsidR="00087416">
        <w:t>influence</w:t>
      </w:r>
      <w:r w:rsidR="00087416">
        <w:rPr>
          <w:rFonts w:hint="eastAsia"/>
        </w:rPr>
        <w:t xml:space="preserve"> of publication bias. </w:t>
      </w:r>
      <w:r w:rsidR="00087416">
        <w:t>T</w:t>
      </w:r>
      <w:r w:rsidR="00087416">
        <w:rPr>
          <w:rFonts w:hint="eastAsia"/>
        </w:rPr>
        <w:t xml:space="preserve">he forest plot for 30 studies is presented in Figure </w:t>
      </w:r>
      <w:r w:rsidR="00FB2E70">
        <w:rPr>
          <w:rFonts w:hint="eastAsia"/>
        </w:rPr>
        <w:t>6</w:t>
      </w:r>
      <w:r w:rsidR="00087416">
        <w:rPr>
          <w:rFonts w:hint="eastAsia"/>
        </w:rPr>
        <w:t>.3.</w:t>
      </w:r>
    </w:p>
    <w:p w14:paraId="2C22C6FE" w14:textId="77777777" w:rsidR="00087416" w:rsidRDefault="00087416" w:rsidP="00087416">
      <w:pPr>
        <w:ind w:firstLine="840"/>
        <w:jc w:val="left"/>
      </w:pPr>
    </w:p>
    <w:p w14:paraId="5D4E598C" w14:textId="7A97F4F6" w:rsidR="0093210A" w:rsidRDefault="00A172C8" w:rsidP="002910A6">
      <w:pPr>
        <w:jc w:val="left"/>
      </w:pPr>
      <w:r>
        <w:rPr>
          <w:rFonts w:hint="eastAsia"/>
        </w:rPr>
        <w:t xml:space="preserve">Figure </w:t>
      </w:r>
      <w:r w:rsidR="00FB2E70">
        <w:rPr>
          <w:rFonts w:hint="eastAsia"/>
        </w:rPr>
        <w:t>6</w:t>
      </w:r>
      <w:r>
        <w:rPr>
          <w:rFonts w:hint="eastAsia"/>
        </w:rPr>
        <w:t xml:space="preserve">.1 </w:t>
      </w:r>
    </w:p>
    <w:p w14:paraId="01AEB091" w14:textId="03B8A2E8" w:rsidR="00A172C8" w:rsidRDefault="00A172C8" w:rsidP="002910A6">
      <w:pPr>
        <w:jc w:val="left"/>
      </w:pPr>
      <w:r>
        <w:rPr>
          <w:rFonts w:hint="eastAsia"/>
        </w:rPr>
        <w:t xml:space="preserve">Plot of the weighted means </w:t>
      </w:r>
      <w:r w:rsidRPr="00A172C8">
        <w:t>with each of the 3</w:t>
      </w:r>
      <w:r>
        <w:rPr>
          <w:rFonts w:hint="eastAsia"/>
        </w:rPr>
        <w:t>0</w:t>
      </w:r>
      <w:r w:rsidRPr="00A172C8">
        <w:t xml:space="preserve"> </w:t>
      </w:r>
      <w:r>
        <w:rPr>
          <w:rFonts w:hint="eastAsia"/>
        </w:rPr>
        <w:t>studies</w:t>
      </w:r>
      <w:r w:rsidRPr="00A172C8">
        <w:t xml:space="preserve"> excluded</w:t>
      </w:r>
      <w:r>
        <w:rPr>
          <w:rFonts w:hint="eastAsia"/>
        </w:rPr>
        <w:t xml:space="preserve"> at each analysis</w:t>
      </w:r>
      <w:r w:rsidR="000A3E7B">
        <w:rPr>
          <w:rFonts w:hint="eastAsia"/>
        </w:rPr>
        <w:t xml:space="preserve"> (pretest vs. delayed posttest comparison)</w:t>
      </w:r>
    </w:p>
    <w:p w14:paraId="6685E2E5" w14:textId="4843837F" w:rsidR="002910A6" w:rsidRDefault="005C209F" w:rsidP="002910A6">
      <w:pPr>
        <w:jc w:val="left"/>
      </w:pPr>
      <w:r>
        <w:rPr>
          <w:rFonts w:hint="eastAsia"/>
        </w:rPr>
        <w:t xml:space="preserve"> </w:t>
      </w:r>
      <w:r w:rsidR="00CF6F32">
        <w:rPr>
          <w:noProof/>
        </w:rPr>
        <w:drawing>
          <wp:inline distT="0" distB="0" distL="0" distR="0" wp14:anchorId="3EA02F54" wp14:editId="76268D25">
            <wp:extent cx="6265977" cy="2187108"/>
            <wp:effectExtent l="0" t="0" r="1905" b="3810"/>
            <wp:docPr id="1393658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4660" cy="2197120"/>
                    </a:xfrm>
                    <a:prstGeom prst="rect">
                      <a:avLst/>
                    </a:prstGeom>
                    <a:noFill/>
                  </pic:spPr>
                </pic:pic>
              </a:graphicData>
            </a:graphic>
          </wp:inline>
        </w:drawing>
      </w:r>
    </w:p>
    <w:p w14:paraId="23A1CF8A" w14:textId="77777777" w:rsidR="005C209F" w:rsidRDefault="005C209F" w:rsidP="002910A6">
      <w:pPr>
        <w:jc w:val="left"/>
      </w:pPr>
    </w:p>
    <w:p w14:paraId="4E995B3C" w14:textId="77777777" w:rsidR="00E233A6" w:rsidRDefault="00E233A6" w:rsidP="00087416">
      <w:pPr>
        <w:jc w:val="left"/>
      </w:pPr>
    </w:p>
    <w:p w14:paraId="06646C8F" w14:textId="77777777" w:rsidR="00E233A6" w:rsidRDefault="00E233A6" w:rsidP="00087416">
      <w:pPr>
        <w:jc w:val="left"/>
      </w:pPr>
    </w:p>
    <w:p w14:paraId="44C1677A" w14:textId="77777777" w:rsidR="00E233A6" w:rsidRDefault="00E233A6" w:rsidP="00087416">
      <w:pPr>
        <w:jc w:val="left"/>
      </w:pPr>
    </w:p>
    <w:p w14:paraId="30818485" w14:textId="77777777" w:rsidR="00E233A6" w:rsidRDefault="00E233A6" w:rsidP="00087416">
      <w:pPr>
        <w:jc w:val="left"/>
      </w:pPr>
    </w:p>
    <w:p w14:paraId="004F448F" w14:textId="77777777" w:rsidR="00E233A6" w:rsidRDefault="00E233A6" w:rsidP="00087416">
      <w:pPr>
        <w:jc w:val="left"/>
      </w:pPr>
    </w:p>
    <w:p w14:paraId="040528DD" w14:textId="77777777" w:rsidR="00E233A6" w:rsidRDefault="00E233A6" w:rsidP="00087416">
      <w:pPr>
        <w:jc w:val="left"/>
      </w:pPr>
    </w:p>
    <w:p w14:paraId="18E782CE" w14:textId="77777777" w:rsidR="00E233A6" w:rsidRDefault="00E233A6" w:rsidP="00087416">
      <w:pPr>
        <w:jc w:val="left"/>
      </w:pPr>
    </w:p>
    <w:p w14:paraId="6926E16C" w14:textId="77777777" w:rsidR="00E233A6" w:rsidRDefault="00E233A6" w:rsidP="00087416">
      <w:pPr>
        <w:jc w:val="left"/>
      </w:pPr>
    </w:p>
    <w:p w14:paraId="4366CB2B" w14:textId="0491D1B6" w:rsidR="00087416" w:rsidRDefault="00087416" w:rsidP="00087416">
      <w:pPr>
        <w:jc w:val="left"/>
      </w:pPr>
      <w:r w:rsidRPr="000A3E7B">
        <w:lastRenderedPageBreak/>
        <w:t xml:space="preserve">Figure </w:t>
      </w:r>
      <w:r w:rsidR="00FB2E70">
        <w:rPr>
          <w:rFonts w:hint="eastAsia"/>
        </w:rPr>
        <w:t>6</w:t>
      </w:r>
      <w:r w:rsidRPr="000A3E7B">
        <w:t>.</w:t>
      </w:r>
      <w:r>
        <w:rPr>
          <w:rFonts w:hint="eastAsia"/>
        </w:rPr>
        <w:t>2</w:t>
      </w:r>
      <w:r w:rsidRPr="000A3E7B">
        <w:t xml:space="preserve"> </w:t>
      </w:r>
    </w:p>
    <w:p w14:paraId="742ED323" w14:textId="680B47C2" w:rsidR="00087416" w:rsidRDefault="00087416" w:rsidP="002910A6">
      <w:pPr>
        <w:jc w:val="left"/>
      </w:pPr>
      <w:r w:rsidRPr="000A3E7B">
        <w:t xml:space="preserve">Funnel plot of perception effect size </w:t>
      </w:r>
      <w:r>
        <w:rPr>
          <w:rFonts w:hint="eastAsia"/>
        </w:rPr>
        <w:t>(pretest vs. delayed posttest</w:t>
      </w:r>
      <w:r w:rsidRPr="000A3E7B">
        <w:t>) by inverse standard error</w:t>
      </w:r>
    </w:p>
    <w:p w14:paraId="374AB7A5" w14:textId="466DA50B" w:rsidR="00087416" w:rsidRDefault="00087416" w:rsidP="002910A6">
      <w:pPr>
        <w:jc w:val="left"/>
      </w:pPr>
      <w:r w:rsidRPr="00087416">
        <w:rPr>
          <w:noProof/>
        </w:rPr>
        <w:drawing>
          <wp:inline distT="0" distB="0" distL="0" distR="0" wp14:anchorId="7761810E" wp14:editId="099A38E9">
            <wp:extent cx="5827594" cy="3264793"/>
            <wp:effectExtent l="0" t="0" r="1905" b="0"/>
            <wp:docPr id="58159624" name="図 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9624" name="図 1" descr="ダイアグラム&#10;&#10;低い精度で自動的に生成された説明"/>
                    <pic:cNvPicPr/>
                  </pic:nvPicPr>
                  <pic:blipFill>
                    <a:blip r:embed="rId11"/>
                    <a:stretch>
                      <a:fillRect/>
                    </a:stretch>
                  </pic:blipFill>
                  <pic:spPr>
                    <a:xfrm>
                      <a:off x="0" y="0"/>
                      <a:ext cx="5849533" cy="3277084"/>
                    </a:xfrm>
                    <a:prstGeom prst="rect">
                      <a:avLst/>
                    </a:prstGeom>
                  </pic:spPr>
                </pic:pic>
              </a:graphicData>
            </a:graphic>
          </wp:inline>
        </w:drawing>
      </w:r>
    </w:p>
    <w:p w14:paraId="6CB7EB0C" w14:textId="455C5EC7" w:rsidR="00087416" w:rsidRDefault="00087416" w:rsidP="00087416">
      <w:pPr>
        <w:jc w:val="left"/>
      </w:pPr>
      <w:r>
        <w:rPr>
          <w:rFonts w:hint="eastAsia"/>
        </w:rPr>
        <w:t xml:space="preserve">Figure </w:t>
      </w:r>
      <w:r w:rsidR="00FB2E70">
        <w:rPr>
          <w:rFonts w:hint="eastAsia"/>
        </w:rPr>
        <w:t>6</w:t>
      </w:r>
      <w:r>
        <w:rPr>
          <w:rFonts w:hint="eastAsia"/>
        </w:rPr>
        <w:t>.3</w:t>
      </w:r>
    </w:p>
    <w:p w14:paraId="686EF236" w14:textId="13CCDE95" w:rsidR="00087416" w:rsidRDefault="0093210A" w:rsidP="00087416">
      <w:pPr>
        <w:jc w:val="left"/>
      </w:pPr>
      <w:r>
        <w:rPr>
          <w:rFonts w:hint="eastAsia"/>
        </w:rPr>
        <w:t>Forest plot of 30 studies included in the meta-analysis (pretest vs. delayed posttest)</w:t>
      </w:r>
    </w:p>
    <w:p w14:paraId="2DB0B6B1" w14:textId="13A2CFD1" w:rsidR="00087416" w:rsidRDefault="007C7A53" w:rsidP="00E233A6">
      <w:pPr>
        <w:jc w:val="left"/>
      </w:pPr>
      <w:r>
        <w:rPr>
          <w:noProof/>
        </w:rPr>
        <w:drawing>
          <wp:inline distT="0" distB="0" distL="0" distR="0" wp14:anchorId="02E54A32" wp14:editId="6690E164">
            <wp:extent cx="6181090" cy="3423285"/>
            <wp:effectExtent l="0" t="0" r="0" b="5715"/>
            <wp:docPr id="12610201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81090" cy="3423285"/>
                    </a:xfrm>
                    <a:prstGeom prst="rect">
                      <a:avLst/>
                    </a:prstGeom>
                    <a:noFill/>
                    <a:ln>
                      <a:noFill/>
                    </a:ln>
                  </pic:spPr>
                </pic:pic>
              </a:graphicData>
            </a:graphic>
          </wp:inline>
        </w:drawing>
      </w:r>
    </w:p>
    <w:p w14:paraId="1496B2E1" w14:textId="75B27F2B" w:rsidR="0093210A" w:rsidRDefault="00A72A79" w:rsidP="0093210A">
      <w:pPr>
        <w:ind w:firstLine="840"/>
        <w:jc w:val="left"/>
      </w:pPr>
      <w:r>
        <w:rPr>
          <w:rFonts w:hint="eastAsia"/>
        </w:rPr>
        <w:t>The second results (i.e., immediate vs. delayed posttest) showed that t</w:t>
      </w:r>
      <w:r w:rsidRPr="00A72A79">
        <w:t xml:space="preserve">he mean effect size approached statistical significance but </w:t>
      </w:r>
      <w:r w:rsidR="00FC77C0">
        <w:t xml:space="preserve">was </w:t>
      </w:r>
      <w:r w:rsidRPr="00A72A79">
        <w:t xml:space="preserve">negligible, g = –0.08, SE = 0.04, 95% </w:t>
      </w:r>
      <w:proofErr w:type="gramStart"/>
      <w:r w:rsidRPr="00A72A79">
        <w:t>CI[</w:t>
      </w:r>
      <w:proofErr w:type="gramEnd"/>
      <w:r w:rsidRPr="00A72A79">
        <w:t>–0.16, 0.00], p = .058.</w:t>
      </w:r>
      <w:r>
        <w:rPr>
          <w:rFonts w:hint="eastAsia"/>
        </w:rPr>
        <w:t xml:space="preserve"> The </w:t>
      </w:r>
      <w:r>
        <w:t>heterogeneity</w:t>
      </w:r>
      <w:r>
        <w:rPr>
          <w:rFonts w:hint="eastAsia"/>
        </w:rPr>
        <w:t xml:space="preserve"> between the studies was </w:t>
      </w:r>
      <w:r>
        <w:t>nonsignificant</w:t>
      </w:r>
      <w:r>
        <w:rPr>
          <w:rFonts w:hint="eastAsia"/>
        </w:rPr>
        <w:t xml:space="preserve"> and low, </w:t>
      </w:r>
      <w:proofErr w:type="gramStart"/>
      <w:r>
        <w:rPr>
          <w:rFonts w:hint="eastAsia"/>
        </w:rPr>
        <w:t>Q(</w:t>
      </w:r>
      <w:proofErr w:type="gramEnd"/>
      <w:r>
        <w:rPr>
          <w:rFonts w:hint="eastAsia"/>
        </w:rPr>
        <w:t>29) = 36.33, p = .164, I</w:t>
      </w:r>
      <w:r w:rsidRPr="006F4D1C">
        <w:rPr>
          <w:rFonts w:hint="eastAsia"/>
          <w:vertAlign w:val="superscript"/>
        </w:rPr>
        <w:t>2</w:t>
      </w:r>
      <w:r>
        <w:rPr>
          <w:rFonts w:hint="eastAsia"/>
        </w:rPr>
        <w:t xml:space="preserve"> = 20.2%, indicating that </w:t>
      </w:r>
      <w:r>
        <w:t>only</w:t>
      </w:r>
      <w:r>
        <w:rPr>
          <w:rFonts w:hint="eastAsia"/>
        </w:rPr>
        <w:t xml:space="preserve"> about 20% of the </w:t>
      </w:r>
      <w:r>
        <w:t>observed</w:t>
      </w:r>
      <w:r>
        <w:rPr>
          <w:rFonts w:hint="eastAsia"/>
        </w:rPr>
        <w:t xml:space="preserve"> </w:t>
      </w:r>
      <w:r>
        <w:t>variance</w:t>
      </w:r>
      <w:r>
        <w:rPr>
          <w:rFonts w:hint="eastAsia"/>
        </w:rPr>
        <w:t xml:space="preserve"> reflects </w:t>
      </w:r>
      <w:r>
        <w:t>variance</w:t>
      </w:r>
      <w:r>
        <w:rPr>
          <w:rFonts w:hint="eastAsia"/>
        </w:rPr>
        <w:t xml:space="preserve"> in true effects </w:t>
      </w:r>
      <w:r>
        <w:rPr>
          <w:rFonts w:hint="eastAsia"/>
        </w:rPr>
        <w:lastRenderedPageBreak/>
        <w:t xml:space="preserve">(i.e., 80% of the observed variance was due to sampling error). </w:t>
      </w:r>
      <w:r w:rsidR="000A3E7B">
        <w:rPr>
          <w:rFonts w:hint="eastAsia"/>
        </w:rPr>
        <w:t xml:space="preserve">The 95% prediction interval ranged from -0.304 to 0.146, </w:t>
      </w:r>
      <w:r w:rsidR="000A3E7B">
        <w:t>indicat</w:t>
      </w:r>
      <w:r w:rsidR="000A3E7B">
        <w:rPr>
          <w:rFonts w:hint="eastAsia"/>
        </w:rPr>
        <w:t xml:space="preserve">ing that with the 95% probability a future </w:t>
      </w:r>
      <w:r w:rsidR="000A3E7B">
        <w:t>observation</w:t>
      </w:r>
      <w:r w:rsidR="000A3E7B">
        <w:rPr>
          <w:rFonts w:hint="eastAsia"/>
        </w:rPr>
        <w:t xml:space="preserve"> of the training effect on retention (i.e., immediate vs. delayed posttest comparison) will fall in this interval. </w:t>
      </w:r>
      <w:r>
        <w:rPr>
          <w:rFonts w:hint="eastAsia"/>
        </w:rPr>
        <w:t xml:space="preserve">The result of a leave-one-out analysis did not reveal any clear outliers that had </w:t>
      </w:r>
      <w:r w:rsidR="000A3E7B">
        <w:rPr>
          <w:rFonts w:hint="eastAsia"/>
        </w:rPr>
        <w:t xml:space="preserve">a </w:t>
      </w:r>
      <w:r>
        <w:rPr>
          <w:rFonts w:hint="eastAsia"/>
        </w:rPr>
        <w:t xml:space="preserve">substantial </w:t>
      </w:r>
      <w:r>
        <w:t>impact</w:t>
      </w:r>
      <w:r>
        <w:rPr>
          <w:rFonts w:hint="eastAsia"/>
        </w:rPr>
        <w:t xml:space="preserve"> on the overall mean effect size (see Figure </w:t>
      </w:r>
      <w:r w:rsidR="00FB2E70">
        <w:rPr>
          <w:rFonts w:hint="eastAsia"/>
        </w:rPr>
        <w:t>6</w:t>
      </w:r>
      <w:r>
        <w:rPr>
          <w:rFonts w:hint="eastAsia"/>
        </w:rPr>
        <w:t>.</w:t>
      </w:r>
      <w:r w:rsidR="0093210A">
        <w:rPr>
          <w:rFonts w:hint="eastAsia"/>
        </w:rPr>
        <w:t>4</w:t>
      </w:r>
      <w:r>
        <w:rPr>
          <w:rFonts w:hint="eastAsia"/>
        </w:rPr>
        <w:t xml:space="preserve">). </w:t>
      </w:r>
      <w:r w:rsidR="000A3E7B" w:rsidRPr="007D77BA">
        <w:t xml:space="preserve">Publication bias was </w:t>
      </w:r>
      <w:r w:rsidR="000A3E7B">
        <w:rPr>
          <w:rFonts w:hint="eastAsia"/>
        </w:rPr>
        <w:t xml:space="preserve">visually </w:t>
      </w:r>
      <w:r w:rsidR="000A3E7B" w:rsidRPr="007D77BA">
        <w:t xml:space="preserve">assessed with a funnel plot (Figure </w:t>
      </w:r>
      <w:r w:rsidR="00FB2E70">
        <w:rPr>
          <w:rFonts w:hint="eastAsia"/>
        </w:rPr>
        <w:t>6</w:t>
      </w:r>
      <w:r w:rsidR="000A3E7B">
        <w:rPr>
          <w:rFonts w:hint="eastAsia"/>
        </w:rPr>
        <w:t>.</w:t>
      </w:r>
      <w:r w:rsidR="0093210A">
        <w:rPr>
          <w:rFonts w:hint="eastAsia"/>
        </w:rPr>
        <w:t>5</w:t>
      </w:r>
      <w:r w:rsidR="000A3E7B" w:rsidRPr="007D77BA">
        <w:t xml:space="preserve">). </w:t>
      </w:r>
      <w:r w:rsidR="000A3E7B">
        <w:t>N</w:t>
      </w:r>
      <w:r w:rsidR="000A3E7B" w:rsidRPr="007D77BA">
        <w:t>o clear association between precision and effect sizes</w:t>
      </w:r>
      <w:r w:rsidR="000A3E7B">
        <w:t xml:space="preserve"> was observed</w:t>
      </w:r>
      <w:r w:rsidR="000A3E7B" w:rsidRPr="007D77BA">
        <w:t xml:space="preserve">, which was confirmed with the nonsignificant result of the Egger’s test, </w:t>
      </w:r>
      <w:proofErr w:type="gramStart"/>
      <w:r w:rsidR="000A3E7B" w:rsidRPr="007D77BA">
        <w:t>t(</w:t>
      </w:r>
      <w:proofErr w:type="gramEnd"/>
      <w:r w:rsidR="000A3E7B" w:rsidRPr="007D77BA">
        <w:t>28) = 0.</w:t>
      </w:r>
      <w:r w:rsidR="00087416">
        <w:rPr>
          <w:rFonts w:hint="eastAsia"/>
        </w:rPr>
        <w:t>67</w:t>
      </w:r>
      <w:r w:rsidR="000A3E7B" w:rsidRPr="007D77BA">
        <w:t>, p = .</w:t>
      </w:r>
      <w:r w:rsidR="00087416">
        <w:rPr>
          <w:rFonts w:hint="eastAsia"/>
        </w:rPr>
        <w:t>509</w:t>
      </w:r>
      <w:r w:rsidR="000A3E7B" w:rsidRPr="007D77BA">
        <w:t>.</w:t>
      </w:r>
      <w:r w:rsidR="0093210A">
        <w:rPr>
          <w:rFonts w:hint="eastAsia"/>
        </w:rPr>
        <w:t xml:space="preserve"> </w:t>
      </w:r>
      <w:r w:rsidR="0093210A">
        <w:t>T</w:t>
      </w:r>
      <w:r w:rsidR="0093210A">
        <w:rPr>
          <w:rFonts w:hint="eastAsia"/>
        </w:rPr>
        <w:t xml:space="preserve">he forest plot for 30 studies is presented in Figure </w:t>
      </w:r>
      <w:r w:rsidR="00FB2E70">
        <w:rPr>
          <w:rFonts w:hint="eastAsia"/>
        </w:rPr>
        <w:t>6</w:t>
      </w:r>
      <w:r w:rsidR="0093210A">
        <w:rPr>
          <w:rFonts w:hint="eastAsia"/>
        </w:rPr>
        <w:t>.6.</w:t>
      </w:r>
    </w:p>
    <w:p w14:paraId="13B85C9E" w14:textId="77777777" w:rsidR="000A3E7B" w:rsidRDefault="000A3E7B" w:rsidP="0093210A">
      <w:pPr>
        <w:jc w:val="left"/>
      </w:pPr>
    </w:p>
    <w:p w14:paraId="3FE7C178" w14:textId="15379853" w:rsidR="0093210A" w:rsidRDefault="000A3E7B" w:rsidP="000A3E7B">
      <w:pPr>
        <w:jc w:val="left"/>
      </w:pPr>
      <w:r w:rsidRPr="000A3E7B">
        <w:rPr>
          <w:rFonts w:hint="eastAsia"/>
        </w:rPr>
        <w:t xml:space="preserve">Figure </w:t>
      </w:r>
      <w:r w:rsidR="00FB2E70">
        <w:rPr>
          <w:rFonts w:hint="eastAsia"/>
        </w:rPr>
        <w:t>6</w:t>
      </w:r>
      <w:r w:rsidRPr="000A3E7B">
        <w:rPr>
          <w:rFonts w:hint="eastAsia"/>
        </w:rPr>
        <w:t>.</w:t>
      </w:r>
      <w:r w:rsidR="0093210A">
        <w:rPr>
          <w:rFonts w:hint="eastAsia"/>
        </w:rPr>
        <w:t>4</w:t>
      </w:r>
    </w:p>
    <w:p w14:paraId="3B68AFE6" w14:textId="38F5E266" w:rsidR="000A3E7B" w:rsidRPr="000A3E7B" w:rsidRDefault="000A3E7B" w:rsidP="000A3E7B">
      <w:pPr>
        <w:jc w:val="left"/>
      </w:pPr>
      <w:r w:rsidRPr="000A3E7B">
        <w:rPr>
          <w:rFonts w:hint="eastAsia"/>
        </w:rPr>
        <w:t xml:space="preserve">Plot of the weighted means </w:t>
      </w:r>
      <w:r w:rsidRPr="000A3E7B">
        <w:t>with each of the 3</w:t>
      </w:r>
      <w:r w:rsidRPr="000A3E7B">
        <w:rPr>
          <w:rFonts w:hint="eastAsia"/>
        </w:rPr>
        <w:t>0</w:t>
      </w:r>
      <w:r w:rsidRPr="000A3E7B">
        <w:t xml:space="preserve"> </w:t>
      </w:r>
      <w:r w:rsidRPr="000A3E7B">
        <w:rPr>
          <w:rFonts w:hint="eastAsia"/>
        </w:rPr>
        <w:t>studies</w:t>
      </w:r>
      <w:r w:rsidRPr="000A3E7B">
        <w:t xml:space="preserve"> excluded</w:t>
      </w:r>
      <w:r w:rsidRPr="000A3E7B">
        <w:rPr>
          <w:rFonts w:hint="eastAsia"/>
        </w:rPr>
        <w:t xml:space="preserve"> at each analysis (immediate vs. delayed posttest comparison)</w:t>
      </w:r>
    </w:p>
    <w:p w14:paraId="4C5B426E" w14:textId="77777777" w:rsidR="00E233A6" w:rsidRDefault="00CF6F32" w:rsidP="005C209F">
      <w:pPr>
        <w:jc w:val="left"/>
      </w:pPr>
      <w:r>
        <w:rPr>
          <w:noProof/>
        </w:rPr>
        <w:drawing>
          <wp:inline distT="0" distB="0" distL="0" distR="0" wp14:anchorId="241D818D" wp14:editId="363EF5D9">
            <wp:extent cx="6284392" cy="2321929"/>
            <wp:effectExtent l="0" t="0" r="2540" b="2540"/>
            <wp:docPr id="5905304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3254" cy="2328898"/>
                    </a:xfrm>
                    <a:prstGeom prst="rect">
                      <a:avLst/>
                    </a:prstGeom>
                    <a:noFill/>
                  </pic:spPr>
                </pic:pic>
              </a:graphicData>
            </a:graphic>
          </wp:inline>
        </w:drawing>
      </w:r>
    </w:p>
    <w:p w14:paraId="63E019F7" w14:textId="77777777" w:rsidR="00E233A6" w:rsidRDefault="00E233A6" w:rsidP="005C209F">
      <w:pPr>
        <w:jc w:val="left"/>
      </w:pPr>
    </w:p>
    <w:p w14:paraId="6BE329C1" w14:textId="77777777" w:rsidR="00E233A6" w:rsidRDefault="00E233A6" w:rsidP="005C209F">
      <w:pPr>
        <w:jc w:val="left"/>
      </w:pPr>
    </w:p>
    <w:p w14:paraId="320D786B" w14:textId="77777777" w:rsidR="00E233A6" w:rsidRDefault="00E233A6" w:rsidP="005C209F">
      <w:pPr>
        <w:jc w:val="left"/>
      </w:pPr>
    </w:p>
    <w:p w14:paraId="02552133" w14:textId="77777777" w:rsidR="00E233A6" w:rsidRDefault="00E233A6" w:rsidP="005C209F">
      <w:pPr>
        <w:jc w:val="left"/>
      </w:pPr>
    </w:p>
    <w:p w14:paraId="46301C75" w14:textId="77777777" w:rsidR="00E233A6" w:rsidRDefault="00E233A6" w:rsidP="005C209F">
      <w:pPr>
        <w:jc w:val="left"/>
      </w:pPr>
    </w:p>
    <w:p w14:paraId="7B4161BA" w14:textId="77777777" w:rsidR="00E233A6" w:rsidRDefault="00E233A6" w:rsidP="005C209F">
      <w:pPr>
        <w:jc w:val="left"/>
      </w:pPr>
    </w:p>
    <w:p w14:paraId="706C5393" w14:textId="77777777" w:rsidR="00E233A6" w:rsidRDefault="00E233A6" w:rsidP="005C209F">
      <w:pPr>
        <w:jc w:val="left"/>
      </w:pPr>
    </w:p>
    <w:p w14:paraId="551663D0" w14:textId="77777777" w:rsidR="00E233A6" w:rsidRDefault="00E233A6" w:rsidP="005C209F">
      <w:pPr>
        <w:jc w:val="left"/>
      </w:pPr>
    </w:p>
    <w:p w14:paraId="340FFDC6" w14:textId="77777777" w:rsidR="00E233A6" w:rsidRDefault="00E233A6" w:rsidP="005C209F">
      <w:pPr>
        <w:jc w:val="left"/>
      </w:pPr>
    </w:p>
    <w:p w14:paraId="39CE3775" w14:textId="77777777" w:rsidR="00E233A6" w:rsidRDefault="00E233A6" w:rsidP="005C209F">
      <w:pPr>
        <w:jc w:val="left"/>
      </w:pPr>
    </w:p>
    <w:p w14:paraId="1F2E8D6E" w14:textId="77777777" w:rsidR="00E233A6" w:rsidRDefault="00E233A6" w:rsidP="005C209F">
      <w:pPr>
        <w:jc w:val="left"/>
      </w:pPr>
    </w:p>
    <w:p w14:paraId="5B6D87C6" w14:textId="77777777" w:rsidR="00E233A6" w:rsidRDefault="00E233A6" w:rsidP="005C209F">
      <w:pPr>
        <w:jc w:val="left"/>
      </w:pPr>
    </w:p>
    <w:p w14:paraId="29E4B1A4" w14:textId="77777777" w:rsidR="00E233A6" w:rsidRDefault="00E233A6" w:rsidP="005C209F">
      <w:pPr>
        <w:jc w:val="left"/>
      </w:pPr>
    </w:p>
    <w:p w14:paraId="5067494F" w14:textId="77777777" w:rsidR="00E233A6" w:rsidRDefault="00E233A6" w:rsidP="005C209F">
      <w:pPr>
        <w:jc w:val="left"/>
      </w:pPr>
    </w:p>
    <w:p w14:paraId="77F44CC2" w14:textId="77777777" w:rsidR="00E233A6" w:rsidRDefault="00E233A6" w:rsidP="005C209F">
      <w:pPr>
        <w:jc w:val="left"/>
      </w:pPr>
    </w:p>
    <w:p w14:paraId="57C3A84D" w14:textId="25744127" w:rsidR="000A3E7B" w:rsidRDefault="000A3E7B" w:rsidP="005C209F">
      <w:pPr>
        <w:jc w:val="left"/>
      </w:pPr>
      <w:r w:rsidRPr="000A3E7B">
        <w:lastRenderedPageBreak/>
        <w:t xml:space="preserve">Figure </w:t>
      </w:r>
      <w:r w:rsidR="00FB2E70">
        <w:rPr>
          <w:rFonts w:hint="eastAsia"/>
        </w:rPr>
        <w:t>6</w:t>
      </w:r>
      <w:r w:rsidRPr="000A3E7B">
        <w:t>.</w:t>
      </w:r>
      <w:r w:rsidR="0093210A">
        <w:rPr>
          <w:rFonts w:hint="eastAsia"/>
        </w:rPr>
        <w:t>5</w:t>
      </w:r>
      <w:r w:rsidRPr="000A3E7B">
        <w:t xml:space="preserve"> </w:t>
      </w:r>
    </w:p>
    <w:p w14:paraId="1A17ABCD" w14:textId="377A74F2" w:rsidR="002C1356" w:rsidRDefault="000A3E7B" w:rsidP="005C209F">
      <w:pPr>
        <w:jc w:val="left"/>
      </w:pPr>
      <w:r w:rsidRPr="000A3E7B">
        <w:t xml:space="preserve">Funnel plot of perception effect size </w:t>
      </w:r>
      <w:r>
        <w:rPr>
          <w:rFonts w:hint="eastAsia"/>
        </w:rPr>
        <w:t>(immediate vs. delayed posttest</w:t>
      </w:r>
      <w:r w:rsidRPr="000A3E7B">
        <w:t>) by inverse standard error</w:t>
      </w:r>
    </w:p>
    <w:p w14:paraId="3421F50A" w14:textId="7BE111C7" w:rsidR="000A3E7B" w:rsidRDefault="000A3E7B" w:rsidP="005C209F">
      <w:pPr>
        <w:jc w:val="left"/>
      </w:pPr>
      <w:r w:rsidRPr="000A3E7B">
        <w:rPr>
          <w:noProof/>
        </w:rPr>
        <w:drawing>
          <wp:inline distT="0" distB="0" distL="0" distR="0" wp14:anchorId="0473FFCD" wp14:editId="2FB42083">
            <wp:extent cx="5643349" cy="3192263"/>
            <wp:effectExtent l="0" t="0" r="0" b="8255"/>
            <wp:docPr id="249119393"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19393" name="図 1" descr="ダイアグラム&#10;&#10;中程度の精度で自動的に生成された説明"/>
                    <pic:cNvPicPr/>
                  </pic:nvPicPr>
                  <pic:blipFill>
                    <a:blip r:embed="rId14"/>
                    <a:stretch>
                      <a:fillRect/>
                    </a:stretch>
                  </pic:blipFill>
                  <pic:spPr>
                    <a:xfrm>
                      <a:off x="0" y="0"/>
                      <a:ext cx="5661159" cy="3202337"/>
                    </a:xfrm>
                    <a:prstGeom prst="rect">
                      <a:avLst/>
                    </a:prstGeom>
                  </pic:spPr>
                </pic:pic>
              </a:graphicData>
            </a:graphic>
          </wp:inline>
        </w:drawing>
      </w:r>
    </w:p>
    <w:p w14:paraId="52F14357" w14:textId="52D977F5" w:rsidR="0093210A" w:rsidRDefault="0093210A" w:rsidP="0093210A">
      <w:pPr>
        <w:jc w:val="left"/>
      </w:pPr>
      <w:r>
        <w:rPr>
          <w:rFonts w:hint="eastAsia"/>
        </w:rPr>
        <w:t xml:space="preserve">Figure </w:t>
      </w:r>
      <w:r w:rsidR="00FB2E70">
        <w:rPr>
          <w:rFonts w:hint="eastAsia"/>
        </w:rPr>
        <w:t>6</w:t>
      </w:r>
      <w:r>
        <w:rPr>
          <w:rFonts w:hint="eastAsia"/>
        </w:rPr>
        <w:t>.6</w:t>
      </w:r>
    </w:p>
    <w:p w14:paraId="0CB146BC" w14:textId="10A4AF60" w:rsidR="0093210A" w:rsidRDefault="0093210A" w:rsidP="0093210A">
      <w:pPr>
        <w:jc w:val="left"/>
      </w:pPr>
      <w:r>
        <w:rPr>
          <w:rFonts w:hint="eastAsia"/>
        </w:rPr>
        <w:t>Forest plot of 30 studies included in the meta-analysis (immediate vs. delayed posttest)</w:t>
      </w:r>
    </w:p>
    <w:p w14:paraId="33F46DFE" w14:textId="2EB8397F" w:rsidR="0093210A" w:rsidRDefault="007C7A53" w:rsidP="0093210A">
      <w:pPr>
        <w:jc w:val="left"/>
      </w:pPr>
      <w:r>
        <w:rPr>
          <w:noProof/>
        </w:rPr>
        <w:drawing>
          <wp:inline distT="0" distB="0" distL="0" distR="0" wp14:anchorId="563A1680" wp14:editId="6C828763">
            <wp:extent cx="6174105" cy="3496945"/>
            <wp:effectExtent l="0" t="0" r="0" b="8255"/>
            <wp:docPr id="546378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4105" cy="3496945"/>
                    </a:xfrm>
                    <a:prstGeom prst="rect">
                      <a:avLst/>
                    </a:prstGeom>
                    <a:noFill/>
                    <a:ln>
                      <a:noFill/>
                    </a:ln>
                  </pic:spPr>
                </pic:pic>
              </a:graphicData>
            </a:graphic>
          </wp:inline>
        </w:drawing>
      </w:r>
    </w:p>
    <w:p w14:paraId="789509B8" w14:textId="77777777" w:rsidR="002910A6" w:rsidRPr="00BD1626" w:rsidRDefault="002910A6" w:rsidP="002910A6">
      <w:pPr>
        <w:jc w:val="left"/>
        <w:rPr>
          <w:b/>
          <w:bCs/>
        </w:rPr>
      </w:pPr>
      <w:r w:rsidRPr="00BD1626">
        <w:rPr>
          <w:b/>
          <w:bCs/>
        </w:rPr>
        <w:t>RQ1c: Is the Improved Perception Generalized?</w:t>
      </w:r>
    </w:p>
    <w:p w14:paraId="5AA62A6C" w14:textId="6E6A2271" w:rsidR="0078444A" w:rsidRPr="00BB61A7" w:rsidRDefault="002910A6" w:rsidP="002910A6">
      <w:pPr>
        <w:jc w:val="left"/>
      </w:pPr>
      <w:r>
        <w:tab/>
      </w:r>
      <w:r w:rsidR="007B5BE3">
        <w:rPr>
          <w:rFonts w:hint="eastAsia"/>
        </w:rPr>
        <w:t xml:space="preserve">We aggregated </w:t>
      </w:r>
      <w:r w:rsidR="007B5BE3">
        <w:t xml:space="preserve">the effect sizes (i.e., the mean difference </w:t>
      </w:r>
      <w:r w:rsidR="007B5BE3" w:rsidRPr="00A5746D">
        <w:t xml:space="preserve">between posttest and generalized posttest scores) for each of the three categories of item and talker types: </w:t>
      </w:r>
      <w:r w:rsidR="007B5BE3" w:rsidRPr="00A5746D">
        <w:rPr>
          <w:rFonts w:hint="eastAsia"/>
        </w:rPr>
        <w:t xml:space="preserve">(1) </w:t>
      </w:r>
      <w:r w:rsidR="007B5BE3" w:rsidRPr="00A5746D">
        <w:t>novel item and novel talker (k = 1</w:t>
      </w:r>
      <w:r w:rsidR="0078444A">
        <w:rPr>
          <w:rFonts w:hint="eastAsia"/>
        </w:rPr>
        <w:t>2</w:t>
      </w:r>
      <w:r w:rsidR="007B5BE3" w:rsidRPr="00A5746D">
        <w:t xml:space="preserve">), </w:t>
      </w:r>
      <w:r w:rsidR="007B5BE3" w:rsidRPr="00A5746D">
        <w:rPr>
          <w:rFonts w:hint="eastAsia"/>
        </w:rPr>
        <w:t xml:space="preserve">(2) </w:t>
      </w:r>
      <w:r w:rsidR="007B5BE3" w:rsidRPr="00A5746D">
        <w:t xml:space="preserve">novel item and old talker (k = 14), and </w:t>
      </w:r>
      <w:r w:rsidR="007B5BE3" w:rsidRPr="00A5746D">
        <w:rPr>
          <w:rFonts w:hint="eastAsia"/>
        </w:rPr>
        <w:t xml:space="preserve">(3) </w:t>
      </w:r>
      <w:r w:rsidR="007B5BE3" w:rsidRPr="00A5746D">
        <w:t xml:space="preserve">old </w:t>
      </w:r>
      <w:r w:rsidR="00BD1626" w:rsidRPr="00A5746D">
        <w:rPr>
          <w:rFonts w:hint="eastAsia"/>
        </w:rPr>
        <w:t>item</w:t>
      </w:r>
      <w:r w:rsidR="007B5BE3" w:rsidRPr="00A5746D">
        <w:t xml:space="preserve"> and novel talker (k = 5).</w:t>
      </w:r>
      <w:r w:rsidR="007B5BE3" w:rsidRPr="00A5746D">
        <w:rPr>
          <w:rFonts w:hint="eastAsia"/>
        </w:rPr>
        <w:t xml:space="preserve"> Our </w:t>
      </w:r>
      <w:r w:rsidR="007B5BE3" w:rsidRPr="00A5746D">
        <w:rPr>
          <w:rFonts w:hint="eastAsia"/>
        </w:rPr>
        <w:lastRenderedPageBreak/>
        <w:t>goal of this analysis was to examine whether there would be any difference between the three</w:t>
      </w:r>
      <w:r w:rsidR="007B5BE3">
        <w:rPr>
          <w:rFonts w:hint="eastAsia"/>
        </w:rPr>
        <w:t xml:space="preserve"> categories rather than </w:t>
      </w:r>
      <w:r w:rsidR="007B5BE3">
        <w:t>calculating</w:t>
      </w:r>
      <w:r w:rsidR="007B5BE3">
        <w:rPr>
          <w:rFonts w:hint="eastAsia"/>
        </w:rPr>
        <w:t xml:space="preserve"> the average effect of training (for the overall mean effect of HVPT, see the </w:t>
      </w:r>
      <w:r w:rsidR="007B5BE3">
        <w:t>results</w:t>
      </w:r>
      <w:r w:rsidR="007B5BE3">
        <w:rPr>
          <w:rFonts w:hint="eastAsia"/>
        </w:rPr>
        <w:t xml:space="preserve"> reported in answer to RQ1a).</w:t>
      </w:r>
      <w:r w:rsidR="0078444A">
        <w:rPr>
          <w:rFonts w:hint="eastAsia"/>
        </w:rPr>
        <w:t xml:space="preserve"> </w:t>
      </w:r>
      <w:r w:rsidR="000B5825">
        <w:rPr>
          <w:rFonts w:hint="eastAsia"/>
        </w:rPr>
        <w:t xml:space="preserve">In general, </w:t>
      </w:r>
      <w:proofErr w:type="gramStart"/>
      <w:r w:rsidR="000B5825">
        <w:rPr>
          <w:rFonts w:hint="eastAsia"/>
        </w:rPr>
        <w:t xml:space="preserve">the </w:t>
      </w:r>
      <w:r w:rsidR="00BB61A7">
        <w:rPr>
          <w:rFonts w:hint="eastAsia"/>
        </w:rPr>
        <w:t>majority of</w:t>
      </w:r>
      <w:proofErr w:type="gramEnd"/>
      <w:r w:rsidR="00BB61A7">
        <w:rPr>
          <w:rFonts w:hint="eastAsia"/>
        </w:rPr>
        <w:t xml:space="preserve"> included studies came from journal </w:t>
      </w:r>
      <w:r w:rsidR="00BB61A7">
        <w:t>articles</w:t>
      </w:r>
      <w:r w:rsidR="00BB61A7">
        <w:rPr>
          <w:rFonts w:hint="eastAsia"/>
        </w:rPr>
        <w:t xml:space="preserve"> (k = 13) and PhD theses (k = 16) with the remainder from proceedings reports (k = 2). </w:t>
      </w:r>
      <w:r w:rsidR="00A75DD4">
        <w:t>O</w:t>
      </w:r>
      <w:r w:rsidR="00A75DD4">
        <w:rPr>
          <w:rFonts w:hint="eastAsia"/>
        </w:rPr>
        <w:t xml:space="preserve">ver 90% of the studies </w:t>
      </w:r>
      <w:r w:rsidR="00E04E2E">
        <w:rPr>
          <w:rFonts w:hint="eastAsia"/>
        </w:rPr>
        <w:t xml:space="preserve">focused on </w:t>
      </w:r>
      <w:r w:rsidR="00A75DD4">
        <w:rPr>
          <w:rFonts w:hint="eastAsia"/>
        </w:rPr>
        <w:t>participants in FL contexts (k = 29)</w:t>
      </w:r>
      <w:r w:rsidR="00E04E2E">
        <w:rPr>
          <w:rFonts w:hint="eastAsia"/>
        </w:rPr>
        <w:t xml:space="preserve"> and experiments were conducted in various countries and regions such as Hong Kong (k = 6), Japan (k = 3), Portugal (k = 2), Russia (k = 1), Spain (k = 5), the UK (k = 4), and the US (k = 10)</w:t>
      </w:r>
      <w:r w:rsidR="00A75DD4">
        <w:rPr>
          <w:rFonts w:hint="eastAsia"/>
        </w:rPr>
        <w:t xml:space="preserve">. English is </w:t>
      </w:r>
      <w:r w:rsidR="00E04E2E">
        <w:rPr>
          <w:rFonts w:hint="eastAsia"/>
        </w:rPr>
        <w:t>a commonly targeted language (k = 17), followed by Japanese (k = 4), French (k = 4), Mandarin Chinese (k = 3), Spanish (k = 2), and Portugues (k = 1).</w:t>
      </w:r>
      <w:r w:rsidR="00A75DD4">
        <w:rPr>
          <w:rFonts w:hint="eastAsia"/>
        </w:rPr>
        <w:t xml:space="preserve"> </w:t>
      </w:r>
      <w:r w:rsidR="00BB61A7">
        <w:t>T</w:t>
      </w:r>
      <w:r w:rsidR="00BB61A7">
        <w:rPr>
          <w:rFonts w:hint="eastAsia"/>
        </w:rPr>
        <w:t xml:space="preserve">he average sample </w:t>
      </w:r>
      <w:r w:rsidR="00E04E2E">
        <w:rPr>
          <w:rFonts w:hint="eastAsia"/>
        </w:rPr>
        <w:t xml:space="preserve">size </w:t>
      </w:r>
      <w:r w:rsidR="00BB61A7">
        <w:rPr>
          <w:rFonts w:hint="eastAsia"/>
        </w:rPr>
        <w:t xml:space="preserve">ranged from </w:t>
      </w:r>
      <w:r w:rsidR="00A75DD4">
        <w:rPr>
          <w:rFonts w:hint="eastAsia"/>
        </w:rPr>
        <w:t xml:space="preserve">11.8 (old item &amp; novel talker), 13.3 (novel item &amp; novel talker), to 16 (novel item &amp; old talker). </w:t>
      </w:r>
    </w:p>
    <w:p w14:paraId="53002E67" w14:textId="407B70E0" w:rsidR="00733B23" w:rsidRDefault="00720BA4" w:rsidP="0078444A">
      <w:pPr>
        <w:ind w:firstLine="840"/>
        <w:jc w:val="left"/>
      </w:pPr>
      <w:r>
        <w:rPr>
          <w:rFonts w:hint="eastAsia"/>
        </w:rPr>
        <w:t xml:space="preserve">The initial result showed no significant variation across three categories, </w:t>
      </w:r>
      <w:proofErr w:type="gramStart"/>
      <w:r>
        <w:rPr>
          <w:rFonts w:hint="eastAsia"/>
        </w:rPr>
        <w:t>Q(</w:t>
      </w:r>
      <w:proofErr w:type="gramEnd"/>
      <w:r>
        <w:rPr>
          <w:rFonts w:hint="eastAsia"/>
        </w:rPr>
        <w:t xml:space="preserve">2) = 0.89, p = .642. </w:t>
      </w:r>
      <w:r w:rsidR="00BD1626">
        <w:rPr>
          <w:rFonts w:hint="eastAsia"/>
        </w:rPr>
        <w:t>W</w:t>
      </w:r>
      <w:r>
        <w:rPr>
          <w:rFonts w:hint="eastAsia"/>
        </w:rPr>
        <w:t xml:space="preserve">e </w:t>
      </w:r>
      <w:r>
        <w:t>identified</w:t>
      </w:r>
      <w:r>
        <w:rPr>
          <w:rFonts w:hint="eastAsia"/>
        </w:rPr>
        <w:t xml:space="preserve"> one study </w:t>
      </w:r>
      <w:r>
        <w:t>(</w:t>
      </w:r>
      <w:r>
        <w:rPr>
          <w:rFonts w:hint="eastAsia"/>
        </w:rPr>
        <w:t xml:space="preserve">g = </w:t>
      </w:r>
      <w:r>
        <w:t>–</w:t>
      </w:r>
      <w:r>
        <w:rPr>
          <w:rFonts w:hint="eastAsia"/>
        </w:rPr>
        <w:t xml:space="preserve">6.14 in </w:t>
      </w:r>
      <w:r>
        <w:t xml:space="preserve">Ueda &amp; Hashimoto, 2019) </w:t>
      </w:r>
      <w:r>
        <w:rPr>
          <w:rFonts w:hint="eastAsia"/>
        </w:rPr>
        <w:t xml:space="preserve">as a clear outlier that reported the effect size more than six times larger than any of the mean effects </w:t>
      </w:r>
      <w:r>
        <w:t>calculated</w:t>
      </w:r>
      <w:r>
        <w:rPr>
          <w:rFonts w:hint="eastAsia"/>
        </w:rPr>
        <w:t xml:space="preserve"> </w:t>
      </w:r>
      <w:r w:rsidR="00BD1626">
        <w:rPr>
          <w:rFonts w:hint="eastAsia"/>
        </w:rPr>
        <w:t xml:space="preserve">in each of </w:t>
      </w:r>
      <w:r>
        <w:rPr>
          <w:rFonts w:hint="eastAsia"/>
        </w:rPr>
        <w:t xml:space="preserve">the three categories (M = </w:t>
      </w:r>
      <w:r>
        <w:t>–</w:t>
      </w:r>
      <w:r>
        <w:rPr>
          <w:rFonts w:hint="eastAsia"/>
        </w:rPr>
        <w:t xml:space="preserve">0.36 to </w:t>
      </w:r>
      <w:r>
        <w:t>–</w:t>
      </w:r>
      <w:r>
        <w:rPr>
          <w:rFonts w:hint="eastAsia"/>
        </w:rPr>
        <w:t xml:space="preserve">0.17). </w:t>
      </w:r>
      <w:r w:rsidR="002910A6">
        <w:t xml:space="preserve">After </w:t>
      </w:r>
      <w:r>
        <w:rPr>
          <w:rFonts w:hint="eastAsia"/>
        </w:rPr>
        <w:t xml:space="preserve">this study </w:t>
      </w:r>
      <w:r w:rsidR="002910A6">
        <w:t>was excluded</w:t>
      </w:r>
      <w:r w:rsidR="0078444A">
        <w:rPr>
          <w:rFonts w:hint="eastAsia"/>
        </w:rPr>
        <w:t xml:space="preserve"> (novel item &amp; novel talker: k = 11)</w:t>
      </w:r>
      <w:r w:rsidR="002910A6">
        <w:t xml:space="preserve">, </w:t>
      </w:r>
      <w:r w:rsidR="00BD1626">
        <w:rPr>
          <w:rFonts w:hint="eastAsia"/>
        </w:rPr>
        <w:t xml:space="preserve">the between-category variability remained nonsignificant, </w:t>
      </w:r>
      <w:proofErr w:type="gramStart"/>
      <w:r w:rsidR="00BD1626">
        <w:rPr>
          <w:rFonts w:hint="eastAsia"/>
        </w:rPr>
        <w:t>Q(</w:t>
      </w:r>
      <w:proofErr w:type="gramEnd"/>
      <w:r w:rsidR="00BD1626">
        <w:rPr>
          <w:rFonts w:hint="eastAsia"/>
        </w:rPr>
        <w:t xml:space="preserve">2) = 0.34, p = .845. A further </w:t>
      </w:r>
      <w:r w:rsidR="00BD1626">
        <w:t>examination</w:t>
      </w:r>
      <w:r w:rsidR="00BD1626">
        <w:rPr>
          <w:rFonts w:hint="eastAsia"/>
        </w:rPr>
        <w:t xml:space="preserve"> of the data showed that </w:t>
      </w:r>
      <w:r w:rsidR="00A5746D">
        <w:rPr>
          <w:rFonts w:hint="eastAsia"/>
        </w:rPr>
        <w:t>t</w:t>
      </w:r>
      <w:r w:rsidR="00A5746D" w:rsidRPr="007D77BA">
        <w:t xml:space="preserve">he mean effect size was not significant for the category of novel item and old talker, g = </w:t>
      </w:r>
      <w:r w:rsidR="00A5746D" w:rsidRPr="003961BB">
        <w:t>–</w:t>
      </w:r>
      <w:r w:rsidR="00A5746D" w:rsidRPr="007D77BA">
        <w:t>0.17, SE = 0.1</w:t>
      </w:r>
      <w:r w:rsidR="00A5746D">
        <w:rPr>
          <w:rFonts w:hint="eastAsia"/>
        </w:rPr>
        <w:t>3</w:t>
      </w:r>
      <w:r w:rsidR="00A5746D" w:rsidRPr="007D77BA">
        <w:t xml:space="preserve">, 95% </w:t>
      </w:r>
      <w:proofErr w:type="gramStart"/>
      <w:r w:rsidR="00A5746D" w:rsidRPr="007D77BA">
        <w:t>CI[</w:t>
      </w:r>
      <w:proofErr w:type="gramEnd"/>
      <w:r w:rsidR="00A5746D" w:rsidRPr="003961BB">
        <w:t>–</w:t>
      </w:r>
      <w:r w:rsidR="00A5746D" w:rsidRPr="007D77BA">
        <w:t>0.</w:t>
      </w:r>
      <w:r w:rsidR="00A5746D">
        <w:rPr>
          <w:rFonts w:hint="eastAsia"/>
        </w:rPr>
        <w:t>42</w:t>
      </w:r>
      <w:r w:rsidR="00A5746D" w:rsidRPr="007D77BA">
        <w:t>, 0.0</w:t>
      </w:r>
      <w:r w:rsidR="00A5746D">
        <w:rPr>
          <w:rFonts w:hint="eastAsia"/>
        </w:rPr>
        <w:t>8</w:t>
      </w:r>
      <w:r w:rsidR="00A5746D" w:rsidRPr="007D77BA">
        <w:t>], p = .</w:t>
      </w:r>
      <w:r w:rsidR="00A5746D">
        <w:rPr>
          <w:rFonts w:hint="eastAsia"/>
        </w:rPr>
        <w:t xml:space="preserve">178. </w:t>
      </w:r>
      <w:r w:rsidR="00A5746D" w:rsidRPr="007D77BA">
        <w:t xml:space="preserve">The mean effect size was </w:t>
      </w:r>
      <w:r w:rsidR="00A5746D">
        <w:rPr>
          <w:rFonts w:hint="eastAsia"/>
        </w:rPr>
        <w:t xml:space="preserve">significant but small </w:t>
      </w:r>
      <w:r w:rsidR="00A5746D" w:rsidRPr="007D77BA">
        <w:t xml:space="preserve">for the category of novel item and novel talker, g = </w:t>
      </w:r>
      <w:r w:rsidR="00A5746D" w:rsidRPr="003961BB">
        <w:t>–</w:t>
      </w:r>
      <w:r w:rsidR="00A5746D" w:rsidRPr="007D77BA">
        <w:t>0.2</w:t>
      </w:r>
      <w:r w:rsidR="00A5746D">
        <w:rPr>
          <w:rFonts w:hint="eastAsia"/>
        </w:rPr>
        <w:t>5</w:t>
      </w:r>
      <w:r w:rsidR="00A5746D" w:rsidRPr="007D77BA">
        <w:t>, SE = 0.1</w:t>
      </w:r>
      <w:r w:rsidR="00A5746D">
        <w:rPr>
          <w:rFonts w:hint="eastAsia"/>
        </w:rPr>
        <w:t>2</w:t>
      </w:r>
      <w:r w:rsidR="00A5746D" w:rsidRPr="007D77BA">
        <w:t xml:space="preserve">, 95% </w:t>
      </w:r>
      <w:proofErr w:type="gramStart"/>
      <w:r w:rsidR="00A5746D" w:rsidRPr="007D77BA">
        <w:t>CI[</w:t>
      </w:r>
      <w:proofErr w:type="gramEnd"/>
      <w:r w:rsidR="00A5746D" w:rsidRPr="003961BB">
        <w:t>–</w:t>
      </w:r>
      <w:r w:rsidR="00A5746D" w:rsidRPr="007D77BA">
        <w:t>0.</w:t>
      </w:r>
      <w:r w:rsidR="00A5746D">
        <w:rPr>
          <w:rFonts w:hint="eastAsia"/>
        </w:rPr>
        <w:t>48</w:t>
      </w:r>
      <w:r w:rsidR="00A5746D" w:rsidRPr="007D77BA">
        <w:t xml:space="preserve">, </w:t>
      </w:r>
      <w:r w:rsidR="00A5746D" w:rsidRPr="003961BB">
        <w:t>–</w:t>
      </w:r>
      <w:r w:rsidR="00A5746D" w:rsidRPr="007D77BA">
        <w:t>0.0</w:t>
      </w:r>
      <w:r w:rsidR="00A5746D">
        <w:rPr>
          <w:rFonts w:hint="eastAsia"/>
        </w:rPr>
        <w:t>3</w:t>
      </w:r>
      <w:r w:rsidR="00A5746D" w:rsidRPr="007D77BA">
        <w:t>], p = .0</w:t>
      </w:r>
      <w:r w:rsidR="00A5746D">
        <w:rPr>
          <w:rFonts w:hint="eastAsia"/>
        </w:rPr>
        <w:t xml:space="preserve">28 and </w:t>
      </w:r>
      <w:r w:rsidR="00A5746D" w:rsidRPr="007D77BA">
        <w:t xml:space="preserve">for the category of old item and novel talker, g = </w:t>
      </w:r>
      <w:r w:rsidR="00A5746D" w:rsidRPr="003961BB">
        <w:t>–</w:t>
      </w:r>
      <w:r w:rsidR="00A5746D" w:rsidRPr="007D77BA">
        <w:t>0.2</w:t>
      </w:r>
      <w:r w:rsidR="00A5746D">
        <w:rPr>
          <w:rFonts w:hint="eastAsia"/>
        </w:rPr>
        <w:t>6</w:t>
      </w:r>
      <w:r w:rsidR="00A5746D" w:rsidRPr="007D77BA">
        <w:t>, SE = 0.1</w:t>
      </w:r>
      <w:r w:rsidR="00A5746D">
        <w:rPr>
          <w:rFonts w:hint="eastAsia"/>
        </w:rPr>
        <w:t>2</w:t>
      </w:r>
      <w:r w:rsidR="00A5746D" w:rsidRPr="007D77BA">
        <w:t>, 95% CI[</w:t>
      </w:r>
      <w:r w:rsidR="00A5746D" w:rsidRPr="003961BB">
        <w:t>–</w:t>
      </w:r>
      <w:r w:rsidR="00A5746D" w:rsidRPr="007D77BA">
        <w:t>0.</w:t>
      </w:r>
      <w:r w:rsidR="00A5746D">
        <w:rPr>
          <w:rFonts w:hint="eastAsia"/>
        </w:rPr>
        <w:t>50</w:t>
      </w:r>
      <w:r w:rsidR="00A5746D" w:rsidRPr="007D77BA">
        <w:t xml:space="preserve">, </w:t>
      </w:r>
      <w:r w:rsidR="00A5746D" w:rsidRPr="003961BB">
        <w:t>–</w:t>
      </w:r>
      <w:r w:rsidR="00A5746D">
        <w:rPr>
          <w:rFonts w:hint="eastAsia"/>
        </w:rPr>
        <w:t>0.02</w:t>
      </w:r>
      <w:r w:rsidR="00A5746D" w:rsidRPr="007D77BA">
        <w:t>], p = .</w:t>
      </w:r>
      <w:r w:rsidR="00A5746D">
        <w:rPr>
          <w:rFonts w:hint="eastAsia"/>
        </w:rPr>
        <w:t>031</w:t>
      </w:r>
      <w:r w:rsidR="00A5746D" w:rsidRPr="007D77BA">
        <w:t>.</w:t>
      </w:r>
      <w:r w:rsidR="00A5746D">
        <w:rPr>
          <w:rFonts w:hint="eastAsia"/>
        </w:rPr>
        <w:t xml:space="preserve"> </w:t>
      </w:r>
      <w:r w:rsidR="00BD1626">
        <w:rPr>
          <w:rFonts w:hint="eastAsia"/>
        </w:rPr>
        <w:t>These results are summarized in the forest plot (see Figure 6.7).</w:t>
      </w:r>
    </w:p>
    <w:p w14:paraId="534B5FCF" w14:textId="77777777" w:rsidR="00E233A6" w:rsidRDefault="00E233A6" w:rsidP="00CB2519">
      <w:pPr>
        <w:jc w:val="left"/>
      </w:pPr>
    </w:p>
    <w:p w14:paraId="6BC1B046" w14:textId="77777777" w:rsidR="00E233A6" w:rsidRDefault="00E233A6" w:rsidP="00CB2519">
      <w:pPr>
        <w:jc w:val="left"/>
      </w:pPr>
    </w:p>
    <w:p w14:paraId="56957053" w14:textId="77777777" w:rsidR="00E233A6" w:rsidRDefault="00E233A6" w:rsidP="00CB2519">
      <w:pPr>
        <w:jc w:val="left"/>
      </w:pPr>
    </w:p>
    <w:p w14:paraId="12268EF5" w14:textId="77777777" w:rsidR="00E233A6" w:rsidRDefault="00E233A6" w:rsidP="00CB2519">
      <w:pPr>
        <w:jc w:val="left"/>
      </w:pPr>
    </w:p>
    <w:p w14:paraId="7C0F7329" w14:textId="77777777" w:rsidR="00E233A6" w:rsidRDefault="00E233A6" w:rsidP="00CB2519">
      <w:pPr>
        <w:jc w:val="left"/>
      </w:pPr>
    </w:p>
    <w:p w14:paraId="65B94AC2" w14:textId="77777777" w:rsidR="00E233A6" w:rsidRDefault="00E233A6" w:rsidP="00CB2519">
      <w:pPr>
        <w:jc w:val="left"/>
      </w:pPr>
    </w:p>
    <w:p w14:paraId="1513AD19" w14:textId="77777777" w:rsidR="00E233A6" w:rsidRDefault="00E233A6" w:rsidP="00CB2519">
      <w:pPr>
        <w:jc w:val="left"/>
      </w:pPr>
    </w:p>
    <w:p w14:paraId="07953A3A" w14:textId="77777777" w:rsidR="00E233A6" w:rsidRDefault="00E233A6" w:rsidP="00CB2519">
      <w:pPr>
        <w:jc w:val="left"/>
      </w:pPr>
    </w:p>
    <w:p w14:paraId="06AA144A" w14:textId="77777777" w:rsidR="00E233A6" w:rsidRDefault="00E233A6" w:rsidP="00CB2519">
      <w:pPr>
        <w:jc w:val="left"/>
      </w:pPr>
    </w:p>
    <w:p w14:paraId="35F9E634" w14:textId="77777777" w:rsidR="00E233A6" w:rsidRDefault="00E233A6" w:rsidP="00CB2519">
      <w:pPr>
        <w:jc w:val="left"/>
      </w:pPr>
    </w:p>
    <w:p w14:paraId="7D3793C4" w14:textId="77777777" w:rsidR="00E233A6" w:rsidRDefault="00E233A6" w:rsidP="00CB2519">
      <w:pPr>
        <w:jc w:val="left"/>
      </w:pPr>
    </w:p>
    <w:p w14:paraId="45DBD6F3" w14:textId="77777777" w:rsidR="00E233A6" w:rsidRDefault="00E233A6" w:rsidP="00CB2519">
      <w:pPr>
        <w:jc w:val="left"/>
      </w:pPr>
    </w:p>
    <w:p w14:paraId="1B91371E" w14:textId="77777777" w:rsidR="00E233A6" w:rsidRDefault="00E233A6" w:rsidP="00CB2519">
      <w:pPr>
        <w:jc w:val="left"/>
      </w:pPr>
    </w:p>
    <w:p w14:paraId="63BE5284" w14:textId="77777777" w:rsidR="00E233A6" w:rsidRDefault="00E233A6" w:rsidP="00CB2519">
      <w:pPr>
        <w:jc w:val="left"/>
      </w:pPr>
    </w:p>
    <w:p w14:paraId="51FA98DA" w14:textId="77777777" w:rsidR="00E233A6" w:rsidRDefault="00E233A6" w:rsidP="00CB2519">
      <w:pPr>
        <w:jc w:val="left"/>
      </w:pPr>
    </w:p>
    <w:p w14:paraId="06E11654" w14:textId="77777777" w:rsidR="00E233A6" w:rsidRDefault="00E233A6" w:rsidP="00CB2519">
      <w:pPr>
        <w:jc w:val="left"/>
      </w:pPr>
    </w:p>
    <w:p w14:paraId="346CB336" w14:textId="77777777" w:rsidR="00E233A6" w:rsidRDefault="00E233A6" w:rsidP="00CB2519">
      <w:pPr>
        <w:jc w:val="left"/>
      </w:pPr>
    </w:p>
    <w:p w14:paraId="01C36BEA" w14:textId="77777777" w:rsidR="00E233A6" w:rsidRDefault="00E233A6" w:rsidP="00CB2519">
      <w:pPr>
        <w:jc w:val="left"/>
      </w:pPr>
    </w:p>
    <w:p w14:paraId="56D3EC00" w14:textId="4923E98C" w:rsidR="00CB2519" w:rsidRDefault="00CB2519" w:rsidP="00CB2519">
      <w:pPr>
        <w:jc w:val="left"/>
      </w:pPr>
      <w:r>
        <w:rPr>
          <w:rFonts w:hint="eastAsia"/>
        </w:rPr>
        <w:lastRenderedPageBreak/>
        <w:t>Figure 6.7</w:t>
      </w:r>
    </w:p>
    <w:p w14:paraId="201C6B10" w14:textId="30742B41" w:rsidR="00CB2519" w:rsidRDefault="00CB2519" w:rsidP="00CB2519">
      <w:pPr>
        <w:jc w:val="left"/>
      </w:pPr>
      <w:r>
        <w:rPr>
          <w:rFonts w:hint="eastAsia"/>
        </w:rPr>
        <w:t>Forest plot of 30 studies included in the meta-analysis (comparison of three categories of test item and talker types)</w:t>
      </w:r>
      <w:r w:rsidR="0078444A">
        <w:rPr>
          <w:rFonts w:hint="eastAsia"/>
        </w:rPr>
        <w:t>.</w:t>
      </w:r>
    </w:p>
    <w:p w14:paraId="75834063" w14:textId="43F1FAD7" w:rsidR="00BD1626" w:rsidRDefault="00934C73" w:rsidP="002910A6">
      <w:pPr>
        <w:jc w:val="left"/>
      </w:pPr>
      <w:r>
        <w:rPr>
          <w:noProof/>
        </w:rPr>
        <w:drawing>
          <wp:inline distT="0" distB="0" distL="0" distR="0" wp14:anchorId="781F9E14" wp14:editId="73AC2A3C">
            <wp:extent cx="6174105" cy="3657600"/>
            <wp:effectExtent l="0" t="0" r="0" b="0"/>
            <wp:docPr id="84159995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4105" cy="3657600"/>
                    </a:xfrm>
                    <a:prstGeom prst="rect">
                      <a:avLst/>
                    </a:prstGeom>
                    <a:noFill/>
                    <a:ln>
                      <a:noFill/>
                    </a:ln>
                  </pic:spPr>
                </pic:pic>
              </a:graphicData>
            </a:graphic>
          </wp:inline>
        </w:drawing>
      </w:r>
    </w:p>
    <w:p w14:paraId="7ED9BB58" w14:textId="03CC5009" w:rsidR="00657557" w:rsidRPr="00CB2519" w:rsidRDefault="002910A6" w:rsidP="002910A6">
      <w:pPr>
        <w:jc w:val="left"/>
        <w:rPr>
          <w:b/>
          <w:bCs/>
        </w:rPr>
      </w:pPr>
      <w:r w:rsidRPr="00CB2519">
        <w:rPr>
          <w:b/>
          <w:bCs/>
        </w:rPr>
        <w:t>RQ3: Do Test-Only Control Groups Improve Perception Accuracy?</w:t>
      </w:r>
    </w:p>
    <w:p w14:paraId="6E37F918" w14:textId="6E72BF1D" w:rsidR="00A75DD4" w:rsidRPr="00CA3CE0" w:rsidRDefault="00657557" w:rsidP="00CB2519">
      <w:pPr>
        <w:ind w:firstLine="840"/>
        <w:jc w:val="left"/>
      </w:pPr>
      <w:r>
        <w:rPr>
          <w:rFonts w:hint="eastAsia"/>
        </w:rPr>
        <w:t xml:space="preserve">We examined </w:t>
      </w:r>
      <w:r>
        <w:t xml:space="preserve">the degree to which control groups </w:t>
      </w:r>
      <w:r w:rsidR="00C73E2A">
        <w:t xml:space="preserve">improved by </w:t>
      </w:r>
      <w:r>
        <w:t>taking tests without completing training sessions or receiving training with nontarget sounds</w:t>
      </w:r>
      <w:r>
        <w:rPr>
          <w:rFonts w:hint="eastAsia"/>
        </w:rPr>
        <w:t xml:space="preserve"> (k = 31). </w:t>
      </w:r>
      <w:r w:rsidR="00DD50EF">
        <w:t>T</w:t>
      </w:r>
      <w:r w:rsidR="00DD50EF">
        <w:rPr>
          <w:rFonts w:hint="eastAsia"/>
        </w:rPr>
        <w:t xml:space="preserve">he included studies appeared in journal articles (k = 17), PhD theses (k = 10), and proceedings reports (k = 4). Most studies were conducted in FL contexts (k = 27); the </w:t>
      </w:r>
      <w:r w:rsidR="00DD50EF">
        <w:t>remaining</w:t>
      </w:r>
      <w:r w:rsidR="00DD50EF">
        <w:rPr>
          <w:rFonts w:hint="eastAsia"/>
        </w:rPr>
        <w:t xml:space="preserve"> studies were conducted in SL contexts (k = 4). </w:t>
      </w:r>
      <w:r w:rsidR="00DD50EF">
        <w:t>T</w:t>
      </w:r>
      <w:r w:rsidR="00DD50EF">
        <w:rPr>
          <w:rFonts w:hint="eastAsia"/>
        </w:rPr>
        <w:t xml:space="preserve">hese </w:t>
      </w:r>
      <w:r w:rsidR="00DD50EF">
        <w:t>experiments</w:t>
      </w:r>
      <w:r w:rsidR="00DD50EF">
        <w:rPr>
          <w:rFonts w:hint="eastAsia"/>
        </w:rPr>
        <w:t xml:space="preserve"> were conducted in various countries </w:t>
      </w:r>
      <w:r w:rsidR="00DD50EF">
        <w:t>and</w:t>
      </w:r>
      <w:r w:rsidR="00DD50EF">
        <w:rPr>
          <w:rFonts w:hint="eastAsia"/>
        </w:rPr>
        <w:t xml:space="preserve"> regions, including Argentina (k = 1), Canada (k = 4), China (k = 2), Hong Kong (k = 4), Japan (k = 3), Korea (k = 1), Portugal (k = 1), Spain (k = 6), Thailand (k = 1), the UK (k = 1), </w:t>
      </w:r>
      <w:r w:rsidR="008C2143">
        <w:rPr>
          <w:rFonts w:hint="eastAsia"/>
        </w:rPr>
        <w:t xml:space="preserve">and the US (k = 7). </w:t>
      </w:r>
      <w:r w:rsidR="008C2143">
        <w:t>English</w:t>
      </w:r>
      <w:r w:rsidR="008C2143">
        <w:rPr>
          <w:rFonts w:hint="eastAsia"/>
        </w:rPr>
        <w:t xml:space="preserve"> was most often examined as a target language, followed by Japanese (k = 4), Arabic (k = 1), Korean (k = 1), Mandarin Chinese (k = 1), and Spanish (k = 1). Out of 26 studies which reported </w:t>
      </w:r>
      <w:r w:rsidR="008C2143">
        <w:t>participants’</w:t>
      </w:r>
      <w:r w:rsidR="008C2143">
        <w:rPr>
          <w:rFonts w:hint="eastAsia"/>
        </w:rPr>
        <w:t xml:space="preserve"> educational levels, 20 studies focused on university students (k = 20), followed by </w:t>
      </w:r>
      <w:r w:rsidR="008C2143">
        <w:t>secondary</w:t>
      </w:r>
      <w:r w:rsidR="008C2143">
        <w:rPr>
          <w:rFonts w:hint="eastAsia"/>
        </w:rPr>
        <w:t xml:space="preserve"> (k = 3) and primary (k = 3) students. Twenty studies which indicated relevant information about participants</w:t>
      </w:r>
      <w:r w:rsidR="008C2143">
        <w:t>’</w:t>
      </w:r>
      <w:r w:rsidR="008C2143">
        <w:rPr>
          <w:rFonts w:hint="eastAsia"/>
        </w:rPr>
        <w:t xml:space="preserve"> L2 proficiency focused on learners with </w:t>
      </w:r>
      <w:r w:rsidR="008C2143">
        <w:t>various</w:t>
      </w:r>
      <w:r w:rsidR="008C2143">
        <w:rPr>
          <w:rFonts w:hint="eastAsia"/>
        </w:rPr>
        <w:t xml:space="preserve"> L2 proficiency levels: advanced (k = 5), upper-intermediate (k = 2), intermediate (k = 5), lower-intermediate (k = 1), and beginner (k = 4), with the remainder as mixed (k = 1). </w:t>
      </w:r>
      <w:r w:rsidR="008C2143">
        <w:t>R</w:t>
      </w:r>
      <w:r w:rsidR="008C2143">
        <w:rPr>
          <w:rFonts w:hint="eastAsia"/>
        </w:rPr>
        <w:t>egarding target phones,</w:t>
      </w:r>
      <w:r w:rsidR="005D2751">
        <w:rPr>
          <w:rFonts w:hint="eastAsia"/>
        </w:rPr>
        <w:t xml:space="preserve"> about</w:t>
      </w:r>
      <w:r w:rsidR="008C2143">
        <w:rPr>
          <w:rFonts w:hint="eastAsia"/>
        </w:rPr>
        <w:t xml:space="preserve"> half of the studies examined the accuracy at perceiving vowels (k = 1</w:t>
      </w:r>
      <w:r w:rsidR="005D2751">
        <w:rPr>
          <w:rFonts w:hint="eastAsia"/>
        </w:rPr>
        <w:t>4</w:t>
      </w:r>
      <w:r w:rsidR="008C2143">
        <w:rPr>
          <w:rFonts w:hint="eastAsia"/>
        </w:rPr>
        <w:t xml:space="preserve">) followed by </w:t>
      </w:r>
      <w:proofErr w:type="spellStart"/>
      <w:r w:rsidR="008C2143">
        <w:rPr>
          <w:rFonts w:hint="eastAsia"/>
        </w:rPr>
        <w:t>obstruents</w:t>
      </w:r>
      <w:proofErr w:type="spellEnd"/>
      <w:r w:rsidR="008C2143">
        <w:rPr>
          <w:rFonts w:hint="eastAsia"/>
        </w:rPr>
        <w:t xml:space="preserve"> (k = </w:t>
      </w:r>
      <w:r w:rsidR="005D2751">
        <w:rPr>
          <w:rFonts w:hint="eastAsia"/>
        </w:rPr>
        <w:t>9</w:t>
      </w:r>
      <w:r w:rsidR="008C2143">
        <w:rPr>
          <w:rFonts w:hint="eastAsia"/>
        </w:rPr>
        <w:t xml:space="preserve">), tones (k = </w:t>
      </w:r>
      <w:r w:rsidR="005D2751">
        <w:rPr>
          <w:rFonts w:hint="eastAsia"/>
        </w:rPr>
        <w:t>1</w:t>
      </w:r>
      <w:r w:rsidR="008C2143">
        <w:rPr>
          <w:rFonts w:hint="eastAsia"/>
        </w:rPr>
        <w:t xml:space="preserve">), syllable structures (k = 1), sonorants (k = </w:t>
      </w:r>
      <w:r w:rsidR="005D2751">
        <w:rPr>
          <w:rFonts w:hint="eastAsia"/>
        </w:rPr>
        <w:t>2</w:t>
      </w:r>
      <w:r w:rsidR="008C2143">
        <w:rPr>
          <w:rFonts w:hint="eastAsia"/>
        </w:rPr>
        <w:t>), and other mixed sounds (e.g., vowels + consonants, k = 4).</w:t>
      </w:r>
      <w:r w:rsidR="005D2751">
        <w:rPr>
          <w:rFonts w:hint="eastAsia"/>
        </w:rPr>
        <w:t xml:space="preserve"> Perception pretests and posttests were administered using identification tasks in most studies (k = 24) and either discrimination tasks (k = 3) or combined tasks (k = 4) in the other studies. Out of 27 </w:t>
      </w:r>
      <w:r w:rsidR="005D2751">
        <w:rPr>
          <w:rFonts w:hint="eastAsia"/>
        </w:rPr>
        <w:lastRenderedPageBreak/>
        <w:t>studies indicating relevant information, the pretest and posttest interval was approximately 1 week to 1 month in 12 studies</w:t>
      </w:r>
      <w:r w:rsidR="00CA3CE0">
        <w:rPr>
          <w:rFonts w:hint="eastAsia"/>
        </w:rPr>
        <w:t xml:space="preserve">, 1 to 2 months in 13 studies, and 2 months or longer in two studies. </w:t>
      </w:r>
      <w:r w:rsidR="00CA3CE0">
        <w:t>T</w:t>
      </w:r>
      <w:r w:rsidR="00CA3CE0">
        <w:rPr>
          <w:rFonts w:hint="eastAsia"/>
        </w:rPr>
        <w:t xml:space="preserve">wenty-six studies adopted test-only control conditions where participants did not complete any training trials while five studies completed training trials that did </w:t>
      </w:r>
      <w:r w:rsidR="00CA3CE0">
        <w:t>not</w:t>
      </w:r>
      <w:r w:rsidR="00CA3CE0">
        <w:rPr>
          <w:rFonts w:hint="eastAsia"/>
        </w:rPr>
        <w:t xml:space="preserve"> involve target phonological features. </w:t>
      </w:r>
    </w:p>
    <w:p w14:paraId="29E63AEA" w14:textId="0E304E49" w:rsidR="00CB2519" w:rsidRDefault="00657557" w:rsidP="00CB2519">
      <w:pPr>
        <w:ind w:firstLine="840"/>
        <w:jc w:val="left"/>
      </w:pPr>
      <w:r>
        <w:t xml:space="preserve">The aggregation of the 31 effect sizes showed that the mean effect size was significant but small, g = 0.19, SE = 0.07, 95% </w:t>
      </w:r>
      <w:proofErr w:type="gramStart"/>
      <w:r>
        <w:t>CI[</w:t>
      </w:r>
      <w:proofErr w:type="gramEnd"/>
      <w:r>
        <w:t>0.05, 0.33], p = .009.</w:t>
      </w:r>
      <w:r w:rsidR="00CB2519">
        <w:rPr>
          <w:rFonts w:hint="eastAsia"/>
        </w:rPr>
        <w:t xml:space="preserve"> The </w:t>
      </w:r>
      <w:r w:rsidR="00CB2519">
        <w:t>heterogeneity</w:t>
      </w:r>
      <w:r w:rsidR="00CB2519">
        <w:rPr>
          <w:rFonts w:hint="eastAsia"/>
        </w:rPr>
        <w:t xml:space="preserve"> between the studies was </w:t>
      </w:r>
      <w:r w:rsidR="00CB2519">
        <w:t>significant</w:t>
      </w:r>
      <w:r w:rsidR="00CB2519">
        <w:rPr>
          <w:rFonts w:hint="eastAsia"/>
        </w:rPr>
        <w:t xml:space="preserve"> and relatively high, </w:t>
      </w:r>
      <w:proofErr w:type="gramStart"/>
      <w:r w:rsidR="00CB2519">
        <w:rPr>
          <w:rFonts w:hint="eastAsia"/>
        </w:rPr>
        <w:t>Q(</w:t>
      </w:r>
      <w:proofErr w:type="gramEnd"/>
      <w:r w:rsidR="00CB2519">
        <w:rPr>
          <w:rFonts w:hint="eastAsia"/>
        </w:rPr>
        <w:t>30) = 86.18, p &lt; .001, I</w:t>
      </w:r>
      <w:r w:rsidR="00CB2519" w:rsidRPr="006F4D1C">
        <w:rPr>
          <w:rFonts w:hint="eastAsia"/>
          <w:vertAlign w:val="superscript"/>
        </w:rPr>
        <w:t>2</w:t>
      </w:r>
      <w:r w:rsidR="00CB2519">
        <w:rPr>
          <w:rFonts w:hint="eastAsia"/>
        </w:rPr>
        <w:t xml:space="preserve"> = 65.2%, indicating that about 35% of the heterogeneity was due to sampling error. The 95% prediction interval ranged from </w:t>
      </w:r>
      <w:r w:rsidR="00CB2519" w:rsidRPr="003961BB">
        <w:t>–</w:t>
      </w:r>
      <w:r w:rsidR="00CB2519">
        <w:rPr>
          <w:rFonts w:hint="eastAsia"/>
        </w:rPr>
        <w:t xml:space="preserve">0.478 to 0.853, </w:t>
      </w:r>
      <w:r w:rsidR="00CB2519">
        <w:t>indicat</w:t>
      </w:r>
      <w:r w:rsidR="00CB2519">
        <w:rPr>
          <w:rFonts w:hint="eastAsia"/>
        </w:rPr>
        <w:t xml:space="preserve">ing that with the 95% probability a future </w:t>
      </w:r>
      <w:r w:rsidR="00CB2519">
        <w:t>observation</w:t>
      </w:r>
      <w:r w:rsidR="00CB2519">
        <w:rPr>
          <w:rFonts w:hint="eastAsia"/>
        </w:rPr>
        <w:t xml:space="preserve"> of the practice effect will fall in this interval. </w:t>
      </w:r>
      <w:r>
        <w:rPr>
          <w:rFonts w:hint="eastAsia"/>
        </w:rPr>
        <w:t xml:space="preserve">The result of a leave-one-out analysis did not reveal any clear outliers that had </w:t>
      </w:r>
      <w:r>
        <w:t>a substantial</w:t>
      </w:r>
      <w:r>
        <w:rPr>
          <w:rFonts w:hint="eastAsia"/>
        </w:rPr>
        <w:t xml:space="preserve"> </w:t>
      </w:r>
      <w:r>
        <w:t>impact</w:t>
      </w:r>
      <w:r>
        <w:rPr>
          <w:rFonts w:hint="eastAsia"/>
        </w:rPr>
        <w:t xml:space="preserve"> on the overall mean effect size (see Figure 6.</w:t>
      </w:r>
      <w:r w:rsidR="00CB2519">
        <w:rPr>
          <w:rFonts w:hint="eastAsia"/>
        </w:rPr>
        <w:t>8</w:t>
      </w:r>
      <w:r>
        <w:rPr>
          <w:rFonts w:hint="eastAsia"/>
        </w:rPr>
        <w:t>). P</w:t>
      </w:r>
      <w:r w:rsidRPr="007D77BA">
        <w:t>ublication bias was</w:t>
      </w:r>
      <w:r>
        <w:rPr>
          <w:rFonts w:hint="eastAsia"/>
        </w:rPr>
        <w:t xml:space="preserve"> first visually</w:t>
      </w:r>
      <w:r w:rsidRPr="007D77BA">
        <w:t xml:space="preserve"> assessed with a funnel plot (Figure </w:t>
      </w:r>
      <w:r>
        <w:rPr>
          <w:rFonts w:hint="eastAsia"/>
        </w:rPr>
        <w:t>6.</w:t>
      </w:r>
      <w:r w:rsidR="00CB2519">
        <w:rPr>
          <w:rFonts w:hint="eastAsia"/>
        </w:rPr>
        <w:t>9</w:t>
      </w:r>
      <w:r w:rsidRPr="007D77BA">
        <w:t>)</w:t>
      </w:r>
      <w:r w:rsidR="00CB2519">
        <w:rPr>
          <w:rFonts w:hint="eastAsia"/>
        </w:rPr>
        <w:t xml:space="preserve">. </w:t>
      </w:r>
      <w:r w:rsidR="00CB2519">
        <w:t>N</w:t>
      </w:r>
      <w:r w:rsidR="00CB2519" w:rsidRPr="007D77BA">
        <w:t>o clear association between precision and effect sizes</w:t>
      </w:r>
      <w:r w:rsidR="00CB2519">
        <w:t xml:space="preserve"> was observed</w:t>
      </w:r>
      <w:r w:rsidR="00CB2519" w:rsidRPr="007D77BA">
        <w:t xml:space="preserve">, which was confirmed with the nonsignificant result of the Egger’s test, </w:t>
      </w:r>
      <w:proofErr w:type="gramStart"/>
      <w:r w:rsidR="00CB2519" w:rsidRPr="007D77BA">
        <w:t>t(</w:t>
      </w:r>
      <w:proofErr w:type="gramEnd"/>
      <w:r w:rsidR="00CB2519" w:rsidRPr="007D77BA">
        <w:t>2</w:t>
      </w:r>
      <w:r w:rsidR="005D614B">
        <w:rPr>
          <w:rFonts w:hint="eastAsia"/>
        </w:rPr>
        <w:t>9</w:t>
      </w:r>
      <w:r w:rsidR="00CB2519" w:rsidRPr="007D77BA">
        <w:t>) = 0.</w:t>
      </w:r>
      <w:r w:rsidR="005D614B">
        <w:rPr>
          <w:rFonts w:hint="eastAsia"/>
        </w:rPr>
        <w:t>009</w:t>
      </w:r>
      <w:r w:rsidR="00CB2519" w:rsidRPr="007D77BA">
        <w:t>, p = .</w:t>
      </w:r>
      <w:r w:rsidR="005D614B">
        <w:rPr>
          <w:rFonts w:hint="eastAsia"/>
        </w:rPr>
        <w:t>993</w:t>
      </w:r>
      <w:r w:rsidR="00CB2519" w:rsidRPr="007D77BA">
        <w:t>.</w:t>
      </w:r>
      <w:r w:rsidR="00CB2519">
        <w:rPr>
          <w:rFonts w:hint="eastAsia"/>
        </w:rPr>
        <w:t xml:space="preserve"> </w:t>
      </w:r>
      <w:r w:rsidR="00CB2519">
        <w:t>T</w:t>
      </w:r>
      <w:r w:rsidR="00CB2519">
        <w:rPr>
          <w:rFonts w:hint="eastAsia"/>
        </w:rPr>
        <w:t>he forest plot for 3</w:t>
      </w:r>
      <w:r w:rsidR="005D614B">
        <w:rPr>
          <w:rFonts w:hint="eastAsia"/>
        </w:rPr>
        <w:t>1</w:t>
      </w:r>
      <w:r w:rsidR="00CB2519">
        <w:rPr>
          <w:rFonts w:hint="eastAsia"/>
        </w:rPr>
        <w:t xml:space="preserve"> studies is presented in Figure 6.</w:t>
      </w:r>
      <w:r w:rsidR="005D614B">
        <w:rPr>
          <w:rFonts w:hint="eastAsia"/>
        </w:rPr>
        <w:t>10</w:t>
      </w:r>
      <w:r w:rsidR="00CB2519">
        <w:rPr>
          <w:rFonts w:hint="eastAsia"/>
        </w:rPr>
        <w:t>.</w:t>
      </w:r>
    </w:p>
    <w:p w14:paraId="42761C46" w14:textId="77777777" w:rsidR="005D614B" w:rsidRDefault="005D614B" w:rsidP="00CB2519">
      <w:pPr>
        <w:jc w:val="left"/>
      </w:pPr>
    </w:p>
    <w:p w14:paraId="5FA2EA32" w14:textId="2D5574FF" w:rsidR="00CB2519" w:rsidRDefault="00CB2519" w:rsidP="00CB2519">
      <w:pPr>
        <w:jc w:val="left"/>
      </w:pPr>
      <w:r w:rsidRPr="000A3E7B">
        <w:rPr>
          <w:rFonts w:hint="eastAsia"/>
        </w:rPr>
        <w:t xml:space="preserve">Figure </w:t>
      </w:r>
      <w:r>
        <w:rPr>
          <w:rFonts w:hint="eastAsia"/>
        </w:rPr>
        <w:t>6</w:t>
      </w:r>
      <w:r w:rsidRPr="000A3E7B">
        <w:rPr>
          <w:rFonts w:hint="eastAsia"/>
        </w:rPr>
        <w:t>.</w:t>
      </w:r>
      <w:r>
        <w:rPr>
          <w:rFonts w:hint="eastAsia"/>
        </w:rPr>
        <w:t>8</w:t>
      </w:r>
    </w:p>
    <w:p w14:paraId="1DE21845" w14:textId="4146D7FD" w:rsidR="00CB2519" w:rsidRDefault="00CB2519" w:rsidP="00CB2519">
      <w:pPr>
        <w:jc w:val="left"/>
      </w:pPr>
      <w:r w:rsidRPr="000A3E7B">
        <w:rPr>
          <w:rFonts w:hint="eastAsia"/>
        </w:rPr>
        <w:t xml:space="preserve">Plot of the weighted means </w:t>
      </w:r>
      <w:r w:rsidRPr="000A3E7B">
        <w:t>with each of the 3</w:t>
      </w:r>
      <w:r w:rsidR="005D614B">
        <w:rPr>
          <w:rFonts w:hint="eastAsia"/>
        </w:rPr>
        <w:t>1</w:t>
      </w:r>
      <w:r w:rsidRPr="000A3E7B">
        <w:t xml:space="preserve"> </w:t>
      </w:r>
      <w:r w:rsidRPr="000A3E7B">
        <w:rPr>
          <w:rFonts w:hint="eastAsia"/>
        </w:rPr>
        <w:t>studies</w:t>
      </w:r>
      <w:r w:rsidRPr="000A3E7B">
        <w:t xml:space="preserve"> excluded</w:t>
      </w:r>
      <w:r w:rsidRPr="000A3E7B">
        <w:rPr>
          <w:rFonts w:hint="eastAsia"/>
        </w:rPr>
        <w:t xml:space="preserve"> at each analysis (</w:t>
      </w:r>
      <w:r>
        <w:rPr>
          <w:rFonts w:hint="eastAsia"/>
        </w:rPr>
        <w:t>pretest vs. posttest of control groups</w:t>
      </w:r>
      <w:r w:rsidRPr="000A3E7B">
        <w:rPr>
          <w:rFonts w:hint="eastAsia"/>
        </w:rPr>
        <w:t>)</w:t>
      </w:r>
    </w:p>
    <w:p w14:paraId="21F165DB" w14:textId="74DB82E7" w:rsidR="00CB2519" w:rsidRDefault="00CF6F32" w:rsidP="00CB2519">
      <w:pPr>
        <w:jc w:val="left"/>
      </w:pPr>
      <w:r>
        <w:rPr>
          <w:noProof/>
        </w:rPr>
        <w:drawing>
          <wp:inline distT="0" distB="0" distL="0" distR="0" wp14:anchorId="2058E5E5" wp14:editId="03765759">
            <wp:extent cx="6399632" cy="1814234"/>
            <wp:effectExtent l="0" t="0" r="1270" b="0"/>
            <wp:docPr id="150519055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6164" cy="1830260"/>
                    </a:xfrm>
                    <a:prstGeom prst="rect">
                      <a:avLst/>
                    </a:prstGeom>
                    <a:noFill/>
                  </pic:spPr>
                </pic:pic>
              </a:graphicData>
            </a:graphic>
          </wp:inline>
        </w:drawing>
      </w:r>
    </w:p>
    <w:p w14:paraId="7338A6B9" w14:textId="77777777" w:rsidR="00E233A6" w:rsidRDefault="00E233A6" w:rsidP="00CB2519">
      <w:pPr>
        <w:jc w:val="left"/>
      </w:pPr>
    </w:p>
    <w:p w14:paraId="24FC4035" w14:textId="77777777" w:rsidR="00E233A6" w:rsidRDefault="00E233A6" w:rsidP="00CB2519">
      <w:pPr>
        <w:jc w:val="left"/>
      </w:pPr>
    </w:p>
    <w:p w14:paraId="0C0E94E7" w14:textId="77777777" w:rsidR="00E233A6" w:rsidRDefault="00E233A6" w:rsidP="00CB2519">
      <w:pPr>
        <w:jc w:val="left"/>
      </w:pPr>
    </w:p>
    <w:p w14:paraId="2B3330E5" w14:textId="77777777" w:rsidR="00E233A6" w:rsidRDefault="00E233A6" w:rsidP="00CB2519">
      <w:pPr>
        <w:jc w:val="left"/>
      </w:pPr>
    </w:p>
    <w:p w14:paraId="7F72E7C0" w14:textId="77777777" w:rsidR="00E233A6" w:rsidRDefault="00E233A6" w:rsidP="00CB2519">
      <w:pPr>
        <w:jc w:val="left"/>
      </w:pPr>
    </w:p>
    <w:p w14:paraId="69E8A333" w14:textId="77777777" w:rsidR="00E233A6" w:rsidRDefault="00E233A6" w:rsidP="00CB2519">
      <w:pPr>
        <w:jc w:val="left"/>
      </w:pPr>
    </w:p>
    <w:p w14:paraId="0208DFC6" w14:textId="77777777" w:rsidR="00E233A6" w:rsidRDefault="00E233A6" w:rsidP="00CB2519">
      <w:pPr>
        <w:jc w:val="left"/>
      </w:pPr>
    </w:p>
    <w:p w14:paraId="472724A2" w14:textId="77777777" w:rsidR="00E233A6" w:rsidRDefault="00E233A6" w:rsidP="00CB2519">
      <w:pPr>
        <w:jc w:val="left"/>
      </w:pPr>
    </w:p>
    <w:p w14:paraId="1896A8C7" w14:textId="77777777" w:rsidR="00E233A6" w:rsidRDefault="00E233A6" w:rsidP="00CB2519">
      <w:pPr>
        <w:jc w:val="left"/>
      </w:pPr>
    </w:p>
    <w:p w14:paraId="2D4186FC" w14:textId="77777777" w:rsidR="00E233A6" w:rsidRDefault="00E233A6" w:rsidP="00CB2519">
      <w:pPr>
        <w:jc w:val="left"/>
      </w:pPr>
    </w:p>
    <w:p w14:paraId="6091D921" w14:textId="77777777" w:rsidR="00E233A6" w:rsidRDefault="00E233A6" w:rsidP="00CB2519">
      <w:pPr>
        <w:jc w:val="left"/>
      </w:pPr>
    </w:p>
    <w:p w14:paraId="7D803F89" w14:textId="77777777" w:rsidR="00E233A6" w:rsidRDefault="00E233A6" w:rsidP="00CB2519">
      <w:pPr>
        <w:jc w:val="left"/>
      </w:pPr>
    </w:p>
    <w:p w14:paraId="1C5FF9A9" w14:textId="5643AE3D" w:rsidR="00CB2519" w:rsidRDefault="00CB2519" w:rsidP="00CB2519">
      <w:pPr>
        <w:jc w:val="left"/>
      </w:pPr>
      <w:r w:rsidRPr="000A3E7B">
        <w:lastRenderedPageBreak/>
        <w:t xml:space="preserve">Figure </w:t>
      </w:r>
      <w:r>
        <w:rPr>
          <w:rFonts w:hint="eastAsia"/>
        </w:rPr>
        <w:t>6</w:t>
      </w:r>
      <w:r w:rsidRPr="000A3E7B">
        <w:t>.</w:t>
      </w:r>
      <w:r>
        <w:rPr>
          <w:rFonts w:hint="eastAsia"/>
        </w:rPr>
        <w:t>9</w:t>
      </w:r>
      <w:r w:rsidRPr="000A3E7B">
        <w:t xml:space="preserve"> </w:t>
      </w:r>
    </w:p>
    <w:p w14:paraId="28F9834A" w14:textId="2EF013A3" w:rsidR="00CB2519" w:rsidRDefault="00CB2519" w:rsidP="00CB2519">
      <w:pPr>
        <w:jc w:val="left"/>
      </w:pPr>
      <w:r w:rsidRPr="000A3E7B">
        <w:t xml:space="preserve">Funnel plot of perception effect size </w:t>
      </w:r>
      <w:r>
        <w:rPr>
          <w:rFonts w:hint="eastAsia"/>
        </w:rPr>
        <w:t>(pretest vs. posttest of control groups</w:t>
      </w:r>
      <w:r w:rsidRPr="000A3E7B">
        <w:t>) by inverse standard error</w:t>
      </w:r>
    </w:p>
    <w:p w14:paraId="4114D586" w14:textId="4BCF3F8B" w:rsidR="00CB2519" w:rsidRDefault="00CB2519" w:rsidP="00CB2519">
      <w:pPr>
        <w:jc w:val="left"/>
      </w:pPr>
      <w:r w:rsidRPr="00CB2519">
        <w:rPr>
          <w:noProof/>
        </w:rPr>
        <w:drawing>
          <wp:inline distT="0" distB="0" distL="0" distR="0" wp14:anchorId="68C59E12" wp14:editId="365A1C4D">
            <wp:extent cx="6104316" cy="3439236"/>
            <wp:effectExtent l="0" t="0" r="0" b="8890"/>
            <wp:docPr id="1748109082"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09082" name="図 1" descr="ダイアグラム&#10;&#10;自動的に生成された説明"/>
                    <pic:cNvPicPr/>
                  </pic:nvPicPr>
                  <pic:blipFill>
                    <a:blip r:embed="rId18"/>
                    <a:stretch>
                      <a:fillRect/>
                    </a:stretch>
                  </pic:blipFill>
                  <pic:spPr>
                    <a:xfrm>
                      <a:off x="0" y="0"/>
                      <a:ext cx="6116753" cy="3446243"/>
                    </a:xfrm>
                    <a:prstGeom prst="rect">
                      <a:avLst/>
                    </a:prstGeom>
                  </pic:spPr>
                </pic:pic>
              </a:graphicData>
            </a:graphic>
          </wp:inline>
        </w:drawing>
      </w:r>
    </w:p>
    <w:p w14:paraId="2CEB01A2" w14:textId="66B99F06" w:rsidR="005D614B" w:rsidRDefault="005D614B" w:rsidP="005D614B">
      <w:pPr>
        <w:jc w:val="left"/>
      </w:pPr>
      <w:r>
        <w:rPr>
          <w:rFonts w:hint="eastAsia"/>
        </w:rPr>
        <w:t>Figure 6.10</w:t>
      </w:r>
    </w:p>
    <w:p w14:paraId="4EAA803D" w14:textId="27EC04A0" w:rsidR="005D614B" w:rsidRDefault="005D614B" w:rsidP="005D614B">
      <w:pPr>
        <w:jc w:val="left"/>
      </w:pPr>
      <w:r>
        <w:rPr>
          <w:rFonts w:hint="eastAsia"/>
        </w:rPr>
        <w:t>Forest plot of 31 studies included in the meta-analysis (pretest vs. posttest of control groups)</w:t>
      </w:r>
    </w:p>
    <w:p w14:paraId="7EDA866C" w14:textId="04AAC353" w:rsidR="005D614B" w:rsidRDefault="00705425" w:rsidP="005D614B">
      <w:pPr>
        <w:jc w:val="left"/>
      </w:pPr>
      <w:r>
        <w:rPr>
          <w:noProof/>
        </w:rPr>
        <w:drawing>
          <wp:inline distT="0" distB="0" distL="0" distR="0" wp14:anchorId="245CED8D" wp14:editId="5DDD66D8">
            <wp:extent cx="6174105" cy="3635375"/>
            <wp:effectExtent l="0" t="0" r="0" b="3175"/>
            <wp:docPr id="71972268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4105" cy="3635375"/>
                    </a:xfrm>
                    <a:prstGeom prst="rect">
                      <a:avLst/>
                    </a:prstGeom>
                    <a:noFill/>
                    <a:ln>
                      <a:noFill/>
                    </a:ln>
                  </pic:spPr>
                </pic:pic>
              </a:graphicData>
            </a:graphic>
          </wp:inline>
        </w:drawing>
      </w:r>
    </w:p>
    <w:p w14:paraId="47BCD9F3" w14:textId="77777777" w:rsidR="00733B23" w:rsidRPr="00733B23" w:rsidRDefault="00733B23" w:rsidP="00733B23">
      <w:pPr>
        <w:jc w:val="left"/>
      </w:pPr>
    </w:p>
    <w:p w14:paraId="503A116D" w14:textId="77777777" w:rsidR="003A1763" w:rsidRDefault="003A1763" w:rsidP="003A1763">
      <w:pPr>
        <w:tabs>
          <w:tab w:val="left" w:pos="1555"/>
        </w:tabs>
      </w:pPr>
    </w:p>
    <w:p w14:paraId="545C80C0" w14:textId="77777777" w:rsidR="00733B23" w:rsidRDefault="00733B23" w:rsidP="009B01C7">
      <w:pPr>
        <w:jc w:val="center"/>
        <w:rPr>
          <w:b/>
          <w:bCs/>
        </w:rPr>
        <w:sectPr w:rsidR="00733B23" w:rsidSect="00F612BD">
          <w:pgSz w:w="11906" w:h="16838"/>
          <w:pgMar w:top="1440" w:right="1080" w:bottom="1440" w:left="1080" w:header="851" w:footer="992" w:gutter="0"/>
          <w:cols w:space="425"/>
          <w:docGrid w:type="lines" w:linePitch="360"/>
        </w:sectPr>
      </w:pPr>
    </w:p>
    <w:p w14:paraId="4ED3B63B" w14:textId="283D140A" w:rsidR="006C2669" w:rsidRPr="006E3D99" w:rsidRDefault="009B01C7" w:rsidP="009B01C7">
      <w:pPr>
        <w:jc w:val="center"/>
        <w:rPr>
          <w:b/>
          <w:bCs/>
        </w:rPr>
      </w:pPr>
      <w:r w:rsidRPr="006E3D99">
        <w:rPr>
          <w:b/>
          <w:bCs/>
        </w:rPr>
        <w:lastRenderedPageBreak/>
        <w:t xml:space="preserve">Appendix </w:t>
      </w:r>
      <w:r w:rsidR="00E233A6">
        <w:rPr>
          <w:rFonts w:hint="eastAsia"/>
          <w:b/>
          <w:bCs/>
        </w:rPr>
        <w:t>7</w:t>
      </w:r>
      <w:r w:rsidRPr="006E3D99">
        <w:rPr>
          <w:b/>
          <w:bCs/>
        </w:rPr>
        <w:t xml:space="preserve">: Full References for </w:t>
      </w:r>
      <w:r w:rsidRPr="008D442F">
        <w:rPr>
          <w:b/>
          <w:bCs/>
        </w:rPr>
        <w:t>7</w:t>
      </w:r>
      <w:r w:rsidR="003A7380">
        <w:rPr>
          <w:rFonts w:hint="eastAsia"/>
          <w:b/>
          <w:bCs/>
        </w:rPr>
        <w:t>9</w:t>
      </w:r>
      <w:r w:rsidRPr="006E3D99">
        <w:rPr>
          <w:b/>
          <w:bCs/>
        </w:rPr>
        <w:t xml:space="preserve"> Studies in Meta-Analysis</w:t>
      </w:r>
    </w:p>
    <w:p w14:paraId="636ADF41" w14:textId="1603BC19" w:rsidR="009B01C7" w:rsidRPr="00452B6B" w:rsidRDefault="009B01C7" w:rsidP="009B01C7">
      <w:pPr>
        <w:jc w:val="center"/>
      </w:pPr>
    </w:p>
    <w:p w14:paraId="65FA64C2" w14:textId="77777777" w:rsidR="00536112" w:rsidRPr="00452B6B" w:rsidRDefault="00536112" w:rsidP="00536112">
      <w:pPr>
        <w:pStyle w:val="a3"/>
        <w:spacing w:line="240" w:lineRule="auto"/>
        <w:jc w:val="left"/>
      </w:pPr>
      <w:r w:rsidRPr="00452B6B">
        <w:t xml:space="preserve">Aliaga-Garcia, C. (2017). </w:t>
      </w:r>
      <w:r w:rsidRPr="00452B6B">
        <w:rPr>
          <w:i/>
          <w:iCs/>
        </w:rPr>
        <w:t>The effect of auditory and articulatory phonetic training on the perception and production of L2 vowels by Catalan-Spanish learners of English</w:t>
      </w:r>
      <w:r w:rsidRPr="00452B6B">
        <w:t xml:space="preserve"> [Unpublished doctoral dissertation]. </w:t>
      </w:r>
      <w:proofErr w:type="spellStart"/>
      <w:r w:rsidRPr="00452B6B">
        <w:t>Universitat</w:t>
      </w:r>
      <w:proofErr w:type="spellEnd"/>
      <w:r w:rsidRPr="00452B6B">
        <w:t xml:space="preserve"> de Barcelona.</w:t>
      </w:r>
    </w:p>
    <w:p w14:paraId="0B194B5D" w14:textId="2BE8A3E8" w:rsidR="00FA01CC" w:rsidRPr="00452B6B" w:rsidRDefault="00536112" w:rsidP="003E2416">
      <w:pPr>
        <w:ind w:left="839" w:hanging="839"/>
        <w:jc w:val="left"/>
      </w:pPr>
      <w:r w:rsidRPr="00452B6B">
        <w:t>Alves, U.K., &amp; Luchini, P.L.</w:t>
      </w:r>
      <w:r w:rsidR="00FA01CC" w:rsidRPr="00452B6B">
        <w:t xml:space="preserve"> (2017). Effects of perceptual training on the identification and production of word-initial voiceless stops by Argentinean learners of English. </w:t>
      </w:r>
      <w:r w:rsidR="00FA01CC" w:rsidRPr="00452B6B">
        <w:rPr>
          <w:i/>
          <w:iCs/>
        </w:rPr>
        <w:t xml:space="preserve">Ilha Do </w:t>
      </w:r>
      <w:proofErr w:type="spellStart"/>
      <w:r w:rsidR="00FA01CC" w:rsidRPr="00452B6B">
        <w:rPr>
          <w:i/>
          <w:iCs/>
        </w:rPr>
        <w:t>Desterro</w:t>
      </w:r>
      <w:proofErr w:type="spellEnd"/>
      <w:r w:rsidR="00FA01CC" w:rsidRPr="00452B6B">
        <w:t xml:space="preserve">, 70(3), 15 – 32. https://doi.org/10.5007/2175-8026.2017v70n3p15 </w:t>
      </w:r>
    </w:p>
    <w:p w14:paraId="77A4EEB6" w14:textId="77777777" w:rsidR="005523AD" w:rsidRPr="00452B6B" w:rsidRDefault="005523AD" w:rsidP="005523AD">
      <w:pPr>
        <w:pStyle w:val="a3"/>
        <w:spacing w:line="240" w:lineRule="auto"/>
        <w:jc w:val="left"/>
      </w:pPr>
      <w:proofErr w:type="spellStart"/>
      <w:r w:rsidRPr="00452B6B">
        <w:t>Barriuso</w:t>
      </w:r>
      <w:proofErr w:type="spellEnd"/>
      <w:r w:rsidRPr="00452B6B">
        <w:t xml:space="preserve">, T. A. (2018). </w:t>
      </w:r>
      <w:r w:rsidRPr="00452B6B">
        <w:rPr>
          <w:i/>
          <w:iCs/>
        </w:rPr>
        <w:t>The L2 acquisition of phonemes and allophones under various exposure conditions</w:t>
      </w:r>
      <w:r w:rsidRPr="00452B6B">
        <w:t xml:space="preserve"> [Unpublished doctoral dissertation]. The University of Utah.</w:t>
      </w:r>
    </w:p>
    <w:p w14:paraId="35F29467" w14:textId="77777777" w:rsidR="005523AD" w:rsidRPr="00452B6B" w:rsidRDefault="005523AD" w:rsidP="005523AD">
      <w:pPr>
        <w:pStyle w:val="a3"/>
        <w:spacing w:line="240" w:lineRule="auto"/>
        <w:jc w:val="left"/>
      </w:pPr>
      <w:r w:rsidRPr="00452B6B">
        <w:t xml:space="preserve">Bradlow, A. R., </w:t>
      </w:r>
      <w:proofErr w:type="spellStart"/>
      <w:r w:rsidRPr="00452B6B">
        <w:t>Akahane</w:t>
      </w:r>
      <w:proofErr w:type="spellEnd"/>
      <w:r w:rsidRPr="00452B6B">
        <w:t xml:space="preserve">-Yamada, R., Pisoni, D. B., &amp; </w:t>
      </w:r>
      <w:proofErr w:type="spellStart"/>
      <w:r w:rsidRPr="00452B6B">
        <w:t>Tohkura</w:t>
      </w:r>
      <w:proofErr w:type="spellEnd"/>
      <w:r w:rsidRPr="00452B6B">
        <w:t xml:space="preserve">, Y. (1999). Training Japanese listeners to identify English /r/and /l/: Long-term retention of learning in perception and production. </w:t>
      </w:r>
      <w:r w:rsidRPr="00452B6B">
        <w:rPr>
          <w:i/>
          <w:iCs/>
        </w:rPr>
        <w:t>Perception &amp; Psychophysics</w:t>
      </w:r>
      <w:r w:rsidRPr="00452B6B">
        <w:t xml:space="preserve">, </w:t>
      </w:r>
      <w:r w:rsidRPr="00452B6B">
        <w:rPr>
          <w:i/>
          <w:iCs/>
        </w:rPr>
        <w:t>61</w:t>
      </w:r>
      <w:r w:rsidRPr="00452B6B">
        <w:t>(5), 977–985. https://doi.org/10.3758/BF03206911</w:t>
      </w:r>
    </w:p>
    <w:p w14:paraId="64710415" w14:textId="77777777" w:rsidR="005523AD" w:rsidRPr="00452B6B" w:rsidRDefault="005523AD" w:rsidP="005523AD">
      <w:pPr>
        <w:pStyle w:val="a3"/>
        <w:spacing w:line="240" w:lineRule="auto"/>
        <w:jc w:val="left"/>
      </w:pPr>
      <w:r w:rsidRPr="00452B6B">
        <w:t xml:space="preserve">Burnham, K. R. (2013–2014). Phonetic training in the foreign language curriculum. </w:t>
      </w:r>
      <w:r w:rsidRPr="00452B6B">
        <w:rPr>
          <w:i/>
          <w:iCs/>
        </w:rPr>
        <w:t>Applied Language Learning</w:t>
      </w:r>
      <w:r w:rsidRPr="00452B6B">
        <w:t xml:space="preserve">, </w:t>
      </w:r>
      <w:r w:rsidRPr="00452B6B">
        <w:rPr>
          <w:i/>
          <w:iCs/>
        </w:rPr>
        <w:t>23–24</w:t>
      </w:r>
      <w:r w:rsidRPr="00452B6B">
        <w:t>, 63–74.</w:t>
      </w:r>
    </w:p>
    <w:p w14:paraId="435C6B74" w14:textId="7BB06A09" w:rsidR="00E651A7" w:rsidRPr="00452B6B" w:rsidRDefault="00E64986" w:rsidP="003E2416">
      <w:pPr>
        <w:ind w:left="839" w:hanging="839"/>
        <w:jc w:val="left"/>
      </w:pPr>
      <w:r w:rsidRPr="00452B6B">
        <w:t xml:space="preserve">Callan, D.E., Tajima, K., Callan, A.M., Kubo, R., Masaki, S., &amp; </w:t>
      </w:r>
      <w:proofErr w:type="spellStart"/>
      <w:r w:rsidRPr="00452B6B">
        <w:t>Akahane</w:t>
      </w:r>
      <w:proofErr w:type="spellEnd"/>
      <w:r w:rsidRPr="00452B6B">
        <w:t>-Yamada, R. (2003).</w:t>
      </w:r>
      <w:r w:rsidR="00E651A7" w:rsidRPr="00452B6B">
        <w:t xml:space="preserve"> Learning-induced neural plasticity associated with improved identification performance after training of a difficult second-language phonetic contrast. </w:t>
      </w:r>
      <w:proofErr w:type="spellStart"/>
      <w:r w:rsidR="00E651A7" w:rsidRPr="00452B6B">
        <w:rPr>
          <w:i/>
          <w:iCs/>
        </w:rPr>
        <w:t>NeuroImage</w:t>
      </w:r>
      <w:proofErr w:type="spellEnd"/>
      <w:r w:rsidR="00E651A7" w:rsidRPr="00452B6B">
        <w:t xml:space="preserve"> 19, 113 – 124. </w:t>
      </w:r>
      <w:hyperlink r:id="rId20" w:history="1">
        <w:r w:rsidR="00E651A7" w:rsidRPr="00452B6B">
          <w:rPr>
            <w:rStyle w:val="aa"/>
          </w:rPr>
          <w:t>https://doi.org/10.1016/S1053-8119(03)00020-X</w:t>
        </w:r>
      </w:hyperlink>
      <w:r w:rsidR="00E651A7" w:rsidRPr="00452B6B">
        <w:t xml:space="preserve"> </w:t>
      </w:r>
    </w:p>
    <w:p w14:paraId="2493F2C3" w14:textId="1E2DCB4F" w:rsidR="003E2416" w:rsidRPr="00452B6B" w:rsidRDefault="00705425" w:rsidP="00705425">
      <w:pPr>
        <w:pStyle w:val="a3"/>
        <w:spacing w:line="240" w:lineRule="auto"/>
        <w:jc w:val="left"/>
      </w:pPr>
      <w:r w:rsidRPr="00705425">
        <w:t xml:space="preserve">Carlet, A., &amp; Cebrian, J. (2022). The roles of task, segment type, and attention in L2 perceptual training. Applied Psycholinguistics, 43(2), 271–299. </w:t>
      </w:r>
      <w:hyperlink r:id="rId21" w:history="1">
        <w:r w:rsidRPr="00901D76">
          <w:rPr>
            <w:rStyle w:val="aa"/>
          </w:rPr>
          <w:t>https://doi.org/10.1017/S0142716421000515</w:t>
        </w:r>
      </w:hyperlink>
      <w:r>
        <w:rPr>
          <w:rFonts w:hint="eastAsia"/>
        </w:rPr>
        <w:t xml:space="preserve"> &amp; </w:t>
      </w:r>
      <w:r w:rsidR="003E2416" w:rsidRPr="00452B6B">
        <w:t xml:space="preserve">Carlet, A. (2017). </w:t>
      </w:r>
      <w:r w:rsidR="003E2416" w:rsidRPr="00452B6B">
        <w:rPr>
          <w:i/>
          <w:iCs/>
        </w:rPr>
        <w:t>L2 perception and production of English consonants and vowels by Catalan speakers: The effects of attention and training task in a cross-training study</w:t>
      </w:r>
      <w:r w:rsidR="003E2416" w:rsidRPr="00452B6B">
        <w:t xml:space="preserve"> [Unpublished doctoral dissertation]. </w:t>
      </w:r>
      <w:proofErr w:type="spellStart"/>
      <w:r w:rsidR="003E2416" w:rsidRPr="00452B6B">
        <w:t>Universitat</w:t>
      </w:r>
      <w:proofErr w:type="spellEnd"/>
      <w:r w:rsidR="003E2416" w:rsidRPr="00452B6B">
        <w:t xml:space="preserve"> </w:t>
      </w:r>
      <w:proofErr w:type="spellStart"/>
      <w:r w:rsidR="003E2416" w:rsidRPr="00452B6B">
        <w:t>Autònoma</w:t>
      </w:r>
      <w:proofErr w:type="spellEnd"/>
      <w:r w:rsidR="003E2416" w:rsidRPr="00452B6B">
        <w:t xml:space="preserve"> de Barcelona.</w:t>
      </w:r>
    </w:p>
    <w:p w14:paraId="441EA64F" w14:textId="5128966D" w:rsidR="003E2416" w:rsidRPr="00452B6B" w:rsidRDefault="00A339E6" w:rsidP="00A339E6">
      <w:pPr>
        <w:ind w:left="839" w:hanging="839"/>
        <w:jc w:val="left"/>
      </w:pPr>
      <w:r w:rsidRPr="00452B6B">
        <w:t xml:space="preserve">Cebrian, J., &amp; Carlet, A. (2014). Second-language learners’ identification of target-language phonemes: A short-term phonetic training study. </w:t>
      </w:r>
      <w:r w:rsidRPr="00452B6B">
        <w:rPr>
          <w:i/>
          <w:iCs/>
        </w:rPr>
        <w:t>The Canadian Modern Language Review</w:t>
      </w:r>
      <w:r w:rsidRPr="00452B6B">
        <w:t xml:space="preserve">, 70(4), 474 – 499. </w:t>
      </w:r>
      <w:hyperlink r:id="rId22" w:history="1">
        <w:r w:rsidRPr="00452B6B">
          <w:rPr>
            <w:rStyle w:val="aa"/>
          </w:rPr>
          <w:t>https://doi.org/10.3138/cmlr.2318</w:t>
        </w:r>
      </w:hyperlink>
    </w:p>
    <w:p w14:paraId="55B84136" w14:textId="40218D97" w:rsidR="007C7D99" w:rsidRPr="00452B6B" w:rsidRDefault="007C7D99" w:rsidP="007C7D99">
      <w:pPr>
        <w:ind w:left="839" w:hanging="839"/>
        <w:jc w:val="left"/>
      </w:pPr>
      <w:r w:rsidRPr="00452B6B">
        <w:t xml:space="preserve">Cebrian, J., Carlet, A., Gorba, C., &amp; </w:t>
      </w:r>
      <w:proofErr w:type="spellStart"/>
      <w:r w:rsidRPr="00452B6B">
        <w:t>Gavaldà</w:t>
      </w:r>
      <w:proofErr w:type="spellEnd"/>
      <w:r w:rsidRPr="00452B6B">
        <w:t xml:space="preserve">, N. (2019). Perceptual training affects L2 perception but not cross-linguistic similarity. </w:t>
      </w:r>
      <w:r w:rsidRPr="00452B6B">
        <w:rPr>
          <w:i/>
          <w:iCs/>
        </w:rPr>
        <w:t>Proceedings of the 19th International Congress of Phonetic Sciences</w:t>
      </w:r>
      <w:r w:rsidR="004F391C" w:rsidRPr="00452B6B">
        <w:t xml:space="preserve">, 929 – 933. </w:t>
      </w:r>
    </w:p>
    <w:p w14:paraId="7876C982" w14:textId="77777777" w:rsidR="00ED40BD" w:rsidRPr="00452B6B" w:rsidRDefault="00ED40BD" w:rsidP="00ED40BD">
      <w:pPr>
        <w:pStyle w:val="a3"/>
        <w:spacing w:line="240" w:lineRule="auto"/>
        <w:jc w:val="left"/>
      </w:pPr>
      <w:r w:rsidRPr="00452B6B">
        <w:t xml:space="preserve">de Oliveira, D. M. (2020). </w:t>
      </w:r>
      <w:r w:rsidRPr="00452B6B">
        <w:rPr>
          <w:i/>
          <w:iCs/>
        </w:rPr>
        <w:t>Auditory selective attention and performance in high variability phonetic training: The perception of Portuguese stops by Chinese L2 learners</w:t>
      </w:r>
      <w:r w:rsidRPr="00452B6B">
        <w:t xml:space="preserve"> [Unpublished doctoral dissertation]. </w:t>
      </w:r>
      <w:proofErr w:type="spellStart"/>
      <w:r w:rsidRPr="00452B6B">
        <w:t>Universidade</w:t>
      </w:r>
      <w:proofErr w:type="spellEnd"/>
      <w:r w:rsidRPr="00452B6B">
        <w:t xml:space="preserve"> do Minho.</w:t>
      </w:r>
    </w:p>
    <w:p w14:paraId="24FE6838" w14:textId="77777777" w:rsidR="00ED40BD" w:rsidRPr="00452B6B" w:rsidRDefault="00ED40BD" w:rsidP="00ED40BD">
      <w:pPr>
        <w:pStyle w:val="a3"/>
        <w:spacing w:line="240" w:lineRule="auto"/>
        <w:jc w:val="left"/>
      </w:pPr>
      <w:r w:rsidRPr="00452B6B">
        <w:t xml:space="preserve">Dong, H., </w:t>
      </w:r>
      <w:proofErr w:type="spellStart"/>
      <w:r w:rsidRPr="00452B6B">
        <w:t>Clayards</w:t>
      </w:r>
      <w:proofErr w:type="spellEnd"/>
      <w:r w:rsidRPr="00452B6B">
        <w:t xml:space="preserve">, M., Brown, H., &amp; Wonnacott, E. (2019). The effects of high versus low talker variability and individual aptitude on phonetic training of Mandarin lexical tones. </w:t>
      </w:r>
      <w:proofErr w:type="spellStart"/>
      <w:r w:rsidRPr="00452B6B">
        <w:rPr>
          <w:i/>
          <w:iCs/>
        </w:rPr>
        <w:t>PeerJ</w:t>
      </w:r>
      <w:proofErr w:type="spellEnd"/>
      <w:r w:rsidRPr="00452B6B">
        <w:t xml:space="preserve">, </w:t>
      </w:r>
      <w:r w:rsidRPr="00452B6B">
        <w:rPr>
          <w:i/>
          <w:iCs/>
        </w:rPr>
        <w:t>7</w:t>
      </w:r>
      <w:r w:rsidRPr="00452B6B">
        <w:t>, e7191. https://doi.org/10.7717/peerj.7191</w:t>
      </w:r>
    </w:p>
    <w:p w14:paraId="0E07959D" w14:textId="655882A7" w:rsidR="008105A2" w:rsidRPr="00452B6B" w:rsidRDefault="008105A2" w:rsidP="008105A2">
      <w:pPr>
        <w:pStyle w:val="a3"/>
        <w:spacing w:line="240" w:lineRule="auto"/>
        <w:jc w:val="left"/>
      </w:pPr>
      <w:r w:rsidRPr="00452B6B">
        <w:lastRenderedPageBreak/>
        <w:t xml:space="preserve">Flege, J. E. (1995). Two procedures for training a novel second language phonetic contrast. </w:t>
      </w:r>
      <w:r w:rsidRPr="00452B6B">
        <w:rPr>
          <w:i/>
          <w:iCs/>
        </w:rPr>
        <w:t>Applied Psycholinguistics</w:t>
      </w:r>
      <w:r w:rsidRPr="00452B6B">
        <w:t xml:space="preserve">, </w:t>
      </w:r>
      <w:r w:rsidRPr="00452B6B">
        <w:rPr>
          <w:i/>
          <w:iCs/>
        </w:rPr>
        <w:t>16</w:t>
      </w:r>
      <w:r w:rsidRPr="00452B6B">
        <w:t xml:space="preserve">(4), 425–442. </w:t>
      </w:r>
      <w:hyperlink r:id="rId23" w:history="1">
        <w:r w:rsidR="00CF4589" w:rsidRPr="00452B6B">
          <w:rPr>
            <w:rStyle w:val="aa"/>
          </w:rPr>
          <w:t>https://doi.org/10.1017/S0142716400066029</w:t>
        </w:r>
      </w:hyperlink>
    </w:p>
    <w:p w14:paraId="7AA9FED1" w14:textId="17502745" w:rsidR="00735F87" w:rsidRPr="00452B6B" w:rsidRDefault="00CF4589" w:rsidP="00735F87">
      <w:pPr>
        <w:pStyle w:val="a3"/>
        <w:spacing w:line="240" w:lineRule="auto"/>
        <w:jc w:val="left"/>
      </w:pPr>
      <w:r w:rsidRPr="00452B6B">
        <w:t xml:space="preserve">Fouz-González, J., &amp; </w:t>
      </w:r>
      <w:proofErr w:type="spellStart"/>
      <w:r w:rsidRPr="00452B6B">
        <w:t>Mompean</w:t>
      </w:r>
      <w:proofErr w:type="spellEnd"/>
      <w:r w:rsidRPr="00452B6B">
        <w:t xml:space="preserve">, J. A. (2021). Exploring the potential of phonetic symbols and keywords as labels for perceptual training. </w:t>
      </w:r>
      <w:r w:rsidRPr="00452B6B">
        <w:rPr>
          <w:i/>
          <w:iCs/>
        </w:rPr>
        <w:t>Studies in Second Language Acquisition</w:t>
      </w:r>
      <w:r w:rsidRPr="00452B6B">
        <w:t xml:space="preserve">, </w:t>
      </w:r>
      <w:r w:rsidRPr="00452B6B">
        <w:rPr>
          <w:i/>
          <w:iCs/>
        </w:rPr>
        <w:t>43</w:t>
      </w:r>
      <w:r w:rsidRPr="00452B6B">
        <w:t xml:space="preserve">(2), 297–328. </w:t>
      </w:r>
      <w:hyperlink r:id="rId24" w:history="1">
        <w:r w:rsidR="00735F87" w:rsidRPr="00452B6B">
          <w:rPr>
            <w:rStyle w:val="aa"/>
          </w:rPr>
          <w:t>https://doi.org/10.1017/S0272263120000455</w:t>
        </w:r>
      </w:hyperlink>
    </w:p>
    <w:p w14:paraId="61FCDA14" w14:textId="4A688F0C" w:rsidR="00735F87" w:rsidRPr="00452B6B" w:rsidRDefault="00735F87" w:rsidP="00735F87">
      <w:pPr>
        <w:ind w:left="839" w:hanging="839"/>
        <w:jc w:val="left"/>
      </w:pPr>
      <w:r w:rsidRPr="00452B6B">
        <w:t xml:space="preserve">Francis, A.L., Ciocca, V., Ma, L., &amp; Fenn, K. (2008). Perceptual learning of Cantonese lexical tones by tone and non-tone language speakers. </w:t>
      </w:r>
      <w:r w:rsidRPr="00452B6B">
        <w:rPr>
          <w:i/>
          <w:iCs/>
        </w:rPr>
        <w:t>Journal of Phonetics</w:t>
      </w:r>
      <w:r w:rsidRPr="00452B6B">
        <w:t xml:space="preserve">, 36, 268 – 294. </w:t>
      </w:r>
      <w:hyperlink r:id="rId25" w:history="1">
        <w:r w:rsidRPr="00452B6B">
          <w:rPr>
            <w:rStyle w:val="aa"/>
          </w:rPr>
          <w:t>https://doi.org/10.1016/j.wocn.2007.06.005</w:t>
        </w:r>
      </w:hyperlink>
      <w:r w:rsidRPr="00452B6B">
        <w:t xml:space="preserve"> </w:t>
      </w:r>
    </w:p>
    <w:p w14:paraId="36109D35" w14:textId="726E4845" w:rsidR="003A7380" w:rsidRDefault="003A7380" w:rsidP="00AA4D25">
      <w:pPr>
        <w:pStyle w:val="a3"/>
        <w:spacing w:line="240" w:lineRule="auto"/>
        <w:jc w:val="left"/>
      </w:pPr>
      <w:r w:rsidRPr="003A7380">
        <w:t xml:space="preserve">Georgiou, G. P. (2021). Effects of phonetic training on the discrimination of second language sounds by learners with naturalistic access to the second language. </w:t>
      </w:r>
      <w:r w:rsidRPr="003A7380">
        <w:rPr>
          <w:i/>
          <w:iCs/>
        </w:rPr>
        <w:t>Journal of Psycholinguistic Research, 50</w:t>
      </w:r>
      <w:r w:rsidRPr="003A7380">
        <w:t>(3), 707–721. https://doi.org/10.1007/s10936-021-09774-3</w:t>
      </w:r>
    </w:p>
    <w:p w14:paraId="443C0D7B" w14:textId="5F3602A7" w:rsidR="00AA4D25" w:rsidRPr="00452B6B" w:rsidRDefault="00AA4D25" w:rsidP="00AA4D25">
      <w:pPr>
        <w:pStyle w:val="a3"/>
        <w:spacing w:line="240" w:lineRule="auto"/>
        <w:jc w:val="left"/>
      </w:pPr>
      <w:r w:rsidRPr="00452B6B">
        <w:t xml:space="preserve">Giannakopoulou, A., Brown, H., </w:t>
      </w:r>
      <w:proofErr w:type="spellStart"/>
      <w:r w:rsidRPr="00452B6B">
        <w:t>Clayards</w:t>
      </w:r>
      <w:proofErr w:type="spellEnd"/>
      <w:r w:rsidRPr="00452B6B">
        <w:t xml:space="preserve">, M., &amp; Wonnacott, E. (2017). High or low? Comparing high and low-variability phonetic training in adult and child second language learners. </w:t>
      </w:r>
      <w:proofErr w:type="spellStart"/>
      <w:r w:rsidRPr="00452B6B">
        <w:rPr>
          <w:i/>
          <w:iCs/>
        </w:rPr>
        <w:t>PeerJ</w:t>
      </w:r>
      <w:proofErr w:type="spellEnd"/>
      <w:r w:rsidRPr="00452B6B">
        <w:t xml:space="preserve">, </w:t>
      </w:r>
      <w:r w:rsidRPr="00452B6B">
        <w:rPr>
          <w:i/>
          <w:iCs/>
        </w:rPr>
        <w:t>5</w:t>
      </w:r>
      <w:r w:rsidRPr="00452B6B">
        <w:t xml:space="preserve">, e3209. </w:t>
      </w:r>
      <w:hyperlink r:id="rId26" w:history="1">
        <w:r w:rsidRPr="00452B6B">
          <w:rPr>
            <w:rStyle w:val="aa"/>
          </w:rPr>
          <w:t>https://doi.org/10.7717/peerj.3209</w:t>
        </w:r>
      </w:hyperlink>
    </w:p>
    <w:p w14:paraId="4EDE0352" w14:textId="77777777" w:rsidR="00AA4D25" w:rsidRPr="00452B6B" w:rsidRDefault="00AA4D25" w:rsidP="00AA4D25">
      <w:pPr>
        <w:pStyle w:val="a3"/>
        <w:spacing w:line="240" w:lineRule="auto"/>
        <w:jc w:val="left"/>
      </w:pPr>
      <w:r w:rsidRPr="00452B6B">
        <w:t xml:space="preserve">Giannakopoulou, A., Uther, M., &amp; Ylinen, S. (2013). Enhanced plasticity in spoken language acquisition for child learners: Evidence from phonetic training studies in child and adult learners of English. </w:t>
      </w:r>
      <w:r w:rsidRPr="00452B6B">
        <w:rPr>
          <w:i/>
          <w:iCs/>
        </w:rPr>
        <w:t>Child Language Teaching and Therapy</w:t>
      </w:r>
      <w:r w:rsidRPr="00452B6B">
        <w:t xml:space="preserve">, </w:t>
      </w:r>
      <w:r w:rsidRPr="00452B6B">
        <w:rPr>
          <w:i/>
          <w:iCs/>
        </w:rPr>
        <w:t>29</w:t>
      </w:r>
      <w:r w:rsidRPr="00452B6B">
        <w:t>(2), 201–218. https://doi.org/10.1177/0265659012467473</w:t>
      </w:r>
    </w:p>
    <w:p w14:paraId="5A9D5E3F" w14:textId="7B358FE8" w:rsidR="00AA4D25" w:rsidRPr="00452B6B" w:rsidRDefault="00AA4D25" w:rsidP="007C7D99">
      <w:pPr>
        <w:ind w:left="839" w:hanging="839"/>
        <w:jc w:val="left"/>
      </w:pPr>
      <w:r w:rsidRPr="00452B6B">
        <w:t>Grenon</w:t>
      </w:r>
      <w:r w:rsidR="00E7290C" w:rsidRPr="00452B6B">
        <w:t xml:space="preserve">, I., Kubota, M., &amp; Sheppard, C. (2019). The creation of a new vowel category by adult learners after adaptive phonetic training. Journal of Phonetics, 72, 17 – 34. </w:t>
      </w:r>
      <w:hyperlink r:id="rId27" w:history="1">
        <w:r w:rsidR="00E7290C" w:rsidRPr="00452B6B">
          <w:rPr>
            <w:rStyle w:val="aa"/>
          </w:rPr>
          <w:t>https://doi.org/10.1016/j.wocn.2018.10.005</w:t>
        </w:r>
      </w:hyperlink>
      <w:r w:rsidR="00E7290C" w:rsidRPr="00452B6B">
        <w:t xml:space="preserve"> </w:t>
      </w:r>
    </w:p>
    <w:p w14:paraId="18505F03" w14:textId="682EE688" w:rsidR="00211240" w:rsidRPr="00452B6B" w:rsidRDefault="00211240" w:rsidP="00211240">
      <w:pPr>
        <w:ind w:left="839" w:hanging="839"/>
        <w:jc w:val="left"/>
      </w:pPr>
      <w:r w:rsidRPr="00211240">
        <w:t xml:space="preserve">Hardison, D. M. (2003). Acquisition of second-language speech: Effects of visual cues, context, and talker variability. </w:t>
      </w:r>
      <w:r w:rsidRPr="00211240">
        <w:rPr>
          <w:i/>
          <w:iCs/>
        </w:rPr>
        <w:t>Applied Psycholinguistics</w:t>
      </w:r>
      <w:r w:rsidRPr="00211240">
        <w:t xml:space="preserve">, </w:t>
      </w:r>
      <w:r w:rsidRPr="00211240">
        <w:rPr>
          <w:i/>
          <w:iCs/>
        </w:rPr>
        <w:t>24</w:t>
      </w:r>
      <w:r w:rsidRPr="00211240">
        <w:t xml:space="preserve">(4), 495–522. </w:t>
      </w:r>
      <w:hyperlink r:id="rId28" w:history="1">
        <w:r w:rsidRPr="00211240">
          <w:rPr>
            <w:rStyle w:val="aa"/>
          </w:rPr>
          <w:t>https://doi.org/10.1017/S0142716403000250</w:t>
        </w:r>
      </w:hyperlink>
    </w:p>
    <w:p w14:paraId="5E59C5F6" w14:textId="77777777" w:rsidR="00211240" w:rsidRPr="00211240" w:rsidRDefault="00211240" w:rsidP="00211240">
      <w:pPr>
        <w:ind w:left="839" w:hanging="839"/>
        <w:jc w:val="left"/>
      </w:pPr>
      <w:r w:rsidRPr="003A1763">
        <w:t xml:space="preserve">Hazan, V., &amp; Kim, Y. H. (2010). </w:t>
      </w:r>
      <w:r w:rsidRPr="00211240">
        <w:t xml:space="preserve">Can we predict who will benefit from computer-based phonetic training? In </w:t>
      </w:r>
      <w:r w:rsidRPr="00211240">
        <w:rPr>
          <w:i/>
          <w:iCs/>
        </w:rPr>
        <w:t>Online Proceedings of the INTERSPEECH 2010 Satellite Workshop on Second Language Studies: Acquisition, Learning, Education and Technology</w:t>
      </w:r>
      <w:r w:rsidRPr="00211240">
        <w:t xml:space="preserve"> (L2WS 2010), Tokyo, Japan.</w:t>
      </w:r>
    </w:p>
    <w:p w14:paraId="4C4D4726" w14:textId="13285E54" w:rsidR="00A339E6" w:rsidRPr="00452B6B" w:rsidRDefault="004A718B" w:rsidP="00A339E6">
      <w:pPr>
        <w:ind w:left="839" w:hanging="839"/>
        <w:jc w:val="left"/>
      </w:pPr>
      <w:r w:rsidRPr="00452B6B">
        <w:t xml:space="preserve">Hazan, V., </w:t>
      </w:r>
      <w:proofErr w:type="spellStart"/>
      <w:r w:rsidRPr="00452B6B">
        <w:t>Sennema</w:t>
      </w:r>
      <w:proofErr w:type="spellEnd"/>
      <w:r w:rsidRPr="00452B6B">
        <w:t xml:space="preserve">, A., Iba, M., &amp; Faulkner, A. (2005). Effect of audiovisual perceptual training on the perception and production of consonants by Japanese learners of English. </w:t>
      </w:r>
      <w:r w:rsidRPr="00452B6B">
        <w:rPr>
          <w:i/>
          <w:iCs/>
        </w:rPr>
        <w:t>Speech Communication</w:t>
      </w:r>
      <w:r w:rsidRPr="00452B6B">
        <w:t xml:space="preserve">, 47(3), 360 – 378. </w:t>
      </w:r>
      <w:hyperlink r:id="rId29" w:history="1">
        <w:r w:rsidRPr="00452B6B">
          <w:rPr>
            <w:rStyle w:val="aa"/>
          </w:rPr>
          <w:t>https://doi.org/10.1016/j.specom.2005.04.007</w:t>
        </w:r>
      </w:hyperlink>
      <w:r w:rsidRPr="00452B6B">
        <w:t xml:space="preserve"> </w:t>
      </w:r>
    </w:p>
    <w:p w14:paraId="792E616F" w14:textId="196A0B60" w:rsidR="00EF032A" w:rsidRPr="00452B6B" w:rsidRDefault="00EF032A" w:rsidP="00A339E6">
      <w:pPr>
        <w:ind w:left="839" w:hanging="839"/>
        <w:jc w:val="left"/>
      </w:pPr>
      <w:r w:rsidRPr="00452B6B">
        <w:t xml:space="preserve">Heinzen, C.C. (2014). </w:t>
      </w:r>
      <w:r w:rsidRPr="00452B6B">
        <w:rPr>
          <w:i/>
          <w:iCs/>
        </w:rPr>
        <w:t>Brain plasticity in speech training in native English speakers learning Mandarin Tones</w:t>
      </w:r>
      <w:r w:rsidRPr="00452B6B">
        <w:t xml:space="preserve"> (Unpublished master thesis). University of Minnesota. </w:t>
      </w:r>
    </w:p>
    <w:p w14:paraId="64410863" w14:textId="10B60B06" w:rsidR="00452B6B" w:rsidRPr="00452B6B" w:rsidRDefault="00452B6B" w:rsidP="00452B6B">
      <w:pPr>
        <w:pStyle w:val="a3"/>
        <w:spacing w:line="240" w:lineRule="auto"/>
        <w:jc w:val="left"/>
      </w:pPr>
      <w:r w:rsidRPr="003A1763">
        <w:t xml:space="preserve">Herd, W., </w:t>
      </w:r>
      <w:proofErr w:type="spellStart"/>
      <w:r w:rsidRPr="003A1763">
        <w:t>Jongman</w:t>
      </w:r>
      <w:proofErr w:type="spellEnd"/>
      <w:r w:rsidRPr="003A1763">
        <w:t xml:space="preserve">, A., &amp; Sereno, J. (2013). </w:t>
      </w:r>
      <w:r w:rsidRPr="00452B6B">
        <w:t xml:space="preserve">Perceptual and production training of intervocalic /d, ɾ, r/ in American English learners of Spanish. </w:t>
      </w:r>
      <w:r w:rsidRPr="00452B6B">
        <w:rPr>
          <w:i/>
          <w:iCs/>
        </w:rPr>
        <w:t>The Journal of the Acoustical Society of America</w:t>
      </w:r>
      <w:r w:rsidRPr="00452B6B">
        <w:t xml:space="preserve">, </w:t>
      </w:r>
      <w:r w:rsidRPr="00452B6B">
        <w:rPr>
          <w:i/>
          <w:iCs/>
        </w:rPr>
        <w:t>133</w:t>
      </w:r>
      <w:r w:rsidRPr="00452B6B">
        <w:t xml:space="preserve">(6), 4247–4255. </w:t>
      </w:r>
      <w:hyperlink r:id="rId30" w:history="1">
        <w:r w:rsidRPr="00452B6B">
          <w:rPr>
            <w:rStyle w:val="aa"/>
          </w:rPr>
          <w:t>https://doi.org/10.1121/1.4802902</w:t>
        </w:r>
      </w:hyperlink>
    </w:p>
    <w:p w14:paraId="3A59A8FC" w14:textId="3DC33FA4" w:rsidR="00E17133" w:rsidRDefault="00E17133" w:rsidP="00E17133">
      <w:pPr>
        <w:ind w:left="839" w:hanging="839"/>
      </w:pPr>
      <w:r>
        <w:t xml:space="preserve">Hirata, Y. (2004). Training native English speakers to perceive Japanese length contrasts in word versus sentence contexts. </w:t>
      </w:r>
      <w:r w:rsidRPr="00E17133">
        <w:rPr>
          <w:i/>
          <w:iCs/>
        </w:rPr>
        <w:t>The Journal of the Acoustical Society of America</w:t>
      </w:r>
      <w:r>
        <w:t xml:space="preserve">, 116, 2384 – 2394. </w:t>
      </w:r>
      <w:hyperlink r:id="rId31" w:history="1">
        <w:r w:rsidRPr="00FD3D10">
          <w:rPr>
            <w:rStyle w:val="aa"/>
          </w:rPr>
          <w:t>https://doi.org/10.1121/1.1783351</w:t>
        </w:r>
      </w:hyperlink>
      <w:r>
        <w:t xml:space="preserve"> </w:t>
      </w:r>
    </w:p>
    <w:p w14:paraId="1DDF00BA" w14:textId="6DAD3604" w:rsidR="00452B6B" w:rsidRPr="00452B6B" w:rsidRDefault="00452B6B" w:rsidP="00E17133">
      <w:pPr>
        <w:pStyle w:val="a3"/>
        <w:spacing w:line="240" w:lineRule="auto"/>
        <w:jc w:val="left"/>
      </w:pPr>
      <w:r w:rsidRPr="00452B6B">
        <w:t xml:space="preserve">Hirata, Y., &amp; Kelly, S. D. (2010). Effects of lips and hands on auditory learning of second-language speech sounds. </w:t>
      </w:r>
      <w:r w:rsidRPr="00452B6B">
        <w:rPr>
          <w:i/>
          <w:iCs/>
        </w:rPr>
        <w:t>Journal of Speech, Language, and Hearing Research</w:t>
      </w:r>
      <w:r w:rsidRPr="00452B6B">
        <w:t xml:space="preserve">, </w:t>
      </w:r>
      <w:r w:rsidRPr="00452B6B">
        <w:rPr>
          <w:i/>
          <w:iCs/>
        </w:rPr>
        <w:t>53</w:t>
      </w:r>
      <w:r w:rsidRPr="00452B6B">
        <w:t xml:space="preserve">(2), 298–310. </w:t>
      </w:r>
      <w:hyperlink r:id="rId32" w:history="1">
        <w:r w:rsidRPr="00452B6B">
          <w:rPr>
            <w:rStyle w:val="aa"/>
          </w:rPr>
          <w:t>https://doi.org/10.1044/1092-4388(2009/08-0243)</w:t>
        </w:r>
      </w:hyperlink>
    </w:p>
    <w:p w14:paraId="4405D62B" w14:textId="2BFD0521" w:rsidR="00452B6B" w:rsidRPr="00452B6B" w:rsidRDefault="00452B6B" w:rsidP="00452B6B">
      <w:pPr>
        <w:pStyle w:val="a3"/>
        <w:spacing w:line="240" w:lineRule="auto"/>
        <w:jc w:val="left"/>
      </w:pPr>
      <w:r w:rsidRPr="00452B6B">
        <w:t xml:space="preserve">Hirata, Y., Whitehurst, E., &amp; Cullings, E. (2007). Training native English speakers to identify Japanese vowel length contrast with sentences at varied speaking rates. </w:t>
      </w:r>
      <w:r w:rsidRPr="00452B6B">
        <w:rPr>
          <w:i/>
          <w:iCs/>
        </w:rPr>
        <w:t>The Journal of the Acoustical Society of America</w:t>
      </w:r>
      <w:r w:rsidRPr="00452B6B">
        <w:t xml:space="preserve">, </w:t>
      </w:r>
      <w:r w:rsidRPr="00452B6B">
        <w:rPr>
          <w:i/>
          <w:iCs/>
        </w:rPr>
        <w:t>121</w:t>
      </w:r>
      <w:r w:rsidRPr="00452B6B">
        <w:t xml:space="preserve">(6), 3837–3845. </w:t>
      </w:r>
      <w:hyperlink r:id="rId33" w:history="1">
        <w:r w:rsidRPr="00452B6B">
          <w:rPr>
            <w:rStyle w:val="aa"/>
          </w:rPr>
          <w:t>https://doi.org/10.1121/1.2734401</w:t>
        </w:r>
      </w:hyperlink>
    </w:p>
    <w:p w14:paraId="24BA0E5F" w14:textId="73A451EF" w:rsidR="00452B6B" w:rsidRDefault="00C4709D" w:rsidP="00A339E6">
      <w:pPr>
        <w:ind w:left="839" w:hanging="839"/>
        <w:jc w:val="left"/>
      </w:pPr>
      <w:r>
        <w:t xml:space="preserve">Huang, Y.F. (2013). </w:t>
      </w:r>
      <w:r w:rsidRPr="00C4709D">
        <w:rPr>
          <w:i/>
          <w:iCs/>
        </w:rPr>
        <w:t>The effects of two methods on training EFL university students in Taiwan to identify three non-native phonetic contrasts</w:t>
      </w:r>
      <w:r>
        <w:t xml:space="preserve"> (Unpublished doctoral dissertation). The Ohio State University. </w:t>
      </w:r>
    </w:p>
    <w:p w14:paraId="524FC37D" w14:textId="77777777" w:rsidR="00C4709D" w:rsidRPr="00AC0CC4" w:rsidRDefault="00C4709D" w:rsidP="00C4709D">
      <w:pPr>
        <w:pStyle w:val="a3"/>
        <w:spacing w:line="240" w:lineRule="auto"/>
        <w:jc w:val="left"/>
      </w:pPr>
      <w:proofErr w:type="spellStart"/>
      <w:r w:rsidRPr="00AC0CC4">
        <w:t>Huensch</w:t>
      </w:r>
      <w:proofErr w:type="spellEnd"/>
      <w:r w:rsidRPr="00AC0CC4">
        <w:t xml:space="preserve">, A., &amp; Tremblay, A. (2015). Effects of perceptual phonetic training on the perception and production of second language syllable structure. </w:t>
      </w:r>
      <w:r w:rsidRPr="001A191C">
        <w:rPr>
          <w:i/>
          <w:iCs/>
        </w:rPr>
        <w:t>Journal of Phonetics</w:t>
      </w:r>
      <w:r w:rsidRPr="00AC0CC4">
        <w:t xml:space="preserve">, </w:t>
      </w:r>
      <w:r w:rsidRPr="001A191C">
        <w:rPr>
          <w:i/>
          <w:iCs/>
        </w:rPr>
        <w:t>52</w:t>
      </w:r>
      <w:r w:rsidRPr="00AC0CC4">
        <w:t>, 105–120. https://doi.org/10.1016/j.wocn.2015.06.007</w:t>
      </w:r>
    </w:p>
    <w:p w14:paraId="0E1A8055" w14:textId="497919B2" w:rsidR="00C4709D" w:rsidRDefault="00DE29DB" w:rsidP="00DE29DB">
      <w:pPr>
        <w:ind w:left="839" w:hanging="839"/>
        <w:jc w:val="left"/>
      </w:pPr>
      <w:r>
        <w:t xml:space="preserve">Iino, A., &amp; Thomson, R.I. (2018). Effects of web-based HVPT on EFL learners’ recognition and production of L2 sounds. In P. </w:t>
      </w:r>
      <w:proofErr w:type="spellStart"/>
      <w:r>
        <w:t>Taalas</w:t>
      </w:r>
      <w:proofErr w:type="spellEnd"/>
      <w:r>
        <w:t xml:space="preserve">, J. Jalkanen, L. Bradley &amp; S. </w:t>
      </w:r>
      <w:proofErr w:type="spellStart"/>
      <w:r>
        <w:t>Thouesny</w:t>
      </w:r>
      <w:proofErr w:type="spellEnd"/>
      <w:r>
        <w:t xml:space="preserve"> (Eds.), </w:t>
      </w:r>
      <w:r w:rsidRPr="00DE29DB">
        <w:rPr>
          <w:i/>
          <w:iCs/>
        </w:rPr>
        <w:t xml:space="preserve">Future-proof CALL: Language learning as exploration and encounters – short papers from EUROCALL 2018 </w:t>
      </w:r>
      <w:r>
        <w:t xml:space="preserve">(pp. 106 – 111). </w:t>
      </w:r>
      <w:hyperlink r:id="rId34" w:history="1">
        <w:r w:rsidRPr="00FD3D10">
          <w:rPr>
            <w:rStyle w:val="aa"/>
          </w:rPr>
          <w:t>https://research-publishing.net/book?10.14705/rpnet.2018.26.9782490057221</w:t>
        </w:r>
      </w:hyperlink>
      <w:r>
        <w:t xml:space="preserve"> </w:t>
      </w:r>
    </w:p>
    <w:p w14:paraId="5C3CC34D" w14:textId="1094570E" w:rsidR="00C41CA2" w:rsidRDefault="00C41CA2" w:rsidP="00C41CA2">
      <w:pPr>
        <w:pStyle w:val="a3"/>
        <w:spacing w:line="240" w:lineRule="auto"/>
        <w:jc w:val="left"/>
      </w:pPr>
      <w:r>
        <w:t xml:space="preserve">Iverson, P., &amp; Evans, B.G. (2009). Learning English vowels with different first-language vowel systems II: Auditory training for native Spanish and German speakers. </w:t>
      </w:r>
      <w:r w:rsidRPr="00C41CA2">
        <w:rPr>
          <w:i/>
          <w:iCs/>
        </w:rPr>
        <w:t>The Journal of the Acoustical Society of America</w:t>
      </w:r>
      <w:r>
        <w:t xml:space="preserve">, 126, 866 – 877. </w:t>
      </w:r>
      <w:hyperlink r:id="rId35" w:history="1">
        <w:r w:rsidRPr="00FD3D10">
          <w:rPr>
            <w:rStyle w:val="aa"/>
          </w:rPr>
          <w:t>https://doi.org/10.1121/1.3148196</w:t>
        </w:r>
      </w:hyperlink>
      <w:r>
        <w:t xml:space="preserve"> </w:t>
      </w:r>
    </w:p>
    <w:p w14:paraId="295F090A" w14:textId="4CAE77F5" w:rsidR="00C41CA2" w:rsidRDefault="00C41CA2" w:rsidP="00C41CA2">
      <w:pPr>
        <w:pStyle w:val="a3"/>
        <w:spacing w:line="240" w:lineRule="auto"/>
        <w:jc w:val="left"/>
      </w:pPr>
      <w:r w:rsidRPr="00AC0CC4">
        <w:t xml:space="preserve">Iverson, P., Hazan, V., &amp; Bannister, K. (2005). Phonetic training with acoustic cue manipulations: A comparison of methods for teaching English /r/-/l/ to Japanese adults. </w:t>
      </w:r>
      <w:r w:rsidRPr="001A191C">
        <w:rPr>
          <w:i/>
          <w:iCs/>
        </w:rPr>
        <w:t>The Journal of the Acoustical Society of America</w:t>
      </w:r>
      <w:r w:rsidRPr="00AC0CC4">
        <w:t xml:space="preserve">, </w:t>
      </w:r>
      <w:r w:rsidRPr="001A191C">
        <w:rPr>
          <w:i/>
          <w:iCs/>
        </w:rPr>
        <w:t>118</w:t>
      </w:r>
      <w:r w:rsidRPr="00AC0CC4">
        <w:t xml:space="preserve">(5), 3267–3278. </w:t>
      </w:r>
      <w:hyperlink r:id="rId36" w:history="1">
        <w:r w:rsidRPr="00FD3D10">
          <w:rPr>
            <w:rStyle w:val="aa"/>
          </w:rPr>
          <w:t>https://doi.org/10.1121/1.2062307</w:t>
        </w:r>
      </w:hyperlink>
      <w:r>
        <w:t xml:space="preserve"> </w:t>
      </w:r>
    </w:p>
    <w:p w14:paraId="3DEA9495" w14:textId="176DEC79" w:rsidR="00C41CA2" w:rsidRDefault="00C41CA2" w:rsidP="00C41CA2">
      <w:pPr>
        <w:pStyle w:val="a3"/>
        <w:spacing w:line="240" w:lineRule="auto"/>
        <w:jc w:val="left"/>
      </w:pPr>
      <w:r w:rsidRPr="00AC0CC4">
        <w:t xml:space="preserve">Iverson, P., Pinet, M., &amp; Evans, B. G. (2012). Auditory training for experienced and inexperienced second-language learners: Native French speakers learning English vowels. </w:t>
      </w:r>
      <w:r w:rsidRPr="00046321">
        <w:rPr>
          <w:i/>
          <w:iCs/>
        </w:rPr>
        <w:t>Applied Psycholinguistics</w:t>
      </w:r>
      <w:r w:rsidRPr="00AC0CC4">
        <w:t xml:space="preserve">, </w:t>
      </w:r>
      <w:r w:rsidRPr="00046321">
        <w:rPr>
          <w:i/>
          <w:iCs/>
        </w:rPr>
        <w:t>33</w:t>
      </w:r>
      <w:r w:rsidRPr="00AC0CC4">
        <w:t xml:space="preserve">(1), 145–160. </w:t>
      </w:r>
      <w:hyperlink r:id="rId37" w:history="1">
        <w:r w:rsidR="004C6219" w:rsidRPr="00FD3D10">
          <w:rPr>
            <w:rStyle w:val="aa"/>
          </w:rPr>
          <w:t>https://doi.org/10.1017/S0142716411000300</w:t>
        </w:r>
      </w:hyperlink>
    </w:p>
    <w:p w14:paraId="264B1945" w14:textId="63FF5155" w:rsidR="00170EA1" w:rsidRDefault="00170EA1" w:rsidP="00170EA1">
      <w:pPr>
        <w:pStyle w:val="a3"/>
        <w:spacing w:line="240" w:lineRule="auto"/>
        <w:jc w:val="left"/>
      </w:pPr>
      <w:proofErr w:type="spellStart"/>
      <w:r w:rsidRPr="00AC0CC4">
        <w:t>Lacabex</w:t>
      </w:r>
      <w:proofErr w:type="spellEnd"/>
      <w:r w:rsidRPr="00AC0CC4">
        <w:t xml:space="preserve">, E. G., &amp; Gallardo del Puerto, F. (2014). Two phonetic-training procedures for young learners: Investigating instructional effects on perceptual awareness. </w:t>
      </w:r>
      <w:r w:rsidRPr="00046321">
        <w:rPr>
          <w:i/>
          <w:iCs/>
        </w:rPr>
        <w:t>The Canadian Modern Language Review</w:t>
      </w:r>
      <w:r w:rsidRPr="00AC0CC4">
        <w:t xml:space="preserve">, </w:t>
      </w:r>
      <w:r w:rsidRPr="00046321">
        <w:rPr>
          <w:i/>
          <w:iCs/>
        </w:rPr>
        <w:t>70</w:t>
      </w:r>
      <w:r w:rsidRPr="00AC0CC4">
        <w:t xml:space="preserve">(4), 500–531. </w:t>
      </w:r>
      <w:hyperlink r:id="rId38" w:history="1">
        <w:r w:rsidRPr="00FD3D10">
          <w:rPr>
            <w:rStyle w:val="aa"/>
          </w:rPr>
          <w:t>https://doi.org/10.3138/cmlr.2324</w:t>
        </w:r>
      </w:hyperlink>
    </w:p>
    <w:p w14:paraId="2A153400" w14:textId="77777777" w:rsidR="00170EA1" w:rsidRPr="00AC0CC4" w:rsidRDefault="00170EA1" w:rsidP="00170EA1">
      <w:pPr>
        <w:pStyle w:val="a3"/>
        <w:spacing w:line="240" w:lineRule="auto"/>
        <w:jc w:val="left"/>
      </w:pPr>
      <w:r w:rsidRPr="00AC0CC4">
        <w:t xml:space="preserve">Lambacher, S. G., Martens, W. L., </w:t>
      </w:r>
      <w:proofErr w:type="spellStart"/>
      <w:r w:rsidRPr="00AC0CC4">
        <w:t>Kakehi</w:t>
      </w:r>
      <w:proofErr w:type="spellEnd"/>
      <w:r w:rsidRPr="00AC0CC4">
        <w:t xml:space="preserve">, K., Marasinghe, C. A., &amp; </w:t>
      </w:r>
      <w:proofErr w:type="spellStart"/>
      <w:r w:rsidRPr="00AC0CC4">
        <w:t>Molholt</w:t>
      </w:r>
      <w:proofErr w:type="spellEnd"/>
      <w:r w:rsidRPr="00AC0CC4">
        <w:t xml:space="preserve">, G. (2005). The effects of identification training on the identification and production of American English vowels by native speakers of Japanese. </w:t>
      </w:r>
      <w:r w:rsidRPr="00046321">
        <w:rPr>
          <w:i/>
          <w:iCs/>
        </w:rPr>
        <w:t>Applied Psycholinguistics</w:t>
      </w:r>
      <w:r w:rsidRPr="00AC0CC4">
        <w:t xml:space="preserve">, </w:t>
      </w:r>
      <w:r w:rsidRPr="00046321">
        <w:rPr>
          <w:i/>
          <w:iCs/>
        </w:rPr>
        <w:t>26</w:t>
      </w:r>
      <w:r w:rsidRPr="00AC0CC4">
        <w:t>(2), 227–247. https://doi.org/10.1017/S0142716405050150</w:t>
      </w:r>
    </w:p>
    <w:p w14:paraId="140B3267" w14:textId="173B51D4" w:rsidR="00DE29DB" w:rsidRDefault="00EA559B" w:rsidP="00DE29DB">
      <w:pPr>
        <w:ind w:left="839" w:hanging="839"/>
        <w:jc w:val="left"/>
      </w:pPr>
      <w:r w:rsidRPr="003A1763">
        <w:t>Lee, H.Y., &amp; Hwang, H. (201</w:t>
      </w:r>
      <w:r w:rsidR="00F37359" w:rsidRPr="003A1763">
        <w:t>6</w:t>
      </w:r>
      <w:r w:rsidRPr="003A1763">
        <w:t xml:space="preserve">). </w:t>
      </w:r>
      <w:r>
        <w:t xml:space="preserve">Gradient of learnability in teaching English pronunciation to Korean learners. </w:t>
      </w:r>
      <w:r w:rsidRPr="00EA559B">
        <w:rPr>
          <w:i/>
          <w:iCs/>
        </w:rPr>
        <w:t>The Journal of the Acoustical Society of America</w:t>
      </w:r>
      <w:r>
        <w:t xml:space="preserve">, 139, 1859 – 1872. </w:t>
      </w:r>
      <w:hyperlink r:id="rId39" w:history="1">
        <w:r w:rsidRPr="00FD3D10">
          <w:rPr>
            <w:rStyle w:val="aa"/>
          </w:rPr>
          <w:t>https://doi.org/10.1121/1.4945716</w:t>
        </w:r>
      </w:hyperlink>
      <w:r>
        <w:t xml:space="preserve"> </w:t>
      </w:r>
    </w:p>
    <w:p w14:paraId="784DFC0B" w14:textId="77777777" w:rsidR="00F37359" w:rsidRPr="00AC0CC4" w:rsidRDefault="00F37359" w:rsidP="00F37359">
      <w:pPr>
        <w:pStyle w:val="a3"/>
        <w:spacing w:line="240" w:lineRule="auto"/>
        <w:jc w:val="left"/>
      </w:pPr>
      <w:r w:rsidRPr="00FE1CD9">
        <w:rPr>
          <w:lang w:val="nl-BE"/>
        </w:rPr>
        <w:t xml:space="preserve">Lee, A. H., &amp; Lyster, R. (2016). </w:t>
      </w:r>
      <w:r w:rsidRPr="00AC0CC4">
        <w:t xml:space="preserve">Effects of different types of corrective feedback on receptive skills </w:t>
      </w:r>
      <w:r w:rsidRPr="00AC0CC4">
        <w:lastRenderedPageBreak/>
        <w:t xml:space="preserve">in a second language: A speech perception training study. </w:t>
      </w:r>
      <w:r w:rsidRPr="00046321">
        <w:rPr>
          <w:i/>
          <w:iCs/>
        </w:rPr>
        <w:t>Language Learning</w:t>
      </w:r>
      <w:r w:rsidRPr="00AC0CC4">
        <w:t xml:space="preserve">, </w:t>
      </w:r>
      <w:r w:rsidRPr="00046321">
        <w:rPr>
          <w:i/>
          <w:iCs/>
        </w:rPr>
        <w:t>66</w:t>
      </w:r>
      <w:r w:rsidRPr="00AC0CC4">
        <w:t>(4), 809–833. https://doi.org/10.1111/lang.12167</w:t>
      </w:r>
    </w:p>
    <w:p w14:paraId="0AFB4A03" w14:textId="60B93DB9" w:rsidR="00F37359" w:rsidRDefault="00F37359" w:rsidP="00DE29DB">
      <w:pPr>
        <w:ind w:left="839" w:hanging="839"/>
        <w:jc w:val="left"/>
      </w:pPr>
      <w:proofErr w:type="spellStart"/>
      <w:r>
        <w:t>Lengeris</w:t>
      </w:r>
      <w:proofErr w:type="spellEnd"/>
      <w:r>
        <w:t xml:space="preserve">, A., &amp; Hazan, V. (2010). The effect of native vowel processing ability and frequency discrimination acuity on the phonetic training of English vowels for native speakers of Greek. </w:t>
      </w:r>
      <w:r w:rsidRPr="001C1AF5">
        <w:rPr>
          <w:i/>
          <w:iCs/>
        </w:rPr>
        <w:t>The Journal of the Acoustical Society of America</w:t>
      </w:r>
      <w:r>
        <w:t xml:space="preserve">, 128, </w:t>
      </w:r>
      <w:r w:rsidR="00B62FE5">
        <w:t xml:space="preserve">3757 – 3768. </w:t>
      </w:r>
      <w:hyperlink r:id="rId40" w:history="1">
        <w:r w:rsidR="00B62FE5" w:rsidRPr="00FD3D10">
          <w:rPr>
            <w:rStyle w:val="aa"/>
          </w:rPr>
          <w:t>https://doi.org/10.1121/1.3506351</w:t>
        </w:r>
      </w:hyperlink>
      <w:r w:rsidR="00B62FE5">
        <w:t xml:space="preserve"> </w:t>
      </w:r>
    </w:p>
    <w:p w14:paraId="69089C31" w14:textId="77777777" w:rsidR="00A626CA" w:rsidRPr="00AC0CC4" w:rsidRDefault="00A626CA" w:rsidP="00A626CA">
      <w:pPr>
        <w:pStyle w:val="a3"/>
        <w:spacing w:line="240" w:lineRule="auto"/>
        <w:jc w:val="left"/>
      </w:pPr>
      <w:proofErr w:type="spellStart"/>
      <w:r w:rsidRPr="00AF3C33">
        <w:t>Lengeris</w:t>
      </w:r>
      <w:proofErr w:type="spellEnd"/>
      <w:r w:rsidRPr="00AF3C33">
        <w:t xml:space="preserve">, A., &amp; Nicolaidis, K. (2014). Effect of phonetic training on the perception of English consonants by Greek speakers in quiet and noise. </w:t>
      </w:r>
      <w:r w:rsidRPr="00AF3C33">
        <w:rPr>
          <w:i/>
          <w:iCs/>
        </w:rPr>
        <w:t>Proceedings of Meetings on Acoustics</w:t>
      </w:r>
      <w:r w:rsidRPr="00AF3C33">
        <w:t>, 22(1), 1–6. https://doi.org/10.1121/2.0000025</w:t>
      </w:r>
    </w:p>
    <w:p w14:paraId="6462D81B" w14:textId="77777777" w:rsidR="00A626CA" w:rsidRPr="00AC0CC4" w:rsidRDefault="00A626CA" w:rsidP="00A626CA">
      <w:pPr>
        <w:pStyle w:val="a3"/>
        <w:spacing w:line="240" w:lineRule="auto"/>
        <w:jc w:val="left"/>
      </w:pPr>
      <w:r w:rsidRPr="00AC0CC4">
        <w:t xml:space="preserve">Leong, C. X. R., Price, J. M., Pitchford, N. J., &amp; </w:t>
      </w:r>
      <w:proofErr w:type="spellStart"/>
      <w:r w:rsidRPr="00AC0CC4">
        <w:t>Heuven</w:t>
      </w:r>
      <w:proofErr w:type="spellEnd"/>
      <w:r w:rsidRPr="00AC0CC4">
        <w:t xml:space="preserve">, W. J. B. van. (2018). High variability phonetic training in adaptive adverse conditions is rapid, effective, and sustained. </w:t>
      </w:r>
      <w:r w:rsidRPr="00046321">
        <w:rPr>
          <w:i/>
          <w:iCs/>
        </w:rPr>
        <w:t>PLOS</w:t>
      </w:r>
      <w:r w:rsidRPr="00AC0CC4">
        <w:t xml:space="preserve"> </w:t>
      </w:r>
      <w:r w:rsidRPr="00046321">
        <w:rPr>
          <w:i/>
          <w:iCs/>
        </w:rPr>
        <w:t>ONE</w:t>
      </w:r>
      <w:r w:rsidRPr="00AC0CC4">
        <w:t xml:space="preserve">, </w:t>
      </w:r>
      <w:r w:rsidRPr="00046321">
        <w:rPr>
          <w:i/>
          <w:iCs/>
        </w:rPr>
        <w:t>13</w:t>
      </w:r>
      <w:r w:rsidRPr="00AC0CC4">
        <w:t>(10), e0204888. https://doi.org/10.1371/journal.pone.0204888</w:t>
      </w:r>
    </w:p>
    <w:p w14:paraId="4A2FEE51" w14:textId="0E77F358" w:rsidR="00A626CA" w:rsidRDefault="000B783B" w:rsidP="00DE29DB">
      <w:pPr>
        <w:ind w:left="839" w:hanging="839"/>
        <w:jc w:val="left"/>
      </w:pPr>
      <w:proofErr w:type="spellStart"/>
      <w:r>
        <w:t>Lerdpaisalwong</w:t>
      </w:r>
      <w:proofErr w:type="spellEnd"/>
      <w:r>
        <w:t xml:space="preserve">, S. (2015). </w:t>
      </w:r>
      <w:r w:rsidRPr="000B783B">
        <w:rPr>
          <w:i/>
          <w:iCs/>
        </w:rPr>
        <w:t>Perception training of Thai learners: American English consonants and vowels</w:t>
      </w:r>
      <w:r>
        <w:t xml:space="preserve"> (Unpublished doctoral dissertation). The University of Wisconsin-Milwaukee. </w:t>
      </w:r>
    </w:p>
    <w:p w14:paraId="40C3D14A" w14:textId="77777777" w:rsidR="000E64EC" w:rsidRPr="00AC0CC4" w:rsidRDefault="000E64EC" w:rsidP="000E64EC">
      <w:pPr>
        <w:pStyle w:val="a3"/>
        <w:spacing w:line="240" w:lineRule="auto"/>
        <w:jc w:val="left"/>
      </w:pPr>
      <w:r w:rsidRPr="00AC0CC4">
        <w:t xml:space="preserve">Li, Y. (2015). </w:t>
      </w:r>
      <w:r w:rsidRPr="009C7659">
        <w:rPr>
          <w:i/>
          <w:iCs/>
        </w:rPr>
        <w:t>Audio-visual training effect on L2 perception and production of English /θ/-/s/ and /ð/-/z/ by Mandarin speakers</w:t>
      </w:r>
      <w:r w:rsidRPr="00AC0CC4">
        <w:t xml:space="preserve"> [Unpublished doctoral dissertation]. Newcastle University.</w:t>
      </w:r>
    </w:p>
    <w:p w14:paraId="33D32FFC" w14:textId="28E33470" w:rsidR="000E64EC" w:rsidRDefault="000E64EC" w:rsidP="00DE29DB">
      <w:pPr>
        <w:ind w:left="839" w:hanging="839"/>
        <w:jc w:val="left"/>
      </w:pPr>
      <w:r>
        <w:t xml:space="preserve">Li, Y. (2016). </w:t>
      </w:r>
      <w:r w:rsidRPr="00062A83">
        <w:rPr>
          <w:i/>
          <w:iCs/>
        </w:rPr>
        <w:t>Effects of high variability phonetic training on monosyllabic and disyllabic Mandarin Chinese tones for L2 Chinese learners</w:t>
      </w:r>
      <w:r>
        <w:t xml:space="preserve"> (Unpublished doctoral thesis). </w:t>
      </w:r>
      <w:r w:rsidR="00062A83">
        <w:t xml:space="preserve">University of Kansas. </w:t>
      </w:r>
    </w:p>
    <w:p w14:paraId="2E5D95B5" w14:textId="649E81F4" w:rsidR="00E07F62" w:rsidRDefault="00E07F62" w:rsidP="00E07F62">
      <w:pPr>
        <w:pStyle w:val="a3"/>
        <w:spacing w:line="240" w:lineRule="auto"/>
        <w:jc w:val="left"/>
      </w:pPr>
      <w:r w:rsidRPr="00AC0CC4">
        <w:t xml:space="preserve">Lively, S. E., Logan, J. S., &amp; Pisoni, D. B. (1993). Training Japanese listeners to identify English /r/ and /l/. II: The role of phonetic environment and talker variability in learning new perceptual categories. </w:t>
      </w:r>
      <w:r w:rsidRPr="00046321">
        <w:rPr>
          <w:i/>
          <w:iCs/>
        </w:rPr>
        <w:t>The Journal of the Acoustical Society of America</w:t>
      </w:r>
      <w:r w:rsidRPr="00AC0CC4">
        <w:t xml:space="preserve">, </w:t>
      </w:r>
      <w:r w:rsidRPr="00046321">
        <w:rPr>
          <w:i/>
          <w:iCs/>
        </w:rPr>
        <w:t>94</w:t>
      </w:r>
      <w:r w:rsidRPr="00AC0CC4">
        <w:t xml:space="preserve">(3), 1242–1255. </w:t>
      </w:r>
      <w:hyperlink r:id="rId41" w:history="1">
        <w:r w:rsidRPr="00FD3D10">
          <w:rPr>
            <w:rStyle w:val="aa"/>
          </w:rPr>
          <w:t>https://doi.org/10.1121/1.408177</w:t>
        </w:r>
      </w:hyperlink>
      <w:r>
        <w:t xml:space="preserve"> </w:t>
      </w:r>
    </w:p>
    <w:p w14:paraId="3C157F11" w14:textId="310A498A" w:rsidR="00E07F62" w:rsidRDefault="00E07F62" w:rsidP="00E07F62">
      <w:pPr>
        <w:pStyle w:val="a3"/>
        <w:spacing w:line="240" w:lineRule="auto"/>
        <w:jc w:val="left"/>
      </w:pPr>
      <w:r>
        <w:t xml:space="preserve">Lively, S.E., Pisoni, D.B., &amp; Yamada, R.A. (1994). Training Japanese listeners to identify English /r/ and/l/. III. Long-term retention of new phonetic categories. </w:t>
      </w:r>
      <w:r w:rsidRPr="00E07F62">
        <w:rPr>
          <w:i/>
          <w:iCs/>
        </w:rPr>
        <w:t>The Journal of the Acoustical Society of America</w:t>
      </w:r>
      <w:r>
        <w:t xml:space="preserve">, 96, 2076 – 2087. </w:t>
      </w:r>
      <w:hyperlink r:id="rId42" w:history="1">
        <w:r w:rsidRPr="00FD3D10">
          <w:rPr>
            <w:rStyle w:val="aa"/>
          </w:rPr>
          <w:t>https://doi.org/10.1121/1.410149</w:t>
        </w:r>
      </w:hyperlink>
      <w:r>
        <w:t xml:space="preserve"> </w:t>
      </w:r>
    </w:p>
    <w:p w14:paraId="57451FD6" w14:textId="3E4B09EF" w:rsidR="00E07F62" w:rsidRDefault="00E07F62" w:rsidP="00E07F62">
      <w:pPr>
        <w:pStyle w:val="a3"/>
        <w:spacing w:line="240" w:lineRule="auto"/>
        <w:jc w:val="left"/>
      </w:pPr>
      <w:r w:rsidRPr="00AC0CC4">
        <w:t xml:space="preserve">Logan, J. S., Lively, S. E., &amp; Pisoni, D. B. (1991). Training Japanese listeners to identify English /r/ and /l/: A first report. </w:t>
      </w:r>
      <w:r w:rsidRPr="00046321">
        <w:rPr>
          <w:i/>
          <w:iCs/>
        </w:rPr>
        <w:t>The Journal of the Acoustical Society of America</w:t>
      </w:r>
      <w:r w:rsidRPr="00AC0CC4">
        <w:t xml:space="preserve">, </w:t>
      </w:r>
      <w:r w:rsidRPr="00046321">
        <w:rPr>
          <w:i/>
          <w:iCs/>
        </w:rPr>
        <w:t>89</w:t>
      </w:r>
      <w:r w:rsidRPr="00AC0CC4">
        <w:t xml:space="preserve">(2), 874–886. </w:t>
      </w:r>
      <w:hyperlink r:id="rId43" w:history="1">
        <w:r w:rsidR="006F3763" w:rsidRPr="00FD3D10">
          <w:rPr>
            <w:rStyle w:val="aa"/>
          </w:rPr>
          <w:t>https://doi.org/10.1121/1.1894649</w:t>
        </w:r>
      </w:hyperlink>
    </w:p>
    <w:p w14:paraId="42C31F78" w14:textId="255FAF24" w:rsidR="007A28E1" w:rsidRDefault="001C1AF5" w:rsidP="001C1AF5">
      <w:pPr>
        <w:ind w:left="839" w:hanging="839"/>
        <w:jc w:val="left"/>
      </w:pPr>
      <w:r>
        <w:t xml:space="preserve">Lopez-Soto, T., &amp; Kewley-Port, D., (2009). Relation of perception training to production of codas in English as a second language. </w:t>
      </w:r>
      <w:r w:rsidRPr="001C1AF5">
        <w:rPr>
          <w:i/>
          <w:iCs/>
        </w:rPr>
        <w:t>Proceedings of Meetings on Acoustics</w:t>
      </w:r>
      <w:r>
        <w:t xml:space="preserve">, 6, 1 – 15. </w:t>
      </w:r>
      <w:hyperlink r:id="rId44" w:history="1">
        <w:r w:rsidRPr="00FD3D10">
          <w:rPr>
            <w:rStyle w:val="aa"/>
          </w:rPr>
          <w:t>https://doi.org/10.1121/1.3262006</w:t>
        </w:r>
      </w:hyperlink>
      <w:r>
        <w:t xml:space="preserve"> </w:t>
      </w:r>
    </w:p>
    <w:p w14:paraId="44FE67E5" w14:textId="6CC4F151" w:rsidR="001C1AF5" w:rsidRDefault="0064166D" w:rsidP="001C1AF5">
      <w:pPr>
        <w:ind w:left="839" w:hanging="839"/>
        <w:jc w:val="left"/>
      </w:pPr>
      <w:r>
        <w:t xml:space="preserve">Macdonald, R.M.M. (2012). </w:t>
      </w:r>
      <w:r w:rsidRPr="0064166D">
        <w:rPr>
          <w:i/>
          <w:iCs/>
        </w:rPr>
        <w:t xml:space="preserve">Counteracting </w:t>
      </w:r>
      <w:proofErr w:type="gramStart"/>
      <w:r w:rsidRPr="0064166D">
        <w:rPr>
          <w:i/>
          <w:iCs/>
        </w:rPr>
        <w:t>age related</w:t>
      </w:r>
      <w:proofErr w:type="gramEnd"/>
      <w:r w:rsidRPr="0064166D">
        <w:rPr>
          <w:i/>
          <w:iCs/>
        </w:rPr>
        <w:t xml:space="preserve"> effects in L2 acquisition: Training to distinguish between French vowels</w:t>
      </w:r>
      <w:r>
        <w:t xml:space="preserve"> (Unpublished doctoral dissertation). The University of Edinburgh. </w:t>
      </w:r>
    </w:p>
    <w:p w14:paraId="1573FE80" w14:textId="42E0BD73" w:rsidR="0064166D" w:rsidRPr="007A28E1" w:rsidRDefault="00E2051F" w:rsidP="001C1AF5">
      <w:pPr>
        <w:ind w:left="839" w:hanging="839"/>
        <w:jc w:val="left"/>
      </w:pPr>
      <w:r w:rsidRPr="003A1763">
        <w:t xml:space="preserve">Melnik, G.A., &amp; Peperkamp, S. (2020). </w:t>
      </w:r>
      <w:r>
        <w:t xml:space="preserve">High-variability phonetic training enhances second language lexical processing: Evidence from online training of French learners of English. </w:t>
      </w:r>
      <w:r w:rsidRPr="00E2051F">
        <w:rPr>
          <w:i/>
          <w:iCs/>
        </w:rPr>
        <w:t>Bilingualism: Language and Cognition</w:t>
      </w:r>
      <w:r>
        <w:t xml:space="preserve">, 24(3), 497 – 506.  </w:t>
      </w:r>
      <w:r w:rsidRPr="00E2051F">
        <w:t>https://doi.org/10.1017/S1366728920000644</w:t>
      </w:r>
    </w:p>
    <w:p w14:paraId="2BE0091A" w14:textId="272462EB" w:rsidR="00B96181" w:rsidRDefault="00B96181" w:rsidP="00B96181">
      <w:pPr>
        <w:ind w:left="839" w:hanging="839"/>
      </w:pPr>
      <w:proofErr w:type="spellStart"/>
      <w:r>
        <w:lastRenderedPageBreak/>
        <w:t>Mokari</w:t>
      </w:r>
      <w:proofErr w:type="spellEnd"/>
      <w:r>
        <w:t xml:space="preserve">, P.G., &amp; Werner, S. (2017). Perceptual training of second-language vowels: Does musical ability play a role? </w:t>
      </w:r>
      <w:r w:rsidRPr="00B96181">
        <w:rPr>
          <w:i/>
          <w:iCs/>
        </w:rPr>
        <w:t>Journal of Psycholinguistic Research</w:t>
      </w:r>
      <w:r>
        <w:t>, 47, 95 – 112.</w:t>
      </w:r>
      <w:r w:rsidRPr="00B96181">
        <w:rPr>
          <w:rFonts w:ascii="Segoe UI" w:hAnsi="Segoe UI" w:cs="Segoe UI"/>
          <w:color w:val="333333"/>
          <w:shd w:val="clear" w:color="auto" w:fill="FCFCFC"/>
        </w:rPr>
        <w:t xml:space="preserve"> </w:t>
      </w:r>
      <w:hyperlink r:id="rId45" w:history="1">
        <w:r w:rsidRPr="00FD3D10">
          <w:rPr>
            <w:rStyle w:val="aa"/>
          </w:rPr>
          <w:t>https://doi.org/10.1007/s10936-017-9517-8</w:t>
        </w:r>
      </w:hyperlink>
      <w:r>
        <w:t xml:space="preserve"> </w:t>
      </w:r>
    </w:p>
    <w:p w14:paraId="261FD11A" w14:textId="5C1D0C7C" w:rsidR="009673F9" w:rsidRDefault="009673F9" w:rsidP="009673F9">
      <w:pPr>
        <w:ind w:left="720" w:hanging="720"/>
        <w:jc w:val="left"/>
      </w:pPr>
      <w:r w:rsidRPr="009673F9">
        <w:t xml:space="preserve">Nishi, K., &amp; Kewley-Port, D. (2007). Training Japanese listeners to perceive American English vowels: Influence of training sets. </w:t>
      </w:r>
      <w:r w:rsidRPr="009673F9">
        <w:rPr>
          <w:i/>
          <w:iCs/>
        </w:rPr>
        <w:t>Journal of Speech, Language, and Hearing Research</w:t>
      </w:r>
      <w:r w:rsidRPr="009673F9">
        <w:t xml:space="preserve">, </w:t>
      </w:r>
      <w:r w:rsidRPr="009673F9">
        <w:rPr>
          <w:i/>
          <w:iCs/>
        </w:rPr>
        <w:t>50</w:t>
      </w:r>
      <w:r w:rsidRPr="009673F9">
        <w:t xml:space="preserve">(6), 1496–1509. </w:t>
      </w:r>
      <w:hyperlink r:id="rId46" w:history="1">
        <w:r w:rsidR="00A76F8C" w:rsidRPr="00124F83">
          <w:rPr>
            <w:rStyle w:val="aa"/>
          </w:rPr>
          <w:t>https://doi.org/10.1044/1092-4388</w:t>
        </w:r>
      </w:hyperlink>
    </w:p>
    <w:p w14:paraId="2DA5A76A" w14:textId="77777777" w:rsidR="009673F9" w:rsidRPr="009673F9" w:rsidRDefault="009673F9" w:rsidP="009673F9">
      <w:pPr>
        <w:ind w:left="720" w:hanging="720"/>
        <w:jc w:val="left"/>
      </w:pPr>
      <w:r w:rsidRPr="009673F9">
        <w:t xml:space="preserve">Nishi, K., &amp; Kewley-Port, D. (2008). Nonnative speech perception training using vowel subsets: Effects of vowels in sets and order of training. </w:t>
      </w:r>
      <w:r w:rsidRPr="009673F9">
        <w:rPr>
          <w:i/>
          <w:iCs/>
        </w:rPr>
        <w:t>Journal of Speech, Language, and Hearing Research</w:t>
      </w:r>
      <w:r w:rsidRPr="009673F9">
        <w:t xml:space="preserve">, </w:t>
      </w:r>
      <w:r w:rsidRPr="009673F9">
        <w:rPr>
          <w:i/>
          <w:iCs/>
        </w:rPr>
        <w:t>51</w:t>
      </w:r>
      <w:r w:rsidRPr="009673F9">
        <w:t>(6), 1480–1493. https://doi.org/10.1044/1092-4388(2008/07-0109)</w:t>
      </w:r>
    </w:p>
    <w:p w14:paraId="79BC01A2" w14:textId="6FCD0DE3" w:rsidR="006F3763" w:rsidRDefault="00B3323A" w:rsidP="00B96181">
      <w:pPr>
        <w:ind w:left="839" w:hanging="839"/>
      </w:pPr>
      <w:r>
        <w:t xml:space="preserve">Okuno, T., &amp; Hardison, D.M. (2016). Perception-production link in L2 Japanese vowel duration: Training with technology. </w:t>
      </w:r>
      <w:r w:rsidRPr="00B3323A">
        <w:rPr>
          <w:i/>
          <w:iCs/>
        </w:rPr>
        <w:t>Language Learning &amp; Technology</w:t>
      </w:r>
      <w:r>
        <w:t xml:space="preserve">, 20(2), 61 – 80. </w:t>
      </w:r>
      <w:r w:rsidRPr="00B3323A">
        <w:t xml:space="preserve">Retrieved from </w:t>
      </w:r>
      <w:hyperlink r:id="rId47" w:history="1">
        <w:r w:rsidRPr="00FD3D10">
          <w:rPr>
            <w:rStyle w:val="aa"/>
          </w:rPr>
          <w:t>http://llt.msu.edu/issues/june2016/okunohardison.pdf</w:t>
        </w:r>
      </w:hyperlink>
    </w:p>
    <w:p w14:paraId="127868F0" w14:textId="207C5696" w:rsidR="00B3323A" w:rsidRDefault="00B3323A" w:rsidP="00B96181">
      <w:pPr>
        <w:ind w:left="839" w:hanging="839"/>
      </w:pPr>
      <w:r>
        <w:t xml:space="preserve">Pederson, E., Guion-Anderson, S. (2010). Orienting attention during phonetic training facilitates learning. </w:t>
      </w:r>
      <w:r w:rsidRPr="00B3323A">
        <w:rPr>
          <w:i/>
          <w:iCs/>
        </w:rPr>
        <w:t>The Journal of the Acoustical Society of America</w:t>
      </w:r>
      <w:r>
        <w:t xml:space="preserve">, 127, EL54 – EL59. </w:t>
      </w:r>
      <w:hyperlink r:id="rId48" w:history="1">
        <w:r w:rsidRPr="00FD3D10">
          <w:rPr>
            <w:rStyle w:val="aa"/>
          </w:rPr>
          <w:t>https://doi.org/10.1121/1.3292286</w:t>
        </w:r>
      </w:hyperlink>
    </w:p>
    <w:p w14:paraId="04F067E2" w14:textId="2F05C47B" w:rsidR="00B3323A" w:rsidRDefault="00C47EE5" w:rsidP="00B96181">
      <w:pPr>
        <w:ind w:left="839" w:hanging="839"/>
      </w:pPr>
      <w:r>
        <w:t xml:space="preserve">Protopapas, A., &amp; Calhoun, B., (2000). Adaptive phonetic training for second language learners. </w:t>
      </w:r>
      <w:r w:rsidRPr="00C47EE5">
        <w:rPr>
          <w:i/>
          <w:iCs/>
        </w:rPr>
        <w:t>Proceedings of the 2</w:t>
      </w:r>
      <w:r w:rsidRPr="00C47EE5">
        <w:rPr>
          <w:i/>
          <w:iCs/>
          <w:vertAlign w:val="superscript"/>
        </w:rPr>
        <w:t>nd</w:t>
      </w:r>
      <w:r w:rsidRPr="00C47EE5">
        <w:rPr>
          <w:i/>
          <w:iCs/>
        </w:rPr>
        <w:t xml:space="preserve"> International Workshop on Integrating Speech Technology in Language Learning </w:t>
      </w:r>
      <w:r>
        <w:t xml:space="preserve">(pp. 31 – 38). UK: University of Abertay Dundee. </w:t>
      </w:r>
    </w:p>
    <w:p w14:paraId="2DD41002" w14:textId="66BE0B34" w:rsidR="00B47293" w:rsidRDefault="00B47293" w:rsidP="00B47293">
      <w:pPr>
        <w:ind w:left="720" w:hanging="720"/>
        <w:jc w:val="left"/>
      </w:pPr>
      <w:r w:rsidRPr="00B47293">
        <w:t xml:space="preserve">Pruitt, J. S., Jenkins, J. J., &amp; Strange, W. (2006). Training the perception of Hindi dental and retroflex stops by native speakers of American English and Japanese. </w:t>
      </w:r>
      <w:r w:rsidRPr="00B47293">
        <w:rPr>
          <w:i/>
          <w:iCs/>
        </w:rPr>
        <w:t>The Journal of the Acoustical Society of America</w:t>
      </w:r>
      <w:r w:rsidRPr="00B47293">
        <w:t xml:space="preserve">, </w:t>
      </w:r>
      <w:r w:rsidRPr="00B47293">
        <w:rPr>
          <w:i/>
          <w:iCs/>
        </w:rPr>
        <w:t>119</w:t>
      </w:r>
      <w:r w:rsidRPr="00B47293">
        <w:t xml:space="preserve">(3), 1684–1696. </w:t>
      </w:r>
      <w:hyperlink r:id="rId49" w:history="1">
        <w:r w:rsidRPr="00B47293">
          <w:rPr>
            <w:rStyle w:val="aa"/>
          </w:rPr>
          <w:t>https://doi.org/10.1121/1.2161427</w:t>
        </w:r>
      </w:hyperlink>
    </w:p>
    <w:p w14:paraId="3B76DD17" w14:textId="77777777" w:rsidR="00B47293" w:rsidRPr="00B47293" w:rsidRDefault="00B47293" w:rsidP="00B47293">
      <w:pPr>
        <w:ind w:left="720" w:hanging="720"/>
        <w:jc w:val="left"/>
      </w:pPr>
      <w:r w:rsidRPr="00B47293">
        <w:t xml:space="preserve">Qian, M. (2018). </w:t>
      </w:r>
      <w:r w:rsidRPr="00B47293">
        <w:rPr>
          <w:i/>
          <w:iCs/>
        </w:rPr>
        <w:t>An adaptive computational system for automated, learner-customized segmental perception training in words and sentences: Design, implementation, assessment</w:t>
      </w:r>
      <w:r w:rsidRPr="00B47293">
        <w:t xml:space="preserve"> [Unpublished doctoral dissertation]. Iowa State University.</w:t>
      </w:r>
    </w:p>
    <w:p w14:paraId="4F87F75F" w14:textId="3283DFB0" w:rsidR="00062A83" w:rsidRDefault="009D454A" w:rsidP="00DE29DB">
      <w:pPr>
        <w:ind w:left="839" w:hanging="839"/>
        <w:jc w:val="left"/>
      </w:pPr>
      <w:r>
        <w:t xml:space="preserve">Qian, M., </w:t>
      </w:r>
      <w:proofErr w:type="spellStart"/>
      <w:r>
        <w:t>Chukharev-Hudilainen</w:t>
      </w:r>
      <w:proofErr w:type="spellEnd"/>
      <w:r>
        <w:t xml:space="preserve">, E., &amp; Levis, J. (2018). A system for adaptive high-variability segmental perceptual training: Implementation, effectiveness, transfer. </w:t>
      </w:r>
      <w:r w:rsidRPr="009D454A">
        <w:rPr>
          <w:i/>
          <w:iCs/>
        </w:rPr>
        <w:t>Language Learning &amp; Technology</w:t>
      </w:r>
      <w:r>
        <w:t xml:space="preserve">, 22(1), 69 – 96. </w:t>
      </w:r>
      <w:hyperlink r:id="rId50" w:history="1">
        <w:r w:rsidRPr="00FD3D10">
          <w:rPr>
            <w:rStyle w:val="aa"/>
          </w:rPr>
          <w:t>https://doi.org/10125/44582</w:t>
        </w:r>
      </w:hyperlink>
      <w:r>
        <w:t xml:space="preserve"> </w:t>
      </w:r>
    </w:p>
    <w:p w14:paraId="0829427A" w14:textId="388E2E01" w:rsidR="009D454A" w:rsidRDefault="00402D91" w:rsidP="00DE29DB">
      <w:pPr>
        <w:ind w:left="839" w:hanging="839"/>
        <w:jc w:val="left"/>
      </w:pPr>
      <w:proofErr w:type="spellStart"/>
      <w:r>
        <w:t>Rato</w:t>
      </w:r>
      <w:proofErr w:type="spellEnd"/>
      <w:r>
        <w:t xml:space="preserve">, A. (2014). Effects of perceptual training on the identification of English vowels by native speakers of European Portuguese. </w:t>
      </w:r>
      <w:r w:rsidRPr="00402D91">
        <w:rPr>
          <w:i/>
          <w:iCs/>
        </w:rPr>
        <w:t>Proceedings of the International Symposium on the Acquisition of Second Language Speech Concordia Working Papers in Applied Linguistics</w:t>
      </w:r>
      <w:r>
        <w:t xml:space="preserve">, 5, 529 – 546. </w:t>
      </w:r>
    </w:p>
    <w:p w14:paraId="216F513A" w14:textId="1315FEA2" w:rsidR="00402D91" w:rsidRDefault="004A1F3F" w:rsidP="00DE29DB">
      <w:pPr>
        <w:ind w:left="839" w:hanging="839"/>
        <w:jc w:val="left"/>
      </w:pPr>
      <w:r>
        <w:t xml:space="preserve">Reyes, Y.P., &amp; Hazan, V., (2021). English vowel perception by non-native speakers: Impact of audio and visual training modalities. </w:t>
      </w:r>
      <w:proofErr w:type="spellStart"/>
      <w:r w:rsidR="00EB07B5">
        <w:t>Onomazein</w:t>
      </w:r>
      <w:proofErr w:type="spellEnd"/>
      <w:r w:rsidR="00EB07B5">
        <w:t xml:space="preserve">: Journal of Linguistics, Philology and Translation, 51, 111 – 136. </w:t>
      </w:r>
      <w:hyperlink r:id="rId51" w:history="1">
        <w:r w:rsidR="00EB07B5" w:rsidRPr="00FD3D10">
          <w:rPr>
            <w:rStyle w:val="aa"/>
          </w:rPr>
          <w:t>https://doi.org/10.7764/onomazein.51.04</w:t>
        </w:r>
      </w:hyperlink>
      <w:r w:rsidR="00EB07B5">
        <w:t xml:space="preserve"> </w:t>
      </w:r>
    </w:p>
    <w:p w14:paraId="21C9E7C8" w14:textId="694470E4" w:rsidR="00EB07B5" w:rsidRDefault="00413A76" w:rsidP="00DE29DB">
      <w:pPr>
        <w:ind w:left="839" w:hanging="839"/>
        <w:jc w:val="left"/>
      </w:pPr>
      <w:r w:rsidRPr="00FE1CD9">
        <w:rPr>
          <w:lang w:val="nl-BE"/>
        </w:rPr>
        <w:t xml:space="preserve">Ryu, N.Y., &amp; Kang, Y. (2019). </w:t>
      </w:r>
      <w:r>
        <w:t xml:space="preserve">Web-based high variability phonetic training on L2 coda identification. </w:t>
      </w:r>
      <w:r w:rsidRPr="00413A76">
        <w:rPr>
          <w:i/>
          <w:iCs/>
        </w:rPr>
        <w:t>Proceedings of the 19</w:t>
      </w:r>
      <w:r w:rsidRPr="00413A76">
        <w:rPr>
          <w:i/>
          <w:iCs/>
          <w:vertAlign w:val="superscript"/>
        </w:rPr>
        <w:t>th</w:t>
      </w:r>
      <w:r w:rsidRPr="00413A76">
        <w:rPr>
          <w:i/>
          <w:iCs/>
        </w:rPr>
        <w:t xml:space="preserve"> International Congress of Phonetic Sciences</w:t>
      </w:r>
      <w:r>
        <w:t xml:space="preserve">, 482 – 486. </w:t>
      </w:r>
    </w:p>
    <w:p w14:paraId="1D609D6D" w14:textId="77777777" w:rsidR="006C0B93" w:rsidRPr="006C0B93" w:rsidRDefault="006C0B93" w:rsidP="006C0B93">
      <w:pPr>
        <w:ind w:left="720" w:hanging="720"/>
        <w:jc w:val="left"/>
      </w:pPr>
      <w:r w:rsidRPr="006C0B93">
        <w:t xml:space="preserve">Shinohara, Y. (2021). Audiovisual English /r/−/l/ identification training for Japanese-speaking adults </w:t>
      </w:r>
      <w:r w:rsidRPr="006C0B93">
        <w:lastRenderedPageBreak/>
        <w:t xml:space="preserve">and children. </w:t>
      </w:r>
      <w:r w:rsidRPr="006C0B93">
        <w:rPr>
          <w:i/>
          <w:iCs/>
        </w:rPr>
        <w:t>Journal of Speech, Language, and Hearing Research</w:t>
      </w:r>
      <w:r w:rsidRPr="006C0B93">
        <w:t xml:space="preserve">, </w:t>
      </w:r>
      <w:r w:rsidRPr="006C0B93">
        <w:rPr>
          <w:i/>
          <w:iCs/>
        </w:rPr>
        <w:t>64</w:t>
      </w:r>
      <w:r w:rsidRPr="006C0B93">
        <w:t>(7), 2529–2538. https://doi.org/10.1044/2021_JSLHR-20-00506</w:t>
      </w:r>
    </w:p>
    <w:p w14:paraId="1A2B8885" w14:textId="2CCAFC7C" w:rsidR="006C0B93" w:rsidRDefault="006C0B93" w:rsidP="006C0B93">
      <w:pPr>
        <w:ind w:left="720" w:hanging="720"/>
        <w:jc w:val="left"/>
      </w:pPr>
      <w:r w:rsidRPr="006C0B93">
        <w:t xml:space="preserve">Shinohara, Y., &amp; Iverson, P. (2018). High variability identification and discrimination training for Japanese speakers learning English /r/–/l/. </w:t>
      </w:r>
      <w:r w:rsidRPr="006C0B93">
        <w:rPr>
          <w:i/>
          <w:iCs/>
        </w:rPr>
        <w:t>Journal of Phonetics</w:t>
      </w:r>
      <w:r w:rsidRPr="006C0B93">
        <w:t xml:space="preserve">, </w:t>
      </w:r>
      <w:r w:rsidRPr="006C0B93">
        <w:rPr>
          <w:i/>
          <w:iCs/>
        </w:rPr>
        <w:t>66</w:t>
      </w:r>
      <w:r w:rsidRPr="006C0B93">
        <w:t xml:space="preserve">, 242–251. </w:t>
      </w:r>
      <w:hyperlink r:id="rId52" w:history="1">
        <w:r w:rsidRPr="006C0B93">
          <w:rPr>
            <w:rStyle w:val="aa"/>
          </w:rPr>
          <w:t>https://doi.org/10.1016/j.wocn.2017.11.002</w:t>
        </w:r>
      </w:hyperlink>
    </w:p>
    <w:p w14:paraId="13210812" w14:textId="13CB7D88" w:rsidR="006C0B93" w:rsidRDefault="006C0B93" w:rsidP="006C0B93">
      <w:pPr>
        <w:ind w:left="720" w:hanging="720"/>
        <w:jc w:val="left"/>
      </w:pPr>
      <w:r w:rsidRPr="006C0B93">
        <w:t xml:space="preserve">Shinohara, Y., &amp; Iverson, P. (2021). The effect of age on English /r/-/l/ perceptual training outcomes for Japanese speakers. </w:t>
      </w:r>
      <w:r w:rsidRPr="006C0B93">
        <w:rPr>
          <w:i/>
          <w:iCs/>
        </w:rPr>
        <w:t>Journal of Phonetics</w:t>
      </w:r>
      <w:r w:rsidRPr="006C0B93">
        <w:t xml:space="preserve">, </w:t>
      </w:r>
      <w:r w:rsidRPr="006C0B93">
        <w:rPr>
          <w:i/>
          <w:iCs/>
        </w:rPr>
        <w:t>89</w:t>
      </w:r>
      <w:r w:rsidRPr="006C0B93">
        <w:t xml:space="preserve">, 101108. </w:t>
      </w:r>
      <w:hyperlink r:id="rId53" w:history="1">
        <w:r w:rsidRPr="006C0B93">
          <w:rPr>
            <w:rStyle w:val="aa"/>
          </w:rPr>
          <w:t>https://doi.org/10.1016/j.wocn.2021.101108</w:t>
        </w:r>
      </w:hyperlink>
    </w:p>
    <w:p w14:paraId="23D7CFF4" w14:textId="2E12D11B" w:rsidR="001062A4" w:rsidRDefault="001062A4" w:rsidP="006C0B93">
      <w:pPr>
        <w:ind w:left="720" w:hanging="720"/>
        <w:jc w:val="left"/>
      </w:pPr>
      <w:r>
        <w:t xml:space="preserve">Shport, I.A. (2016). Training English listeners to identify pitch-accent patterns in Tokyo Japanese. Studies in Second Language Acquisition, 38, 739 – 769. </w:t>
      </w:r>
      <w:hyperlink r:id="rId54" w:history="1">
        <w:r w:rsidRPr="00FD3D10">
          <w:rPr>
            <w:rStyle w:val="aa"/>
          </w:rPr>
          <w:t>https://doi.org/10.1017/S027226311500039X</w:t>
        </w:r>
      </w:hyperlink>
      <w:r>
        <w:t xml:space="preserve"> </w:t>
      </w:r>
    </w:p>
    <w:p w14:paraId="3C309225" w14:textId="4786D6AF" w:rsidR="00636230" w:rsidRDefault="00636230" w:rsidP="006C0B93">
      <w:pPr>
        <w:ind w:left="720" w:hanging="720"/>
        <w:jc w:val="left"/>
      </w:pPr>
      <w:r>
        <w:t xml:space="preserve">Shum, K.K.M., Au, T.K.F., Romo, L.F., &amp; Jun, S.A. (2021). Learning challenging L2 sounds via computer training: High-variability perceptual training for children and adults. </w:t>
      </w:r>
      <w:r w:rsidRPr="00636230">
        <w:rPr>
          <w:i/>
          <w:iCs/>
        </w:rPr>
        <w:t>Language Learning and Development</w:t>
      </w:r>
      <w:r>
        <w:t xml:space="preserve">, 327 – 342. </w:t>
      </w:r>
      <w:hyperlink r:id="rId55" w:history="1">
        <w:r w:rsidRPr="00FD3D10">
          <w:rPr>
            <w:rStyle w:val="aa"/>
          </w:rPr>
          <w:t>https://doi.org/10.1080/15475441.2021.1876699</w:t>
        </w:r>
      </w:hyperlink>
    </w:p>
    <w:p w14:paraId="5B005579" w14:textId="77777777" w:rsidR="005F3525" w:rsidRDefault="005F3525" w:rsidP="005F3525">
      <w:pPr>
        <w:ind w:left="720" w:hanging="720"/>
        <w:jc w:val="left"/>
      </w:pPr>
      <w:proofErr w:type="spellStart"/>
      <w:r w:rsidRPr="006C0B93">
        <w:t>Silpachai</w:t>
      </w:r>
      <w:proofErr w:type="spellEnd"/>
      <w:r w:rsidRPr="006C0B93">
        <w:t xml:space="preserve">, A. (2020). The role of talker variability in the perceptual learning of Mandarin tones by American English listeners. </w:t>
      </w:r>
      <w:r w:rsidRPr="006C0B93">
        <w:rPr>
          <w:i/>
          <w:iCs/>
        </w:rPr>
        <w:t>Journal of Second Language Pronunciation</w:t>
      </w:r>
      <w:r w:rsidRPr="006C0B93">
        <w:t xml:space="preserve">, </w:t>
      </w:r>
      <w:r w:rsidRPr="006C0B93">
        <w:rPr>
          <w:i/>
          <w:iCs/>
        </w:rPr>
        <w:t>6</w:t>
      </w:r>
      <w:r w:rsidRPr="006C0B93">
        <w:t xml:space="preserve">(2), 209–235. </w:t>
      </w:r>
      <w:hyperlink r:id="rId56" w:history="1">
        <w:r w:rsidRPr="006C0B93">
          <w:rPr>
            <w:rStyle w:val="aa"/>
          </w:rPr>
          <w:t>https://doi.org/10.1075/jslp.19010.sil</w:t>
        </w:r>
      </w:hyperlink>
    </w:p>
    <w:p w14:paraId="2C75C6FD" w14:textId="742FEAFA" w:rsidR="005F3525" w:rsidRDefault="00E236DE" w:rsidP="006C0B93">
      <w:pPr>
        <w:ind w:left="720" w:hanging="720"/>
        <w:jc w:val="left"/>
      </w:pPr>
      <w:r>
        <w:t xml:space="preserve">Tajima, K., Kato, H., &amp; Rothwell, A. (2008). Training English listeners to perceive phonemic length contrasts in Japanese. </w:t>
      </w:r>
      <w:r w:rsidRPr="00E236DE">
        <w:rPr>
          <w:i/>
          <w:iCs/>
        </w:rPr>
        <w:t>The Journal of the Acoustical Society of America</w:t>
      </w:r>
      <w:r>
        <w:t xml:space="preserve">, 123, 397 – 413. </w:t>
      </w:r>
      <w:hyperlink r:id="rId57" w:history="1">
        <w:r w:rsidRPr="00FD3D10">
          <w:rPr>
            <w:rStyle w:val="aa"/>
          </w:rPr>
          <w:t>https://doi.org/10.1121/1.2804942</w:t>
        </w:r>
      </w:hyperlink>
      <w:r>
        <w:t xml:space="preserve"> </w:t>
      </w:r>
    </w:p>
    <w:p w14:paraId="2917AFC6" w14:textId="5786185F" w:rsidR="00B202D9" w:rsidRPr="00B202D9" w:rsidRDefault="00B202D9" w:rsidP="00B202D9">
      <w:pPr>
        <w:ind w:left="720" w:hanging="720"/>
        <w:jc w:val="left"/>
      </w:pPr>
      <w:r w:rsidRPr="00B202D9">
        <w:t xml:space="preserve">Thomson, R. I. (2012). Improving L2 listeners’ perception of English vowels: A computer-mediated approach. </w:t>
      </w:r>
      <w:r w:rsidRPr="00B202D9">
        <w:rPr>
          <w:i/>
          <w:iCs/>
        </w:rPr>
        <w:t>Language Learning</w:t>
      </w:r>
      <w:r w:rsidRPr="00B202D9">
        <w:t xml:space="preserve">, </w:t>
      </w:r>
      <w:r w:rsidRPr="00B202D9">
        <w:rPr>
          <w:i/>
          <w:iCs/>
        </w:rPr>
        <w:t>62</w:t>
      </w:r>
      <w:r w:rsidRPr="00B202D9">
        <w:t>(4), 1231–1258. https://doi.org/10.1111/j.1467-9922.2012.00724.x</w:t>
      </w:r>
    </w:p>
    <w:p w14:paraId="10C85A7E" w14:textId="6C267149" w:rsidR="00B202D9" w:rsidRPr="00B202D9" w:rsidRDefault="00B202D9" w:rsidP="00B202D9">
      <w:pPr>
        <w:ind w:left="720" w:hanging="720"/>
        <w:jc w:val="left"/>
      </w:pPr>
      <w:r w:rsidRPr="00B202D9">
        <w:t xml:space="preserve">Thomson, R. I. (2016). Does training to perceive L2 English vowels in one phonetic context transfer to other phonetic contexts? </w:t>
      </w:r>
      <w:r w:rsidRPr="00B202D9">
        <w:rPr>
          <w:i/>
          <w:iCs/>
        </w:rPr>
        <w:t xml:space="preserve">Canadian Acoustics - </w:t>
      </w:r>
      <w:proofErr w:type="spellStart"/>
      <w:r w:rsidRPr="00B202D9">
        <w:rPr>
          <w:i/>
          <w:iCs/>
        </w:rPr>
        <w:t>Acoustique</w:t>
      </w:r>
      <w:proofErr w:type="spellEnd"/>
      <w:r w:rsidRPr="00B202D9">
        <w:rPr>
          <w:i/>
          <w:iCs/>
        </w:rPr>
        <w:t xml:space="preserve"> Canadienne</w:t>
      </w:r>
      <w:r w:rsidRPr="00B202D9">
        <w:t xml:space="preserve">, </w:t>
      </w:r>
      <w:r w:rsidRPr="00B202D9">
        <w:rPr>
          <w:i/>
          <w:iCs/>
        </w:rPr>
        <w:t>44</w:t>
      </w:r>
      <w:r w:rsidRPr="00B202D9">
        <w:t>, 198–199.</w:t>
      </w:r>
    </w:p>
    <w:p w14:paraId="2E1B9BAC" w14:textId="3A7950F7" w:rsidR="00E236DE" w:rsidRDefault="00635DCD" w:rsidP="006C0B93">
      <w:pPr>
        <w:ind w:left="720" w:hanging="720"/>
        <w:jc w:val="left"/>
      </w:pPr>
      <w:proofErr w:type="spellStart"/>
      <w:r>
        <w:t>Trakantalerngsak</w:t>
      </w:r>
      <w:proofErr w:type="spellEnd"/>
      <w:r>
        <w:t xml:space="preserve">, T. (2016). </w:t>
      </w:r>
      <w:r w:rsidRPr="00635DCD">
        <w:rPr>
          <w:i/>
          <w:iCs/>
        </w:rPr>
        <w:t>The effect of perceptual training on the learning of Japanese fricative and affricate contrasts by native Thai learners of Japanese</w:t>
      </w:r>
      <w:r>
        <w:t xml:space="preserve"> (Unpublished doctoral dissertation). Osaka University. </w:t>
      </w:r>
    </w:p>
    <w:p w14:paraId="5799D651" w14:textId="77777777" w:rsidR="00523965" w:rsidRPr="00523965" w:rsidRDefault="00523965" w:rsidP="00523965">
      <w:pPr>
        <w:ind w:left="720" w:hanging="720"/>
        <w:jc w:val="left"/>
      </w:pPr>
      <w:r w:rsidRPr="00523965">
        <w:t xml:space="preserve">Ueda, R., &amp; Hashimoto, K. (2019). Perceptual training in a classroom setting: Phonemic category formation by Japanese EFL learners. In J. Levis, C. Nagle, &amp; E. </w:t>
      </w:r>
      <w:proofErr w:type="spellStart"/>
      <w:r w:rsidRPr="00523965">
        <w:t>Todey</w:t>
      </w:r>
      <w:proofErr w:type="spellEnd"/>
      <w:r w:rsidRPr="00523965">
        <w:t xml:space="preserve"> (Eds.), </w:t>
      </w:r>
      <w:r w:rsidRPr="00523965">
        <w:rPr>
          <w:i/>
          <w:iCs/>
        </w:rPr>
        <w:t>Proceedings of the 10th Pronunciation in Second Language Learning and Teaching Conference</w:t>
      </w:r>
      <w:r w:rsidRPr="00523965">
        <w:t xml:space="preserve"> (pp. 237–249). Iowa State University.</w:t>
      </w:r>
    </w:p>
    <w:p w14:paraId="2CAE1AD1" w14:textId="264272BA" w:rsidR="00523965" w:rsidRDefault="00FB33C6" w:rsidP="006C0B93">
      <w:pPr>
        <w:ind w:left="720" w:hanging="720"/>
        <w:jc w:val="left"/>
      </w:pPr>
      <w:r>
        <w:t xml:space="preserve">Wei, P. (2016). </w:t>
      </w:r>
      <w:r w:rsidRPr="00FB33C6">
        <w:rPr>
          <w:i/>
          <w:iCs/>
        </w:rPr>
        <w:t xml:space="preserve">Cross-linguistic perception and learning of Mandarin Chinese sounds by Japanese adult learners </w:t>
      </w:r>
      <w:r>
        <w:t xml:space="preserve">(Unpublished doctoral dissertation). University of Oregon. </w:t>
      </w:r>
    </w:p>
    <w:p w14:paraId="51F27C4A" w14:textId="20843CEB" w:rsidR="00B27507" w:rsidRDefault="00B27507" w:rsidP="00B27507">
      <w:pPr>
        <w:ind w:left="720" w:hanging="720"/>
        <w:jc w:val="left"/>
      </w:pPr>
      <w:r>
        <w:t xml:space="preserve">Wong, W.S. (2013). </w:t>
      </w:r>
      <w:r w:rsidRPr="00B27507">
        <w:rPr>
          <w:i/>
          <w:iCs/>
        </w:rPr>
        <w:t>Training the perception and production of English vowels /I/-/</w:t>
      </w:r>
      <w:proofErr w:type="spellStart"/>
      <w:r w:rsidRPr="00B27507">
        <w:rPr>
          <w:i/>
          <w:iCs/>
        </w:rPr>
        <w:t>i</w:t>
      </w:r>
      <w:proofErr w:type="spellEnd"/>
      <w:r w:rsidRPr="00B27507">
        <w:rPr>
          <w:i/>
          <w:iCs/>
        </w:rPr>
        <w:t>:/, /e/-/æ/ and /ʊ/-/u/ by Cantonese ESL learners in Hong Kong</w:t>
      </w:r>
      <w:r>
        <w:t xml:space="preserve"> (Unpublished doctoral dissertation). The Chinese University of Hong Kong. </w:t>
      </w:r>
    </w:p>
    <w:p w14:paraId="2F20525B" w14:textId="02EA4B34" w:rsidR="00E81418" w:rsidRDefault="00E81418" w:rsidP="00E81418">
      <w:pPr>
        <w:ind w:left="720" w:hanging="720"/>
        <w:jc w:val="left"/>
      </w:pPr>
      <w:r w:rsidRPr="00E81418">
        <w:t xml:space="preserve">Wang, X. (2013). Perception of Mandarin tones: The effect of L1 background and training. </w:t>
      </w:r>
      <w:r w:rsidRPr="00E81418">
        <w:rPr>
          <w:i/>
          <w:iCs/>
        </w:rPr>
        <w:t xml:space="preserve">The </w:t>
      </w:r>
      <w:r w:rsidRPr="00E81418">
        <w:rPr>
          <w:i/>
          <w:iCs/>
        </w:rPr>
        <w:lastRenderedPageBreak/>
        <w:t>Modern Language Journal</w:t>
      </w:r>
      <w:r w:rsidRPr="00E81418">
        <w:t xml:space="preserve">, </w:t>
      </w:r>
      <w:r w:rsidRPr="00E81418">
        <w:rPr>
          <w:i/>
          <w:iCs/>
        </w:rPr>
        <w:t>97</w:t>
      </w:r>
      <w:r w:rsidRPr="00E81418">
        <w:t xml:space="preserve">(1), 144–160. </w:t>
      </w:r>
      <w:hyperlink r:id="rId58" w:history="1">
        <w:r w:rsidRPr="00FD3D10">
          <w:rPr>
            <w:rStyle w:val="aa"/>
          </w:rPr>
          <w:t>https://doi.org/10.1111/j.1540-4781.2013.01386</w:t>
        </w:r>
        <w:r w:rsidRPr="00E81418">
          <w:rPr>
            <w:rStyle w:val="aa"/>
          </w:rPr>
          <w:t>.x</w:t>
        </w:r>
      </w:hyperlink>
    </w:p>
    <w:p w14:paraId="060428B5" w14:textId="77777777" w:rsidR="00E81418" w:rsidRPr="00E81418" w:rsidRDefault="00E81418" w:rsidP="00E81418">
      <w:pPr>
        <w:ind w:left="720" w:hanging="720"/>
        <w:jc w:val="left"/>
      </w:pPr>
      <w:r w:rsidRPr="00E81418">
        <w:t xml:space="preserve">Wang, X., &amp; Munro, M. J. (2004). Computer-based training for learning English vowel contrasts. </w:t>
      </w:r>
      <w:r w:rsidRPr="00E81418">
        <w:rPr>
          <w:i/>
          <w:iCs/>
        </w:rPr>
        <w:t>System</w:t>
      </w:r>
      <w:r w:rsidRPr="00E81418">
        <w:t>, 32(4), 539–552. https://doi.org/10.1016/j.system.2004.09.011</w:t>
      </w:r>
    </w:p>
    <w:p w14:paraId="2B23E406" w14:textId="77777777" w:rsidR="00C45BB9" w:rsidRPr="00C45BB9" w:rsidRDefault="00C45BB9" w:rsidP="00C45BB9">
      <w:pPr>
        <w:ind w:left="720" w:hanging="720"/>
        <w:jc w:val="left"/>
      </w:pPr>
      <w:r w:rsidRPr="003A1763">
        <w:t xml:space="preserve">Wang, Y., Spence, M. M., </w:t>
      </w:r>
      <w:proofErr w:type="spellStart"/>
      <w:r w:rsidRPr="003A1763">
        <w:t>Jongman</w:t>
      </w:r>
      <w:proofErr w:type="spellEnd"/>
      <w:r w:rsidRPr="003A1763">
        <w:t xml:space="preserve">, A., &amp; Sereno, J. A. (1999). </w:t>
      </w:r>
      <w:r w:rsidRPr="00C45BB9">
        <w:t xml:space="preserve">Training American listeners to perceive Mandarin tones. </w:t>
      </w:r>
      <w:r w:rsidRPr="00C45BB9">
        <w:rPr>
          <w:i/>
          <w:iCs/>
        </w:rPr>
        <w:t>The Journal of the Acoustical Society of America</w:t>
      </w:r>
      <w:r w:rsidRPr="00C45BB9">
        <w:t>, 106(6), 3649–3658. https://doi.org/10.1121/1.428217</w:t>
      </w:r>
    </w:p>
    <w:p w14:paraId="3F46CE6C" w14:textId="77777777" w:rsidR="00913340" w:rsidRPr="00913340" w:rsidRDefault="00913340" w:rsidP="00913340">
      <w:pPr>
        <w:ind w:left="720" w:hanging="720"/>
        <w:jc w:val="left"/>
      </w:pPr>
      <w:r w:rsidRPr="00913340">
        <w:t xml:space="preserve">Yang, R., Nanjo, H., &amp; </w:t>
      </w:r>
      <w:proofErr w:type="spellStart"/>
      <w:r w:rsidRPr="00913340">
        <w:t>Dantsuji</w:t>
      </w:r>
      <w:proofErr w:type="spellEnd"/>
      <w:r w:rsidRPr="00913340">
        <w:t xml:space="preserve">, M. (2021). </w:t>
      </w:r>
      <w:proofErr w:type="spellStart"/>
      <w:r w:rsidRPr="00913340">
        <w:t>Self adaptive</w:t>
      </w:r>
      <w:proofErr w:type="spellEnd"/>
      <w:r w:rsidRPr="00913340">
        <w:t xml:space="preserve"> phonetic training for Mandarin nasal codas. </w:t>
      </w:r>
      <w:r w:rsidRPr="00913340">
        <w:rPr>
          <w:i/>
          <w:iCs/>
        </w:rPr>
        <w:t>Computer-Assisted Language Learning Electronic Journal</w:t>
      </w:r>
      <w:r w:rsidRPr="00913340">
        <w:t xml:space="preserve">, </w:t>
      </w:r>
      <w:r w:rsidRPr="00913340">
        <w:rPr>
          <w:i/>
          <w:iCs/>
        </w:rPr>
        <w:t>22</w:t>
      </w:r>
      <w:r w:rsidRPr="00913340">
        <w:t>(1), 391–413.</w:t>
      </w:r>
    </w:p>
    <w:p w14:paraId="63FB371C" w14:textId="77777777" w:rsidR="006855DC" w:rsidRPr="006855DC" w:rsidRDefault="006855DC" w:rsidP="006855DC">
      <w:pPr>
        <w:ind w:left="720" w:hanging="720"/>
        <w:jc w:val="left"/>
      </w:pPr>
      <w:r w:rsidRPr="006855DC">
        <w:t xml:space="preserve">Yeon, S.-H. (2004). </w:t>
      </w:r>
      <w:r w:rsidRPr="006855DC">
        <w:rPr>
          <w:i/>
          <w:iCs/>
        </w:rPr>
        <w:t xml:space="preserve">Teaching English word-final </w:t>
      </w:r>
      <w:proofErr w:type="spellStart"/>
      <w:r w:rsidRPr="006855DC">
        <w:rPr>
          <w:i/>
          <w:iCs/>
        </w:rPr>
        <w:t>alveolopalatals</w:t>
      </w:r>
      <w:proofErr w:type="spellEnd"/>
      <w:r w:rsidRPr="006855DC">
        <w:rPr>
          <w:i/>
          <w:iCs/>
        </w:rPr>
        <w:t xml:space="preserve"> to native speakers of Korean</w:t>
      </w:r>
      <w:r w:rsidRPr="006855DC">
        <w:t xml:space="preserve"> [Unpublished doctoral dissertation]. University of Florida.</w:t>
      </w:r>
    </w:p>
    <w:p w14:paraId="2783D3EF" w14:textId="26D6B3AF" w:rsidR="006855DC" w:rsidRPr="006C0B93" w:rsidRDefault="006855DC" w:rsidP="006C0B93">
      <w:pPr>
        <w:ind w:left="720" w:hanging="720"/>
        <w:jc w:val="left"/>
      </w:pPr>
      <w:r>
        <w:t xml:space="preserve">Zhao, T.C., &amp; Kuhl, P.K. (2015). Effect of musical experience on learning lexical tone categories, 137, 1452 – 1463. </w:t>
      </w:r>
      <w:hyperlink r:id="rId59" w:history="1">
        <w:r w:rsidRPr="00FD3D10">
          <w:rPr>
            <w:rStyle w:val="aa"/>
          </w:rPr>
          <w:t>https://doi.org/10.1121/1.4913457</w:t>
        </w:r>
      </w:hyperlink>
      <w:r>
        <w:t xml:space="preserve"> </w:t>
      </w:r>
    </w:p>
    <w:p w14:paraId="0CAD89B1" w14:textId="77777777" w:rsidR="006C0B93" w:rsidRDefault="006C0B93" w:rsidP="00DE29DB">
      <w:pPr>
        <w:ind w:left="839" w:hanging="839"/>
        <w:jc w:val="left"/>
      </w:pPr>
    </w:p>
    <w:p w14:paraId="106A6E45" w14:textId="77777777" w:rsidR="00413A76" w:rsidRPr="00170EA1" w:rsidRDefault="00413A76" w:rsidP="00DE29DB">
      <w:pPr>
        <w:ind w:left="839" w:hanging="839"/>
        <w:jc w:val="left"/>
      </w:pPr>
    </w:p>
    <w:sectPr w:rsidR="00413A76" w:rsidRPr="00170EA1" w:rsidSect="00F612B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E9A9DC" w14:textId="77777777" w:rsidR="006D62CF" w:rsidRDefault="006D62CF" w:rsidP="00FE1CD9">
      <w:r>
        <w:separator/>
      </w:r>
    </w:p>
  </w:endnote>
  <w:endnote w:type="continuationSeparator" w:id="0">
    <w:p w14:paraId="5C553EF0" w14:textId="77777777" w:rsidR="006D62CF" w:rsidRDefault="006D62CF" w:rsidP="00FE1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829C7" w14:textId="77777777" w:rsidR="006D62CF" w:rsidRDefault="006D62CF" w:rsidP="00FE1CD9">
      <w:r>
        <w:separator/>
      </w:r>
    </w:p>
  </w:footnote>
  <w:footnote w:type="continuationSeparator" w:id="0">
    <w:p w14:paraId="5E126277" w14:textId="77777777" w:rsidR="006D62CF" w:rsidRDefault="006D62CF" w:rsidP="00FE1C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0C0"/>
    <w:rsid w:val="000319BF"/>
    <w:rsid w:val="00036FAA"/>
    <w:rsid w:val="000428DA"/>
    <w:rsid w:val="000445F7"/>
    <w:rsid w:val="0004503F"/>
    <w:rsid w:val="00046E28"/>
    <w:rsid w:val="00047ACC"/>
    <w:rsid w:val="0005115B"/>
    <w:rsid w:val="00062A83"/>
    <w:rsid w:val="00077A1D"/>
    <w:rsid w:val="00087416"/>
    <w:rsid w:val="00091F3D"/>
    <w:rsid w:val="000962EC"/>
    <w:rsid w:val="0009776F"/>
    <w:rsid w:val="000A3E7B"/>
    <w:rsid w:val="000B5825"/>
    <w:rsid w:val="000B783B"/>
    <w:rsid w:val="000B7B9D"/>
    <w:rsid w:val="000C134D"/>
    <w:rsid w:val="000C5476"/>
    <w:rsid w:val="000E64EC"/>
    <w:rsid w:val="001062A4"/>
    <w:rsid w:val="001112C0"/>
    <w:rsid w:val="0013637D"/>
    <w:rsid w:val="0016075E"/>
    <w:rsid w:val="00170EA1"/>
    <w:rsid w:val="001A04EE"/>
    <w:rsid w:val="001A5526"/>
    <w:rsid w:val="001C1971"/>
    <w:rsid w:val="001C1AF5"/>
    <w:rsid w:val="001E3B18"/>
    <w:rsid w:val="001E4D6C"/>
    <w:rsid w:val="00201876"/>
    <w:rsid w:val="00211240"/>
    <w:rsid w:val="00223C21"/>
    <w:rsid w:val="00226C8A"/>
    <w:rsid w:val="00245DE9"/>
    <w:rsid w:val="00246BFD"/>
    <w:rsid w:val="002514FF"/>
    <w:rsid w:val="002541B2"/>
    <w:rsid w:val="002709F3"/>
    <w:rsid w:val="00273AD4"/>
    <w:rsid w:val="002910A6"/>
    <w:rsid w:val="002A2E88"/>
    <w:rsid w:val="002B4E9A"/>
    <w:rsid w:val="002B709D"/>
    <w:rsid w:val="002C1356"/>
    <w:rsid w:val="002C181B"/>
    <w:rsid w:val="002C53C2"/>
    <w:rsid w:val="002C6840"/>
    <w:rsid w:val="002D6EF4"/>
    <w:rsid w:val="002F1EF8"/>
    <w:rsid w:val="00302D15"/>
    <w:rsid w:val="00317F41"/>
    <w:rsid w:val="003220C0"/>
    <w:rsid w:val="00322795"/>
    <w:rsid w:val="00322FD4"/>
    <w:rsid w:val="003230C5"/>
    <w:rsid w:val="00327B30"/>
    <w:rsid w:val="003306DC"/>
    <w:rsid w:val="00335C38"/>
    <w:rsid w:val="00353A05"/>
    <w:rsid w:val="003545D8"/>
    <w:rsid w:val="00386434"/>
    <w:rsid w:val="003A1763"/>
    <w:rsid w:val="003A7380"/>
    <w:rsid w:val="003A7929"/>
    <w:rsid w:val="003A7E61"/>
    <w:rsid w:val="003B5338"/>
    <w:rsid w:val="003D2A09"/>
    <w:rsid w:val="003E2416"/>
    <w:rsid w:val="003E31D0"/>
    <w:rsid w:val="003E7F4C"/>
    <w:rsid w:val="003F0DCD"/>
    <w:rsid w:val="003F2C21"/>
    <w:rsid w:val="00402D91"/>
    <w:rsid w:val="00413635"/>
    <w:rsid w:val="00413A76"/>
    <w:rsid w:val="00427326"/>
    <w:rsid w:val="0044601A"/>
    <w:rsid w:val="00452B6B"/>
    <w:rsid w:val="00464D65"/>
    <w:rsid w:val="00472767"/>
    <w:rsid w:val="00490449"/>
    <w:rsid w:val="004928A8"/>
    <w:rsid w:val="00495151"/>
    <w:rsid w:val="004A1F3F"/>
    <w:rsid w:val="004A718B"/>
    <w:rsid w:val="004C3541"/>
    <w:rsid w:val="004C6219"/>
    <w:rsid w:val="004E087D"/>
    <w:rsid w:val="004E0F63"/>
    <w:rsid w:val="004E750A"/>
    <w:rsid w:val="004F391C"/>
    <w:rsid w:val="004F4CBB"/>
    <w:rsid w:val="00510D35"/>
    <w:rsid w:val="00523965"/>
    <w:rsid w:val="005256AB"/>
    <w:rsid w:val="00525F4A"/>
    <w:rsid w:val="00536112"/>
    <w:rsid w:val="00541DC1"/>
    <w:rsid w:val="005523AD"/>
    <w:rsid w:val="00556C80"/>
    <w:rsid w:val="005612F3"/>
    <w:rsid w:val="0057231F"/>
    <w:rsid w:val="0057445E"/>
    <w:rsid w:val="00577EC0"/>
    <w:rsid w:val="00586CB7"/>
    <w:rsid w:val="00594558"/>
    <w:rsid w:val="00596CCD"/>
    <w:rsid w:val="005C209F"/>
    <w:rsid w:val="005C6928"/>
    <w:rsid w:val="005D0375"/>
    <w:rsid w:val="005D1B99"/>
    <w:rsid w:val="005D2751"/>
    <w:rsid w:val="005D614B"/>
    <w:rsid w:val="005F3525"/>
    <w:rsid w:val="005F3DD4"/>
    <w:rsid w:val="00603FA7"/>
    <w:rsid w:val="00635DCD"/>
    <w:rsid w:val="00636230"/>
    <w:rsid w:val="0064166D"/>
    <w:rsid w:val="006426C2"/>
    <w:rsid w:val="00647BC4"/>
    <w:rsid w:val="00650A44"/>
    <w:rsid w:val="0065386B"/>
    <w:rsid w:val="00657557"/>
    <w:rsid w:val="0066180D"/>
    <w:rsid w:val="0068101E"/>
    <w:rsid w:val="00684AB2"/>
    <w:rsid w:val="006855DC"/>
    <w:rsid w:val="00693314"/>
    <w:rsid w:val="006A090D"/>
    <w:rsid w:val="006A30DF"/>
    <w:rsid w:val="006C0B93"/>
    <w:rsid w:val="006C2669"/>
    <w:rsid w:val="006D62CF"/>
    <w:rsid w:val="006E3D99"/>
    <w:rsid w:val="006E4D93"/>
    <w:rsid w:val="006F3763"/>
    <w:rsid w:val="00705425"/>
    <w:rsid w:val="00716F4F"/>
    <w:rsid w:val="00720BA4"/>
    <w:rsid w:val="00733B23"/>
    <w:rsid w:val="00735F87"/>
    <w:rsid w:val="00762890"/>
    <w:rsid w:val="00767D64"/>
    <w:rsid w:val="007753D6"/>
    <w:rsid w:val="007772C2"/>
    <w:rsid w:val="0078444A"/>
    <w:rsid w:val="007A033A"/>
    <w:rsid w:val="007A28E1"/>
    <w:rsid w:val="007B1F27"/>
    <w:rsid w:val="007B5BE3"/>
    <w:rsid w:val="007B7A13"/>
    <w:rsid w:val="007C7A53"/>
    <w:rsid w:val="007C7D99"/>
    <w:rsid w:val="007E52C1"/>
    <w:rsid w:val="008105A2"/>
    <w:rsid w:val="00810DBD"/>
    <w:rsid w:val="0081757E"/>
    <w:rsid w:val="0082646F"/>
    <w:rsid w:val="00832FB4"/>
    <w:rsid w:val="008350A7"/>
    <w:rsid w:val="008404D2"/>
    <w:rsid w:val="00850792"/>
    <w:rsid w:val="00851068"/>
    <w:rsid w:val="008806E2"/>
    <w:rsid w:val="008864CF"/>
    <w:rsid w:val="008972B5"/>
    <w:rsid w:val="008B3E9B"/>
    <w:rsid w:val="008C2143"/>
    <w:rsid w:val="008D442F"/>
    <w:rsid w:val="008E451E"/>
    <w:rsid w:val="008E5CA1"/>
    <w:rsid w:val="008F1A18"/>
    <w:rsid w:val="00907555"/>
    <w:rsid w:val="00913340"/>
    <w:rsid w:val="00927C9C"/>
    <w:rsid w:val="0093210A"/>
    <w:rsid w:val="00934043"/>
    <w:rsid w:val="00934C73"/>
    <w:rsid w:val="009444B3"/>
    <w:rsid w:val="0095494E"/>
    <w:rsid w:val="00957C8D"/>
    <w:rsid w:val="00965634"/>
    <w:rsid w:val="009673F9"/>
    <w:rsid w:val="00983FB1"/>
    <w:rsid w:val="00987204"/>
    <w:rsid w:val="00990496"/>
    <w:rsid w:val="00991C87"/>
    <w:rsid w:val="009922B6"/>
    <w:rsid w:val="00992341"/>
    <w:rsid w:val="00992DAD"/>
    <w:rsid w:val="009B01C7"/>
    <w:rsid w:val="009C5B7C"/>
    <w:rsid w:val="009D183A"/>
    <w:rsid w:val="009D454A"/>
    <w:rsid w:val="009E77E1"/>
    <w:rsid w:val="009E7EE1"/>
    <w:rsid w:val="009F06FB"/>
    <w:rsid w:val="00A12D11"/>
    <w:rsid w:val="00A166F1"/>
    <w:rsid w:val="00A172C8"/>
    <w:rsid w:val="00A25F81"/>
    <w:rsid w:val="00A339E6"/>
    <w:rsid w:val="00A5746D"/>
    <w:rsid w:val="00A626CA"/>
    <w:rsid w:val="00A64B18"/>
    <w:rsid w:val="00A674F4"/>
    <w:rsid w:val="00A72A79"/>
    <w:rsid w:val="00A75A7E"/>
    <w:rsid w:val="00A75DD4"/>
    <w:rsid w:val="00A76F8C"/>
    <w:rsid w:val="00AA4D25"/>
    <w:rsid w:val="00AB4DC1"/>
    <w:rsid w:val="00AB582F"/>
    <w:rsid w:val="00AB7A55"/>
    <w:rsid w:val="00AC68DC"/>
    <w:rsid w:val="00AD28C3"/>
    <w:rsid w:val="00AF0937"/>
    <w:rsid w:val="00AF579F"/>
    <w:rsid w:val="00B026CC"/>
    <w:rsid w:val="00B1215E"/>
    <w:rsid w:val="00B17330"/>
    <w:rsid w:val="00B202D9"/>
    <w:rsid w:val="00B27507"/>
    <w:rsid w:val="00B3323A"/>
    <w:rsid w:val="00B33FFF"/>
    <w:rsid w:val="00B47293"/>
    <w:rsid w:val="00B62FE5"/>
    <w:rsid w:val="00B71E67"/>
    <w:rsid w:val="00B756C0"/>
    <w:rsid w:val="00B9327A"/>
    <w:rsid w:val="00B96181"/>
    <w:rsid w:val="00BB2C21"/>
    <w:rsid w:val="00BB61A7"/>
    <w:rsid w:val="00BD1626"/>
    <w:rsid w:val="00BD2C73"/>
    <w:rsid w:val="00BE6856"/>
    <w:rsid w:val="00BE7057"/>
    <w:rsid w:val="00C21793"/>
    <w:rsid w:val="00C40524"/>
    <w:rsid w:val="00C41CA2"/>
    <w:rsid w:val="00C45BB9"/>
    <w:rsid w:val="00C45DB4"/>
    <w:rsid w:val="00C46943"/>
    <w:rsid w:val="00C4709D"/>
    <w:rsid w:val="00C47EE5"/>
    <w:rsid w:val="00C57B65"/>
    <w:rsid w:val="00C708B3"/>
    <w:rsid w:val="00C73E2A"/>
    <w:rsid w:val="00C7652F"/>
    <w:rsid w:val="00C84B4B"/>
    <w:rsid w:val="00C91826"/>
    <w:rsid w:val="00C92AC7"/>
    <w:rsid w:val="00C950E5"/>
    <w:rsid w:val="00CA3CE0"/>
    <w:rsid w:val="00CB2519"/>
    <w:rsid w:val="00CC6D9C"/>
    <w:rsid w:val="00CE1E4F"/>
    <w:rsid w:val="00CF09E9"/>
    <w:rsid w:val="00CF4589"/>
    <w:rsid w:val="00CF6F32"/>
    <w:rsid w:val="00D25F9C"/>
    <w:rsid w:val="00D3192E"/>
    <w:rsid w:val="00D3283F"/>
    <w:rsid w:val="00D73E64"/>
    <w:rsid w:val="00D86BE2"/>
    <w:rsid w:val="00D96E32"/>
    <w:rsid w:val="00DA2FC3"/>
    <w:rsid w:val="00DA560F"/>
    <w:rsid w:val="00DB6C11"/>
    <w:rsid w:val="00DC68B6"/>
    <w:rsid w:val="00DD50EF"/>
    <w:rsid w:val="00DE29DB"/>
    <w:rsid w:val="00E04E2E"/>
    <w:rsid w:val="00E068A3"/>
    <w:rsid w:val="00E07F62"/>
    <w:rsid w:val="00E163A2"/>
    <w:rsid w:val="00E17133"/>
    <w:rsid w:val="00E2051F"/>
    <w:rsid w:val="00E21713"/>
    <w:rsid w:val="00E233A6"/>
    <w:rsid w:val="00E236DE"/>
    <w:rsid w:val="00E24387"/>
    <w:rsid w:val="00E35CFC"/>
    <w:rsid w:val="00E543C8"/>
    <w:rsid w:val="00E557F1"/>
    <w:rsid w:val="00E64660"/>
    <w:rsid w:val="00E64986"/>
    <w:rsid w:val="00E651A7"/>
    <w:rsid w:val="00E65B1E"/>
    <w:rsid w:val="00E7290C"/>
    <w:rsid w:val="00E741E6"/>
    <w:rsid w:val="00E7710E"/>
    <w:rsid w:val="00E81418"/>
    <w:rsid w:val="00E815A7"/>
    <w:rsid w:val="00E93835"/>
    <w:rsid w:val="00E94970"/>
    <w:rsid w:val="00E94E91"/>
    <w:rsid w:val="00EA4FA5"/>
    <w:rsid w:val="00EA559B"/>
    <w:rsid w:val="00EA7AC2"/>
    <w:rsid w:val="00EB07B5"/>
    <w:rsid w:val="00EB5834"/>
    <w:rsid w:val="00EB7F3B"/>
    <w:rsid w:val="00ED40BD"/>
    <w:rsid w:val="00EF032A"/>
    <w:rsid w:val="00EF2DC6"/>
    <w:rsid w:val="00EF42FA"/>
    <w:rsid w:val="00EF7D3E"/>
    <w:rsid w:val="00F000D7"/>
    <w:rsid w:val="00F13F0E"/>
    <w:rsid w:val="00F2364B"/>
    <w:rsid w:val="00F317E8"/>
    <w:rsid w:val="00F348A1"/>
    <w:rsid w:val="00F37359"/>
    <w:rsid w:val="00F429DA"/>
    <w:rsid w:val="00F461C7"/>
    <w:rsid w:val="00F5282E"/>
    <w:rsid w:val="00F57624"/>
    <w:rsid w:val="00F612BD"/>
    <w:rsid w:val="00F61C56"/>
    <w:rsid w:val="00F76BB3"/>
    <w:rsid w:val="00F938D4"/>
    <w:rsid w:val="00FA01CC"/>
    <w:rsid w:val="00FA699B"/>
    <w:rsid w:val="00FB2E70"/>
    <w:rsid w:val="00FB33C6"/>
    <w:rsid w:val="00FB6A0B"/>
    <w:rsid w:val="00FC77C0"/>
    <w:rsid w:val="00FE1CD9"/>
    <w:rsid w:val="00FF5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B58684"/>
  <w15:chartTrackingRefBased/>
  <w15:docId w15:val="{967A82CE-B814-4DE4-8124-A8B19E06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AB4DC1"/>
    <w:pPr>
      <w:spacing w:line="480" w:lineRule="auto"/>
      <w:ind w:left="720" w:hanging="720"/>
    </w:pPr>
  </w:style>
  <w:style w:type="character" w:styleId="a4">
    <w:name w:val="Placeholder Text"/>
    <w:basedOn w:val="a0"/>
    <w:uiPriority w:val="99"/>
    <w:semiHidden/>
    <w:rsid w:val="003545D8"/>
    <w:rPr>
      <w:color w:val="808080"/>
    </w:rPr>
  </w:style>
  <w:style w:type="character" w:styleId="a5">
    <w:name w:val="annotation reference"/>
    <w:basedOn w:val="a0"/>
    <w:uiPriority w:val="99"/>
    <w:semiHidden/>
    <w:unhideWhenUsed/>
    <w:rsid w:val="009B01C7"/>
    <w:rPr>
      <w:sz w:val="18"/>
      <w:szCs w:val="18"/>
    </w:rPr>
  </w:style>
  <w:style w:type="paragraph" w:styleId="a6">
    <w:name w:val="annotation text"/>
    <w:basedOn w:val="a"/>
    <w:link w:val="a7"/>
    <w:uiPriority w:val="99"/>
    <w:unhideWhenUsed/>
    <w:rsid w:val="009B01C7"/>
    <w:pPr>
      <w:jc w:val="left"/>
    </w:pPr>
  </w:style>
  <w:style w:type="character" w:customStyle="1" w:styleId="a7">
    <w:name w:val="コメント文字列 (文字)"/>
    <w:basedOn w:val="a0"/>
    <w:link w:val="a6"/>
    <w:uiPriority w:val="99"/>
    <w:rsid w:val="009B01C7"/>
  </w:style>
  <w:style w:type="paragraph" w:styleId="a8">
    <w:name w:val="annotation subject"/>
    <w:basedOn w:val="a6"/>
    <w:next w:val="a6"/>
    <w:link w:val="a9"/>
    <w:uiPriority w:val="99"/>
    <w:semiHidden/>
    <w:unhideWhenUsed/>
    <w:rsid w:val="009B01C7"/>
    <w:rPr>
      <w:b/>
      <w:bCs/>
    </w:rPr>
  </w:style>
  <w:style w:type="character" w:customStyle="1" w:styleId="a9">
    <w:name w:val="コメント内容 (文字)"/>
    <w:basedOn w:val="a7"/>
    <w:link w:val="a8"/>
    <w:uiPriority w:val="99"/>
    <w:semiHidden/>
    <w:rsid w:val="009B01C7"/>
    <w:rPr>
      <w:b/>
      <w:bCs/>
    </w:rPr>
  </w:style>
  <w:style w:type="character" w:styleId="aa">
    <w:name w:val="Hyperlink"/>
    <w:basedOn w:val="a0"/>
    <w:uiPriority w:val="99"/>
    <w:unhideWhenUsed/>
    <w:rsid w:val="003D2A09"/>
    <w:rPr>
      <w:color w:val="0563C1" w:themeColor="hyperlink"/>
      <w:u w:val="single"/>
    </w:rPr>
  </w:style>
  <w:style w:type="character" w:styleId="ab">
    <w:name w:val="Unresolved Mention"/>
    <w:basedOn w:val="a0"/>
    <w:uiPriority w:val="99"/>
    <w:semiHidden/>
    <w:unhideWhenUsed/>
    <w:rsid w:val="003D2A09"/>
    <w:rPr>
      <w:color w:val="605E5C"/>
      <w:shd w:val="clear" w:color="auto" w:fill="E1DFDD"/>
    </w:rPr>
  </w:style>
  <w:style w:type="paragraph" w:styleId="ac">
    <w:name w:val="Revision"/>
    <w:hidden/>
    <w:uiPriority w:val="99"/>
    <w:semiHidden/>
    <w:rsid w:val="003F0DCD"/>
  </w:style>
  <w:style w:type="table" w:styleId="ad">
    <w:name w:val="Table Grid"/>
    <w:basedOn w:val="a1"/>
    <w:uiPriority w:val="39"/>
    <w:rsid w:val="00FA0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FE1CD9"/>
    <w:pPr>
      <w:tabs>
        <w:tab w:val="center" w:pos="4419"/>
        <w:tab w:val="right" w:pos="8838"/>
      </w:tabs>
    </w:pPr>
  </w:style>
  <w:style w:type="character" w:customStyle="1" w:styleId="af">
    <w:name w:val="ヘッダー (文字)"/>
    <w:basedOn w:val="a0"/>
    <w:link w:val="ae"/>
    <w:uiPriority w:val="99"/>
    <w:rsid w:val="00FE1CD9"/>
  </w:style>
  <w:style w:type="paragraph" w:styleId="af0">
    <w:name w:val="footer"/>
    <w:basedOn w:val="a"/>
    <w:link w:val="af1"/>
    <w:uiPriority w:val="99"/>
    <w:unhideWhenUsed/>
    <w:rsid w:val="00FE1CD9"/>
    <w:pPr>
      <w:tabs>
        <w:tab w:val="center" w:pos="4419"/>
        <w:tab w:val="right" w:pos="8838"/>
      </w:tabs>
    </w:pPr>
  </w:style>
  <w:style w:type="character" w:customStyle="1" w:styleId="af1">
    <w:name w:val="フッター (文字)"/>
    <w:basedOn w:val="a0"/>
    <w:link w:val="af0"/>
    <w:uiPriority w:val="99"/>
    <w:rsid w:val="00FE1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967888">
      <w:bodyDiv w:val="1"/>
      <w:marLeft w:val="0"/>
      <w:marRight w:val="0"/>
      <w:marTop w:val="0"/>
      <w:marBottom w:val="0"/>
      <w:divBdr>
        <w:top w:val="none" w:sz="0" w:space="0" w:color="auto"/>
        <w:left w:val="none" w:sz="0" w:space="0" w:color="auto"/>
        <w:bottom w:val="none" w:sz="0" w:space="0" w:color="auto"/>
        <w:right w:val="none" w:sz="0" w:space="0" w:color="auto"/>
      </w:divBdr>
      <w:divsChild>
        <w:div w:id="516773417">
          <w:marLeft w:val="0"/>
          <w:marRight w:val="108"/>
          <w:marTop w:val="18"/>
          <w:marBottom w:val="108"/>
          <w:divBdr>
            <w:top w:val="none" w:sz="0" w:space="0" w:color="auto"/>
            <w:left w:val="none" w:sz="0" w:space="0" w:color="auto"/>
            <w:bottom w:val="none" w:sz="0" w:space="0" w:color="auto"/>
            <w:right w:val="none" w:sz="0" w:space="0" w:color="auto"/>
          </w:divBdr>
          <w:divsChild>
            <w:div w:id="115025720">
              <w:marLeft w:val="0"/>
              <w:marRight w:val="0"/>
              <w:marTop w:val="0"/>
              <w:marBottom w:val="0"/>
              <w:divBdr>
                <w:top w:val="none" w:sz="0" w:space="0" w:color="auto"/>
                <w:left w:val="none" w:sz="0" w:space="0" w:color="auto"/>
                <w:bottom w:val="none" w:sz="0" w:space="0" w:color="auto"/>
                <w:right w:val="none" w:sz="0" w:space="0" w:color="auto"/>
              </w:divBdr>
              <w:divsChild>
                <w:div w:id="20388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72872">
      <w:bodyDiv w:val="1"/>
      <w:marLeft w:val="0"/>
      <w:marRight w:val="0"/>
      <w:marTop w:val="0"/>
      <w:marBottom w:val="0"/>
      <w:divBdr>
        <w:top w:val="none" w:sz="0" w:space="0" w:color="auto"/>
        <w:left w:val="none" w:sz="0" w:space="0" w:color="auto"/>
        <w:bottom w:val="none" w:sz="0" w:space="0" w:color="auto"/>
        <w:right w:val="none" w:sz="0" w:space="0" w:color="auto"/>
      </w:divBdr>
      <w:divsChild>
        <w:div w:id="1447040492">
          <w:marLeft w:val="0"/>
          <w:marRight w:val="108"/>
          <w:marTop w:val="108"/>
          <w:marBottom w:val="108"/>
          <w:divBdr>
            <w:top w:val="none" w:sz="0" w:space="0" w:color="auto"/>
            <w:left w:val="none" w:sz="0" w:space="0" w:color="auto"/>
            <w:bottom w:val="none" w:sz="0" w:space="0" w:color="auto"/>
            <w:right w:val="none" w:sz="0" w:space="0" w:color="auto"/>
          </w:divBdr>
          <w:divsChild>
            <w:div w:id="732508576">
              <w:marLeft w:val="0"/>
              <w:marRight w:val="0"/>
              <w:marTop w:val="0"/>
              <w:marBottom w:val="0"/>
              <w:divBdr>
                <w:top w:val="none" w:sz="0" w:space="0" w:color="auto"/>
                <w:left w:val="none" w:sz="0" w:space="0" w:color="auto"/>
                <w:bottom w:val="none" w:sz="0" w:space="0" w:color="auto"/>
                <w:right w:val="none" w:sz="0" w:space="0" w:color="auto"/>
              </w:divBdr>
              <w:divsChild>
                <w:div w:id="2136867417">
                  <w:marLeft w:val="0"/>
                  <w:marRight w:val="0"/>
                  <w:marTop w:val="0"/>
                  <w:marBottom w:val="0"/>
                  <w:divBdr>
                    <w:top w:val="none" w:sz="0" w:space="0" w:color="auto"/>
                    <w:left w:val="none" w:sz="0" w:space="0" w:color="auto"/>
                    <w:bottom w:val="none" w:sz="0" w:space="0" w:color="auto"/>
                    <w:right w:val="none" w:sz="0" w:space="0" w:color="auto"/>
                  </w:divBdr>
                </w:div>
                <w:div w:id="569270063">
                  <w:marLeft w:val="0"/>
                  <w:marRight w:val="108"/>
                  <w:marTop w:val="18"/>
                  <w:marBottom w:val="108"/>
                  <w:divBdr>
                    <w:top w:val="none" w:sz="0" w:space="0" w:color="auto"/>
                    <w:left w:val="none" w:sz="0" w:space="0" w:color="auto"/>
                    <w:bottom w:val="none" w:sz="0" w:space="0" w:color="auto"/>
                    <w:right w:val="none" w:sz="0" w:space="0" w:color="auto"/>
                  </w:divBdr>
                  <w:divsChild>
                    <w:div w:id="2320082">
                      <w:marLeft w:val="0"/>
                      <w:marRight w:val="0"/>
                      <w:marTop w:val="0"/>
                      <w:marBottom w:val="0"/>
                      <w:divBdr>
                        <w:top w:val="none" w:sz="0" w:space="0" w:color="auto"/>
                        <w:left w:val="none" w:sz="0" w:space="0" w:color="auto"/>
                        <w:bottom w:val="none" w:sz="0" w:space="0" w:color="auto"/>
                        <w:right w:val="none" w:sz="0" w:space="0" w:color="auto"/>
                      </w:divBdr>
                      <w:divsChild>
                        <w:div w:id="14254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124524">
      <w:bodyDiv w:val="1"/>
      <w:marLeft w:val="0"/>
      <w:marRight w:val="0"/>
      <w:marTop w:val="0"/>
      <w:marBottom w:val="0"/>
      <w:divBdr>
        <w:top w:val="none" w:sz="0" w:space="0" w:color="auto"/>
        <w:left w:val="none" w:sz="0" w:space="0" w:color="auto"/>
        <w:bottom w:val="none" w:sz="0" w:space="0" w:color="auto"/>
        <w:right w:val="none" w:sz="0" w:space="0" w:color="auto"/>
      </w:divBdr>
    </w:div>
    <w:div w:id="758646178">
      <w:bodyDiv w:val="1"/>
      <w:marLeft w:val="0"/>
      <w:marRight w:val="0"/>
      <w:marTop w:val="0"/>
      <w:marBottom w:val="0"/>
      <w:divBdr>
        <w:top w:val="none" w:sz="0" w:space="0" w:color="auto"/>
        <w:left w:val="none" w:sz="0" w:space="0" w:color="auto"/>
        <w:bottom w:val="none" w:sz="0" w:space="0" w:color="auto"/>
        <w:right w:val="none" w:sz="0" w:space="0" w:color="auto"/>
      </w:divBdr>
      <w:divsChild>
        <w:div w:id="1528561892">
          <w:marLeft w:val="0"/>
          <w:marRight w:val="108"/>
          <w:marTop w:val="108"/>
          <w:marBottom w:val="108"/>
          <w:divBdr>
            <w:top w:val="none" w:sz="0" w:space="0" w:color="auto"/>
            <w:left w:val="none" w:sz="0" w:space="0" w:color="auto"/>
            <w:bottom w:val="none" w:sz="0" w:space="0" w:color="auto"/>
            <w:right w:val="none" w:sz="0" w:space="0" w:color="auto"/>
          </w:divBdr>
          <w:divsChild>
            <w:div w:id="1860584772">
              <w:marLeft w:val="0"/>
              <w:marRight w:val="0"/>
              <w:marTop w:val="0"/>
              <w:marBottom w:val="0"/>
              <w:divBdr>
                <w:top w:val="none" w:sz="0" w:space="0" w:color="auto"/>
                <w:left w:val="none" w:sz="0" w:space="0" w:color="auto"/>
                <w:bottom w:val="none" w:sz="0" w:space="0" w:color="auto"/>
                <w:right w:val="none" w:sz="0" w:space="0" w:color="auto"/>
              </w:divBdr>
              <w:divsChild>
                <w:div w:id="883981193">
                  <w:marLeft w:val="0"/>
                  <w:marRight w:val="0"/>
                  <w:marTop w:val="0"/>
                  <w:marBottom w:val="0"/>
                  <w:divBdr>
                    <w:top w:val="none" w:sz="0" w:space="0" w:color="auto"/>
                    <w:left w:val="none" w:sz="0" w:space="0" w:color="auto"/>
                    <w:bottom w:val="none" w:sz="0" w:space="0" w:color="auto"/>
                    <w:right w:val="none" w:sz="0" w:space="0" w:color="auto"/>
                  </w:divBdr>
                </w:div>
                <w:div w:id="165828133">
                  <w:marLeft w:val="0"/>
                  <w:marRight w:val="108"/>
                  <w:marTop w:val="18"/>
                  <w:marBottom w:val="108"/>
                  <w:divBdr>
                    <w:top w:val="none" w:sz="0" w:space="0" w:color="auto"/>
                    <w:left w:val="none" w:sz="0" w:space="0" w:color="auto"/>
                    <w:bottom w:val="none" w:sz="0" w:space="0" w:color="auto"/>
                    <w:right w:val="none" w:sz="0" w:space="0" w:color="auto"/>
                  </w:divBdr>
                  <w:divsChild>
                    <w:div w:id="699165941">
                      <w:marLeft w:val="0"/>
                      <w:marRight w:val="0"/>
                      <w:marTop w:val="0"/>
                      <w:marBottom w:val="0"/>
                      <w:divBdr>
                        <w:top w:val="none" w:sz="0" w:space="0" w:color="auto"/>
                        <w:left w:val="none" w:sz="0" w:space="0" w:color="auto"/>
                        <w:bottom w:val="none" w:sz="0" w:space="0" w:color="auto"/>
                        <w:right w:val="none" w:sz="0" w:space="0" w:color="auto"/>
                      </w:divBdr>
                      <w:divsChild>
                        <w:div w:id="19634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202105">
      <w:bodyDiv w:val="1"/>
      <w:marLeft w:val="0"/>
      <w:marRight w:val="0"/>
      <w:marTop w:val="0"/>
      <w:marBottom w:val="0"/>
      <w:divBdr>
        <w:top w:val="none" w:sz="0" w:space="0" w:color="auto"/>
        <w:left w:val="none" w:sz="0" w:space="0" w:color="auto"/>
        <w:bottom w:val="none" w:sz="0" w:space="0" w:color="auto"/>
        <w:right w:val="none" w:sz="0" w:space="0" w:color="auto"/>
      </w:divBdr>
    </w:div>
    <w:div w:id="882982653">
      <w:bodyDiv w:val="1"/>
      <w:marLeft w:val="0"/>
      <w:marRight w:val="0"/>
      <w:marTop w:val="0"/>
      <w:marBottom w:val="0"/>
      <w:divBdr>
        <w:top w:val="none" w:sz="0" w:space="0" w:color="auto"/>
        <w:left w:val="none" w:sz="0" w:space="0" w:color="auto"/>
        <w:bottom w:val="none" w:sz="0" w:space="0" w:color="auto"/>
        <w:right w:val="none" w:sz="0" w:space="0" w:color="auto"/>
      </w:divBdr>
      <w:divsChild>
        <w:div w:id="1039668490">
          <w:marLeft w:val="0"/>
          <w:marRight w:val="108"/>
          <w:marTop w:val="108"/>
          <w:marBottom w:val="108"/>
          <w:divBdr>
            <w:top w:val="none" w:sz="0" w:space="0" w:color="auto"/>
            <w:left w:val="none" w:sz="0" w:space="0" w:color="auto"/>
            <w:bottom w:val="none" w:sz="0" w:space="0" w:color="auto"/>
            <w:right w:val="none" w:sz="0" w:space="0" w:color="auto"/>
          </w:divBdr>
          <w:divsChild>
            <w:div w:id="1502351993">
              <w:marLeft w:val="0"/>
              <w:marRight w:val="0"/>
              <w:marTop w:val="0"/>
              <w:marBottom w:val="0"/>
              <w:divBdr>
                <w:top w:val="none" w:sz="0" w:space="0" w:color="auto"/>
                <w:left w:val="none" w:sz="0" w:space="0" w:color="auto"/>
                <w:bottom w:val="none" w:sz="0" w:space="0" w:color="auto"/>
                <w:right w:val="none" w:sz="0" w:space="0" w:color="auto"/>
              </w:divBdr>
              <w:divsChild>
                <w:div w:id="2065985054">
                  <w:marLeft w:val="0"/>
                  <w:marRight w:val="0"/>
                  <w:marTop w:val="0"/>
                  <w:marBottom w:val="0"/>
                  <w:divBdr>
                    <w:top w:val="none" w:sz="0" w:space="0" w:color="auto"/>
                    <w:left w:val="none" w:sz="0" w:space="0" w:color="auto"/>
                    <w:bottom w:val="none" w:sz="0" w:space="0" w:color="auto"/>
                    <w:right w:val="none" w:sz="0" w:space="0" w:color="auto"/>
                  </w:divBdr>
                </w:div>
                <w:div w:id="293490456">
                  <w:marLeft w:val="0"/>
                  <w:marRight w:val="108"/>
                  <w:marTop w:val="18"/>
                  <w:marBottom w:val="108"/>
                  <w:divBdr>
                    <w:top w:val="none" w:sz="0" w:space="0" w:color="auto"/>
                    <w:left w:val="none" w:sz="0" w:space="0" w:color="auto"/>
                    <w:bottom w:val="none" w:sz="0" w:space="0" w:color="auto"/>
                    <w:right w:val="none" w:sz="0" w:space="0" w:color="auto"/>
                  </w:divBdr>
                  <w:divsChild>
                    <w:div w:id="348455042">
                      <w:marLeft w:val="0"/>
                      <w:marRight w:val="0"/>
                      <w:marTop w:val="0"/>
                      <w:marBottom w:val="0"/>
                      <w:divBdr>
                        <w:top w:val="none" w:sz="0" w:space="0" w:color="auto"/>
                        <w:left w:val="none" w:sz="0" w:space="0" w:color="auto"/>
                        <w:bottom w:val="none" w:sz="0" w:space="0" w:color="auto"/>
                        <w:right w:val="none" w:sz="0" w:space="0" w:color="auto"/>
                      </w:divBdr>
                      <w:divsChild>
                        <w:div w:id="4874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861553">
      <w:bodyDiv w:val="1"/>
      <w:marLeft w:val="0"/>
      <w:marRight w:val="0"/>
      <w:marTop w:val="0"/>
      <w:marBottom w:val="0"/>
      <w:divBdr>
        <w:top w:val="none" w:sz="0" w:space="0" w:color="auto"/>
        <w:left w:val="none" w:sz="0" w:space="0" w:color="auto"/>
        <w:bottom w:val="none" w:sz="0" w:space="0" w:color="auto"/>
        <w:right w:val="none" w:sz="0" w:space="0" w:color="auto"/>
      </w:divBdr>
      <w:divsChild>
        <w:div w:id="702053066">
          <w:marLeft w:val="0"/>
          <w:marRight w:val="108"/>
          <w:marTop w:val="108"/>
          <w:marBottom w:val="108"/>
          <w:divBdr>
            <w:top w:val="none" w:sz="0" w:space="0" w:color="auto"/>
            <w:left w:val="none" w:sz="0" w:space="0" w:color="auto"/>
            <w:bottom w:val="none" w:sz="0" w:space="0" w:color="auto"/>
            <w:right w:val="none" w:sz="0" w:space="0" w:color="auto"/>
          </w:divBdr>
          <w:divsChild>
            <w:div w:id="1285381551">
              <w:marLeft w:val="0"/>
              <w:marRight w:val="0"/>
              <w:marTop w:val="0"/>
              <w:marBottom w:val="0"/>
              <w:divBdr>
                <w:top w:val="none" w:sz="0" w:space="0" w:color="auto"/>
                <w:left w:val="none" w:sz="0" w:space="0" w:color="auto"/>
                <w:bottom w:val="none" w:sz="0" w:space="0" w:color="auto"/>
                <w:right w:val="none" w:sz="0" w:space="0" w:color="auto"/>
              </w:divBdr>
              <w:divsChild>
                <w:div w:id="936252766">
                  <w:marLeft w:val="0"/>
                  <w:marRight w:val="0"/>
                  <w:marTop w:val="0"/>
                  <w:marBottom w:val="0"/>
                  <w:divBdr>
                    <w:top w:val="none" w:sz="0" w:space="0" w:color="auto"/>
                    <w:left w:val="none" w:sz="0" w:space="0" w:color="auto"/>
                    <w:bottom w:val="none" w:sz="0" w:space="0" w:color="auto"/>
                    <w:right w:val="none" w:sz="0" w:space="0" w:color="auto"/>
                  </w:divBdr>
                </w:div>
                <w:div w:id="1555770266">
                  <w:marLeft w:val="0"/>
                  <w:marRight w:val="108"/>
                  <w:marTop w:val="18"/>
                  <w:marBottom w:val="108"/>
                  <w:divBdr>
                    <w:top w:val="none" w:sz="0" w:space="0" w:color="auto"/>
                    <w:left w:val="none" w:sz="0" w:space="0" w:color="auto"/>
                    <w:bottom w:val="none" w:sz="0" w:space="0" w:color="auto"/>
                    <w:right w:val="none" w:sz="0" w:space="0" w:color="auto"/>
                  </w:divBdr>
                  <w:divsChild>
                    <w:div w:id="732387450">
                      <w:marLeft w:val="0"/>
                      <w:marRight w:val="0"/>
                      <w:marTop w:val="0"/>
                      <w:marBottom w:val="0"/>
                      <w:divBdr>
                        <w:top w:val="none" w:sz="0" w:space="0" w:color="auto"/>
                        <w:left w:val="none" w:sz="0" w:space="0" w:color="auto"/>
                        <w:bottom w:val="none" w:sz="0" w:space="0" w:color="auto"/>
                        <w:right w:val="none" w:sz="0" w:space="0" w:color="auto"/>
                      </w:divBdr>
                      <w:divsChild>
                        <w:div w:id="10564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193344">
      <w:bodyDiv w:val="1"/>
      <w:marLeft w:val="0"/>
      <w:marRight w:val="0"/>
      <w:marTop w:val="0"/>
      <w:marBottom w:val="0"/>
      <w:divBdr>
        <w:top w:val="none" w:sz="0" w:space="0" w:color="auto"/>
        <w:left w:val="none" w:sz="0" w:space="0" w:color="auto"/>
        <w:bottom w:val="none" w:sz="0" w:space="0" w:color="auto"/>
        <w:right w:val="none" w:sz="0" w:space="0" w:color="auto"/>
      </w:divBdr>
    </w:div>
    <w:div w:id="1480227781">
      <w:bodyDiv w:val="1"/>
      <w:marLeft w:val="0"/>
      <w:marRight w:val="0"/>
      <w:marTop w:val="0"/>
      <w:marBottom w:val="0"/>
      <w:divBdr>
        <w:top w:val="none" w:sz="0" w:space="0" w:color="auto"/>
        <w:left w:val="none" w:sz="0" w:space="0" w:color="auto"/>
        <w:bottom w:val="none" w:sz="0" w:space="0" w:color="auto"/>
        <w:right w:val="none" w:sz="0" w:space="0" w:color="auto"/>
      </w:divBdr>
      <w:divsChild>
        <w:div w:id="1979216923">
          <w:marLeft w:val="0"/>
          <w:marRight w:val="108"/>
          <w:marTop w:val="18"/>
          <w:marBottom w:val="108"/>
          <w:divBdr>
            <w:top w:val="none" w:sz="0" w:space="0" w:color="auto"/>
            <w:left w:val="none" w:sz="0" w:space="0" w:color="auto"/>
            <w:bottom w:val="none" w:sz="0" w:space="0" w:color="auto"/>
            <w:right w:val="none" w:sz="0" w:space="0" w:color="auto"/>
          </w:divBdr>
          <w:divsChild>
            <w:div w:id="1602909232">
              <w:marLeft w:val="0"/>
              <w:marRight w:val="0"/>
              <w:marTop w:val="0"/>
              <w:marBottom w:val="0"/>
              <w:divBdr>
                <w:top w:val="none" w:sz="0" w:space="0" w:color="auto"/>
                <w:left w:val="none" w:sz="0" w:space="0" w:color="auto"/>
                <w:bottom w:val="none" w:sz="0" w:space="0" w:color="auto"/>
                <w:right w:val="none" w:sz="0" w:space="0" w:color="auto"/>
              </w:divBdr>
              <w:divsChild>
                <w:div w:id="5202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730039">
      <w:bodyDiv w:val="1"/>
      <w:marLeft w:val="0"/>
      <w:marRight w:val="0"/>
      <w:marTop w:val="0"/>
      <w:marBottom w:val="0"/>
      <w:divBdr>
        <w:top w:val="none" w:sz="0" w:space="0" w:color="auto"/>
        <w:left w:val="none" w:sz="0" w:space="0" w:color="auto"/>
        <w:bottom w:val="none" w:sz="0" w:space="0" w:color="auto"/>
        <w:right w:val="none" w:sz="0" w:space="0" w:color="auto"/>
      </w:divBdr>
      <w:divsChild>
        <w:div w:id="100220568">
          <w:marLeft w:val="0"/>
          <w:marRight w:val="108"/>
          <w:marTop w:val="108"/>
          <w:marBottom w:val="108"/>
          <w:divBdr>
            <w:top w:val="none" w:sz="0" w:space="0" w:color="auto"/>
            <w:left w:val="none" w:sz="0" w:space="0" w:color="auto"/>
            <w:bottom w:val="none" w:sz="0" w:space="0" w:color="auto"/>
            <w:right w:val="none" w:sz="0" w:space="0" w:color="auto"/>
          </w:divBdr>
          <w:divsChild>
            <w:div w:id="1011839307">
              <w:marLeft w:val="0"/>
              <w:marRight w:val="0"/>
              <w:marTop w:val="0"/>
              <w:marBottom w:val="0"/>
              <w:divBdr>
                <w:top w:val="none" w:sz="0" w:space="0" w:color="auto"/>
                <w:left w:val="none" w:sz="0" w:space="0" w:color="auto"/>
                <w:bottom w:val="none" w:sz="0" w:space="0" w:color="auto"/>
                <w:right w:val="none" w:sz="0" w:space="0" w:color="auto"/>
              </w:divBdr>
              <w:divsChild>
                <w:div w:id="687752829">
                  <w:marLeft w:val="0"/>
                  <w:marRight w:val="0"/>
                  <w:marTop w:val="0"/>
                  <w:marBottom w:val="0"/>
                  <w:divBdr>
                    <w:top w:val="none" w:sz="0" w:space="0" w:color="auto"/>
                    <w:left w:val="none" w:sz="0" w:space="0" w:color="auto"/>
                    <w:bottom w:val="none" w:sz="0" w:space="0" w:color="auto"/>
                    <w:right w:val="none" w:sz="0" w:space="0" w:color="auto"/>
                  </w:divBdr>
                </w:div>
                <w:div w:id="469368987">
                  <w:marLeft w:val="0"/>
                  <w:marRight w:val="108"/>
                  <w:marTop w:val="18"/>
                  <w:marBottom w:val="108"/>
                  <w:divBdr>
                    <w:top w:val="none" w:sz="0" w:space="0" w:color="auto"/>
                    <w:left w:val="none" w:sz="0" w:space="0" w:color="auto"/>
                    <w:bottom w:val="none" w:sz="0" w:space="0" w:color="auto"/>
                    <w:right w:val="none" w:sz="0" w:space="0" w:color="auto"/>
                  </w:divBdr>
                  <w:divsChild>
                    <w:div w:id="1196818973">
                      <w:marLeft w:val="0"/>
                      <w:marRight w:val="0"/>
                      <w:marTop w:val="0"/>
                      <w:marBottom w:val="0"/>
                      <w:divBdr>
                        <w:top w:val="none" w:sz="0" w:space="0" w:color="auto"/>
                        <w:left w:val="none" w:sz="0" w:space="0" w:color="auto"/>
                        <w:bottom w:val="none" w:sz="0" w:space="0" w:color="auto"/>
                        <w:right w:val="none" w:sz="0" w:space="0" w:color="auto"/>
                      </w:divBdr>
                      <w:divsChild>
                        <w:div w:id="12493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435937">
      <w:bodyDiv w:val="1"/>
      <w:marLeft w:val="0"/>
      <w:marRight w:val="0"/>
      <w:marTop w:val="0"/>
      <w:marBottom w:val="0"/>
      <w:divBdr>
        <w:top w:val="none" w:sz="0" w:space="0" w:color="auto"/>
        <w:left w:val="none" w:sz="0" w:space="0" w:color="auto"/>
        <w:bottom w:val="none" w:sz="0" w:space="0" w:color="auto"/>
        <w:right w:val="none" w:sz="0" w:space="0" w:color="auto"/>
      </w:divBdr>
      <w:divsChild>
        <w:div w:id="1598899728">
          <w:marLeft w:val="0"/>
          <w:marRight w:val="108"/>
          <w:marTop w:val="108"/>
          <w:marBottom w:val="108"/>
          <w:divBdr>
            <w:top w:val="none" w:sz="0" w:space="0" w:color="auto"/>
            <w:left w:val="none" w:sz="0" w:space="0" w:color="auto"/>
            <w:bottom w:val="none" w:sz="0" w:space="0" w:color="auto"/>
            <w:right w:val="none" w:sz="0" w:space="0" w:color="auto"/>
          </w:divBdr>
          <w:divsChild>
            <w:div w:id="1751850529">
              <w:marLeft w:val="0"/>
              <w:marRight w:val="0"/>
              <w:marTop w:val="0"/>
              <w:marBottom w:val="0"/>
              <w:divBdr>
                <w:top w:val="none" w:sz="0" w:space="0" w:color="auto"/>
                <w:left w:val="none" w:sz="0" w:space="0" w:color="auto"/>
                <w:bottom w:val="none" w:sz="0" w:space="0" w:color="auto"/>
                <w:right w:val="none" w:sz="0" w:space="0" w:color="auto"/>
              </w:divBdr>
              <w:divsChild>
                <w:div w:id="387262880">
                  <w:marLeft w:val="0"/>
                  <w:marRight w:val="0"/>
                  <w:marTop w:val="0"/>
                  <w:marBottom w:val="0"/>
                  <w:divBdr>
                    <w:top w:val="none" w:sz="0" w:space="0" w:color="auto"/>
                    <w:left w:val="none" w:sz="0" w:space="0" w:color="auto"/>
                    <w:bottom w:val="none" w:sz="0" w:space="0" w:color="auto"/>
                    <w:right w:val="none" w:sz="0" w:space="0" w:color="auto"/>
                  </w:divBdr>
                </w:div>
                <w:div w:id="118501632">
                  <w:marLeft w:val="0"/>
                  <w:marRight w:val="108"/>
                  <w:marTop w:val="18"/>
                  <w:marBottom w:val="108"/>
                  <w:divBdr>
                    <w:top w:val="none" w:sz="0" w:space="0" w:color="auto"/>
                    <w:left w:val="none" w:sz="0" w:space="0" w:color="auto"/>
                    <w:bottom w:val="none" w:sz="0" w:space="0" w:color="auto"/>
                    <w:right w:val="none" w:sz="0" w:space="0" w:color="auto"/>
                  </w:divBdr>
                  <w:divsChild>
                    <w:div w:id="392461531">
                      <w:marLeft w:val="0"/>
                      <w:marRight w:val="0"/>
                      <w:marTop w:val="0"/>
                      <w:marBottom w:val="0"/>
                      <w:divBdr>
                        <w:top w:val="none" w:sz="0" w:space="0" w:color="auto"/>
                        <w:left w:val="none" w:sz="0" w:space="0" w:color="auto"/>
                        <w:bottom w:val="none" w:sz="0" w:space="0" w:color="auto"/>
                        <w:right w:val="none" w:sz="0" w:space="0" w:color="auto"/>
                      </w:divBdr>
                      <w:divsChild>
                        <w:div w:id="2092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92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oi.org/10.7717/peerj.3209" TargetMode="External"/><Relationship Id="rId39" Type="http://schemas.openxmlformats.org/officeDocument/2006/relationships/hyperlink" Target="https://doi.org/10.1121/1.4945716" TargetMode="External"/><Relationship Id="rId21" Type="http://schemas.openxmlformats.org/officeDocument/2006/relationships/hyperlink" Target="https://doi.org/10.1017/S0142716421000515" TargetMode="External"/><Relationship Id="rId34" Type="http://schemas.openxmlformats.org/officeDocument/2006/relationships/hyperlink" Target="https://research-publishing.net/book?10.14705/rpnet.2018.26.9782490057221" TargetMode="External"/><Relationship Id="rId42" Type="http://schemas.openxmlformats.org/officeDocument/2006/relationships/hyperlink" Target="https://doi.org/10.1121/1.410149" TargetMode="External"/><Relationship Id="rId47" Type="http://schemas.openxmlformats.org/officeDocument/2006/relationships/hyperlink" Target="http://llt.msu.edu/issues/june2016/okunohardison.pdf" TargetMode="External"/><Relationship Id="rId50" Type="http://schemas.openxmlformats.org/officeDocument/2006/relationships/hyperlink" Target="https://doi.org/10125/44582" TargetMode="External"/><Relationship Id="rId55" Type="http://schemas.openxmlformats.org/officeDocument/2006/relationships/hyperlink" Target="https://doi.org/10.1080/15475441.2021.1876699"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hyperlink" Target="https://doi.org/10.1016/j.specom.2005.04.007" TargetMode="External"/><Relationship Id="rId11" Type="http://schemas.openxmlformats.org/officeDocument/2006/relationships/image" Target="media/image6.png"/><Relationship Id="rId24" Type="http://schemas.openxmlformats.org/officeDocument/2006/relationships/hyperlink" Target="https://doi.org/10.1017/S0272263120000455" TargetMode="External"/><Relationship Id="rId32" Type="http://schemas.openxmlformats.org/officeDocument/2006/relationships/hyperlink" Target="https://doi.org/10.1044/1092-4388(2009/08-0243)" TargetMode="External"/><Relationship Id="rId37" Type="http://schemas.openxmlformats.org/officeDocument/2006/relationships/hyperlink" Target="https://doi.org/10.1017/S0142716411000300" TargetMode="External"/><Relationship Id="rId40" Type="http://schemas.openxmlformats.org/officeDocument/2006/relationships/hyperlink" Target="https://doi.org/10.1121/1.3506351" TargetMode="External"/><Relationship Id="rId45" Type="http://schemas.openxmlformats.org/officeDocument/2006/relationships/hyperlink" Target="https://doi.org/10.1007/s10936-017-9517-8" TargetMode="External"/><Relationship Id="rId53" Type="http://schemas.openxmlformats.org/officeDocument/2006/relationships/hyperlink" Target="https://doi.org/10.1016/j.wocn.2021.101108" TargetMode="External"/><Relationship Id="rId58" Type="http://schemas.openxmlformats.org/officeDocument/2006/relationships/hyperlink" Target="https://doi.org/10.1111/j.1540-4781.2013.01386.x" TargetMode="Externa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hyperlink" Target="https://doi.org/10.3138/cmlr.2318" TargetMode="External"/><Relationship Id="rId27" Type="http://schemas.openxmlformats.org/officeDocument/2006/relationships/hyperlink" Target="https://doi.org/10.1016/j.wocn.2018.10.005" TargetMode="External"/><Relationship Id="rId30" Type="http://schemas.openxmlformats.org/officeDocument/2006/relationships/hyperlink" Target="https://doi.org/10.1121/1.4802902" TargetMode="External"/><Relationship Id="rId35" Type="http://schemas.openxmlformats.org/officeDocument/2006/relationships/hyperlink" Target="https://doi.org/10.1121/1.3148196" TargetMode="External"/><Relationship Id="rId43" Type="http://schemas.openxmlformats.org/officeDocument/2006/relationships/hyperlink" Target="https://doi.org/10.1121/1.1894649" TargetMode="External"/><Relationship Id="rId48" Type="http://schemas.openxmlformats.org/officeDocument/2006/relationships/hyperlink" Target="https://doi.org/10.1121/1.3292286" TargetMode="External"/><Relationship Id="rId56" Type="http://schemas.openxmlformats.org/officeDocument/2006/relationships/hyperlink" Target="https://doi.org/10.1075/jslp.19010.sil" TargetMode="External"/><Relationship Id="rId8" Type="http://schemas.openxmlformats.org/officeDocument/2006/relationships/image" Target="media/image3.png"/><Relationship Id="rId51" Type="http://schemas.openxmlformats.org/officeDocument/2006/relationships/hyperlink" Target="https://doi.org/10.7764/onomazein.51.04"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doi.org/10.1016/j.wocn.2007.06.005" TargetMode="External"/><Relationship Id="rId33" Type="http://schemas.openxmlformats.org/officeDocument/2006/relationships/hyperlink" Target="https://doi.org/10.1121/1.2734401" TargetMode="External"/><Relationship Id="rId38" Type="http://schemas.openxmlformats.org/officeDocument/2006/relationships/hyperlink" Target="https://doi.org/10.3138/cmlr.2324" TargetMode="External"/><Relationship Id="rId46" Type="http://schemas.openxmlformats.org/officeDocument/2006/relationships/hyperlink" Target="https://doi.org/10.1044/1092-4388" TargetMode="External"/><Relationship Id="rId59" Type="http://schemas.openxmlformats.org/officeDocument/2006/relationships/hyperlink" Target="https://doi.org/10.1121/1.4913457" TargetMode="External"/><Relationship Id="rId20" Type="http://schemas.openxmlformats.org/officeDocument/2006/relationships/hyperlink" Target="https://doi.org/10.1016/S1053-8119(03)00020-X" TargetMode="External"/><Relationship Id="rId41" Type="http://schemas.openxmlformats.org/officeDocument/2006/relationships/hyperlink" Target="https://doi.org/10.1121/1.408177" TargetMode="External"/><Relationship Id="rId54" Type="http://schemas.openxmlformats.org/officeDocument/2006/relationships/hyperlink" Target="https://doi.org/10.1017/S027226311500039X"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doi.org/10.1017/S0142716400066029" TargetMode="External"/><Relationship Id="rId28" Type="http://schemas.openxmlformats.org/officeDocument/2006/relationships/hyperlink" Target="https://doi.org/10.1017/S0142716403000250" TargetMode="External"/><Relationship Id="rId36" Type="http://schemas.openxmlformats.org/officeDocument/2006/relationships/hyperlink" Target="https://doi.org/10.1121/1.2062307" TargetMode="External"/><Relationship Id="rId49" Type="http://schemas.openxmlformats.org/officeDocument/2006/relationships/hyperlink" Target="https://doi.org/10.1121/1.2161427" TargetMode="External"/><Relationship Id="rId57" Type="http://schemas.openxmlformats.org/officeDocument/2006/relationships/hyperlink" Target="https://doi.org/10.1121/1.2804942" TargetMode="External"/><Relationship Id="rId10" Type="http://schemas.openxmlformats.org/officeDocument/2006/relationships/image" Target="media/image5.png"/><Relationship Id="rId31" Type="http://schemas.openxmlformats.org/officeDocument/2006/relationships/hyperlink" Target="https://doi.org/10.1121/1.1783351" TargetMode="External"/><Relationship Id="rId44" Type="http://schemas.openxmlformats.org/officeDocument/2006/relationships/hyperlink" Target="https://doi.org/10.1121/1.3262006" TargetMode="External"/><Relationship Id="rId52" Type="http://schemas.openxmlformats.org/officeDocument/2006/relationships/hyperlink" Target="https://doi.org/10.1016/j.wocn.2017.11.002"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33</Pages>
  <Words>8616</Words>
  <Characters>49113</Characters>
  <Application>Microsoft Office Word</Application>
  <DocSecurity>0</DocSecurity>
  <Lines>409</Lines>
  <Paragraphs>115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内原　卓海</cp:lastModifiedBy>
  <cp:revision>5</cp:revision>
  <dcterms:created xsi:type="dcterms:W3CDTF">2024-11-28T00:59:00Z</dcterms:created>
  <dcterms:modified xsi:type="dcterms:W3CDTF">2024-11-28T02:09:00Z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id="66fRzQ6f"/&gt;&lt;style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