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640FF" w14:textId="1BCE80E8" w:rsidR="005A3474" w:rsidRPr="005A3474" w:rsidRDefault="005A3474" w:rsidP="005A3474">
      <w:pPr>
        <w:widowControl/>
        <w:spacing w:line="360" w:lineRule="auto"/>
        <w:rPr>
          <w:rFonts w:ascii="Times New Roman" w:eastAsia="宋体" w:hAnsi="Times New Roman" w:cs="Times New Roman"/>
          <w:kern w:val="0"/>
          <w:sz w:val="24"/>
        </w:rPr>
      </w:pPr>
      <w:r w:rsidRPr="005A3474">
        <w:rPr>
          <w:rFonts w:ascii="Times New Roman" w:eastAsia="宋体" w:hAnsi="Times New Roman" w:cs="Times New Roman"/>
          <w:b/>
          <w:bCs/>
          <w:kern w:val="0"/>
          <w:sz w:val="24"/>
        </w:rPr>
        <w:t>Figure 4</w:t>
      </w:r>
      <w:r w:rsidRPr="005A3474">
        <w:rPr>
          <w:rFonts w:ascii="Times New Roman" w:eastAsia="宋体" w:hAnsi="Times New Roman" w:cs="Times New Roman"/>
          <w:kern w:val="0"/>
          <w:sz w:val="24"/>
        </w:rPr>
        <w:t xml:space="preserve"> presents diagnostic plots to assess outliers and influential cases in the meta-analysis. The </w:t>
      </w:r>
      <w:proofErr w:type="spellStart"/>
      <w:r w:rsidRPr="005A3474">
        <w:rPr>
          <w:rFonts w:ascii="Times New Roman" w:eastAsia="宋体" w:hAnsi="Times New Roman" w:cs="Times New Roman"/>
          <w:b/>
          <w:bCs/>
          <w:kern w:val="0"/>
          <w:sz w:val="24"/>
        </w:rPr>
        <w:t>rstudent</w:t>
      </w:r>
      <w:proofErr w:type="spellEnd"/>
      <w:r w:rsidRPr="005A3474">
        <w:rPr>
          <w:rFonts w:ascii="Times New Roman" w:eastAsia="宋体" w:hAnsi="Times New Roman" w:cs="Times New Roman"/>
          <w:kern w:val="0"/>
          <w:sz w:val="24"/>
        </w:rPr>
        <w:t xml:space="preserve"> plot displays standardized residuals, illustrating how far each study’s effect size deviates from predicted values, with no points exceeding the commonly used threshold of ±2, suggesting no significant outliers. The </w:t>
      </w:r>
      <w:proofErr w:type="spellStart"/>
      <w:r w:rsidRPr="005A3474">
        <w:rPr>
          <w:rFonts w:ascii="Times New Roman" w:eastAsia="宋体" w:hAnsi="Times New Roman" w:cs="Times New Roman"/>
          <w:b/>
          <w:bCs/>
          <w:kern w:val="0"/>
          <w:sz w:val="24"/>
        </w:rPr>
        <w:t>dffits</w:t>
      </w:r>
      <w:proofErr w:type="spellEnd"/>
      <w:r w:rsidRPr="005A3474">
        <w:rPr>
          <w:rFonts w:ascii="Times New Roman" w:eastAsia="宋体" w:hAnsi="Times New Roman" w:cs="Times New Roman"/>
          <w:kern w:val="0"/>
          <w:sz w:val="24"/>
        </w:rPr>
        <w:t xml:space="preserve"> plot, which measures the influence of each study on the overall model, shows all values below the recommended cutoff of ±0.5, indicating that no individual study exerts undue influence. Similarly, </w:t>
      </w:r>
      <w:r w:rsidR="008270F6">
        <w:rPr>
          <w:rFonts w:ascii="Times New Roman" w:eastAsia="宋体" w:hAnsi="Times New Roman" w:cs="Times New Roman"/>
          <w:b/>
          <w:bCs/>
          <w:kern w:val="0"/>
          <w:sz w:val="24"/>
        </w:rPr>
        <w:t>c</w:t>
      </w:r>
      <w:r w:rsidRPr="005A3474">
        <w:rPr>
          <w:rFonts w:ascii="Times New Roman" w:eastAsia="宋体" w:hAnsi="Times New Roman" w:cs="Times New Roman"/>
          <w:b/>
          <w:bCs/>
          <w:kern w:val="0"/>
          <w:sz w:val="24"/>
        </w:rPr>
        <w:t>ook’s distance (</w:t>
      </w:r>
      <w:proofErr w:type="spellStart"/>
      <w:r w:rsidRPr="005A3474">
        <w:rPr>
          <w:rFonts w:ascii="Times New Roman" w:eastAsia="宋体" w:hAnsi="Times New Roman" w:cs="Times New Roman"/>
          <w:b/>
          <w:bCs/>
          <w:kern w:val="0"/>
          <w:sz w:val="24"/>
        </w:rPr>
        <w:t>cook.d</w:t>
      </w:r>
      <w:proofErr w:type="spellEnd"/>
      <w:r w:rsidRPr="005A3474">
        <w:rPr>
          <w:rFonts w:ascii="Times New Roman" w:eastAsia="宋体" w:hAnsi="Times New Roman" w:cs="Times New Roman"/>
          <w:b/>
          <w:bCs/>
          <w:kern w:val="0"/>
          <w:sz w:val="24"/>
        </w:rPr>
        <w:t>)</w:t>
      </w:r>
      <w:r w:rsidRPr="005A3474">
        <w:rPr>
          <w:rFonts w:ascii="Times New Roman" w:eastAsia="宋体" w:hAnsi="Times New Roman" w:cs="Times New Roman"/>
          <w:kern w:val="0"/>
          <w:sz w:val="24"/>
        </w:rPr>
        <w:t xml:space="preserve"> quantifies the impact of each study on parameter estimates, and none of the studies exhibit disproportionately high values</w:t>
      </w:r>
      <w:r w:rsidR="008270F6">
        <w:rPr>
          <w:rFonts w:ascii="Times New Roman" w:eastAsia="宋体" w:hAnsi="Times New Roman" w:cs="Times New Roman"/>
          <w:kern w:val="0"/>
          <w:sz w:val="24"/>
        </w:rPr>
        <w:t xml:space="preserve">. </w:t>
      </w:r>
      <w:r w:rsidRPr="005A3474">
        <w:rPr>
          <w:rFonts w:ascii="Times New Roman" w:eastAsia="宋体" w:hAnsi="Times New Roman" w:cs="Times New Roman"/>
          <w:kern w:val="0"/>
          <w:sz w:val="24"/>
        </w:rPr>
        <w:t xml:space="preserve">The </w:t>
      </w:r>
      <w:proofErr w:type="spellStart"/>
      <w:r w:rsidRPr="005A3474">
        <w:rPr>
          <w:rFonts w:ascii="Times New Roman" w:eastAsia="宋体" w:hAnsi="Times New Roman" w:cs="Times New Roman"/>
          <w:b/>
          <w:bCs/>
          <w:kern w:val="0"/>
          <w:sz w:val="24"/>
        </w:rPr>
        <w:t>cov.r</w:t>
      </w:r>
      <w:proofErr w:type="spellEnd"/>
      <w:r w:rsidRPr="005A3474">
        <w:rPr>
          <w:rFonts w:ascii="Times New Roman" w:eastAsia="宋体" w:hAnsi="Times New Roman" w:cs="Times New Roman"/>
          <w:kern w:val="0"/>
          <w:sz w:val="24"/>
        </w:rPr>
        <w:t xml:space="preserve"> plot evaluates the covariance ratio, with all points remaining close to 1, suggesting no undue influence on the variance-covariance matrix. The </w:t>
      </w:r>
      <w:r w:rsidRPr="005A3474">
        <w:rPr>
          <w:rFonts w:ascii="Times New Roman" w:eastAsia="宋体" w:hAnsi="Times New Roman" w:cs="Times New Roman"/>
          <w:b/>
          <w:bCs/>
          <w:kern w:val="0"/>
          <w:sz w:val="24"/>
        </w:rPr>
        <w:t>tau2.del</w:t>
      </w:r>
      <w:r w:rsidRPr="005A3474">
        <w:rPr>
          <w:rFonts w:ascii="Times New Roman" w:eastAsia="宋体" w:hAnsi="Times New Roman" w:cs="Times New Roman"/>
          <w:kern w:val="0"/>
          <w:sz w:val="24"/>
        </w:rPr>
        <w:t xml:space="preserve"> plot examines changes in between-study variance (τ²) when individual studies are removed, showing no extreme deviations, which implies that no single study overly contributes to heterogeneity. Similarly, the </w:t>
      </w:r>
      <w:proofErr w:type="spellStart"/>
      <w:r w:rsidRPr="005A3474">
        <w:rPr>
          <w:rFonts w:ascii="Times New Roman" w:eastAsia="宋体" w:hAnsi="Times New Roman" w:cs="Times New Roman"/>
          <w:b/>
          <w:bCs/>
          <w:kern w:val="0"/>
          <w:sz w:val="24"/>
        </w:rPr>
        <w:t>QE.del</w:t>
      </w:r>
      <w:proofErr w:type="spellEnd"/>
      <w:r w:rsidRPr="005A3474">
        <w:rPr>
          <w:rFonts w:ascii="Times New Roman" w:eastAsia="宋体" w:hAnsi="Times New Roman" w:cs="Times New Roman"/>
          <w:kern w:val="0"/>
          <w:sz w:val="24"/>
        </w:rPr>
        <w:t xml:space="preserve"> plot assesses the change in the heterogeneity statistic (Q) upon the exclusion of each study, with all changes remaining within acceptable ranges. The </w:t>
      </w:r>
      <w:r w:rsidRPr="005A3474">
        <w:rPr>
          <w:rFonts w:ascii="Times New Roman" w:eastAsia="宋体" w:hAnsi="Times New Roman" w:cs="Times New Roman"/>
          <w:b/>
          <w:bCs/>
          <w:kern w:val="0"/>
          <w:sz w:val="24"/>
        </w:rPr>
        <w:t>hat</w:t>
      </w:r>
      <w:r w:rsidRPr="005A3474">
        <w:rPr>
          <w:rFonts w:ascii="Times New Roman" w:eastAsia="宋体" w:hAnsi="Times New Roman" w:cs="Times New Roman"/>
          <w:kern w:val="0"/>
          <w:sz w:val="24"/>
        </w:rPr>
        <w:t xml:space="preserve"> value reflect</w:t>
      </w:r>
      <w:r w:rsidR="008270F6">
        <w:rPr>
          <w:rFonts w:ascii="Times New Roman" w:eastAsia="宋体" w:hAnsi="Times New Roman" w:cs="Times New Roman"/>
          <w:kern w:val="0"/>
          <w:sz w:val="24"/>
        </w:rPr>
        <w:t>s</w:t>
      </w:r>
      <w:r w:rsidRPr="005A3474">
        <w:rPr>
          <w:rFonts w:ascii="Times New Roman" w:eastAsia="宋体" w:hAnsi="Times New Roman" w:cs="Times New Roman"/>
          <w:kern w:val="0"/>
          <w:sz w:val="24"/>
        </w:rPr>
        <w:t xml:space="preserve"> the leverage of each study, and none of the studies exhibit high leverage that would require further scrutiny. Finally, the </w:t>
      </w:r>
      <w:r w:rsidRPr="005A3474">
        <w:rPr>
          <w:rFonts w:ascii="Times New Roman" w:eastAsia="宋体" w:hAnsi="Times New Roman" w:cs="Times New Roman"/>
          <w:b/>
          <w:bCs/>
          <w:kern w:val="0"/>
          <w:sz w:val="24"/>
        </w:rPr>
        <w:t>weight</w:t>
      </w:r>
      <w:r w:rsidRPr="005A3474">
        <w:rPr>
          <w:rFonts w:ascii="Times New Roman" w:eastAsia="宋体" w:hAnsi="Times New Roman" w:cs="Times New Roman"/>
          <w:kern w:val="0"/>
          <w:sz w:val="24"/>
        </w:rPr>
        <w:t xml:space="preserve"> plot demonstrates the relative contribution of each study to the overall model, with no single study dominating the results. Overall, these diagnostics</w:t>
      </w:r>
      <w:r>
        <w:rPr>
          <w:rFonts w:ascii="Times New Roman" w:eastAsia="宋体" w:hAnsi="Times New Roman" w:cs="Times New Roman"/>
          <w:kern w:val="0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kern w:val="0"/>
          <w:sz w:val="24"/>
        </w:rPr>
        <w:t>demonstrate</w:t>
      </w:r>
      <w:r>
        <w:rPr>
          <w:rFonts w:ascii="Times New Roman" w:eastAsia="宋体" w:hAnsi="Times New Roman" w:cs="Times New Roman"/>
          <w:kern w:val="0"/>
          <w:sz w:val="24"/>
        </w:rPr>
        <w:t xml:space="preserve"> </w:t>
      </w:r>
      <w:r w:rsidRPr="005A3474">
        <w:rPr>
          <w:rFonts w:ascii="Times New Roman" w:eastAsia="宋体" w:hAnsi="Times New Roman" w:cs="Times New Roman"/>
          <w:kern w:val="0"/>
          <w:sz w:val="24"/>
        </w:rPr>
        <w:t>that there are no significant outliers or influential cases.</w:t>
      </w:r>
    </w:p>
    <w:p w14:paraId="06901167" w14:textId="7A0D2EC9" w:rsidR="00EC2C54" w:rsidRPr="005A3474" w:rsidRDefault="008270F6" w:rsidP="005A3474">
      <w:pPr>
        <w:widowControl/>
        <w:spacing w:line="360" w:lineRule="auto"/>
        <w:rPr>
          <w:rFonts w:ascii="Times New Roman" w:eastAsia="宋体" w:hAnsi="Times New Roman" w:cs="Times New Roman"/>
          <w:kern w:val="0"/>
          <w:sz w:val="24"/>
        </w:rPr>
      </w:pPr>
    </w:p>
    <w:sectPr w:rsidR="00EC2C54" w:rsidRPr="005A34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-ExtB">
    <w:panose1 w:val="02010609060101010101"/>
    <w:charset w:val="86"/>
    <w:family w:val="modern"/>
    <w:pitch w:val="fixed"/>
    <w:sig w:usb0="00000001" w:usb1="0A0E0000" w:usb2="00000010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604AC1"/>
    <w:multiLevelType w:val="multilevel"/>
    <w:tmpl w:val="180E1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4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474"/>
    <w:rsid w:val="00021EED"/>
    <w:rsid w:val="00037BF5"/>
    <w:rsid w:val="00045FAF"/>
    <w:rsid w:val="000B0609"/>
    <w:rsid w:val="000B17E1"/>
    <w:rsid w:val="000C1318"/>
    <w:rsid w:val="0011452E"/>
    <w:rsid w:val="00201E80"/>
    <w:rsid w:val="00205A26"/>
    <w:rsid w:val="00252292"/>
    <w:rsid w:val="002829D5"/>
    <w:rsid w:val="002B360D"/>
    <w:rsid w:val="002E1603"/>
    <w:rsid w:val="00337D1C"/>
    <w:rsid w:val="00347466"/>
    <w:rsid w:val="00394CA5"/>
    <w:rsid w:val="003A62B2"/>
    <w:rsid w:val="004A6EFE"/>
    <w:rsid w:val="004F2951"/>
    <w:rsid w:val="005525A2"/>
    <w:rsid w:val="00555B2C"/>
    <w:rsid w:val="005708FB"/>
    <w:rsid w:val="005919FE"/>
    <w:rsid w:val="005A1445"/>
    <w:rsid w:val="005A3474"/>
    <w:rsid w:val="005D2F39"/>
    <w:rsid w:val="006419E7"/>
    <w:rsid w:val="00672025"/>
    <w:rsid w:val="0068357B"/>
    <w:rsid w:val="00693963"/>
    <w:rsid w:val="006939FD"/>
    <w:rsid w:val="006A0FC3"/>
    <w:rsid w:val="006A524E"/>
    <w:rsid w:val="006C4C03"/>
    <w:rsid w:val="00770660"/>
    <w:rsid w:val="00781946"/>
    <w:rsid w:val="00797FC3"/>
    <w:rsid w:val="007B2D0A"/>
    <w:rsid w:val="008141DD"/>
    <w:rsid w:val="008270F6"/>
    <w:rsid w:val="00842F1B"/>
    <w:rsid w:val="008770A9"/>
    <w:rsid w:val="00877ECF"/>
    <w:rsid w:val="008B7617"/>
    <w:rsid w:val="008C3349"/>
    <w:rsid w:val="008F4053"/>
    <w:rsid w:val="00905FFF"/>
    <w:rsid w:val="00947D13"/>
    <w:rsid w:val="009A422A"/>
    <w:rsid w:val="009C6A4F"/>
    <w:rsid w:val="009E4A51"/>
    <w:rsid w:val="009F610E"/>
    <w:rsid w:val="00A0462F"/>
    <w:rsid w:val="00A04AE5"/>
    <w:rsid w:val="00A53992"/>
    <w:rsid w:val="00A717FA"/>
    <w:rsid w:val="00AA5872"/>
    <w:rsid w:val="00AD78A1"/>
    <w:rsid w:val="00B01970"/>
    <w:rsid w:val="00B71871"/>
    <w:rsid w:val="00BA23AC"/>
    <w:rsid w:val="00BA3985"/>
    <w:rsid w:val="00C076CB"/>
    <w:rsid w:val="00C21EFB"/>
    <w:rsid w:val="00C660CE"/>
    <w:rsid w:val="00C72821"/>
    <w:rsid w:val="00C755B6"/>
    <w:rsid w:val="00CE6051"/>
    <w:rsid w:val="00CF21A0"/>
    <w:rsid w:val="00CF66B9"/>
    <w:rsid w:val="00D00686"/>
    <w:rsid w:val="00D16A5C"/>
    <w:rsid w:val="00D24799"/>
    <w:rsid w:val="00D511FE"/>
    <w:rsid w:val="00D94193"/>
    <w:rsid w:val="00DB2493"/>
    <w:rsid w:val="00DB6778"/>
    <w:rsid w:val="00DD09EF"/>
    <w:rsid w:val="00DE19A2"/>
    <w:rsid w:val="00E167D8"/>
    <w:rsid w:val="00E70D35"/>
    <w:rsid w:val="00EC28A5"/>
    <w:rsid w:val="00F30B9A"/>
    <w:rsid w:val="00FC4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266EF"/>
  <w15:chartTrackingRefBased/>
  <w15:docId w15:val="{AFDFEFDD-B345-E84E-9B3B-DA5A0D4F1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21EFB"/>
    <w:pPr>
      <w:keepNext/>
      <w:keepLines/>
      <w:spacing w:before="340" w:beforeAutospacing="1" w:after="330" w:line="578" w:lineRule="auto"/>
      <w:jc w:val="left"/>
      <w:outlineLvl w:val="0"/>
    </w:pPr>
    <w:rPr>
      <w:rFonts w:ascii="Calibri" w:eastAsia="宋体" w:hAnsi="Calibri" w:cs="Times New Roman"/>
      <w:bCs/>
      <w:kern w:val="44"/>
      <w:sz w:val="28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C21EFB"/>
    <w:pPr>
      <w:keepNext/>
      <w:keepLines/>
      <w:spacing w:before="260" w:beforeAutospacing="1" w:after="260"/>
      <w:jc w:val="left"/>
      <w:outlineLvl w:val="1"/>
    </w:pPr>
    <w:rPr>
      <w:rFonts w:asciiTheme="majorHAnsi" w:eastAsia="SimSun-ExtB" w:hAnsiTheme="majorHAnsi" w:cstheme="majorBidi"/>
      <w:bCs/>
      <w:sz w:val="24"/>
      <w:szCs w:val="32"/>
    </w:rPr>
  </w:style>
  <w:style w:type="paragraph" w:styleId="3">
    <w:name w:val="heading 3"/>
    <w:basedOn w:val="a"/>
    <w:link w:val="30"/>
    <w:uiPriority w:val="9"/>
    <w:qFormat/>
    <w:rsid w:val="005A3474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21EFB"/>
    <w:rPr>
      <w:rFonts w:ascii="Calibri" w:eastAsia="宋体" w:hAnsi="Calibri" w:cs="Times New Roman"/>
      <w:bCs/>
      <w:kern w:val="44"/>
      <w:sz w:val="28"/>
      <w:szCs w:val="44"/>
    </w:rPr>
  </w:style>
  <w:style w:type="character" w:customStyle="1" w:styleId="20">
    <w:name w:val="标题 2 字符"/>
    <w:basedOn w:val="a0"/>
    <w:link w:val="2"/>
    <w:uiPriority w:val="9"/>
    <w:rsid w:val="00C21EFB"/>
    <w:rPr>
      <w:rFonts w:asciiTheme="majorHAnsi" w:eastAsia="SimSun-ExtB" w:hAnsiTheme="majorHAnsi" w:cstheme="majorBidi"/>
      <w:bCs/>
      <w:sz w:val="24"/>
      <w:szCs w:val="32"/>
    </w:rPr>
  </w:style>
  <w:style w:type="paragraph" w:styleId="a3">
    <w:name w:val="Normal (Web)"/>
    <w:basedOn w:val="a"/>
    <w:uiPriority w:val="99"/>
    <w:semiHidden/>
    <w:unhideWhenUsed/>
    <w:rsid w:val="005A347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5A3474"/>
    <w:rPr>
      <w:b/>
      <w:bCs/>
    </w:rPr>
  </w:style>
  <w:style w:type="character" w:customStyle="1" w:styleId="30">
    <w:name w:val="标题 3 字符"/>
    <w:basedOn w:val="a0"/>
    <w:link w:val="3"/>
    <w:uiPriority w:val="9"/>
    <w:rsid w:val="005A3474"/>
    <w:rPr>
      <w:rFonts w:ascii="宋体" w:eastAsia="宋体" w:hAnsi="宋体" w:cs="宋体"/>
      <w:b/>
      <w:bCs/>
      <w:kern w:val="0"/>
      <w:sz w:val="27"/>
      <w:szCs w:val="27"/>
    </w:rPr>
  </w:style>
  <w:style w:type="character" w:styleId="a5">
    <w:name w:val="Emphasis"/>
    <w:basedOn w:val="a0"/>
    <w:uiPriority w:val="20"/>
    <w:qFormat/>
    <w:rsid w:val="005A347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7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236</Words>
  <Characters>1349</Characters>
  <Application>Microsoft Office Word</Application>
  <DocSecurity>0</DocSecurity>
  <Lines>11</Lines>
  <Paragraphs>3</Paragraphs>
  <ScaleCrop>false</ScaleCrop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ZHANG, HAIJING 11425293</dc:creator>
  <cp:keywords/>
  <dc:description/>
  <cp:lastModifiedBy>ZHANG, HAIJING 11425293</cp:lastModifiedBy>
  <cp:revision>3</cp:revision>
  <dcterms:created xsi:type="dcterms:W3CDTF">2025-01-08T13:51:00Z</dcterms:created>
  <dcterms:modified xsi:type="dcterms:W3CDTF">2025-01-08T14:31:00Z</dcterms:modified>
</cp:coreProperties>
</file>