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FC24" w14:textId="2CE80668" w:rsidR="00406BCF" w:rsidRPr="001250B3" w:rsidRDefault="006E0A82" w:rsidP="00D167E9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250B3"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r w:rsidR="00133AEB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1250B3">
        <w:rPr>
          <w:rFonts w:asciiTheme="majorBidi" w:hAnsiTheme="majorBidi" w:cstheme="majorBidi"/>
          <w:b/>
          <w:bCs/>
          <w:sz w:val="24"/>
          <w:szCs w:val="24"/>
        </w:rPr>
        <w:t>aterials</w:t>
      </w:r>
    </w:p>
    <w:p w14:paraId="2D6E62B7" w14:textId="227DF992" w:rsidR="006D1553" w:rsidRDefault="006D1553" w:rsidP="00897D16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S1: </w:t>
      </w:r>
      <w:r w:rsidRPr="0042728C">
        <w:rPr>
          <w:rFonts w:asciiTheme="majorBidi" w:hAnsiTheme="majorBidi" w:cstheme="majorBidi"/>
          <w:b/>
          <w:bCs/>
          <w:sz w:val="24"/>
          <w:szCs w:val="24"/>
        </w:rPr>
        <w:t xml:space="preserve">Number of participants with valid data in each </w:t>
      </w:r>
      <w:r>
        <w:rPr>
          <w:rFonts w:asciiTheme="majorBidi" w:hAnsiTheme="majorBidi" w:cstheme="majorBidi"/>
          <w:b/>
          <w:bCs/>
          <w:sz w:val="24"/>
          <w:szCs w:val="24"/>
        </w:rPr>
        <w:t>measure of individual differences</w:t>
      </w:r>
      <w:r w:rsidRPr="003F1E6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C125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table below shows the number of participants with valid data in the different measures of individual differences</w:t>
      </w:r>
      <w:r w:rsidR="00AC3A79">
        <w:rPr>
          <w:rFonts w:asciiTheme="majorBidi" w:hAnsiTheme="majorBidi" w:cstheme="majorBidi"/>
          <w:sz w:val="24"/>
          <w:szCs w:val="24"/>
        </w:rPr>
        <w:t xml:space="preserve"> (out of a total of N=661), i.e., </w:t>
      </w:r>
      <w:r>
        <w:rPr>
          <w:rFonts w:asciiTheme="majorBidi" w:hAnsiTheme="majorBidi" w:cstheme="majorBidi"/>
          <w:sz w:val="24"/>
          <w:szCs w:val="24"/>
        </w:rPr>
        <w:t xml:space="preserve">the following tasks: spelling, vocabulary, motivation, TOWRE, </w:t>
      </w:r>
      <w:proofErr w:type="spellStart"/>
      <w:r>
        <w:rPr>
          <w:rFonts w:asciiTheme="majorBidi" w:hAnsiTheme="majorBidi" w:cstheme="majorBidi"/>
          <w:sz w:val="24"/>
          <w:szCs w:val="24"/>
        </w:rPr>
        <w:t>LexTALE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CFT. Missing values were due to various reasons. </w:t>
      </w:r>
      <w:r w:rsidR="00AC3A79">
        <w:rPr>
          <w:rFonts w:asciiTheme="majorBidi" w:hAnsiTheme="majorBidi" w:cstheme="majorBidi"/>
          <w:sz w:val="24"/>
          <w:szCs w:val="24"/>
        </w:rPr>
        <w:t xml:space="preserve">In the spelling, vocabulary, and motivation tasks, missing values </w:t>
      </w:r>
      <w:r>
        <w:rPr>
          <w:rFonts w:asciiTheme="majorBidi" w:hAnsiTheme="majorBidi" w:cstheme="majorBidi"/>
          <w:sz w:val="24"/>
          <w:szCs w:val="24"/>
        </w:rPr>
        <w:t xml:space="preserve">were spurious </w:t>
      </w:r>
      <w:r w:rsidR="00AC3A79">
        <w:rPr>
          <w:rFonts w:asciiTheme="majorBidi" w:hAnsiTheme="majorBidi" w:cstheme="majorBidi"/>
          <w:sz w:val="24"/>
          <w:szCs w:val="24"/>
        </w:rPr>
        <w:t xml:space="preserve">(e.g., due to technical and administration errors, time running out for the experimental session) </w:t>
      </w:r>
      <w:r>
        <w:rPr>
          <w:rFonts w:asciiTheme="majorBidi" w:hAnsiTheme="majorBidi" w:cstheme="majorBidi"/>
          <w:sz w:val="24"/>
          <w:szCs w:val="24"/>
        </w:rPr>
        <w:t>and did not affect the data from a given site substantially</w:t>
      </w:r>
      <w:r w:rsidR="00AC3A79">
        <w:rPr>
          <w:rFonts w:asciiTheme="majorBidi" w:hAnsiTheme="majorBidi" w:cstheme="majorBidi"/>
          <w:sz w:val="24"/>
          <w:szCs w:val="24"/>
        </w:rPr>
        <w:t xml:space="preserve">. However, for </w:t>
      </w:r>
      <w:proofErr w:type="spellStart"/>
      <w:r w:rsidR="00AC3A79">
        <w:rPr>
          <w:rFonts w:asciiTheme="majorBidi" w:hAnsiTheme="majorBidi" w:cstheme="majorBidi"/>
          <w:sz w:val="24"/>
          <w:szCs w:val="24"/>
        </w:rPr>
        <w:t>LexTALE</w:t>
      </w:r>
      <w:proofErr w:type="spellEnd"/>
      <w:r w:rsidR="00AC3A79">
        <w:rPr>
          <w:rFonts w:asciiTheme="majorBidi" w:hAnsiTheme="majorBidi" w:cstheme="majorBidi"/>
          <w:sz w:val="24"/>
          <w:szCs w:val="24"/>
        </w:rPr>
        <w:t xml:space="preserve">, TOWRE and CFT, there were specific reasons that have led </w:t>
      </w:r>
      <w:r>
        <w:rPr>
          <w:rFonts w:asciiTheme="majorBidi" w:hAnsiTheme="majorBidi" w:cstheme="majorBidi"/>
          <w:sz w:val="24"/>
          <w:szCs w:val="24"/>
        </w:rPr>
        <w:t xml:space="preserve">to missing values from a full site (e.g., partners in specific sites opting to opt out of the administration of the </w:t>
      </w:r>
      <w:r w:rsidRPr="006D1553">
        <w:rPr>
          <w:rFonts w:asciiTheme="majorBidi" w:hAnsiTheme="majorBidi" w:cstheme="majorBidi"/>
          <w:sz w:val="24"/>
          <w:szCs w:val="24"/>
        </w:rPr>
        <w:t>CFT</w:t>
      </w:r>
      <w:r>
        <w:rPr>
          <w:rFonts w:asciiTheme="majorBidi" w:hAnsiTheme="majorBidi" w:cstheme="majorBidi"/>
          <w:sz w:val="24"/>
          <w:szCs w:val="24"/>
        </w:rPr>
        <w:t xml:space="preserve"> and TOWRE due to potential copyright restrictions in their jurisdiction). </w:t>
      </w:r>
      <w:r w:rsidR="00AC3A79">
        <w:rPr>
          <w:rFonts w:asciiTheme="majorBidi" w:hAnsiTheme="majorBidi" w:cstheme="majorBidi"/>
          <w:sz w:val="24"/>
          <w:szCs w:val="24"/>
        </w:rPr>
        <w:t xml:space="preserve">These </w:t>
      </w:r>
      <w:r>
        <w:rPr>
          <w:rFonts w:asciiTheme="majorBidi" w:hAnsiTheme="majorBidi" w:cstheme="majorBidi"/>
          <w:sz w:val="24"/>
          <w:szCs w:val="24"/>
        </w:rPr>
        <w:t xml:space="preserve">cases are specified with notes in the table below.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12"/>
        <w:gridCol w:w="1701"/>
      </w:tblGrid>
      <w:tr w:rsidR="006D1553" w14:paraId="359D6211" w14:textId="77777777" w:rsidTr="00194D4A">
        <w:trPr>
          <w:trHeight w:val="397"/>
          <w:jc w:val="center"/>
        </w:trPr>
        <w:tc>
          <w:tcPr>
            <w:tcW w:w="3912" w:type="dxa"/>
          </w:tcPr>
          <w:p w14:paraId="7ECDDFF1" w14:textId="77777777" w:rsidR="006D1553" w:rsidRDefault="006D1553" w:rsidP="00194D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701" w:type="dxa"/>
          </w:tcPr>
          <w:p w14:paraId="3B15279C" w14:textId="62F0C1CC" w:rsidR="006D1553" w:rsidRDefault="006D1553" w:rsidP="00194D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 valid</w:t>
            </w:r>
          </w:p>
        </w:tc>
      </w:tr>
      <w:tr w:rsidR="000F2429" w14:paraId="20A3448C" w14:textId="77777777" w:rsidTr="00194D4A">
        <w:trPr>
          <w:trHeight w:val="397"/>
          <w:jc w:val="center"/>
        </w:trPr>
        <w:tc>
          <w:tcPr>
            <w:tcW w:w="3912" w:type="dxa"/>
          </w:tcPr>
          <w:p w14:paraId="77C84B3E" w14:textId="6B138DD2" w:rsidR="000F2429" w:rsidRDefault="000F2429" w:rsidP="000F2429">
            <w:pPr>
              <w:jc w:val="center"/>
              <w:rPr>
                <w:rFonts w:asciiTheme="majorBidi" w:hAnsiTheme="majorBidi" w:cstheme="majorBidi"/>
              </w:rPr>
            </w:pPr>
            <w:r w:rsidRPr="001A39F6">
              <w:rPr>
                <w:rFonts w:asciiTheme="majorBidi" w:hAnsiTheme="majorBidi" w:cstheme="majorBidi"/>
              </w:rPr>
              <w:t>S</w:t>
            </w:r>
            <w:r w:rsidRPr="006C4806">
              <w:rPr>
                <w:rFonts w:asciiTheme="majorBidi" w:hAnsiTheme="majorBidi" w:cstheme="majorBidi"/>
              </w:rPr>
              <w:t>pell</w:t>
            </w:r>
            <w:r>
              <w:rPr>
                <w:rFonts w:asciiTheme="majorBidi" w:hAnsiTheme="majorBidi" w:cstheme="majorBidi"/>
              </w:rPr>
              <w:t>ing</w:t>
            </w:r>
          </w:p>
        </w:tc>
        <w:tc>
          <w:tcPr>
            <w:tcW w:w="1701" w:type="dxa"/>
          </w:tcPr>
          <w:p w14:paraId="59FB817B" w14:textId="56279EBC" w:rsidR="000F2429" w:rsidRDefault="00AC3A79" w:rsidP="000F242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648</w:t>
            </w:r>
          </w:p>
        </w:tc>
      </w:tr>
      <w:tr w:rsidR="006D1553" w14:paraId="1023C69C" w14:textId="77777777" w:rsidTr="00194D4A">
        <w:trPr>
          <w:trHeight w:val="397"/>
          <w:jc w:val="center"/>
        </w:trPr>
        <w:tc>
          <w:tcPr>
            <w:tcW w:w="3912" w:type="dxa"/>
          </w:tcPr>
          <w:p w14:paraId="64FDFE28" w14:textId="77777777" w:rsidR="006D1553" w:rsidRPr="006C4806" w:rsidRDefault="006D1553" w:rsidP="00194D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Vocabulary</w:t>
            </w:r>
          </w:p>
        </w:tc>
        <w:tc>
          <w:tcPr>
            <w:tcW w:w="1701" w:type="dxa"/>
          </w:tcPr>
          <w:p w14:paraId="7F0C263C" w14:textId="490171D5" w:rsidR="006D1553" w:rsidRPr="000F2429" w:rsidRDefault="00AC3A79" w:rsidP="00194D4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631</w:t>
            </w:r>
          </w:p>
        </w:tc>
      </w:tr>
      <w:tr w:rsidR="006D1553" w14:paraId="7BA22C07" w14:textId="77777777" w:rsidTr="00194D4A">
        <w:trPr>
          <w:trHeight w:val="397"/>
          <w:jc w:val="center"/>
        </w:trPr>
        <w:tc>
          <w:tcPr>
            <w:tcW w:w="3912" w:type="dxa"/>
          </w:tcPr>
          <w:p w14:paraId="5AB19855" w14:textId="1363B41C" w:rsidR="006D1553" w:rsidRPr="006C4806" w:rsidRDefault="006D1553" w:rsidP="00194D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Motivation </w:t>
            </w:r>
          </w:p>
        </w:tc>
        <w:tc>
          <w:tcPr>
            <w:tcW w:w="1701" w:type="dxa"/>
          </w:tcPr>
          <w:p w14:paraId="6A2DD71C" w14:textId="5778C28F" w:rsidR="006D1553" w:rsidRPr="006C4806" w:rsidRDefault="00AC3A79" w:rsidP="00194D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616</w:t>
            </w:r>
          </w:p>
        </w:tc>
      </w:tr>
      <w:tr w:rsidR="000F2429" w14:paraId="408F771F" w14:textId="77777777" w:rsidTr="00194D4A">
        <w:trPr>
          <w:trHeight w:val="397"/>
          <w:jc w:val="center"/>
        </w:trPr>
        <w:tc>
          <w:tcPr>
            <w:tcW w:w="3912" w:type="dxa"/>
          </w:tcPr>
          <w:p w14:paraId="04B12B96" w14:textId="7D04E65D" w:rsidR="000F2429" w:rsidRDefault="000F2429" w:rsidP="000F2429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LexTALE</w:t>
            </w:r>
            <w:proofErr w:type="spellEnd"/>
          </w:p>
        </w:tc>
        <w:tc>
          <w:tcPr>
            <w:tcW w:w="1701" w:type="dxa"/>
          </w:tcPr>
          <w:p w14:paraId="1BE1CD58" w14:textId="1F307FB2" w:rsidR="000F2429" w:rsidRPr="00AC3A79" w:rsidRDefault="00AC3A79" w:rsidP="000F2429">
            <w:pPr>
              <w:jc w:val="center"/>
              <w:rPr>
                <w:rFonts w:asciiTheme="majorBidi" w:hAnsiTheme="majorBidi" w:cstheme="majorBidi"/>
              </w:rPr>
            </w:pPr>
            <w:r w:rsidRPr="00AC3A79">
              <w:rPr>
                <w:rFonts w:asciiTheme="majorBidi" w:hAnsiTheme="majorBidi" w:cstheme="majorBidi"/>
              </w:rPr>
              <w:t>563</w:t>
            </w:r>
            <w:r w:rsidRPr="00AC3A79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</w:tr>
      <w:tr w:rsidR="006D1553" w14:paraId="1747341E" w14:textId="77777777" w:rsidTr="00194D4A">
        <w:trPr>
          <w:trHeight w:val="397"/>
          <w:jc w:val="center"/>
        </w:trPr>
        <w:tc>
          <w:tcPr>
            <w:tcW w:w="3912" w:type="dxa"/>
          </w:tcPr>
          <w:p w14:paraId="1780071A" w14:textId="7F25AD61" w:rsidR="006D1553" w:rsidRPr="006C4806" w:rsidRDefault="006D1553" w:rsidP="00194D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TOWRE</w:t>
            </w:r>
          </w:p>
        </w:tc>
        <w:tc>
          <w:tcPr>
            <w:tcW w:w="1701" w:type="dxa"/>
          </w:tcPr>
          <w:p w14:paraId="259D1BFB" w14:textId="603CA24B" w:rsidR="006D1553" w:rsidRPr="00897D16" w:rsidRDefault="00AC3A79" w:rsidP="00194D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7D16">
              <w:rPr>
                <w:rFonts w:asciiTheme="majorBidi" w:hAnsiTheme="majorBidi" w:cstheme="majorBidi"/>
              </w:rPr>
              <w:t>558</w:t>
            </w:r>
            <w:proofErr w:type="gramStart"/>
            <w:r w:rsidR="00684526" w:rsidRPr="00AC3A79">
              <w:rPr>
                <w:rFonts w:asciiTheme="majorBidi" w:hAnsiTheme="majorBidi" w:cstheme="majorBidi"/>
                <w:vertAlign w:val="superscript"/>
              </w:rPr>
              <w:t>a</w:t>
            </w:r>
            <w:r w:rsidR="00684526">
              <w:rPr>
                <w:rFonts w:asciiTheme="majorBidi" w:hAnsiTheme="majorBidi" w:cstheme="majorBidi"/>
                <w:vertAlign w:val="superscript"/>
              </w:rPr>
              <w:t>,</w:t>
            </w:r>
            <w:r w:rsidRPr="00897D16">
              <w:rPr>
                <w:rFonts w:asciiTheme="majorBidi" w:hAnsiTheme="majorBidi" w:cstheme="majorBidi"/>
                <w:vertAlign w:val="superscript"/>
              </w:rPr>
              <w:t>b</w:t>
            </w:r>
            <w:proofErr w:type="gramEnd"/>
          </w:p>
        </w:tc>
      </w:tr>
      <w:tr w:rsidR="006D1553" w14:paraId="09298A8E" w14:textId="77777777" w:rsidTr="00194D4A">
        <w:trPr>
          <w:trHeight w:val="397"/>
          <w:jc w:val="center"/>
        </w:trPr>
        <w:tc>
          <w:tcPr>
            <w:tcW w:w="3912" w:type="dxa"/>
          </w:tcPr>
          <w:p w14:paraId="2CA6ED89" w14:textId="175C2868" w:rsidR="006D1553" w:rsidRPr="006C4806" w:rsidRDefault="006D1553" w:rsidP="00194D4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CFT</w:t>
            </w:r>
          </w:p>
        </w:tc>
        <w:tc>
          <w:tcPr>
            <w:tcW w:w="1701" w:type="dxa"/>
          </w:tcPr>
          <w:p w14:paraId="1AF37704" w14:textId="3C942F6F" w:rsidR="006D1553" w:rsidRPr="00897D16" w:rsidRDefault="00AC3A79" w:rsidP="00194D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7D16">
              <w:rPr>
                <w:rFonts w:asciiTheme="majorBidi" w:hAnsiTheme="majorBidi" w:cstheme="majorBidi"/>
              </w:rPr>
              <w:t>560</w:t>
            </w:r>
            <w:proofErr w:type="gramStart"/>
            <w:r w:rsidR="00684526" w:rsidRPr="00AC3A79">
              <w:rPr>
                <w:rFonts w:asciiTheme="majorBidi" w:hAnsiTheme="majorBidi" w:cstheme="majorBidi"/>
                <w:vertAlign w:val="superscript"/>
              </w:rPr>
              <w:t>a</w:t>
            </w:r>
            <w:r w:rsidR="00684526">
              <w:rPr>
                <w:rFonts w:asciiTheme="majorBidi" w:hAnsiTheme="majorBidi" w:cstheme="majorBidi"/>
                <w:vertAlign w:val="superscript"/>
              </w:rPr>
              <w:t>,</w:t>
            </w:r>
            <w:r w:rsidRPr="00BD0665">
              <w:rPr>
                <w:rFonts w:asciiTheme="majorBidi" w:hAnsiTheme="majorBidi" w:cstheme="majorBidi"/>
                <w:vertAlign w:val="superscript"/>
              </w:rPr>
              <w:t>b</w:t>
            </w:r>
            <w:proofErr w:type="gramEnd"/>
          </w:p>
        </w:tc>
      </w:tr>
    </w:tbl>
    <w:p w14:paraId="22B2E595" w14:textId="77B85C94" w:rsidR="000F2429" w:rsidRPr="000F2429" w:rsidRDefault="000F2429" w:rsidP="000F2429">
      <w:pPr>
        <w:jc w:val="center"/>
        <w:rPr>
          <w:rFonts w:asciiTheme="majorBidi" w:hAnsiTheme="majorBidi" w:cstheme="majorBidi"/>
          <w:sz w:val="24"/>
          <w:szCs w:val="24"/>
        </w:rPr>
      </w:pPr>
      <w:r w:rsidRPr="000F2429">
        <w:rPr>
          <w:rFonts w:asciiTheme="majorBidi" w:hAnsiTheme="majorBidi" w:cstheme="majorBidi"/>
          <w:sz w:val="24"/>
          <w:szCs w:val="24"/>
        </w:rPr>
        <w:t xml:space="preserve">Notes: </w:t>
      </w:r>
      <w:proofErr w:type="spellStart"/>
      <w:r w:rsidRPr="000F2429">
        <w:rPr>
          <w:rFonts w:asciiTheme="majorBidi" w:hAnsiTheme="majorBidi" w:cstheme="majorBidi"/>
          <w:vertAlign w:val="superscript"/>
        </w:rPr>
        <w:t>a</w:t>
      </w:r>
      <w:r>
        <w:rPr>
          <w:rFonts w:asciiTheme="majorBidi" w:hAnsiTheme="majorBidi" w:cstheme="majorBidi"/>
        </w:rPr>
        <w:t>No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AC3A79">
        <w:rPr>
          <w:rFonts w:asciiTheme="majorBidi" w:hAnsiTheme="majorBidi" w:cstheme="majorBidi"/>
        </w:rPr>
        <w:t>LexTALE</w:t>
      </w:r>
      <w:proofErr w:type="spellEnd"/>
      <w:r w:rsidR="00684526">
        <w:rPr>
          <w:rFonts w:asciiTheme="majorBidi" w:hAnsiTheme="majorBidi" w:cstheme="majorBidi"/>
        </w:rPr>
        <w:t xml:space="preserve">, TOWRE, and CFT </w:t>
      </w:r>
      <w:r>
        <w:rPr>
          <w:rFonts w:asciiTheme="majorBidi" w:hAnsiTheme="majorBidi" w:cstheme="majorBidi"/>
        </w:rPr>
        <w:t xml:space="preserve">data was recorded </w:t>
      </w:r>
      <w:r w:rsidR="00684526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>the Brazilian Portuguese site</w:t>
      </w:r>
      <w:r w:rsidR="00AC3A79">
        <w:rPr>
          <w:rFonts w:asciiTheme="majorBidi" w:hAnsiTheme="majorBidi" w:cstheme="majorBidi"/>
        </w:rPr>
        <w:t xml:space="preserve"> due to </w:t>
      </w:r>
      <w:r w:rsidR="001272BF">
        <w:rPr>
          <w:rFonts w:asciiTheme="majorBidi" w:hAnsiTheme="majorBidi" w:cstheme="majorBidi"/>
        </w:rPr>
        <w:t xml:space="preserve">programmatic </w:t>
      </w:r>
      <w:r w:rsidR="00AC3A79">
        <w:rPr>
          <w:rFonts w:asciiTheme="majorBidi" w:hAnsiTheme="majorBidi" w:cstheme="majorBidi"/>
        </w:rPr>
        <w:t>error</w:t>
      </w:r>
      <w:r w:rsidRPr="00897D16">
        <w:rPr>
          <w:rFonts w:asciiTheme="majorBidi" w:hAnsiTheme="majorBidi" w:cstheme="majorBidi"/>
        </w:rPr>
        <w:t xml:space="preserve">; </w:t>
      </w:r>
      <w:proofErr w:type="spellStart"/>
      <w:r w:rsidRPr="00897D16">
        <w:rPr>
          <w:rFonts w:asciiTheme="majorBidi" w:hAnsiTheme="majorBidi" w:cstheme="majorBidi"/>
          <w:vertAlign w:val="superscript"/>
        </w:rPr>
        <w:t>b</w:t>
      </w:r>
      <w:r w:rsidR="00AC3A79">
        <w:rPr>
          <w:rFonts w:asciiTheme="majorBidi" w:hAnsiTheme="majorBidi" w:cstheme="majorBidi"/>
        </w:rPr>
        <w:t>No</w:t>
      </w:r>
      <w:proofErr w:type="spellEnd"/>
      <w:r w:rsidR="00AC3A79">
        <w:rPr>
          <w:rFonts w:asciiTheme="majorBidi" w:hAnsiTheme="majorBidi" w:cstheme="majorBidi"/>
        </w:rPr>
        <w:t xml:space="preserve"> data was collected in TOWRE and CFT in Serbia due to copyright restrictions.</w:t>
      </w:r>
      <w:r w:rsidRPr="000F2429">
        <w:rPr>
          <w:rFonts w:asciiTheme="majorBidi" w:hAnsiTheme="majorBidi" w:cstheme="majorBidi"/>
          <w:sz w:val="24"/>
          <w:szCs w:val="24"/>
        </w:rPr>
        <w:br w:type="page"/>
      </w:r>
    </w:p>
    <w:p w14:paraId="5EF5EE20" w14:textId="289B312F" w:rsidR="001D29C4" w:rsidRPr="00271DFE" w:rsidRDefault="001D29C4" w:rsidP="00D167E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71DFE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E10F8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8538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271DFE">
        <w:rPr>
          <w:rFonts w:asciiTheme="majorBidi" w:hAnsiTheme="majorBidi" w:cstheme="majorBidi"/>
          <w:b/>
          <w:bCs/>
          <w:sz w:val="24"/>
          <w:szCs w:val="24"/>
        </w:rPr>
        <w:t xml:space="preserve"> Specifications of the eye-tracking laboratory setup</w:t>
      </w:r>
      <w:r w:rsidR="0048757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87578" w:rsidRPr="00271DFE">
        <w:rPr>
          <w:rFonts w:asciiTheme="majorBidi" w:hAnsiTheme="majorBidi" w:cstheme="majorBidi"/>
          <w:sz w:val="24"/>
          <w:szCs w:val="24"/>
        </w:rPr>
        <w:t>Information regarding</w:t>
      </w:r>
      <w:r w:rsidR="001250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7578">
        <w:rPr>
          <w:rFonts w:asciiTheme="majorBidi" w:hAnsiTheme="majorBidi" w:cstheme="majorBidi"/>
          <w:sz w:val="24"/>
          <w:szCs w:val="24"/>
        </w:rPr>
        <w:t>a</w:t>
      </w:r>
      <w:r w:rsidR="001250B3" w:rsidRPr="00271DFE">
        <w:rPr>
          <w:rFonts w:asciiTheme="majorBidi" w:hAnsiTheme="majorBidi" w:cstheme="majorBidi"/>
          <w:sz w:val="24"/>
          <w:szCs w:val="24"/>
        </w:rPr>
        <w:t>pparatus and reading task's settings.</w:t>
      </w:r>
    </w:p>
    <w:tbl>
      <w:tblPr>
        <w:tblW w:w="9494" w:type="dxa"/>
        <w:jc w:val="center"/>
        <w:tblLook w:val="04A0" w:firstRow="1" w:lastRow="0" w:firstColumn="1" w:lastColumn="0" w:noHBand="0" w:noVBand="1"/>
      </w:tblPr>
      <w:tblGrid>
        <w:gridCol w:w="1009"/>
        <w:gridCol w:w="1220"/>
        <w:gridCol w:w="1151"/>
        <w:gridCol w:w="850"/>
        <w:gridCol w:w="752"/>
        <w:gridCol w:w="803"/>
        <w:gridCol w:w="1009"/>
        <w:gridCol w:w="1646"/>
        <w:gridCol w:w="1054"/>
      </w:tblGrid>
      <w:tr w:rsidR="00BA2C0F" w:rsidRPr="001250B3" w14:paraId="03D32792" w14:textId="77777777" w:rsidTr="00051938">
        <w:trPr>
          <w:trHeight w:val="454"/>
          <w:jc w:val="center"/>
        </w:trPr>
        <w:tc>
          <w:tcPr>
            <w:tcW w:w="10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87908F" w14:textId="60940CDF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16151" w14:textId="2ABEBDED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Institute</w:t>
            </w:r>
          </w:p>
        </w:tc>
        <w:tc>
          <w:tcPr>
            <w:tcW w:w="11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BF3015" w14:textId="6FF5480F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sample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4F3BDA" w14:textId="77777777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Eye-tracker</w:t>
            </w:r>
          </w:p>
        </w:tc>
        <w:tc>
          <w:tcPr>
            <w:tcW w:w="7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B7F156" w14:textId="77777777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Font point size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25399" w14:textId="4DBD0446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Distance from screen</w:t>
            </w:r>
            <w:r w:rsidR="002D14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, </w:t>
            </w:r>
            <w:r w:rsidR="00DC09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 cm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1BC07A" w14:textId="77777777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Screen type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B3DFC4" w14:textId="77777777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Screen resolution</w:t>
            </w:r>
          </w:p>
        </w:tc>
        <w:tc>
          <w:tcPr>
            <w:tcW w:w="10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9C14B4" w14:textId="1DEA6B46" w:rsidR="00310F48" w:rsidRPr="001250B3" w:rsidRDefault="00310F48" w:rsidP="00310F4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Screen size</w:t>
            </w:r>
            <w:r w:rsidR="002D14E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in inch</w:t>
            </w:r>
          </w:p>
        </w:tc>
      </w:tr>
      <w:tr w:rsidR="00BA2C0F" w:rsidRPr="001250B3" w14:paraId="3158680F" w14:textId="77777777" w:rsidTr="00051938">
        <w:trPr>
          <w:trHeight w:val="454"/>
          <w:jc w:val="center"/>
        </w:trPr>
        <w:tc>
          <w:tcPr>
            <w:tcW w:w="1009" w:type="dxa"/>
            <w:tcBorders>
              <w:top w:val="single" w:sz="8" w:space="0" w:color="auto"/>
            </w:tcBorders>
            <w:vAlign w:val="center"/>
          </w:tcPr>
          <w:p w14:paraId="0AC3B76F" w14:textId="09A0479E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1160DFCA" w14:textId="64E83E9B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Federal Universities of Ceara and Minas Gerais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14:paraId="4C760047" w14:textId="3CB6A1B7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Portuguese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1625FDAA" w14:textId="4E72E665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</w:t>
            </w:r>
          </w:p>
        </w:tc>
        <w:tc>
          <w:tcPr>
            <w:tcW w:w="7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811064" w14:textId="7FEE78C5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auto"/>
            </w:tcBorders>
            <w:vAlign w:val="center"/>
          </w:tcPr>
          <w:p w14:paraId="545E978E" w14:textId="1B06A0C2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1009" w:type="dxa"/>
            <w:tcBorders>
              <w:top w:val="single" w:sz="8" w:space="0" w:color="auto"/>
            </w:tcBorders>
            <w:vAlign w:val="center"/>
          </w:tcPr>
          <w:p w14:paraId="46451AF5" w14:textId="3619A982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IPS</w:t>
            </w:r>
            <w:r w:rsidR="00B269CB">
              <w:rPr>
                <w:rFonts w:asciiTheme="majorBidi" w:hAnsiTheme="majorBidi" w:cstheme="majorBidi"/>
                <w:sz w:val="16"/>
                <w:szCs w:val="16"/>
              </w:rPr>
              <w:t>-LCD</w:t>
            </w:r>
          </w:p>
        </w:tc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14:paraId="6427FAE6" w14:textId="32DDF333" w:rsidR="002D14EE" w:rsidRPr="001250B3" w:rsidRDefault="002D14EE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C0955">
              <w:rPr>
                <w:rFonts w:asciiTheme="majorBidi" w:hAnsiTheme="majorBidi" w:cstheme="majorBidi"/>
                <w:sz w:val="16"/>
                <w:szCs w:val="16"/>
              </w:rPr>
              <w:t>1920x1080</w:t>
            </w:r>
          </w:p>
        </w:tc>
        <w:tc>
          <w:tcPr>
            <w:tcW w:w="1054" w:type="dxa"/>
            <w:tcBorders>
              <w:top w:val="single" w:sz="8" w:space="0" w:color="auto"/>
            </w:tcBorders>
            <w:vAlign w:val="center"/>
          </w:tcPr>
          <w:p w14:paraId="6CD137D9" w14:textId="51FBDBFC" w:rsidR="002D14EE" w:rsidRPr="001250B3" w:rsidRDefault="00052D1A" w:rsidP="002D14E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BA2C0F" w:rsidRPr="001250B3" w14:paraId="201A7EBD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18C72029" w14:textId="4566C86A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1220" w:type="dxa"/>
            <w:vAlign w:val="center"/>
          </w:tcPr>
          <w:p w14:paraId="2A2982DD" w14:textId="132369AB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University of Science and Technology Beijing</w:t>
            </w:r>
          </w:p>
        </w:tc>
        <w:tc>
          <w:tcPr>
            <w:tcW w:w="1151" w:type="dxa"/>
            <w:vAlign w:val="center"/>
          </w:tcPr>
          <w:p w14:paraId="158E1415" w14:textId="509992D2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Mandarin</w:t>
            </w:r>
          </w:p>
        </w:tc>
        <w:tc>
          <w:tcPr>
            <w:tcW w:w="850" w:type="dxa"/>
            <w:vAlign w:val="center"/>
          </w:tcPr>
          <w:p w14:paraId="468D3BCC" w14:textId="1911E9D0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0D9B">
              <w:rPr>
                <w:rFonts w:ascii="Times New Roman" w:eastAsia="Times New Roman" w:hAnsi="Times New Roman" w:cs="Times New Roman"/>
                <w:sz w:val="17"/>
                <w:szCs w:val="17"/>
              </w:rPr>
              <w:t>Eyelink-1000+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33BECC8" w14:textId="29ABFDF3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0D9B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803" w:type="dxa"/>
            <w:vAlign w:val="center"/>
          </w:tcPr>
          <w:p w14:paraId="1CF78F2C" w14:textId="6AB0AD0A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0D9B">
              <w:rPr>
                <w:rFonts w:ascii="Times New Roman" w:eastAsia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009" w:type="dxa"/>
            <w:vAlign w:val="center"/>
          </w:tcPr>
          <w:p w14:paraId="04A1EA9C" w14:textId="4C1D4567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0D9B">
              <w:rPr>
                <w:rFonts w:ascii="Times New Roman" w:eastAsia="Times New Roman" w:hAnsi="Times New Roman" w:cs="Times New Roman"/>
                <w:sz w:val="17"/>
                <w:szCs w:val="17"/>
              </w:rPr>
              <w:t>DELL P1917S</w:t>
            </w:r>
          </w:p>
        </w:tc>
        <w:tc>
          <w:tcPr>
            <w:tcW w:w="1646" w:type="dxa"/>
            <w:vAlign w:val="center"/>
          </w:tcPr>
          <w:p w14:paraId="52B20DE8" w14:textId="2F1D65B7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0D9B">
              <w:rPr>
                <w:rFonts w:ascii="Times New Roman" w:eastAsia="Times New Roman" w:hAnsi="Times New Roman" w:cs="Times New Roman"/>
                <w:sz w:val="17"/>
                <w:szCs w:val="17"/>
              </w:rPr>
              <w:t>1024 x 768</w:t>
            </w:r>
          </w:p>
        </w:tc>
        <w:tc>
          <w:tcPr>
            <w:tcW w:w="1054" w:type="dxa"/>
            <w:vAlign w:val="center"/>
          </w:tcPr>
          <w:p w14:paraId="13CC4FB5" w14:textId="1F0D3E39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BA2C0F" w:rsidRPr="001250B3" w14:paraId="0937A8B2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070FA9D9" w14:textId="2EA269FE" w:rsidR="00415347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Chile</w:t>
            </w:r>
          </w:p>
        </w:tc>
        <w:tc>
          <w:tcPr>
            <w:tcW w:w="1220" w:type="dxa"/>
            <w:vAlign w:val="center"/>
          </w:tcPr>
          <w:p w14:paraId="7EF394EA" w14:textId="27C8F7BD" w:rsidR="00415347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Pontificia Universidad Católica de Valparaíso</w:t>
            </w:r>
          </w:p>
        </w:tc>
        <w:tc>
          <w:tcPr>
            <w:tcW w:w="1151" w:type="dxa"/>
            <w:vAlign w:val="center"/>
          </w:tcPr>
          <w:p w14:paraId="61A4BFDB" w14:textId="63D4C58E" w:rsidR="00415347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Spanish</w:t>
            </w:r>
          </w:p>
        </w:tc>
        <w:tc>
          <w:tcPr>
            <w:tcW w:w="850" w:type="dxa"/>
            <w:vAlign w:val="center"/>
          </w:tcPr>
          <w:p w14:paraId="101F1C8E" w14:textId="2A079DE7" w:rsidR="00415347" w:rsidRPr="001250B3" w:rsidRDefault="00C17C4C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Portable Duo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4971F46" w14:textId="01F5F284" w:rsidR="00415347" w:rsidRDefault="001272BF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04976FF0" w14:textId="2B0DD3EA" w:rsidR="00415347" w:rsidRPr="001250B3" w:rsidRDefault="00C17C4C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1009" w:type="dxa"/>
            <w:vAlign w:val="center"/>
          </w:tcPr>
          <w:p w14:paraId="6ED4E9D3" w14:textId="5BCBFC4A" w:rsidR="00415347" w:rsidRPr="001250B3" w:rsidRDefault="00C17C4C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Notebook Gamer Rog Zephyrus M16</w:t>
            </w:r>
          </w:p>
        </w:tc>
        <w:tc>
          <w:tcPr>
            <w:tcW w:w="1646" w:type="dxa"/>
            <w:vAlign w:val="center"/>
          </w:tcPr>
          <w:p w14:paraId="791B2462" w14:textId="4C79727C" w:rsidR="00415347" w:rsidRPr="001250B3" w:rsidRDefault="00C17C4C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C0955">
              <w:rPr>
                <w:rFonts w:asciiTheme="majorBidi" w:hAnsiTheme="majorBidi" w:cstheme="majorBidi"/>
                <w:sz w:val="16"/>
                <w:szCs w:val="16"/>
              </w:rPr>
              <w:t>1920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C0955">
              <w:rPr>
                <w:rFonts w:asciiTheme="majorBidi" w:hAnsiTheme="majorBidi" w:cstheme="majorBidi"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C0955">
              <w:rPr>
                <w:rFonts w:asciiTheme="majorBidi" w:hAnsiTheme="majorBidi" w:cstheme="majorBidi"/>
                <w:sz w:val="16"/>
                <w:szCs w:val="16"/>
              </w:rPr>
              <w:t>1080</w:t>
            </w:r>
          </w:p>
        </w:tc>
        <w:tc>
          <w:tcPr>
            <w:tcW w:w="1054" w:type="dxa"/>
            <w:vAlign w:val="center"/>
          </w:tcPr>
          <w:p w14:paraId="214FB0A0" w14:textId="06EA5CA8" w:rsidR="00415347" w:rsidRPr="001250B3" w:rsidRDefault="00C17C4C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</w:tr>
      <w:tr w:rsidR="00BA2C0F" w:rsidRPr="001250B3" w14:paraId="1AF871D6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0E94AF2E" w14:textId="74ABC5C1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Denmark</w:t>
            </w:r>
          </w:p>
        </w:tc>
        <w:tc>
          <w:tcPr>
            <w:tcW w:w="1220" w:type="dxa"/>
            <w:vAlign w:val="center"/>
          </w:tcPr>
          <w:p w14:paraId="79111FA5" w14:textId="7CCE6FE6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Aalborg University</w:t>
            </w:r>
          </w:p>
        </w:tc>
        <w:tc>
          <w:tcPr>
            <w:tcW w:w="1151" w:type="dxa"/>
            <w:vAlign w:val="center"/>
          </w:tcPr>
          <w:p w14:paraId="20F7F607" w14:textId="16A7D540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Danish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52321" w14:textId="36A15DA7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Portable Duo 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C619E7A" w14:textId="53655DEF" w:rsidR="00415347" w:rsidRPr="001250B3" w:rsidRDefault="001272BF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80980F7" w14:textId="16AFE9C9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8060491" w14:textId="16EA1533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C0955">
              <w:rPr>
                <w:rFonts w:asciiTheme="majorBidi" w:hAnsiTheme="majorBidi" w:cstheme="majorBidi"/>
                <w:sz w:val="16"/>
                <w:szCs w:val="16"/>
              </w:rPr>
              <w:t>Dell S2421HGF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9E9D902" w14:textId="2D82528B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C0955">
              <w:rPr>
                <w:rFonts w:asciiTheme="majorBidi" w:hAnsiTheme="majorBidi" w:cstheme="majorBidi"/>
                <w:sz w:val="16"/>
                <w:szCs w:val="16"/>
              </w:rPr>
              <w:t>1920</w:t>
            </w:r>
            <w:r w:rsidR="005528E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C0955">
              <w:rPr>
                <w:rFonts w:asciiTheme="majorBidi" w:hAnsiTheme="majorBidi" w:cstheme="majorBidi"/>
                <w:sz w:val="16"/>
                <w:szCs w:val="16"/>
              </w:rPr>
              <w:t>x</w:t>
            </w:r>
            <w:r w:rsidR="005528E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DC0955">
              <w:rPr>
                <w:rFonts w:asciiTheme="majorBidi" w:hAnsiTheme="majorBidi" w:cstheme="majorBidi"/>
                <w:sz w:val="16"/>
                <w:szCs w:val="16"/>
              </w:rPr>
              <w:t>1080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B37139E" w14:textId="54DC6305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BA2C0F" w:rsidRPr="001250B3" w14:paraId="1A0E57B0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79E8544F" w14:textId="3FACB41E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20" w:type="dxa"/>
            <w:vAlign w:val="center"/>
          </w:tcPr>
          <w:p w14:paraId="60F7520F" w14:textId="5F86C1C2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University of Potsdam</w:t>
            </w:r>
          </w:p>
        </w:tc>
        <w:tc>
          <w:tcPr>
            <w:tcW w:w="1151" w:type="dxa"/>
            <w:vAlign w:val="center"/>
          </w:tcPr>
          <w:p w14:paraId="0B13F0EE" w14:textId="4FC407AB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German</w:t>
            </w:r>
          </w:p>
        </w:tc>
        <w:tc>
          <w:tcPr>
            <w:tcW w:w="850" w:type="dxa"/>
            <w:vAlign w:val="center"/>
          </w:tcPr>
          <w:p w14:paraId="09FCFE86" w14:textId="1317738C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Portable Duo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9BD1486" w14:textId="72D18B91" w:rsidR="005528EA" w:rsidRPr="001250B3" w:rsidRDefault="001272BF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75C93B35" w14:textId="10D0720A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1009" w:type="dxa"/>
            <w:vAlign w:val="center"/>
          </w:tcPr>
          <w:p w14:paraId="1D3C63C5" w14:textId="27B3941E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ASUS ROG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Strix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XG259QN</w:t>
            </w:r>
          </w:p>
        </w:tc>
        <w:tc>
          <w:tcPr>
            <w:tcW w:w="1646" w:type="dxa"/>
            <w:vAlign w:val="center"/>
          </w:tcPr>
          <w:p w14:paraId="30CC3776" w14:textId="12732340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1920 x 1080</w:t>
            </w:r>
          </w:p>
        </w:tc>
        <w:tc>
          <w:tcPr>
            <w:tcW w:w="1054" w:type="dxa"/>
            <w:vAlign w:val="center"/>
          </w:tcPr>
          <w:p w14:paraId="25787ADE" w14:textId="6D509A21" w:rsidR="005528EA" w:rsidRPr="008261D5" w:rsidRDefault="008261D5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261D5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BA2C0F" w:rsidRPr="001250B3" w14:paraId="24E3185A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2384EC14" w14:textId="2E66FCF2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Iceland</w:t>
            </w:r>
          </w:p>
        </w:tc>
        <w:tc>
          <w:tcPr>
            <w:tcW w:w="1220" w:type="dxa"/>
            <w:vAlign w:val="center"/>
          </w:tcPr>
          <w:p w14:paraId="3D6180F3" w14:textId="400290E1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University of Iceland</w:t>
            </w:r>
          </w:p>
        </w:tc>
        <w:tc>
          <w:tcPr>
            <w:tcW w:w="1151" w:type="dxa"/>
            <w:vAlign w:val="center"/>
          </w:tcPr>
          <w:p w14:paraId="609CC144" w14:textId="3D7CCDB9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Icelandic</w:t>
            </w:r>
          </w:p>
        </w:tc>
        <w:tc>
          <w:tcPr>
            <w:tcW w:w="850" w:type="dxa"/>
            <w:vAlign w:val="center"/>
          </w:tcPr>
          <w:p w14:paraId="3D6F3E36" w14:textId="40B715BE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1000+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FB262EC" w14:textId="4E4EF661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2989F89D" w14:textId="464ED622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96</w:t>
            </w:r>
          </w:p>
        </w:tc>
        <w:tc>
          <w:tcPr>
            <w:tcW w:w="1009" w:type="dxa"/>
            <w:vAlign w:val="center"/>
          </w:tcPr>
          <w:p w14:paraId="5BBE2153" w14:textId="5979A998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BenQ, XL2411Z</w:t>
            </w:r>
          </w:p>
        </w:tc>
        <w:tc>
          <w:tcPr>
            <w:tcW w:w="1646" w:type="dxa"/>
            <w:vAlign w:val="center"/>
          </w:tcPr>
          <w:p w14:paraId="2811651D" w14:textId="2B6C24DB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1920 x 1080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E60DBF5" w14:textId="5CEEB3D9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415347" w:rsidRPr="001250B3" w14:paraId="6259419A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77A2F695" w14:textId="77ECFEB5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20" w:type="dxa"/>
            <w:vAlign w:val="center"/>
          </w:tcPr>
          <w:p w14:paraId="41DA988E" w14:textId="59F4510D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Indian Institute of Technology Kanpur</w:t>
            </w:r>
          </w:p>
        </w:tc>
        <w:tc>
          <w:tcPr>
            <w:tcW w:w="1151" w:type="dxa"/>
            <w:vAlign w:val="center"/>
          </w:tcPr>
          <w:p w14:paraId="7A1B651C" w14:textId="0CD63DC3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Hindi</w:t>
            </w:r>
          </w:p>
        </w:tc>
        <w:tc>
          <w:tcPr>
            <w:tcW w:w="850" w:type="dxa"/>
            <w:vAlign w:val="center"/>
          </w:tcPr>
          <w:p w14:paraId="6151A866" w14:textId="4EA83D78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1000+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4B6468C" w14:textId="6634EC84" w:rsidR="00415347" w:rsidRPr="001250B3" w:rsidRDefault="000C0DF1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2FBD1525" w14:textId="67D8BF19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1009" w:type="dxa"/>
            <w:vAlign w:val="center"/>
          </w:tcPr>
          <w:p w14:paraId="66FD94E4" w14:textId="08FBDFEE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BenQ-XL2430T</w:t>
            </w:r>
          </w:p>
        </w:tc>
        <w:tc>
          <w:tcPr>
            <w:tcW w:w="1646" w:type="dxa"/>
            <w:vAlign w:val="center"/>
          </w:tcPr>
          <w:p w14:paraId="2945E5D1" w14:textId="41CA5B51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1920 x 1080</w:t>
            </w:r>
          </w:p>
        </w:tc>
        <w:tc>
          <w:tcPr>
            <w:tcW w:w="1054" w:type="dxa"/>
            <w:vAlign w:val="center"/>
          </w:tcPr>
          <w:p w14:paraId="798E477B" w14:textId="71C5A532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BA2C0F" w:rsidRPr="001250B3" w14:paraId="0286F34A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728EC38C" w14:textId="120C13BF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20" w:type="dxa"/>
            <w:vAlign w:val="center"/>
          </w:tcPr>
          <w:p w14:paraId="69F0C21A" w14:textId="745E38D0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International Institute of Information Technology Hyderabad</w:t>
            </w:r>
          </w:p>
        </w:tc>
        <w:tc>
          <w:tcPr>
            <w:tcW w:w="1151" w:type="dxa"/>
            <w:vAlign w:val="center"/>
          </w:tcPr>
          <w:p w14:paraId="54533D2E" w14:textId="5DB666C4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Hindi</w:t>
            </w:r>
          </w:p>
        </w:tc>
        <w:tc>
          <w:tcPr>
            <w:tcW w:w="850" w:type="dxa"/>
            <w:vAlign w:val="center"/>
          </w:tcPr>
          <w:p w14:paraId="6B56F195" w14:textId="01579176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1000+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17ECDB4" w14:textId="303076DC" w:rsidR="00BA2C0F" w:rsidRPr="001250B3" w:rsidRDefault="000C0DF1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8A62D82" w14:textId="062931D1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90 cm</w:t>
            </w:r>
          </w:p>
        </w:tc>
        <w:tc>
          <w:tcPr>
            <w:tcW w:w="1009" w:type="dxa"/>
            <w:vAlign w:val="center"/>
          </w:tcPr>
          <w:p w14:paraId="40ED6A91" w14:textId="3E04E129" w:rsidR="00BA2C0F" w:rsidRPr="008261D5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Dell</w:t>
            </w:r>
            <w:r w:rsidR="008261D5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8261D5" w:rsidRPr="008261D5">
              <w:rPr>
                <w:rFonts w:asciiTheme="majorBidi" w:hAnsiTheme="majorBidi" w:cstheme="majorBidi"/>
                <w:sz w:val="16"/>
                <w:szCs w:val="16"/>
              </w:rPr>
              <w:t>S2415Hb</w:t>
            </w:r>
          </w:p>
        </w:tc>
        <w:tc>
          <w:tcPr>
            <w:tcW w:w="1646" w:type="dxa"/>
            <w:vAlign w:val="center"/>
          </w:tcPr>
          <w:p w14:paraId="6F1E09B3" w14:textId="526ABEEF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1920 X 1080</w:t>
            </w:r>
          </w:p>
        </w:tc>
        <w:tc>
          <w:tcPr>
            <w:tcW w:w="1054" w:type="dxa"/>
            <w:vAlign w:val="center"/>
          </w:tcPr>
          <w:p w14:paraId="6E670DBD" w14:textId="0E1411F2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415347" w:rsidRPr="001250B3" w14:paraId="76FAB0DD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0D3BEE82" w14:textId="399159ED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Russia</w:t>
            </w:r>
          </w:p>
        </w:tc>
        <w:tc>
          <w:tcPr>
            <w:tcW w:w="1220" w:type="dxa"/>
            <w:vAlign w:val="center"/>
          </w:tcPr>
          <w:p w14:paraId="4F39AC92" w14:textId="1833A215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Higher School of Economics</w:t>
            </w:r>
          </w:p>
        </w:tc>
        <w:tc>
          <w:tcPr>
            <w:tcW w:w="1151" w:type="dxa"/>
            <w:vAlign w:val="center"/>
          </w:tcPr>
          <w:p w14:paraId="729E317B" w14:textId="0FDDAFF6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Russian</w:t>
            </w:r>
          </w:p>
        </w:tc>
        <w:tc>
          <w:tcPr>
            <w:tcW w:w="850" w:type="dxa"/>
            <w:vAlign w:val="center"/>
          </w:tcPr>
          <w:p w14:paraId="664D3A20" w14:textId="6F3156E3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1000+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BBBDD4E" w14:textId="795EFDC6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3125C098" w14:textId="57F2B391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74CBFF52" w14:textId="27E8DA05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ASUS VG248QE 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10ED131" w14:textId="2B00BC86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1920 x 1080</w:t>
            </w:r>
          </w:p>
        </w:tc>
        <w:tc>
          <w:tcPr>
            <w:tcW w:w="1054" w:type="dxa"/>
            <w:shd w:val="clear" w:color="auto" w:fill="FFFFFF" w:themeFill="background1"/>
            <w:vAlign w:val="center"/>
          </w:tcPr>
          <w:p w14:paraId="407C2DED" w14:textId="56DE78DC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BA2C0F" w:rsidRPr="001250B3" w14:paraId="15FC225B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75A2F88E" w14:textId="46B429E9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Serbia</w:t>
            </w:r>
          </w:p>
        </w:tc>
        <w:tc>
          <w:tcPr>
            <w:tcW w:w="1220" w:type="dxa"/>
            <w:vAlign w:val="center"/>
          </w:tcPr>
          <w:p w14:paraId="08264724" w14:textId="08B8BCAB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Universities of Belgrade and Novi Sad</w:t>
            </w:r>
          </w:p>
        </w:tc>
        <w:tc>
          <w:tcPr>
            <w:tcW w:w="1151" w:type="dxa"/>
            <w:vAlign w:val="center"/>
          </w:tcPr>
          <w:p w14:paraId="3F83E4C1" w14:textId="322AAA9D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Serbian</w:t>
            </w:r>
          </w:p>
        </w:tc>
        <w:tc>
          <w:tcPr>
            <w:tcW w:w="850" w:type="dxa"/>
            <w:vAlign w:val="center"/>
          </w:tcPr>
          <w:p w14:paraId="2285DE3F" w14:textId="0075B0C1" w:rsidR="00415347" w:rsidRPr="008E32B2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897D16"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II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4ABCDBD" w14:textId="6BE4202D" w:rsidR="00415347" w:rsidRPr="008E32B2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84A5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1272BF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803" w:type="dxa"/>
            <w:vAlign w:val="center"/>
          </w:tcPr>
          <w:p w14:paraId="4E007DA3" w14:textId="241BCD0A" w:rsidR="00415347" w:rsidRPr="008E32B2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84A52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1009" w:type="dxa"/>
            <w:vAlign w:val="center"/>
          </w:tcPr>
          <w:p w14:paraId="5EB1F08A" w14:textId="32D6E195" w:rsidR="00415347" w:rsidRPr="008E32B2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84A52">
              <w:rPr>
                <w:rFonts w:asciiTheme="majorBidi" w:hAnsiTheme="majorBidi" w:cstheme="majorBidi"/>
                <w:sz w:val="16"/>
                <w:szCs w:val="16"/>
              </w:rPr>
              <w:t>ViewSonic Graphics Display G90FB</w:t>
            </w:r>
          </w:p>
        </w:tc>
        <w:tc>
          <w:tcPr>
            <w:tcW w:w="1646" w:type="dxa"/>
            <w:vAlign w:val="center"/>
          </w:tcPr>
          <w:p w14:paraId="6B65CB3A" w14:textId="48349695" w:rsidR="00415347" w:rsidRPr="008E32B2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1280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1024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B325BE5" w14:textId="41BA88F5" w:rsidR="00415347" w:rsidRPr="008E32B2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84A52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BA2C0F" w:rsidRPr="001250B3" w14:paraId="3C63DBB9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04BAAB9F" w14:textId="468A4F47" w:rsidR="00415347" w:rsidRPr="00430697" w:rsidRDefault="00415347" w:rsidP="0043069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1220" w:type="dxa"/>
            <w:vAlign w:val="center"/>
          </w:tcPr>
          <w:p w14:paraId="0856A09F" w14:textId="13B59EEF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D0AC5">
              <w:rPr>
                <w:rFonts w:ascii="Times New Roman" w:hAnsi="Times New Roman" w:cs="Times New Roman"/>
                <w:sz w:val="16"/>
                <w:szCs w:val="16"/>
              </w:rPr>
              <w:t xml:space="preserve">Basque Center on Cognition, </w:t>
            </w:r>
            <w:proofErr w:type="gramStart"/>
            <w:r w:rsidRPr="00CD0AC5">
              <w:rPr>
                <w:rFonts w:ascii="Times New Roman" w:hAnsi="Times New Roman" w:cs="Times New Roman"/>
                <w:sz w:val="16"/>
                <w:szCs w:val="16"/>
              </w:rPr>
              <w:t>Brain</w:t>
            </w:r>
            <w:proofErr w:type="gramEnd"/>
            <w:r w:rsidRPr="00CD0AC5">
              <w:rPr>
                <w:rFonts w:ascii="Times New Roman" w:hAnsi="Times New Roman" w:cs="Times New Roman"/>
                <w:sz w:val="16"/>
                <w:szCs w:val="16"/>
              </w:rPr>
              <w:t xml:space="preserve"> and Language</w:t>
            </w:r>
          </w:p>
        </w:tc>
        <w:tc>
          <w:tcPr>
            <w:tcW w:w="1151" w:type="dxa"/>
            <w:vAlign w:val="center"/>
          </w:tcPr>
          <w:p w14:paraId="7E5CAD87" w14:textId="01673ECD" w:rsidR="00415347" w:rsidRPr="001250B3" w:rsidRDefault="00415347" w:rsidP="001272BF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Basque</w:t>
            </w:r>
          </w:p>
        </w:tc>
        <w:tc>
          <w:tcPr>
            <w:tcW w:w="850" w:type="dxa"/>
            <w:vAlign w:val="center"/>
          </w:tcPr>
          <w:p w14:paraId="24C34FB5" w14:textId="5B185E85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3D59DAE" w14:textId="2D1844BC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650F0EA0" w14:textId="79B78040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1009" w:type="dxa"/>
            <w:vAlign w:val="center"/>
          </w:tcPr>
          <w:p w14:paraId="5928E216" w14:textId="0FC01941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Viewsonic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CRT</w:t>
            </w:r>
          </w:p>
        </w:tc>
        <w:tc>
          <w:tcPr>
            <w:tcW w:w="1646" w:type="dxa"/>
            <w:vAlign w:val="center"/>
          </w:tcPr>
          <w:p w14:paraId="10765E41" w14:textId="739EBD74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1600 x 1024</w:t>
            </w:r>
          </w:p>
        </w:tc>
        <w:tc>
          <w:tcPr>
            <w:tcW w:w="1054" w:type="dxa"/>
            <w:vAlign w:val="center"/>
          </w:tcPr>
          <w:p w14:paraId="280AAB8C" w14:textId="765E5B76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</w:tr>
      <w:tr w:rsidR="00BA2C0F" w:rsidRPr="001250B3" w14:paraId="5168A35A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1AA9A3BD" w14:textId="2152D4DA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Switzerland</w:t>
            </w:r>
          </w:p>
        </w:tc>
        <w:tc>
          <w:tcPr>
            <w:tcW w:w="1220" w:type="dxa"/>
            <w:vAlign w:val="center"/>
          </w:tcPr>
          <w:p w14:paraId="78FB3890" w14:textId="01BC7CE6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University of Zurich</w:t>
            </w:r>
          </w:p>
        </w:tc>
        <w:tc>
          <w:tcPr>
            <w:tcW w:w="1151" w:type="dxa"/>
            <w:vAlign w:val="center"/>
          </w:tcPr>
          <w:p w14:paraId="58B5E146" w14:textId="371044E5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German</w:t>
            </w:r>
          </w:p>
        </w:tc>
        <w:tc>
          <w:tcPr>
            <w:tcW w:w="850" w:type="dxa"/>
            <w:vAlign w:val="center"/>
          </w:tcPr>
          <w:p w14:paraId="04C2AE69" w14:textId="7EABA9F4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Portable Duo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BA99536" w14:textId="5E483B1C" w:rsidR="005528EA" w:rsidRPr="001250B3" w:rsidRDefault="001272BF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298A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03" w:type="dxa"/>
            <w:vAlign w:val="center"/>
          </w:tcPr>
          <w:p w14:paraId="73CE12C1" w14:textId="0F523DF9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1009" w:type="dxa"/>
            <w:vAlign w:val="center"/>
          </w:tcPr>
          <w:p w14:paraId="2DA61373" w14:textId="6B4904EE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ASUS OMEN</w:t>
            </w:r>
          </w:p>
        </w:tc>
        <w:tc>
          <w:tcPr>
            <w:tcW w:w="1646" w:type="dxa"/>
            <w:vAlign w:val="center"/>
          </w:tcPr>
          <w:p w14:paraId="57450070" w14:textId="296A9D80" w:rsidR="005528EA" w:rsidRPr="001250B3" w:rsidRDefault="005528EA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1280 x 1024</w:t>
            </w:r>
          </w:p>
        </w:tc>
        <w:tc>
          <w:tcPr>
            <w:tcW w:w="1054" w:type="dxa"/>
            <w:vAlign w:val="center"/>
          </w:tcPr>
          <w:p w14:paraId="0D2EA47A" w14:textId="67AE1F49" w:rsidR="005528EA" w:rsidRPr="008261D5" w:rsidRDefault="008261D5" w:rsidP="005528E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261D5"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BA2C0F" w:rsidRPr="001250B3" w14:paraId="5E4CF9ED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5489CC0D" w14:textId="4A1CDE2D" w:rsidR="00467C34" w:rsidRPr="00C4244C" w:rsidRDefault="00467C34" w:rsidP="00467C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1220" w:type="dxa"/>
            <w:vAlign w:val="center"/>
          </w:tcPr>
          <w:p w14:paraId="4565F932" w14:textId="50843F76" w:rsidR="00467C34" w:rsidRPr="00C4244C" w:rsidRDefault="00467C34" w:rsidP="00467C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University of Southampton</w:t>
            </w:r>
          </w:p>
        </w:tc>
        <w:tc>
          <w:tcPr>
            <w:tcW w:w="1151" w:type="dxa"/>
            <w:vAlign w:val="center"/>
          </w:tcPr>
          <w:p w14:paraId="7415D145" w14:textId="7C8366E8" w:rsidR="00467C34" w:rsidRPr="00C4244C" w:rsidRDefault="00467C34" w:rsidP="00467C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</w:p>
        </w:tc>
        <w:tc>
          <w:tcPr>
            <w:tcW w:w="850" w:type="dxa"/>
            <w:vAlign w:val="center"/>
          </w:tcPr>
          <w:p w14:paraId="19B8D381" w14:textId="6D4864D5" w:rsidR="00467C34" w:rsidRPr="001250B3" w:rsidRDefault="00467C34" w:rsidP="00467C3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296C00C" w14:textId="14108F52" w:rsidR="00467C34" w:rsidRDefault="001272BF" w:rsidP="00467C3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4C527170" w14:textId="723F849E" w:rsidR="00467C34" w:rsidRPr="001250B3" w:rsidRDefault="00467C34" w:rsidP="00467C3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1009" w:type="dxa"/>
            <w:vAlign w:val="center"/>
          </w:tcPr>
          <w:p w14:paraId="74497D83" w14:textId="10653C3F" w:rsidR="00467C34" w:rsidRPr="001250B3" w:rsidRDefault="00467C34" w:rsidP="00467C3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ASUS VG248QE</w:t>
            </w:r>
          </w:p>
        </w:tc>
        <w:tc>
          <w:tcPr>
            <w:tcW w:w="1646" w:type="dxa"/>
            <w:vAlign w:val="center"/>
          </w:tcPr>
          <w:p w14:paraId="42611103" w14:textId="16C50472" w:rsidR="00467C34" w:rsidRPr="001250B3" w:rsidRDefault="00467C34" w:rsidP="00467C3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1920x1080</w:t>
            </w:r>
          </w:p>
        </w:tc>
        <w:tc>
          <w:tcPr>
            <w:tcW w:w="1054" w:type="dxa"/>
            <w:vAlign w:val="center"/>
          </w:tcPr>
          <w:p w14:paraId="20D674D6" w14:textId="4147E29C" w:rsidR="00467C34" w:rsidRPr="001250B3" w:rsidRDefault="00467C34" w:rsidP="00467C3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BA2C0F" w:rsidRPr="001250B3" w14:paraId="69F28BE6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466A4E37" w14:textId="18EDEB72" w:rsidR="00BA2C0F" w:rsidRPr="00C4244C" w:rsidRDefault="00BA2C0F" w:rsidP="00BA2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*Norway</w:t>
            </w:r>
          </w:p>
        </w:tc>
        <w:tc>
          <w:tcPr>
            <w:tcW w:w="1220" w:type="dxa"/>
            <w:vAlign w:val="center"/>
          </w:tcPr>
          <w:p w14:paraId="77476340" w14:textId="7A6E35AC" w:rsidR="00BA2C0F" w:rsidRPr="00C4244C" w:rsidRDefault="00BA2C0F" w:rsidP="00BA2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University of Oslo</w:t>
            </w:r>
          </w:p>
        </w:tc>
        <w:tc>
          <w:tcPr>
            <w:tcW w:w="1151" w:type="dxa"/>
            <w:vAlign w:val="center"/>
          </w:tcPr>
          <w:p w14:paraId="08B79533" w14:textId="710E0FB4" w:rsidR="00BA2C0F" w:rsidRPr="00C4244C" w:rsidRDefault="00BA2C0F" w:rsidP="00BA2C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Norwegian</w:t>
            </w:r>
          </w:p>
        </w:tc>
        <w:tc>
          <w:tcPr>
            <w:tcW w:w="850" w:type="dxa"/>
            <w:vAlign w:val="center"/>
          </w:tcPr>
          <w:p w14:paraId="036F23FD" w14:textId="346C373C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EyeLink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1000+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9C44001" w14:textId="368FD1AA" w:rsidR="00BA2C0F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58D84ED0" w14:textId="65D8C547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1009" w:type="dxa"/>
            <w:vAlign w:val="center"/>
          </w:tcPr>
          <w:p w14:paraId="29740262" w14:textId="184CE547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BenQ XL4230-B</w:t>
            </w:r>
          </w:p>
        </w:tc>
        <w:tc>
          <w:tcPr>
            <w:tcW w:w="1646" w:type="dxa"/>
            <w:vAlign w:val="center"/>
          </w:tcPr>
          <w:p w14:paraId="628C3427" w14:textId="59049E26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1920×1080</w:t>
            </w:r>
          </w:p>
        </w:tc>
        <w:tc>
          <w:tcPr>
            <w:tcW w:w="1054" w:type="dxa"/>
            <w:vAlign w:val="center"/>
          </w:tcPr>
          <w:p w14:paraId="37B9B21B" w14:textId="26FBF2EB" w:rsidR="00BA2C0F" w:rsidRPr="001250B3" w:rsidRDefault="00BA2C0F" w:rsidP="00BA2C0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24</w:t>
            </w:r>
          </w:p>
        </w:tc>
      </w:tr>
      <w:tr w:rsidR="00415347" w:rsidRPr="001250B3" w14:paraId="68BF8E17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3CEAD4C3" w14:textId="745918C8" w:rsidR="00415347" w:rsidRPr="00C4244C" w:rsidRDefault="00415347" w:rsidP="004153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Taiwan</w:t>
            </w:r>
          </w:p>
        </w:tc>
        <w:tc>
          <w:tcPr>
            <w:tcW w:w="1220" w:type="dxa"/>
            <w:vAlign w:val="center"/>
          </w:tcPr>
          <w:p w14:paraId="17F12285" w14:textId="1918A04D" w:rsidR="00415347" w:rsidRPr="00C4244C" w:rsidRDefault="00415347" w:rsidP="004153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National Taiwan Normal University</w:t>
            </w:r>
          </w:p>
        </w:tc>
        <w:tc>
          <w:tcPr>
            <w:tcW w:w="1151" w:type="dxa"/>
            <w:vAlign w:val="center"/>
          </w:tcPr>
          <w:p w14:paraId="18C60E74" w14:textId="60CA7653" w:rsidR="00415347" w:rsidRPr="00C4244C" w:rsidRDefault="00415347" w:rsidP="004153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Mandarin</w:t>
            </w:r>
          </w:p>
        </w:tc>
        <w:tc>
          <w:tcPr>
            <w:tcW w:w="850" w:type="dxa"/>
            <w:vAlign w:val="center"/>
          </w:tcPr>
          <w:p w14:paraId="01252C38" w14:textId="522A2B83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Eye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ink</w:t>
            </w:r>
            <w:proofErr w:type="spellEnd"/>
            <w:r w:rsidRPr="009F7B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A1E1D0A" w14:textId="36D426DE" w:rsidR="00415347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404CC10E" w14:textId="03E3EA2B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09" w:type="dxa"/>
            <w:vAlign w:val="center"/>
          </w:tcPr>
          <w:p w14:paraId="5B9712CF" w14:textId="599B2D17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F7BC8">
              <w:rPr>
                <w:rFonts w:asciiTheme="majorBidi" w:hAnsiTheme="majorBidi" w:cstheme="majorBidi"/>
                <w:sz w:val="16"/>
                <w:szCs w:val="16"/>
              </w:rPr>
              <w:t>Dell P2417</w:t>
            </w:r>
          </w:p>
        </w:tc>
        <w:tc>
          <w:tcPr>
            <w:tcW w:w="1646" w:type="dxa"/>
            <w:vAlign w:val="center"/>
          </w:tcPr>
          <w:p w14:paraId="4DB973C1" w14:textId="311DB169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1920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1054" w:type="dxa"/>
            <w:vAlign w:val="center"/>
          </w:tcPr>
          <w:p w14:paraId="5E9A83CF" w14:textId="5B2BCBC1" w:rsidR="00415347" w:rsidRPr="001250B3" w:rsidRDefault="00415347" w:rsidP="00415347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F7B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051938" w:rsidRPr="001250B3" w14:paraId="2642845E" w14:textId="77777777" w:rsidTr="00051938">
        <w:trPr>
          <w:trHeight w:val="454"/>
          <w:jc w:val="center"/>
        </w:trPr>
        <w:tc>
          <w:tcPr>
            <w:tcW w:w="1009" w:type="dxa"/>
            <w:vAlign w:val="center"/>
          </w:tcPr>
          <w:p w14:paraId="4B0ABC8F" w14:textId="60DCC544" w:rsidR="00051938" w:rsidRPr="00C4244C" w:rsidRDefault="00051938" w:rsidP="000519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*Turkey</w:t>
            </w:r>
          </w:p>
        </w:tc>
        <w:tc>
          <w:tcPr>
            <w:tcW w:w="1220" w:type="dxa"/>
            <w:vAlign w:val="center"/>
          </w:tcPr>
          <w:p w14:paraId="75F08DA4" w14:textId="1088A79C" w:rsidR="00051938" w:rsidRPr="00C4244C" w:rsidRDefault="00051938" w:rsidP="000519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Middle East Technical University</w:t>
            </w:r>
          </w:p>
        </w:tc>
        <w:tc>
          <w:tcPr>
            <w:tcW w:w="1151" w:type="dxa"/>
            <w:vAlign w:val="center"/>
          </w:tcPr>
          <w:p w14:paraId="2876C8A9" w14:textId="6592C058" w:rsidR="00051938" w:rsidRPr="00C4244C" w:rsidRDefault="00051938" w:rsidP="000519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244C">
              <w:rPr>
                <w:rFonts w:ascii="Times New Roman" w:hAnsi="Times New Roman" w:cs="Times New Roman"/>
                <w:sz w:val="16"/>
                <w:szCs w:val="16"/>
              </w:rPr>
              <w:t>Turkish</w:t>
            </w:r>
          </w:p>
        </w:tc>
        <w:tc>
          <w:tcPr>
            <w:tcW w:w="850" w:type="dxa"/>
            <w:vAlign w:val="center"/>
          </w:tcPr>
          <w:p w14:paraId="50623DEB" w14:textId="7DDEE188" w:rsidR="00051938" w:rsidRPr="001250B3" w:rsidRDefault="00051938" w:rsidP="0005193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sz w:val="16"/>
                <w:szCs w:val="16"/>
              </w:rPr>
              <w:t>Eye Link 1000+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3EE4081" w14:textId="3BB9EFDD" w:rsidR="00051938" w:rsidRDefault="00051938" w:rsidP="0005193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03" w:type="dxa"/>
            <w:vAlign w:val="center"/>
          </w:tcPr>
          <w:p w14:paraId="462D706D" w14:textId="3EBC1391" w:rsidR="00051938" w:rsidRPr="001250B3" w:rsidRDefault="00051938" w:rsidP="0005193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1009" w:type="dxa"/>
            <w:vAlign w:val="center"/>
          </w:tcPr>
          <w:p w14:paraId="7EDADFAF" w14:textId="0A3996BD" w:rsidR="00051938" w:rsidRPr="001250B3" w:rsidRDefault="00051938" w:rsidP="0005193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sz w:val="16"/>
                <w:szCs w:val="16"/>
              </w:rPr>
              <w:t>HP Pavilion 23cw</w:t>
            </w:r>
          </w:p>
        </w:tc>
        <w:tc>
          <w:tcPr>
            <w:tcW w:w="1646" w:type="dxa"/>
            <w:vAlign w:val="center"/>
          </w:tcPr>
          <w:p w14:paraId="2DC439C8" w14:textId="5E5892AC" w:rsidR="00051938" w:rsidRPr="001250B3" w:rsidRDefault="00051938" w:rsidP="0005193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sz w:val="16"/>
                <w:szCs w:val="16"/>
              </w:rPr>
              <w:t>1920 x 1080</w:t>
            </w:r>
          </w:p>
        </w:tc>
        <w:tc>
          <w:tcPr>
            <w:tcW w:w="1054" w:type="dxa"/>
            <w:vAlign w:val="center"/>
          </w:tcPr>
          <w:p w14:paraId="5BE97536" w14:textId="0DA1AF73" w:rsidR="00051938" w:rsidRPr="001250B3" w:rsidRDefault="00051938" w:rsidP="0005193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250B3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</w:tr>
    </w:tbl>
    <w:p w14:paraId="364F9507" w14:textId="77777777" w:rsidR="001D29C4" w:rsidRPr="001250B3" w:rsidRDefault="001D29C4" w:rsidP="00D167E9">
      <w:pPr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0C93453" w14:textId="77777777" w:rsidR="00D167E9" w:rsidRDefault="00D167E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6805420" w14:textId="35233CA4" w:rsidR="00313266" w:rsidRPr="00271DFE" w:rsidRDefault="00313266" w:rsidP="00D167E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71DFE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1A1BB2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8538A">
        <w:rPr>
          <w:rFonts w:asciiTheme="majorBidi" w:hAnsiTheme="majorBidi" w:cstheme="majorBidi"/>
          <w:sz w:val="24"/>
          <w:szCs w:val="24"/>
        </w:rPr>
        <w:t xml:space="preserve">: </w:t>
      </w:r>
      <w:r w:rsidR="000775F5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271DFE">
        <w:rPr>
          <w:rFonts w:asciiTheme="majorBidi" w:hAnsiTheme="majorBidi" w:cstheme="majorBidi"/>
          <w:b/>
          <w:bCs/>
          <w:sz w:val="24"/>
          <w:szCs w:val="24"/>
        </w:rPr>
        <w:t>eliability estimates at the participant-level.</w:t>
      </w:r>
      <w:r w:rsidRPr="00271DFE">
        <w:rPr>
          <w:rFonts w:asciiTheme="majorBidi" w:hAnsiTheme="majorBidi" w:cstheme="majorBidi"/>
          <w:sz w:val="24"/>
          <w:szCs w:val="24"/>
        </w:rPr>
        <w:t xml:space="preserve"> </w:t>
      </w:r>
      <w:r w:rsidR="00F8538A">
        <w:rPr>
          <w:rFonts w:asciiTheme="majorBidi" w:hAnsiTheme="majorBidi" w:cstheme="majorBidi"/>
          <w:sz w:val="24"/>
          <w:szCs w:val="24"/>
        </w:rPr>
        <w:t xml:space="preserve">The table below presents reliability estimates </w:t>
      </w:r>
      <w:r w:rsidR="000775F5">
        <w:rPr>
          <w:rFonts w:asciiTheme="majorBidi" w:hAnsiTheme="majorBidi" w:cstheme="majorBidi"/>
          <w:sz w:val="24"/>
          <w:szCs w:val="24"/>
        </w:rPr>
        <w:t>at the participant</w:t>
      </w:r>
      <w:r w:rsidR="00F8538A">
        <w:rPr>
          <w:rFonts w:asciiTheme="majorBidi" w:hAnsiTheme="majorBidi" w:cstheme="majorBidi"/>
          <w:sz w:val="24"/>
          <w:szCs w:val="24"/>
        </w:rPr>
        <w:t>-level for the eye-tracking data from the L2 reading task. To obtain these values, we calculated for each</w:t>
      </w:r>
      <w:r w:rsidR="00F8538A" w:rsidRPr="00F8538A">
        <w:rPr>
          <w:rFonts w:asciiTheme="majorBidi" w:hAnsiTheme="majorBidi" w:cstheme="majorBidi"/>
          <w:sz w:val="24"/>
          <w:szCs w:val="24"/>
        </w:rPr>
        <w:t xml:space="preserve"> sample</w:t>
      </w:r>
      <w:r w:rsidR="000775F5">
        <w:rPr>
          <w:rFonts w:asciiTheme="majorBidi" w:hAnsiTheme="majorBidi" w:cstheme="majorBidi"/>
          <w:sz w:val="24"/>
          <w:szCs w:val="24"/>
        </w:rPr>
        <w:t xml:space="preserve"> and for each eye-movement measure (except for reading rate)</w:t>
      </w:r>
      <w:r w:rsidR="00F8538A" w:rsidRPr="00F8538A">
        <w:rPr>
          <w:rFonts w:asciiTheme="majorBidi" w:hAnsiTheme="majorBidi" w:cstheme="majorBidi"/>
          <w:sz w:val="24"/>
          <w:szCs w:val="24"/>
        </w:rPr>
        <w:t xml:space="preserve"> the correlation between mean values for 'odd' and 'even' words within a participant. </w:t>
      </w:r>
      <w:r w:rsidR="000775F5" w:rsidRPr="0045120E">
        <w:rPr>
          <w:rFonts w:asciiTheme="majorBidi" w:hAnsiTheme="majorBidi" w:cstheme="majorBidi"/>
          <w:sz w:val="24"/>
          <w:szCs w:val="24"/>
        </w:rPr>
        <w:t>Values before and after the comma represent uncorrected and Spearman-Brown corrected values, respectively.</w:t>
      </w:r>
      <w:r w:rsidR="000775F5">
        <w:rPr>
          <w:rFonts w:asciiTheme="majorBidi" w:hAnsiTheme="majorBidi" w:cstheme="majorBidi"/>
          <w:sz w:val="24"/>
          <w:szCs w:val="24"/>
        </w:rPr>
        <w:t xml:space="preserve"> To obtain reliability estimates </w:t>
      </w:r>
      <w:r w:rsidR="00F8538A" w:rsidRPr="00F8538A">
        <w:rPr>
          <w:rFonts w:asciiTheme="majorBidi" w:hAnsiTheme="majorBidi" w:cstheme="majorBidi"/>
          <w:sz w:val="24"/>
          <w:szCs w:val="24"/>
        </w:rPr>
        <w:t xml:space="preserve">for reading rate, </w:t>
      </w:r>
      <w:r w:rsidR="000775F5">
        <w:rPr>
          <w:rFonts w:asciiTheme="majorBidi" w:hAnsiTheme="majorBidi" w:cstheme="majorBidi"/>
          <w:sz w:val="24"/>
          <w:szCs w:val="24"/>
        </w:rPr>
        <w:t>we used an</w:t>
      </w:r>
      <w:r w:rsidR="00F8538A" w:rsidRPr="00F8538A">
        <w:rPr>
          <w:rFonts w:asciiTheme="majorBidi" w:hAnsiTheme="majorBidi" w:cstheme="majorBidi"/>
          <w:sz w:val="24"/>
          <w:szCs w:val="24"/>
        </w:rPr>
        <w:t xml:space="preserve"> Intra-class</w:t>
      </w:r>
      <w:r w:rsidR="000775F5">
        <w:rPr>
          <w:rFonts w:asciiTheme="majorBidi" w:hAnsiTheme="majorBidi" w:cstheme="majorBidi"/>
          <w:sz w:val="24"/>
          <w:szCs w:val="24"/>
        </w:rPr>
        <w:t xml:space="preserve"> Correlation Coefficient (ICC) to examine</w:t>
      </w:r>
      <w:r w:rsidR="00F8538A" w:rsidRPr="00F8538A">
        <w:rPr>
          <w:rFonts w:asciiTheme="majorBidi" w:hAnsiTheme="majorBidi" w:cstheme="majorBidi"/>
          <w:sz w:val="24"/>
          <w:szCs w:val="24"/>
        </w:rPr>
        <w:t xml:space="preserve"> the degree of agreement in reading rate</w:t>
      </w:r>
      <w:r w:rsidR="000775F5">
        <w:rPr>
          <w:rFonts w:asciiTheme="majorBidi" w:hAnsiTheme="majorBidi" w:cstheme="majorBidi"/>
          <w:sz w:val="24"/>
          <w:szCs w:val="24"/>
        </w:rPr>
        <w:t>s</w:t>
      </w:r>
      <w:r w:rsidR="00F8538A" w:rsidRPr="00F8538A">
        <w:rPr>
          <w:rFonts w:asciiTheme="majorBidi" w:hAnsiTheme="majorBidi" w:cstheme="majorBidi"/>
          <w:sz w:val="24"/>
          <w:szCs w:val="24"/>
        </w:rPr>
        <w:t xml:space="preserve"> across the 12 texts.</w:t>
      </w:r>
      <w:r w:rsidR="000775F5">
        <w:rPr>
          <w:rFonts w:asciiTheme="majorBidi" w:hAnsiTheme="majorBidi" w:cstheme="majorBidi"/>
          <w:sz w:val="24"/>
          <w:szCs w:val="24"/>
        </w:rPr>
        <w:t xml:space="preserve"> </w:t>
      </w:r>
      <w:r w:rsidR="00665CC9">
        <w:rPr>
          <w:rFonts w:asciiTheme="majorBidi" w:hAnsiTheme="majorBidi" w:cstheme="majorBidi"/>
          <w:sz w:val="24"/>
          <w:szCs w:val="24"/>
        </w:rPr>
        <w:t>P</w:t>
      </w:r>
      <w:r w:rsidR="001A1BB2">
        <w:rPr>
          <w:rFonts w:asciiTheme="majorBidi" w:hAnsiTheme="majorBidi" w:cstheme="majorBidi"/>
          <w:sz w:val="24"/>
          <w:szCs w:val="24"/>
        </w:rPr>
        <w:t xml:space="preserve">rocedures are identical to those reported in Kuperman et al., 2023. </w:t>
      </w:r>
    </w:p>
    <w:tbl>
      <w:tblPr>
        <w:tblW w:w="10302" w:type="dxa"/>
        <w:jc w:val="center"/>
        <w:tblLook w:val="04A0" w:firstRow="1" w:lastRow="0" w:firstColumn="1" w:lastColumn="0" w:noHBand="0" w:noVBand="1"/>
      </w:tblPr>
      <w:tblGrid>
        <w:gridCol w:w="1587"/>
        <w:gridCol w:w="977"/>
        <w:gridCol w:w="1119"/>
        <w:gridCol w:w="968"/>
        <w:gridCol w:w="968"/>
        <w:gridCol w:w="968"/>
        <w:gridCol w:w="968"/>
        <w:gridCol w:w="968"/>
        <w:gridCol w:w="968"/>
        <w:gridCol w:w="811"/>
      </w:tblGrid>
      <w:tr w:rsidR="00313266" w:rsidRPr="00F44F8B" w14:paraId="2E3C3BB6" w14:textId="77777777" w:rsidTr="00897D16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F6F7" w14:textId="62CA2151" w:rsidR="00313266" w:rsidRPr="00F44F8B" w:rsidRDefault="00F44F8B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Sample </w:t>
            </w:r>
            <w:r w:rsidR="00313266" w:rsidRPr="00F44F8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312" w14:textId="77777777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firstfix.dur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02C00" w14:textId="31D05DEC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firstrun.</w:t>
            </w:r>
            <w:r w:rsidR="00CB6D1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dur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4DA42" w14:textId="77777777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dur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60326" w14:textId="77777777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nfix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3953A" w14:textId="77777777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reg.in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0DCC4" w14:textId="4541765B" w:rsidR="00313266" w:rsidRPr="00F44F8B" w:rsidRDefault="00F44F8B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="00313266"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eread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20712" w14:textId="77777777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skip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61C67" w14:textId="77777777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mean </w:t>
            </w: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Pr="00F44F8B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4D3E" w14:textId="77777777" w:rsidR="00313266" w:rsidRPr="00F44F8B" w:rsidRDefault="00313266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Reading </w:t>
            </w: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rate</w:t>
            </w:r>
            <w:r w:rsidRPr="00F44F8B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</w:tr>
      <w:tr w:rsidR="000E0EA1" w:rsidRPr="00F44F8B" w14:paraId="52F5BD06" w14:textId="77777777" w:rsidTr="00897D16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57CB7614" w14:textId="0B0104C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Basque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DC99D" w14:textId="7FF9053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C5889" w14:textId="0F48F9A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1DCD6B12" w14:textId="7D9E2ED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4935" w14:textId="3877F0A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1CB274E3" w14:textId="049A255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ADB0C" w14:textId="28981AC8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1FFC6" w14:textId="6E4834C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0.93, 0.96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07EE336A" w14:textId="631CE8F7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58370CDF" w14:textId="74881DB8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</w:tr>
      <w:tr w:rsidR="000E0EA1" w:rsidRPr="00F44F8B" w14:paraId="71F6B02C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38616C3E" w14:textId="70AE7406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Brazilian Portuguese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C8250EE" w14:textId="67223A8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E677C18" w14:textId="272CFF8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6310A96A" w14:textId="0452A7E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403BBA" w14:textId="71FFC03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vAlign w:val="center"/>
          </w:tcPr>
          <w:p w14:paraId="683FF77B" w14:textId="7B7E483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9060A43" w14:textId="36A5230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7C4B1B6" w14:textId="783E5EB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vAlign w:val="center"/>
          </w:tcPr>
          <w:p w14:paraId="4FE2793E" w14:textId="0BC3BC9E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811" w:type="dxa"/>
            <w:vAlign w:val="center"/>
          </w:tcPr>
          <w:p w14:paraId="3E522F8B" w14:textId="25275768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</w:tr>
      <w:tr w:rsidR="000E0EA1" w:rsidRPr="00F44F8B" w14:paraId="7E639E6C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616EA264" w14:textId="287ADFD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Mandarin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 simplified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C58B70F" w14:textId="6F27A6E1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273A766" w14:textId="5F39E96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vAlign w:val="center"/>
          </w:tcPr>
          <w:p w14:paraId="49E9ABBA" w14:textId="4BBB91A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46DD6D6" w14:textId="75CF4B7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968" w:type="dxa"/>
            <w:vAlign w:val="center"/>
          </w:tcPr>
          <w:p w14:paraId="24D7A889" w14:textId="2C9017D6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0.92, 0.96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694C9E" w14:textId="2EEF385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ACE964" w14:textId="2A516C6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0.91, 0.95</w:t>
            </w:r>
          </w:p>
        </w:tc>
        <w:tc>
          <w:tcPr>
            <w:tcW w:w="968" w:type="dxa"/>
            <w:vAlign w:val="center"/>
          </w:tcPr>
          <w:p w14:paraId="1E8290AD" w14:textId="10B761A4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811" w:type="dxa"/>
            <w:vAlign w:val="center"/>
          </w:tcPr>
          <w:p w14:paraId="11F4FB91" w14:textId="7385B84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0.94</w:t>
            </w:r>
          </w:p>
        </w:tc>
      </w:tr>
      <w:tr w:rsidR="000E0EA1" w:rsidRPr="00F44F8B" w14:paraId="797FEDE4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5C5B8036" w14:textId="7BBABD1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Mandarin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 traditional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D527D72" w14:textId="5D1B1EC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0A3527C" w14:textId="00AB09B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34A0313F" w14:textId="105F6B53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08DFB55" w14:textId="53342BB3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vAlign w:val="center"/>
          </w:tcPr>
          <w:p w14:paraId="61EF9D41" w14:textId="48F9B3A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0.94, 0.97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070BB5A" w14:textId="35BF3993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FD050D9" w14:textId="08279F51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0.93, 0.97</w:t>
            </w:r>
          </w:p>
        </w:tc>
        <w:tc>
          <w:tcPr>
            <w:tcW w:w="968" w:type="dxa"/>
            <w:vAlign w:val="center"/>
          </w:tcPr>
          <w:p w14:paraId="35BA76EA" w14:textId="6A6CB09D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811" w:type="dxa"/>
            <w:vAlign w:val="center"/>
          </w:tcPr>
          <w:p w14:paraId="4D70BFEE" w14:textId="23D8B80C" w:rsidR="000E0EA1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0.96</w:t>
            </w:r>
          </w:p>
        </w:tc>
      </w:tr>
      <w:tr w:rsidR="000E0EA1" w:rsidRPr="00F44F8B" w14:paraId="04DDE9C8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228D8B72" w14:textId="2F98C0DA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Danish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B2B609E" w14:textId="66297DF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265CD3" w14:textId="60D3093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6CC3D2CE" w14:textId="1B1610BA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F7B25F8" w14:textId="388C5F73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226C5BC2" w14:textId="7C369B3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208F1F3" w14:textId="55EE528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0.99, 0.99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C36D444" w14:textId="32E1812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0.84, 0.91</w:t>
            </w:r>
          </w:p>
        </w:tc>
        <w:tc>
          <w:tcPr>
            <w:tcW w:w="968" w:type="dxa"/>
            <w:vAlign w:val="center"/>
          </w:tcPr>
          <w:p w14:paraId="7E79F823" w14:textId="10257DA8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811" w:type="dxa"/>
            <w:vAlign w:val="center"/>
          </w:tcPr>
          <w:p w14:paraId="283142D7" w14:textId="2819672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0.96</w:t>
            </w:r>
          </w:p>
        </w:tc>
      </w:tr>
      <w:tr w:rsidR="000E0EA1" w:rsidRPr="00F44F8B" w14:paraId="62000E7B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1D4F8AA8" w14:textId="4BACB89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English (UK)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F87079B" w14:textId="0952558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3B7E1B" w14:textId="36A6BD3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67619F82" w14:textId="35B56C7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73125EE" w14:textId="0C0E5B96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vAlign w:val="center"/>
          </w:tcPr>
          <w:p w14:paraId="2388DDED" w14:textId="1DDC3AD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4B684FE" w14:textId="24CB4B6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918F171" w14:textId="2617EEA8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0.93, 0.96</w:t>
            </w:r>
          </w:p>
        </w:tc>
        <w:tc>
          <w:tcPr>
            <w:tcW w:w="968" w:type="dxa"/>
            <w:vAlign w:val="center"/>
          </w:tcPr>
          <w:p w14:paraId="4CF36ED7" w14:textId="7F2B66C3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811" w:type="dxa"/>
            <w:vAlign w:val="center"/>
          </w:tcPr>
          <w:p w14:paraId="31F01270" w14:textId="731CEC2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</w:tr>
      <w:tr w:rsidR="000E0EA1" w:rsidRPr="00F44F8B" w14:paraId="6454072B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146CF1B1" w14:textId="686FC2A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German (Potsdam)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280D996" w14:textId="3F124ED6" w:rsidR="000E0EA1" w:rsidRPr="00897D16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0.93, 0.96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4281182" w14:textId="3C67354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0.93, 0.96</w:t>
            </w:r>
          </w:p>
        </w:tc>
        <w:tc>
          <w:tcPr>
            <w:tcW w:w="968" w:type="dxa"/>
            <w:vAlign w:val="center"/>
          </w:tcPr>
          <w:p w14:paraId="60345CAD" w14:textId="5E74580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3D43861" w14:textId="306135C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vAlign w:val="center"/>
          </w:tcPr>
          <w:p w14:paraId="0F83D1C9" w14:textId="1C598A4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0.91, 0.95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F13B8C0" w14:textId="3219D3D4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A38873" w14:textId="23E03B4B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vAlign w:val="center"/>
          </w:tcPr>
          <w:p w14:paraId="16B6706F" w14:textId="6C4F6677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811" w:type="dxa"/>
            <w:vAlign w:val="center"/>
          </w:tcPr>
          <w:p w14:paraId="7003FED4" w14:textId="2CC2B4E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0.94</w:t>
            </w:r>
          </w:p>
        </w:tc>
      </w:tr>
      <w:tr w:rsidR="000E0EA1" w:rsidRPr="00F44F8B" w14:paraId="0E23FF7F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1FD18F88" w14:textId="4F4D74A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German (Zurich)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57C1E83" w14:textId="3D1AC23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AB53B8" w14:textId="469A844A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58B7824C" w14:textId="30D1D47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0.99, 0.99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30E9041" w14:textId="7CD09AF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30C0BDA5" w14:textId="69D4F4DA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D3826F9" w14:textId="29C23F3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E3C1BF7" w14:textId="1BFFE9AA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968" w:type="dxa"/>
            <w:vAlign w:val="center"/>
          </w:tcPr>
          <w:p w14:paraId="03098FCD" w14:textId="43B3D994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811" w:type="dxa"/>
            <w:vAlign w:val="center"/>
          </w:tcPr>
          <w:p w14:paraId="20DE6060" w14:textId="2669B95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0.98</w:t>
            </w:r>
          </w:p>
        </w:tc>
      </w:tr>
      <w:tr w:rsidR="000E0EA1" w:rsidRPr="00F44F8B" w14:paraId="649BCA27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160D7398" w14:textId="53F57C0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Hindi (IIITH)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D185A80" w14:textId="65AECCC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0.99, 0.99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A549087" w14:textId="7DF3734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vAlign w:val="center"/>
          </w:tcPr>
          <w:p w14:paraId="29397571" w14:textId="7F99EAA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C5B4732" w14:textId="4ECB87F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968" w:type="dxa"/>
            <w:vAlign w:val="center"/>
          </w:tcPr>
          <w:p w14:paraId="74C70627" w14:textId="712D033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0.94, 0.97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24400D4" w14:textId="66E092E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E085D4" w14:textId="50702D3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0.95, 0.98</w:t>
            </w:r>
          </w:p>
        </w:tc>
        <w:tc>
          <w:tcPr>
            <w:tcW w:w="968" w:type="dxa"/>
            <w:vAlign w:val="center"/>
          </w:tcPr>
          <w:p w14:paraId="217AF46D" w14:textId="7A845306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811" w:type="dxa"/>
            <w:vAlign w:val="center"/>
          </w:tcPr>
          <w:p w14:paraId="04FFCE58" w14:textId="4A97F9C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0.95</w:t>
            </w:r>
          </w:p>
        </w:tc>
      </w:tr>
      <w:tr w:rsidR="000E0EA1" w:rsidRPr="00F44F8B" w14:paraId="711F10DE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47A71F3F" w14:textId="1239207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Hindi (IITK)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1668EFF" w14:textId="4172138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688C80C" w14:textId="5063EFB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486F2E21" w14:textId="24F133BA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0.99, 0.99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C49838C" w14:textId="545A2908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vAlign w:val="center"/>
          </w:tcPr>
          <w:p w14:paraId="5B4890B6" w14:textId="21E4F62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0.91, 0.96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9E483E4" w14:textId="67C4966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EA47947" w14:textId="7BCBC66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968" w:type="dxa"/>
            <w:vAlign w:val="center"/>
          </w:tcPr>
          <w:p w14:paraId="26CD5C28" w14:textId="5386A84B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811" w:type="dxa"/>
            <w:vAlign w:val="center"/>
          </w:tcPr>
          <w:p w14:paraId="2F552953" w14:textId="6FDBBCC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</w:tr>
      <w:tr w:rsidR="000E0EA1" w:rsidRPr="00F44F8B" w14:paraId="43376698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4FD70BEF" w14:textId="51CD02A1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Icelandic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7F1B043" w14:textId="6FF3277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03A50C" w14:textId="5E3E522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4CDFABBA" w14:textId="17E3870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BCBEDC4" w14:textId="0EC0DD7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196D40F6" w14:textId="17FD96C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61DF28" w14:textId="768DCA4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BAC771" w14:textId="3896B16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0.94, 0.97</w:t>
            </w:r>
          </w:p>
        </w:tc>
        <w:tc>
          <w:tcPr>
            <w:tcW w:w="968" w:type="dxa"/>
            <w:vAlign w:val="center"/>
          </w:tcPr>
          <w:p w14:paraId="7081FF95" w14:textId="0821B17D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811" w:type="dxa"/>
            <w:vAlign w:val="center"/>
          </w:tcPr>
          <w:p w14:paraId="4636E68C" w14:textId="243ACD33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</w:tr>
      <w:tr w:rsidR="000E0EA1" w:rsidRPr="00F44F8B" w14:paraId="1D8100CB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3F67B7F9" w14:textId="21813DE1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Norwegian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909B4BC" w14:textId="0FA2CAC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674BA4" w14:textId="734ACB66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968" w:type="dxa"/>
            <w:vAlign w:val="center"/>
          </w:tcPr>
          <w:p w14:paraId="19CDA706" w14:textId="1769F95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18D5FDC" w14:textId="578F976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vAlign w:val="center"/>
          </w:tcPr>
          <w:p w14:paraId="27A323C2" w14:textId="3AAF727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89FA318" w14:textId="77C69C8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4097FC" w14:textId="1970302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0.93, 0.96</w:t>
            </w:r>
          </w:p>
        </w:tc>
        <w:tc>
          <w:tcPr>
            <w:tcW w:w="968" w:type="dxa"/>
            <w:vAlign w:val="center"/>
          </w:tcPr>
          <w:p w14:paraId="4C1392FC" w14:textId="7FF40FB9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811" w:type="dxa"/>
            <w:vAlign w:val="center"/>
          </w:tcPr>
          <w:p w14:paraId="25FAB1BA" w14:textId="5E860B2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0.98</w:t>
            </w:r>
          </w:p>
        </w:tc>
      </w:tr>
      <w:tr w:rsidR="000E0EA1" w:rsidRPr="00F44F8B" w14:paraId="032FB4A4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79082583" w14:textId="13D2B45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Russian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8941484" w14:textId="510C17F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0.99, 0.99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E3E497" w14:textId="57FFCD4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08C5707E" w14:textId="0B72C3E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0.99, 0.99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9793A2A" w14:textId="4CD26E1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5AB90D10" w14:textId="3FD5C41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0.94, 0.97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836F44F" w14:textId="06D0837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F4737D7" w14:textId="08514A26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968" w:type="dxa"/>
            <w:vAlign w:val="center"/>
          </w:tcPr>
          <w:p w14:paraId="2A361557" w14:textId="31965152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811" w:type="dxa"/>
            <w:vAlign w:val="center"/>
          </w:tcPr>
          <w:p w14:paraId="77DD6319" w14:textId="2E7DF5A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</w:tr>
      <w:tr w:rsidR="000E0EA1" w:rsidRPr="00F44F8B" w14:paraId="56B7E66E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5831A31C" w14:textId="4853DD2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Serbian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34B5779" w14:textId="6EBA957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C676F75" w14:textId="070619C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272BC5AE" w14:textId="1016DB41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54B7D73" w14:textId="57E613C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968" w:type="dxa"/>
            <w:vAlign w:val="center"/>
          </w:tcPr>
          <w:p w14:paraId="4C188B6E" w14:textId="3092420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4A9CEF4" w14:textId="75FB632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175583B" w14:textId="4818996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0.91, 0.95</w:t>
            </w:r>
          </w:p>
        </w:tc>
        <w:tc>
          <w:tcPr>
            <w:tcW w:w="968" w:type="dxa"/>
            <w:vAlign w:val="center"/>
          </w:tcPr>
          <w:p w14:paraId="6DC6B75B" w14:textId="72C0E498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811" w:type="dxa"/>
            <w:vAlign w:val="center"/>
          </w:tcPr>
          <w:p w14:paraId="7B751BC9" w14:textId="155710B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0.97</w:t>
            </w:r>
          </w:p>
        </w:tc>
      </w:tr>
      <w:tr w:rsidR="000E0EA1" w:rsidRPr="00F44F8B" w14:paraId="2D59E966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680FDFE7" w14:textId="734328C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Spanish (Chile)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40D87DF" w14:textId="6D0E8A8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6223F84" w14:textId="61E68D27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7AEB8C0F" w14:textId="64C1FF16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 xml:space="preserve">0.99, </w:t>
            </w:r>
            <w:r w:rsidR="00154D39">
              <w:rPr>
                <w:rFonts w:asciiTheme="majorBidi" w:hAnsiTheme="majorBidi" w:cstheme="majorBidi"/>
                <w:sz w:val="16"/>
                <w:szCs w:val="16"/>
              </w:rPr>
              <w:t>~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96904E0" w14:textId="0163DABE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vAlign w:val="center"/>
          </w:tcPr>
          <w:p w14:paraId="0CECCEBC" w14:textId="6ECB662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0.95, 0.97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C3AF1A" w14:textId="0C1A58FC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5216A1D" w14:textId="69D47BC2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0.92, 0.96</w:t>
            </w:r>
          </w:p>
        </w:tc>
        <w:tc>
          <w:tcPr>
            <w:tcW w:w="968" w:type="dxa"/>
            <w:vAlign w:val="center"/>
          </w:tcPr>
          <w:p w14:paraId="5DF0A324" w14:textId="179CB4DE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811" w:type="dxa"/>
            <w:vAlign w:val="center"/>
          </w:tcPr>
          <w:p w14:paraId="73AF764A" w14:textId="5EF6CFA4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0.98</w:t>
            </w:r>
          </w:p>
        </w:tc>
      </w:tr>
      <w:tr w:rsidR="000E0EA1" w:rsidRPr="00F44F8B" w14:paraId="4FB385DD" w14:textId="77777777" w:rsidTr="00897D16">
        <w:trPr>
          <w:trHeight w:val="34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D5BB2E9" w14:textId="5A07A71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Turkish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B9212" w14:textId="71D377F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0.99, 0.99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FBF70" w14:textId="58AF5930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F70121E" w14:textId="59FD6179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0.98, 0.99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C810" w14:textId="68915365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9CEEC5F" w14:textId="2A392DDF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0.97, 0.99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DB32" w14:textId="6EA1983B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0.96, 0.98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BC91B" w14:textId="4859EF91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0.87, 0.93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E9EF6A2" w14:textId="3D486950" w:rsidR="000E0EA1" w:rsidRPr="00A90749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0.97, 0.98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3689F49" w14:textId="2FA9AF6D" w:rsidR="000E0EA1" w:rsidRPr="00F44F8B" w:rsidRDefault="000E0EA1" w:rsidP="00CB6D12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0.96</w:t>
            </w:r>
          </w:p>
        </w:tc>
      </w:tr>
    </w:tbl>
    <w:p w14:paraId="35236107" w14:textId="4D8B60B3" w:rsidR="00313266" w:rsidRPr="001250B3" w:rsidRDefault="00313266" w:rsidP="00D167E9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1250B3">
        <w:rPr>
          <w:rFonts w:asciiTheme="majorBidi" w:hAnsiTheme="majorBidi" w:cstheme="majorBidi"/>
          <w:sz w:val="20"/>
          <w:szCs w:val="20"/>
        </w:rPr>
        <w:t xml:space="preserve">Notes: </w:t>
      </w:r>
      <w:proofErr w:type="spellStart"/>
      <w:r w:rsidRPr="001250B3">
        <w:rPr>
          <w:rFonts w:asciiTheme="majorBidi" w:hAnsiTheme="majorBidi" w:cstheme="majorBidi"/>
          <w:sz w:val="20"/>
          <w:szCs w:val="20"/>
        </w:rPr>
        <w:t>firstfix.dur</w:t>
      </w:r>
      <w:proofErr w:type="spellEnd"/>
      <w:r w:rsidRPr="001250B3">
        <w:rPr>
          <w:rFonts w:asciiTheme="majorBidi" w:hAnsiTheme="majorBidi" w:cstheme="majorBidi"/>
          <w:sz w:val="20"/>
          <w:szCs w:val="20"/>
        </w:rPr>
        <w:t xml:space="preserve">: first fixation duration; </w:t>
      </w:r>
      <w:proofErr w:type="spellStart"/>
      <w:r w:rsidRPr="001250B3">
        <w:rPr>
          <w:rFonts w:asciiTheme="majorBidi" w:hAnsiTheme="majorBidi" w:cstheme="majorBidi"/>
          <w:sz w:val="20"/>
          <w:szCs w:val="20"/>
        </w:rPr>
        <w:t>firstrun.</w:t>
      </w:r>
      <w:r w:rsidR="00CB6D12">
        <w:rPr>
          <w:rFonts w:asciiTheme="majorBidi" w:hAnsiTheme="majorBidi" w:cstheme="majorBidi"/>
          <w:sz w:val="20"/>
          <w:szCs w:val="20"/>
        </w:rPr>
        <w:t>dur</w:t>
      </w:r>
      <w:proofErr w:type="spellEnd"/>
      <w:r w:rsidRPr="001250B3">
        <w:rPr>
          <w:rFonts w:asciiTheme="majorBidi" w:hAnsiTheme="majorBidi" w:cstheme="majorBidi"/>
          <w:sz w:val="20"/>
          <w:szCs w:val="20"/>
        </w:rPr>
        <w:t xml:space="preserve">: gaze duration; dur: total fixation time; </w:t>
      </w:r>
      <w:proofErr w:type="spellStart"/>
      <w:r w:rsidRPr="001250B3">
        <w:rPr>
          <w:rFonts w:asciiTheme="majorBidi" w:hAnsiTheme="majorBidi" w:cstheme="majorBidi"/>
          <w:sz w:val="20"/>
          <w:szCs w:val="20"/>
        </w:rPr>
        <w:t>nfix</w:t>
      </w:r>
      <w:proofErr w:type="spellEnd"/>
      <w:r w:rsidRPr="001250B3">
        <w:rPr>
          <w:rFonts w:asciiTheme="majorBidi" w:hAnsiTheme="majorBidi" w:cstheme="majorBidi"/>
          <w:sz w:val="20"/>
          <w:szCs w:val="20"/>
        </w:rPr>
        <w:t>: number of fixations; reg.in: regression rate; reread: likelihood of second pass; skip: skipping rate; mean r: mean reliability across eye-tracking measures (excluding reading rate</w:t>
      </w:r>
      <w:proofErr w:type="gramStart"/>
      <w:r w:rsidRPr="001250B3">
        <w:rPr>
          <w:rFonts w:asciiTheme="majorBidi" w:hAnsiTheme="majorBidi" w:cstheme="majorBidi"/>
          <w:sz w:val="20"/>
          <w:szCs w:val="20"/>
        </w:rPr>
        <w:t>);</w:t>
      </w:r>
      <w:proofErr w:type="gramEnd"/>
      <w:r w:rsidRPr="001250B3">
        <w:rPr>
          <w:rFonts w:asciiTheme="majorBidi" w:hAnsiTheme="majorBidi" w:cstheme="majorBidi"/>
          <w:sz w:val="20"/>
          <w:szCs w:val="20"/>
        </w:rPr>
        <w:t xml:space="preserve"> </w:t>
      </w:r>
    </w:p>
    <w:p w14:paraId="294E190B" w14:textId="77777777" w:rsidR="00313266" w:rsidRPr="001250B3" w:rsidRDefault="00313266" w:rsidP="00D167E9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1250B3">
        <w:rPr>
          <w:rFonts w:asciiTheme="majorBidi" w:hAnsiTheme="majorBidi" w:cstheme="majorBidi"/>
          <w:sz w:val="20"/>
          <w:szCs w:val="20"/>
          <w:vertAlign w:val="superscript"/>
        </w:rPr>
        <w:t xml:space="preserve">a </w:t>
      </w:r>
      <w:proofErr w:type="gramStart"/>
      <w:r w:rsidRPr="001250B3">
        <w:rPr>
          <w:rFonts w:asciiTheme="majorBidi" w:hAnsiTheme="majorBidi" w:cstheme="majorBidi"/>
          <w:sz w:val="20"/>
          <w:szCs w:val="20"/>
        </w:rPr>
        <w:t>Mean correlations</w:t>
      </w:r>
      <w:proofErr w:type="gramEnd"/>
      <w:r w:rsidRPr="001250B3">
        <w:rPr>
          <w:rFonts w:asciiTheme="majorBidi" w:hAnsiTheme="majorBidi" w:cstheme="majorBidi"/>
          <w:sz w:val="20"/>
          <w:szCs w:val="20"/>
        </w:rPr>
        <w:t xml:space="preserve"> are based on mean </w:t>
      </w:r>
      <w:r w:rsidRPr="001250B3">
        <w:rPr>
          <w:rFonts w:asciiTheme="majorBidi" w:hAnsiTheme="majorBidi" w:cstheme="majorBidi"/>
          <w:i/>
          <w:iCs/>
          <w:sz w:val="20"/>
          <w:szCs w:val="20"/>
        </w:rPr>
        <w:t>z</w:t>
      </w:r>
      <w:r w:rsidRPr="001250B3">
        <w:rPr>
          <w:rFonts w:asciiTheme="majorBidi" w:hAnsiTheme="majorBidi" w:cstheme="majorBidi"/>
          <w:sz w:val="20"/>
          <w:szCs w:val="20"/>
        </w:rPr>
        <w:t xml:space="preserve"> values after Fisher r-to-z transformation, which were then transformed back to </w:t>
      </w:r>
      <w:r w:rsidRPr="001250B3">
        <w:rPr>
          <w:rFonts w:asciiTheme="majorBidi" w:hAnsiTheme="majorBidi" w:cstheme="majorBidi"/>
          <w:i/>
          <w:iCs/>
          <w:sz w:val="20"/>
          <w:szCs w:val="20"/>
        </w:rPr>
        <w:t xml:space="preserve">r </w:t>
      </w:r>
      <w:r w:rsidRPr="001250B3">
        <w:rPr>
          <w:rFonts w:asciiTheme="majorBidi" w:hAnsiTheme="majorBidi" w:cstheme="majorBidi"/>
          <w:sz w:val="20"/>
          <w:szCs w:val="20"/>
        </w:rPr>
        <w:t xml:space="preserve">values using an inverse transformation. </w:t>
      </w:r>
    </w:p>
    <w:p w14:paraId="34238A1F" w14:textId="77777777" w:rsidR="00313266" w:rsidRPr="001250B3" w:rsidRDefault="00313266" w:rsidP="00D167E9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1250B3">
        <w:rPr>
          <w:rFonts w:asciiTheme="majorBidi" w:hAnsiTheme="majorBidi" w:cstheme="majorBidi"/>
          <w:sz w:val="20"/>
          <w:szCs w:val="20"/>
          <w:vertAlign w:val="superscript"/>
        </w:rPr>
        <w:t xml:space="preserve">b </w:t>
      </w:r>
      <w:r w:rsidRPr="001250B3">
        <w:rPr>
          <w:rFonts w:asciiTheme="majorBidi" w:hAnsiTheme="majorBidi" w:cstheme="majorBidi"/>
          <w:sz w:val="20"/>
          <w:szCs w:val="20"/>
        </w:rPr>
        <w:t>Reading rate estimates are based on ICC. These values reflect the reliability of mean reading rate across the 12 texts at the participant-level.</w:t>
      </w:r>
    </w:p>
    <w:p w14:paraId="047C8ECA" w14:textId="77777777" w:rsidR="00F44F8B" w:rsidRDefault="00F44F8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3B8503D" w14:textId="3C69676D" w:rsidR="00F8538A" w:rsidRPr="00271DFE" w:rsidRDefault="00F8538A" w:rsidP="001A1BB2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71DFE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1A1BB2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0775F5" w:rsidRPr="000775F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0775F5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0775F5" w:rsidRPr="00271DFE">
        <w:rPr>
          <w:rFonts w:asciiTheme="majorBidi" w:hAnsiTheme="majorBidi" w:cstheme="majorBidi"/>
          <w:b/>
          <w:bCs/>
          <w:sz w:val="24"/>
          <w:szCs w:val="24"/>
        </w:rPr>
        <w:t>eliability estimates at the word token-level</w:t>
      </w:r>
      <w:r w:rsidR="000775F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0775F5">
        <w:rPr>
          <w:rFonts w:asciiTheme="majorBidi" w:hAnsiTheme="majorBidi" w:cstheme="majorBidi"/>
          <w:sz w:val="24"/>
          <w:szCs w:val="24"/>
        </w:rPr>
        <w:t xml:space="preserve">Below are the reliability estimates at the </w:t>
      </w:r>
      <w:r w:rsidR="000775F5" w:rsidRPr="000775F5">
        <w:rPr>
          <w:rFonts w:asciiTheme="majorBidi" w:hAnsiTheme="majorBidi" w:cstheme="majorBidi"/>
          <w:sz w:val="24"/>
          <w:szCs w:val="24"/>
        </w:rPr>
        <w:t>word token-level (i.e., the level of individual word occurrences)</w:t>
      </w:r>
      <w:r w:rsidR="000775F5">
        <w:rPr>
          <w:rFonts w:asciiTheme="majorBidi" w:hAnsiTheme="majorBidi" w:cstheme="majorBidi"/>
          <w:sz w:val="24"/>
          <w:szCs w:val="24"/>
        </w:rPr>
        <w:t xml:space="preserve"> for the eye-tracking L2 reading task</w:t>
      </w:r>
      <w:r w:rsidR="000775F5" w:rsidRPr="000775F5">
        <w:rPr>
          <w:rFonts w:asciiTheme="majorBidi" w:hAnsiTheme="majorBidi" w:cstheme="majorBidi"/>
          <w:sz w:val="24"/>
          <w:szCs w:val="24"/>
        </w:rPr>
        <w:t xml:space="preserve">. </w:t>
      </w:r>
      <w:r w:rsidR="000775F5">
        <w:rPr>
          <w:rFonts w:asciiTheme="majorBidi" w:hAnsiTheme="majorBidi" w:cstheme="majorBidi"/>
          <w:sz w:val="24"/>
          <w:szCs w:val="24"/>
        </w:rPr>
        <w:t>These values were computed</w:t>
      </w:r>
      <w:r w:rsidR="000775F5" w:rsidRPr="000775F5">
        <w:rPr>
          <w:rFonts w:asciiTheme="majorBidi" w:hAnsiTheme="majorBidi" w:cstheme="majorBidi"/>
          <w:sz w:val="24"/>
          <w:szCs w:val="24"/>
        </w:rPr>
        <w:t>, for each language and eye-tracking measure</w:t>
      </w:r>
      <w:r w:rsidR="000775F5">
        <w:rPr>
          <w:rFonts w:asciiTheme="majorBidi" w:hAnsiTheme="majorBidi" w:cstheme="majorBidi"/>
          <w:sz w:val="24"/>
          <w:szCs w:val="24"/>
        </w:rPr>
        <w:t xml:space="preserve">, </w:t>
      </w:r>
      <w:r w:rsidR="000775F5" w:rsidRPr="000775F5">
        <w:rPr>
          <w:rFonts w:asciiTheme="majorBidi" w:hAnsiTheme="majorBidi" w:cstheme="majorBidi"/>
          <w:sz w:val="24"/>
          <w:szCs w:val="24"/>
        </w:rPr>
        <w:t xml:space="preserve">by examining the correlation between means for 'odd' and 'even' participants within each word token. </w:t>
      </w:r>
      <w:r w:rsidR="000775F5" w:rsidRPr="0045120E">
        <w:rPr>
          <w:rFonts w:asciiTheme="majorBidi" w:hAnsiTheme="majorBidi" w:cstheme="majorBidi"/>
          <w:sz w:val="24"/>
          <w:szCs w:val="24"/>
        </w:rPr>
        <w:t>Values before and after the comma represent uncorrected and Spearman-Brown corrected values, respectively.</w:t>
      </w:r>
      <w:r w:rsidR="001A1BB2">
        <w:rPr>
          <w:rFonts w:asciiTheme="majorBidi" w:hAnsiTheme="majorBidi" w:cstheme="majorBidi"/>
          <w:sz w:val="24"/>
          <w:szCs w:val="24"/>
        </w:rPr>
        <w:t xml:space="preserve"> These procedures are identical to those reported in Kuperman et al., 2023</w:t>
      </w:r>
      <w:r w:rsidR="00A90749">
        <w:rPr>
          <w:rFonts w:asciiTheme="majorBidi" w:hAnsiTheme="majorBidi" w:cstheme="majorBidi"/>
          <w:sz w:val="24"/>
          <w:szCs w:val="24"/>
        </w:rPr>
        <w:t>.</w:t>
      </w:r>
      <w:r w:rsidR="001A1BB2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9465" w:type="dxa"/>
        <w:jc w:val="center"/>
        <w:tblLook w:val="04A0" w:firstRow="1" w:lastRow="0" w:firstColumn="1" w:lastColumn="0" w:noHBand="0" w:noVBand="1"/>
      </w:tblPr>
      <w:tblGrid>
        <w:gridCol w:w="1587"/>
        <w:gridCol w:w="978"/>
        <w:gridCol w:w="1119"/>
        <w:gridCol w:w="962"/>
        <w:gridCol w:w="962"/>
        <w:gridCol w:w="965"/>
        <w:gridCol w:w="967"/>
        <w:gridCol w:w="962"/>
        <w:gridCol w:w="963"/>
      </w:tblGrid>
      <w:tr w:rsidR="00A90749" w:rsidRPr="00F44F8B" w14:paraId="7279B218" w14:textId="77777777" w:rsidTr="00897D16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C18E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Sample L1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734B0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firstfix.dur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CFE15" w14:textId="7ECA4E58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firstrun.</w:t>
            </w:r>
            <w:r w:rsidR="00CB6D1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dur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43AC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dur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CE15F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nfix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EC2B7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reg.in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0D214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eread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81CD0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skip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61F59" w14:textId="77777777" w:rsidR="00A90749" w:rsidRPr="00F44F8B" w:rsidRDefault="00A90749" w:rsidP="00194D4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mean </w:t>
            </w:r>
            <w:proofErr w:type="spellStart"/>
            <w:r w:rsidRPr="00F44F8B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Pr="00F44F8B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7F2F1E" w:rsidRPr="00F44F8B" w14:paraId="3AFD15E4" w14:textId="77777777" w:rsidTr="00897D16">
        <w:trPr>
          <w:trHeight w:val="340"/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41B229BF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Basque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854EF" w14:textId="322C8DD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0.35, 0.52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F38C7" w14:textId="72494A8A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0.61, 0.76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3592101F" w14:textId="00BD7225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0.66, 0.79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14955" w14:textId="7ED0990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0.66, 0.79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DE71413" w14:textId="238BAC7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0.55, 0.71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A00B6" w14:textId="4064071B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0.45, 0.62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9F780" w14:textId="10AE1C7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0.78, 0.88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61989183" w14:textId="0287C1A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0.59, 0.74</w:t>
            </w:r>
          </w:p>
        </w:tc>
      </w:tr>
      <w:tr w:rsidR="007F2F1E" w:rsidRPr="00F44F8B" w14:paraId="2B91B79D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1A3DAD76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Brazilian Portuguese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345558" w14:textId="2D1BE54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0.37, 0.54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BAE3C4" w14:textId="22379995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0.58, 0.74</w:t>
            </w:r>
          </w:p>
        </w:tc>
        <w:tc>
          <w:tcPr>
            <w:tcW w:w="962" w:type="dxa"/>
            <w:vAlign w:val="center"/>
          </w:tcPr>
          <w:p w14:paraId="69C0A507" w14:textId="4A0BA9D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0.63, 0.77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E87DAAE" w14:textId="3C80811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0.65, 0.79</w:t>
            </w:r>
          </w:p>
        </w:tc>
        <w:tc>
          <w:tcPr>
            <w:tcW w:w="965" w:type="dxa"/>
            <w:vAlign w:val="center"/>
          </w:tcPr>
          <w:p w14:paraId="5CDD1695" w14:textId="28E5283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8B83603" w14:textId="7A44D684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0.48, 0.65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FCC970" w14:textId="3DE66E8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0.84, 0.91</w:t>
            </w:r>
          </w:p>
        </w:tc>
        <w:tc>
          <w:tcPr>
            <w:tcW w:w="963" w:type="dxa"/>
            <w:vAlign w:val="center"/>
          </w:tcPr>
          <w:p w14:paraId="25C897F2" w14:textId="4C2C06F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0.62, 0.76</w:t>
            </w:r>
          </w:p>
        </w:tc>
      </w:tr>
      <w:tr w:rsidR="007F2F1E" w:rsidRPr="00F44F8B" w14:paraId="318F3CFD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103DCF11" w14:textId="161584D9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Mandarin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 simplified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3D682A" w14:textId="50131EB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0.39, 0.56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D1D473" w14:textId="088E6A84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0.76, 0.86</w:t>
            </w:r>
          </w:p>
        </w:tc>
        <w:tc>
          <w:tcPr>
            <w:tcW w:w="962" w:type="dxa"/>
            <w:vAlign w:val="center"/>
          </w:tcPr>
          <w:p w14:paraId="00CFF44E" w14:textId="5A98EC1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0.75, 0.86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4DC1479" w14:textId="37A7348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0.72, 0.84</w:t>
            </w:r>
          </w:p>
        </w:tc>
        <w:tc>
          <w:tcPr>
            <w:tcW w:w="965" w:type="dxa"/>
            <w:vAlign w:val="center"/>
          </w:tcPr>
          <w:p w14:paraId="4A0A5261" w14:textId="24963180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, 0.67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07322D" w14:textId="30F5BFE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0.35, 0.51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41CA124" w14:textId="5ED0214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0.85, 0.92</w:t>
            </w:r>
          </w:p>
        </w:tc>
        <w:tc>
          <w:tcPr>
            <w:tcW w:w="963" w:type="dxa"/>
            <w:vAlign w:val="center"/>
          </w:tcPr>
          <w:p w14:paraId="095ED625" w14:textId="7198FC7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0.65, 0.78</w:t>
            </w:r>
          </w:p>
        </w:tc>
      </w:tr>
      <w:tr w:rsidR="007F2F1E" w:rsidRPr="00F44F8B" w14:paraId="2E73F0EC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69C34FE7" w14:textId="429A029C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Mandarin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 traditional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4DD5120" w14:textId="51A2290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0.34, 0.51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7DE3EF" w14:textId="550CAC3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0.75, 0.86</w:t>
            </w:r>
          </w:p>
        </w:tc>
        <w:tc>
          <w:tcPr>
            <w:tcW w:w="962" w:type="dxa"/>
            <w:vAlign w:val="center"/>
          </w:tcPr>
          <w:p w14:paraId="2D9E2137" w14:textId="6237761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0.78, 0.87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6D0935" w14:textId="04B9844F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0.74, 0.85</w:t>
            </w:r>
          </w:p>
        </w:tc>
        <w:tc>
          <w:tcPr>
            <w:tcW w:w="965" w:type="dxa"/>
            <w:vAlign w:val="center"/>
          </w:tcPr>
          <w:p w14:paraId="40070202" w14:textId="5C15702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0.52, 0.68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7E4D2B4" w14:textId="3D7CCE34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0.38, 0.55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0742446" w14:textId="77FF7DA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0.79, 0.88</w:t>
            </w:r>
          </w:p>
        </w:tc>
        <w:tc>
          <w:tcPr>
            <w:tcW w:w="963" w:type="dxa"/>
            <w:vAlign w:val="center"/>
          </w:tcPr>
          <w:p w14:paraId="12A065F4" w14:textId="1F844490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</w:tr>
      <w:tr w:rsidR="007F2F1E" w:rsidRPr="00F44F8B" w14:paraId="150AB067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5F23900C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Danish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5A09E7" w14:textId="1519C450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0.31, 0.47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33AD231" w14:textId="188CE05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0.52, 0.68</w:t>
            </w:r>
          </w:p>
        </w:tc>
        <w:tc>
          <w:tcPr>
            <w:tcW w:w="962" w:type="dxa"/>
            <w:vAlign w:val="center"/>
          </w:tcPr>
          <w:p w14:paraId="029E4B3D" w14:textId="6F875B0B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0.55, 0.71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DB927CD" w14:textId="36BCB55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0.49, 0.66</w:t>
            </w:r>
          </w:p>
        </w:tc>
        <w:tc>
          <w:tcPr>
            <w:tcW w:w="965" w:type="dxa"/>
            <w:vAlign w:val="center"/>
          </w:tcPr>
          <w:p w14:paraId="13389646" w14:textId="0085F705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, 0.66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CE9AD1F" w14:textId="2E622C9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0.28, 0.43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BA38707" w14:textId="0754A7E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0.73, 0.85</w:t>
            </w:r>
          </w:p>
        </w:tc>
        <w:tc>
          <w:tcPr>
            <w:tcW w:w="963" w:type="dxa"/>
            <w:vAlign w:val="center"/>
          </w:tcPr>
          <w:p w14:paraId="3B7FD642" w14:textId="55B9CCC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, 0.66</w:t>
            </w:r>
          </w:p>
        </w:tc>
      </w:tr>
      <w:tr w:rsidR="007F2F1E" w:rsidRPr="00F44F8B" w14:paraId="63DCB42A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561E191D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English (UK)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BB64221" w14:textId="53F1C28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0.42, 0.6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A13C899" w14:textId="7CC16BB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0.54, 0.7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962" w:type="dxa"/>
            <w:vAlign w:val="center"/>
          </w:tcPr>
          <w:p w14:paraId="640382E7" w14:textId="234D68A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0.55, 0.71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5C1B25A" w14:textId="6BB4922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0.53, 0.69</w:t>
            </w:r>
          </w:p>
        </w:tc>
        <w:tc>
          <w:tcPr>
            <w:tcW w:w="965" w:type="dxa"/>
            <w:vAlign w:val="center"/>
          </w:tcPr>
          <w:p w14:paraId="22E4301E" w14:textId="0958BB7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0.65, 0.79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716A779" w14:textId="2C1B918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0.37, 0.54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B2385C1" w14:textId="38AAB9B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0.86, 0.92</w:t>
            </w:r>
          </w:p>
        </w:tc>
        <w:tc>
          <w:tcPr>
            <w:tcW w:w="963" w:type="dxa"/>
            <w:vAlign w:val="center"/>
          </w:tcPr>
          <w:p w14:paraId="0CCF0AD1" w14:textId="08A37AE0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0.59, 0.74</w:t>
            </w:r>
          </w:p>
        </w:tc>
      </w:tr>
      <w:tr w:rsidR="007F2F1E" w:rsidRPr="00F44F8B" w14:paraId="2CBB8A8A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24F88D98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German (Potsdam)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5CCDFE" w14:textId="02AD8B3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0.14, 0.25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5777F0" w14:textId="56C36EE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0.33, 0.49</w:t>
            </w:r>
          </w:p>
        </w:tc>
        <w:tc>
          <w:tcPr>
            <w:tcW w:w="962" w:type="dxa"/>
            <w:vAlign w:val="center"/>
          </w:tcPr>
          <w:p w14:paraId="2BA13D55" w14:textId="2282D2F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0.41, 0.58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BAA531" w14:textId="0FE5056F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0.48, 0.65</w:t>
            </w:r>
          </w:p>
        </w:tc>
        <w:tc>
          <w:tcPr>
            <w:tcW w:w="965" w:type="dxa"/>
            <w:vAlign w:val="center"/>
          </w:tcPr>
          <w:p w14:paraId="0A60354D" w14:textId="600E3EC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0.38, 0.55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7E97F0D" w14:textId="1D8B2EC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0.24, 0.39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3BBD26A" w14:textId="7F8DB9D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0.67, 0.8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963" w:type="dxa"/>
            <w:vAlign w:val="center"/>
          </w:tcPr>
          <w:p w14:paraId="17840B4B" w14:textId="7B1F667C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0.39, 0.55</w:t>
            </w:r>
          </w:p>
        </w:tc>
      </w:tr>
      <w:tr w:rsidR="007F2F1E" w:rsidRPr="00F44F8B" w14:paraId="0F6E31E6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31BE90B9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German (Zurich)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C2D2B5" w14:textId="7EABAD2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0.36, 0.53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B1A713A" w14:textId="1B1E0EE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  <w:tc>
          <w:tcPr>
            <w:tcW w:w="962" w:type="dxa"/>
            <w:vAlign w:val="center"/>
          </w:tcPr>
          <w:p w14:paraId="30768122" w14:textId="6B2F73A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0.7, 0.82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D44BEA2" w14:textId="1674106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, 0.82</w:t>
            </w:r>
          </w:p>
        </w:tc>
        <w:tc>
          <w:tcPr>
            <w:tcW w:w="965" w:type="dxa"/>
            <w:vAlign w:val="center"/>
          </w:tcPr>
          <w:p w14:paraId="6152190D" w14:textId="7DA51CE5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0.62, 0.76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597FD83" w14:textId="42527E3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0.46, 0.63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2E552BF" w14:textId="71C0FC1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0.84, 0.91</w:t>
            </w:r>
          </w:p>
        </w:tc>
        <w:tc>
          <w:tcPr>
            <w:tcW w:w="963" w:type="dxa"/>
            <w:vAlign w:val="center"/>
          </w:tcPr>
          <w:p w14:paraId="42A44027" w14:textId="1393DEB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</w:tr>
      <w:tr w:rsidR="007F2F1E" w:rsidRPr="00F44F8B" w14:paraId="6EDDC740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117D036C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Hindi (IIITH)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3F908ED" w14:textId="2AD3DCBC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0.42, 0.6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3D8128A" w14:textId="1CC7F25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0.63, 0.77</w:t>
            </w:r>
          </w:p>
        </w:tc>
        <w:tc>
          <w:tcPr>
            <w:tcW w:w="962" w:type="dxa"/>
            <w:vAlign w:val="center"/>
          </w:tcPr>
          <w:p w14:paraId="134BF294" w14:textId="3DA99A00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0.68, 0.81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A5E551" w14:textId="2E85BF0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0.68, 0.81</w:t>
            </w:r>
          </w:p>
        </w:tc>
        <w:tc>
          <w:tcPr>
            <w:tcW w:w="965" w:type="dxa"/>
            <w:vAlign w:val="center"/>
          </w:tcPr>
          <w:p w14:paraId="6E5B2E30" w14:textId="5BFE3EE4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B07D881" w14:textId="43BF986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0.49, 0.66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09AA73" w14:textId="28459C2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0.88, 0.94</w:t>
            </w:r>
          </w:p>
        </w:tc>
        <w:tc>
          <w:tcPr>
            <w:tcW w:w="963" w:type="dxa"/>
            <w:vAlign w:val="center"/>
          </w:tcPr>
          <w:p w14:paraId="08DCD29A" w14:textId="11835E2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0.66, 0.79</w:t>
            </w:r>
          </w:p>
        </w:tc>
      </w:tr>
      <w:tr w:rsidR="007F2F1E" w:rsidRPr="00F44F8B" w14:paraId="3E477B2E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4D31E41A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Hindi (IITK)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088B0C" w14:textId="77BEDE0B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0.48, 0.65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CAF76A" w14:textId="705945D4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0.61, 0.76</w:t>
            </w:r>
          </w:p>
        </w:tc>
        <w:tc>
          <w:tcPr>
            <w:tcW w:w="962" w:type="dxa"/>
            <w:vAlign w:val="center"/>
          </w:tcPr>
          <w:p w14:paraId="1D829638" w14:textId="2BD8BD5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0.67, 0.8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5C9ADCC" w14:textId="34E49F0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0.66, 0.8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14:paraId="151D4194" w14:textId="41B5A30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0.56, 0.72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E6995C5" w14:textId="703B914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0.45, 0.62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A37996" w14:textId="3840BC1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0.87, 0.93</w:t>
            </w:r>
          </w:p>
        </w:tc>
        <w:tc>
          <w:tcPr>
            <w:tcW w:w="963" w:type="dxa"/>
            <w:vAlign w:val="center"/>
          </w:tcPr>
          <w:p w14:paraId="417C5339" w14:textId="267D794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</w:tr>
      <w:tr w:rsidR="007F2F1E" w:rsidRPr="00F44F8B" w14:paraId="6EB2A1A0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574D6D06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Icelandic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5C6CCD" w14:textId="36A2835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0.47, 0.64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C6C45A" w14:textId="139585B0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  <w:tc>
          <w:tcPr>
            <w:tcW w:w="962" w:type="dxa"/>
            <w:vAlign w:val="center"/>
          </w:tcPr>
          <w:p w14:paraId="586755EF" w14:textId="6A3665AF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0.66, 0.8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58963B" w14:textId="43E7E5FB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0.67, 0.8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965" w:type="dxa"/>
            <w:vAlign w:val="center"/>
          </w:tcPr>
          <w:p w14:paraId="54881832" w14:textId="326EAE3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0.63, 0.77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41509F0" w14:textId="5B1F551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0.45, 0.62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62AF283" w14:textId="5C113C8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0.85, 0.92</w:t>
            </w:r>
          </w:p>
        </w:tc>
        <w:tc>
          <w:tcPr>
            <w:tcW w:w="963" w:type="dxa"/>
            <w:vAlign w:val="center"/>
          </w:tcPr>
          <w:p w14:paraId="28A65984" w14:textId="1C4B348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</w:tr>
      <w:tr w:rsidR="007F2F1E" w:rsidRPr="00F44F8B" w14:paraId="62073BD1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55EF5682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Norwegian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9D69BE8" w14:textId="0C2BB93A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0.16, 0.28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27F597" w14:textId="046D9BCC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0.28, 0.44</w:t>
            </w:r>
          </w:p>
        </w:tc>
        <w:tc>
          <w:tcPr>
            <w:tcW w:w="962" w:type="dxa"/>
            <w:vAlign w:val="center"/>
          </w:tcPr>
          <w:p w14:paraId="2D056152" w14:textId="7BFE9DA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0.37, 0.54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2735ADC" w14:textId="71F2E08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0.39, 0.57</w:t>
            </w:r>
          </w:p>
        </w:tc>
        <w:tc>
          <w:tcPr>
            <w:tcW w:w="965" w:type="dxa"/>
            <w:vAlign w:val="center"/>
          </w:tcPr>
          <w:p w14:paraId="5E717C1E" w14:textId="0D9C017F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0.36, 0.53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B36EB4" w14:textId="34F21B0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0.21, 0.34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AAC721" w14:textId="47030C9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0.57, 0.72</w:t>
            </w:r>
          </w:p>
        </w:tc>
        <w:tc>
          <w:tcPr>
            <w:tcW w:w="963" w:type="dxa"/>
            <w:vAlign w:val="center"/>
          </w:tcPr>
          <w:p w14:paraId="4AA631BA" w14:textId="5B0605A5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0.34, 0.5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  <w:tr w:rsidR="007F2F1E" w:rsidRPr="00F44F8B" w14:paraId="63379B0F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4A8E9A51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Russian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BC2E3A6" w14:textId="1113652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0.33, 0.5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A4496B" w14:textId="301C7DAF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0.6, 0.75</w:t>
            </w:r>
          </w:p>
        </w:tc>
        <w:tc>
          <w:tcPr>
            <w:tcW w:w="962" w:type="dxa"/>
            <w:vAlign w:val="center"/>
          </w:tcPr>
          <w:p w14:paraId="5FA18036" w14:textId="500E675C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0.65, 0.79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1C07880" w14:textId="53A00485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0.65, 0.79</w:t>
            </w:r>
          </w:p>
        </w:tc>
        <w:tc>
          <w:tcPr>
            <w:tcW w:w="965" w:type="dxa"/>
            <w:vAlign w:val="center"/>
          </w:tcPr>
          <w:p w14:paraId="5FDB9B04" w14:textId="3CDA42D3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0.56, 0.72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6D6E477" w14:textId="1C4270B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0.42, 0.59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D074DF1" w14:textId="3BEA208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0.83, 0.91</w:t>
            </w:r>
          </w:p>
        </w:tc>
        <w:tc>
          <w:tcPr>
            <w:tcW w:w="963" w:type="dxa"/>
            <w:vAlign w:val="center"/>
          </w:tcPr>
          <w:p w14:paraId="1C4616E8" w14:textId="1FEF8A6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897D16">
              <w:rPr>
                <w:rFonts w:asciiTheme="majorBidi" w:hAnsiTheme="majorBidi" w:cstheme="majorBidi"/>
                <w:sz w:val="16"/>
                <w:szCs w:val="16"/>
              </w:rPr>
              <w:t>, 0.75</w:t>
            </w:r>
          </w:p>
        </w:tc>
      </w:tr>
      <w:tr w:rsidR="007F2F1E" w:rsidRPr="00F44F8B" w14:paraId="3F34C91B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67447FAA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Serbian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E28834" w14:textId="439E633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0.27, 0.43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901EDE" w14:textId="2E5048B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0.51, 0.67</w:t>
            </w:r>
          </w:p>
        </w:tc>
        <w:tc>
          <w:tcPr>
            <w:tcW w:w="962" w:type="dxa"/>
            <w:vAlign w:val="center"/>
          </w:tcPr>
          <w:p w14:paraId="3DFCD44F" w14:textId="590235E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0.58, 0.74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769B43E" w14:textId="44DA92D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0.65, 0.79</w:t>
            </w:r>
          </w:p>
        </w:tc>
        <w:tc>
          <w:tcPr>
            <w:tcW w:w="965" w:type="dxa"/>
            <w:vAlign w:val="center"/>
          </w:tcPr>
          <w:p w14:paraId="1D346453" w14:textId="10403D9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0.6, 0.75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DF987A9" w14:textId="0B878A8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0.38, 0.55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D6517B" w14:textId="69D9E0CA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0.82, 0.9</w:t>
            </w:r>
          </w:p>
        </w:tc>
        <w:tc>
          <w:tcPr>
            <w:tcW w:w="963" w:type="dxa"/>
            <w:vAlign w:val="center"/>
          </w:tcPr>
          <w:p w14:paraId="0100DBE4" w14:textId="6691825E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0.57, 0.72</w:t>
            </w:r>
          </w:p>
        </w:tc>
      </w:tr>
      <w:tr w:rsidR="007F2F1E" w:rsidRPr="00F44F8B" w14:paraId="0388087D" w14:textId="77777777" w:rsidTr="00897D16">
        <w:trPr>
          <w:trHeight w:val="340"/>
          <w:jc w:val="center"/>
        </w:trPr>
        <w:tc>
          <w:tcPr>
            <w:tcW w:w="1587" w:type="dxa"/>
            <w:vAlign w:val="center"/>
          </w:tcPr>
          <w:p w14:paraId="6713EA88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Spanish (Chile)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196423" w14:textId="774339F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0.17, 0.3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234871" w14:textId="6912E50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0.49, 0.66</w:t>
            </w:r>
          </w:p>
        </w:tc>
        <w:tc>
          <w:tcPr>
            <w:tcW w:w="962" w:type="dxa"/>
            <w:vAlign w:val="center"/>
          </w:tcPr>
          <w:p w14:paraId="1B9ED399" w14:textId="14E9684F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0.59, 0.74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285612" w14:textId="5953509A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0.63, 0.77</w:t>
            </w:r>
          </w:p>
        </w:tc>
        <w:tc>
          <w:tcPr>
            <w:tcW w:w="965" w:type="dxa"/>
            <w:vAlign w:val="center"/>
          </w:tcPr>
          <w:p w14:paraId="217AC0F0" w14:textId="6C47FCBC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0.54, 0.7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D488D34" w14:textId="20B79B8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0.39, 0.57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5DF1CF" w14:textId="3ED56A39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0.77, 0.87</w:t>
            </w:r>
          </w:p>
        </w:tc>
        <w:tc>
          <w:tcPr>
            <w:tcW w:w="963" w:type="dxa"/>
            <w:vAlign w:val="center"/>
          </w:tcPr>
          <w:p w14:paraId="26127E06" w14:textId="1C58D5B1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0.53, 0.69</w:t>
            </w:r>
          </w:p>
        </w:tc>
      </w:tr>
      <w:tr w:rsidR="007F2F1E" w:rsidRPr="00F44F8B" w14:paraId="4B9D743A" w14:textId="77777777" w:rsidTr="00897D16">
        <w:trPr>
          <w:trHeight w:val="34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4BA5876" w14:textId="77777777" w:rsidR="007F2F1E" w:rsidRPr="00F44F8B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4F8B">
              <w:rPr>
                <w:rFonts w:asciiTheme="majorBidi" w:hAnsiTheme="majorBidi" w:cstheme="majorBidi"/>
                <w:sz w:val="16"/>
                <w:szCs w:val="16"/>
              </w:rPr>
              <w:t>Turkish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0716C" w14:textId="170A97A2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0.2, 0.34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0BCE" w14:textId="0C67DB66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0.38, 0.55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580DDA4A" w14:textId="07589EB7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0.38, 0.55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C3DD9" w14:textId="6DCD90F8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0.34, 0.51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75D7611" w14:textId="023F66AB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0.34, 0.51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7218D" w14:textId="5552693D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0.19, 0.32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DA9E" w14:textId="559C2F10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0.64, 0.78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8B5A24F" w14:textId="63C66ADA" w:rsidR="007F2F1E" w:rsidRPr="007F2F1E" w:rsidRDefault="007F2F1E" w:rsidP="007F2F1E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97D16">
              <w:rPr>
                <w:rFonts w:asciiTheme="majorBidi" w:hAnsiTheme="majorBidi" w:cstheme="majorBidi"/>
                <w:sz w:val="16"/>
                <w:szCs w:val="16"/>
              </w:rPr>
              <w:t>0.36, 0.53</w:t>
            </w:r>
          </w:p>
        </w:tc>
      </w:tr>
    </w:tbl>
    <w:p w14:paraId="66CBC60D" w14:textId="189CF960" w:rsidR="00313266" w:rsidRPr="001250B3" w:rsidRDefault="00313266" w:rsidP="00D167E9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1250B3">
        <w:rPr>
          <w:rFonts w:asciiTheme="majorBidi" w:hAnsiTheme="majorBidi" w:cstheme="majorBidi"/>
          <w:sz w:val="20"/>
          <w:szCs w:val="20"/>
        </w:rPr>
        <w:t xml:space="preserve">Notes: </w:t>
      </w:r>
      <w:proofErr w:type="spellStart"/>
      <w:r w:rsidRPr="001250B3">
        <w:rPr>
          <w:rFonts w:asciiTheme="majorBidi" w:hAnsiTheme="majorBidi" w:cstheme="majorBidi"/>
          <w:sz w:val="20"/>
          <w:szCs w:val="20"/>
        </w:rPr>
        <w:t>firstfix.dur</w:t>
      </w:r>
      <w:proofErr w:type="spellEnd"/>
      <w:r w:rsidRPr="001250B3">
        <w:rPr>
          <w:rFonts w:asciiTheme="majorBidi" w:hAnsiTheme="majorBidi" w:cstheme="majorBidi"/>
          <w:sz w:val="20"/>
          <w:szCs w:val="20"/>
        </w:rPr>
        <w:t xml:space="preserve">: first fixation duration; </w:t>
      </w:r>
      <w:proofErr w:type="spellStart"/>
      <w:r w:rsidRPr="001250B3">
        <w:rPr>
          <w:rFonts w:asciiTheme="majorBidi" w:hAnsiTheme="majorBidi" w:cstheme="majorBidi"/>
          <w:sz w:val="20"/>
          <w:szCs w:val="20"/>
        </w:rPr>
        <w:t>firstrun.</w:t>
      </w:r>
      <w:r w:rsidR="00CB6D12">
        <w:rPr>
          <w:rFonts w:asciiTheme="majorBidi" w:hAnsiTheme="majorBidi" w:cstheme="majorBidi"/>
          <w:sz w:val="20"/>
          <w:szCs w:val="20"/>
        </w:rPr>
        <w:t>dur</w:t>
      </w:r>
      <w:proofErr w:type="spellEnd"/>
      <w:r w:rsidRPr="001250B3">
        <w:rPr>
          <w:rFonts w:asciiTheme="majorBidi" w:hAnsiTheme="majorBidi" w:cstheme="majorBidi"/>
          <w:sz w:val="20"/>
          <w:szCs w:val="20"/>
        </w:rPr>
        <w:t xml:space="preserve">: gaze duration; dur: total fixation time; </w:t>
      </w:r>
      <w:proofErr w:type="spellStart"/>
      <w:r w:rsidRPr="001250B3">
        <w:rPr>
          <w:rFonts w:asciiTheme="majorBidi" w:hAnsiTheme="majorBidi" w:cstheme="majorBidi"/>
          <w:sz w:val="20"/>
          <w:szCs w:val="20"/>
        </w:rPr>
        <w:t>nfix</w:t>
      </w:r>
      <w:proofErr w:type="spellEnd"/>
      <w:r w:rsidRPr="001250B3">
        <w:rPr>
          <w:rFonts w:asciiTheme="majorBidi" w:hAnsiTheme="majorBidi" w:cstheme="majorBidi"/>
          <w:sz w:val="20"/>
          <w:szCs w:val="20"/>
        </w:rPr>
        <w:t xml:space="preserve">: number of fixations; reg.in: regression rate; reread: likelihood of second pass; skip: skipping rate; mean r: mean reliability across eye-tracking measures. </w:t>
      </w:r>
    </w:p>
    <w:p w14:paraId="3279C042" w14:textId="77777777" w:rsidR="00313266" w:rsidRPr="001250B3" w:rsidRDefault="00313266" w:rsidP="00D167E9">
      <w:pPr>
        <w:spacing w:after="0"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1250B3">
        <w:rPr>
          <w:rFonts w:asciiTheme="majorBidi" w:hAnsiTheme="majorBidi" w:cstheme="majorBidi"/>
          <w:sz w:val="18"/>
          <w:szCs w:val="18"/>
          <w:vertAlign w:val="superscript"/>
        </w:rPr>
        <w:t xml:space="preserve">a </w:t>
      </w:r>
      <w:proofErr w:type="gramStart"/>
      <w:r w:rsidRPr="001250B3">
        <w:rPr>
          <w:rFonts w:asciiTheme="majorBidi" w:hAnsiTheme="majorBidi" w:cstheme="majorBidi"/>
          <w:sz w:val="18"/>
          <w:szCs w:val="18"/>
        </w:rPr>
        <w:t>Mean correlations</w:t>
      </w:r>
      <w:proofErr w:type="gramEnd"/>
      <w:r w:rsidRPr="001250B3">
        <w:rPr>
          <w:rFonts w:asciiTheme="majorBidi" w:hAnsiTheme="majorBidi" w:cstheme="majorBidi"/>
          <w:sz w:val="18"/>
          <w:szCs w:val="18"/>
        </w:rPr>
        <w:t xml:space="preserve"> are based on mean </w:t>
      </w:r>
      <w:r w:rsidRPr="001250B3">
        <w:rPr>
          <w:rFonts w:asciiTheme="majorBidi" w:hAnsiTheme="majorBidi" w:cstheme="majorBidi"/>
          <w:i/>
          <w:iCs/>
          <w:sz w:val="18"/>
          <w:szCs w:val="18"/>
        </w:rPr>
        <w:t>z</w:t>
      </w:r>
      <w:r w:rsidRPr="001250B3">
        <w:rPr>
          <w:rFonts w:asciiTheme="majorBidi" w:hAnsiTheme="majorBidi" w:cstheme="majorBidi"/>
          <w:sz w:val="18"/>
          <w:szCs w:val="18"/>
        </w:rPr>
        <w:t xml:space="preserve"> values after Fisher r-to-z transformation, which were then transformed back to </w:t>
      </w:r>
      <w:r w:rsidRPr="001250B3">
        <w:rPr>
          <w:rFonts w:asciiTheme="majorBidi" w:hAnsiTheme="majorBidi" w:cstheme="majorBidi"/>
          <w:i/>
          <w:iCs/>
          <w:sz w:val="18"/>
          <w:szCs w:val="18"/>
        </w:rPr>
        <w:t xml:space="preserve">r </w:t>
      </w:r>
      <w:r w:rsidRPr="001250B3">
        <w:rPr>
          <w:rFonts w:asciiTheme="majorBidi" w:hAnsiTheme="majorBidi" w:cstheme="majorBidi"/>
          <w:sz w:val="18"/>
          <w:szCs w:val="18"/>
        </w:rPr>
        <w:t xml:space="preserve">values using an inverse transformation. </w:t>
      </w:r>
    </w:p>
    <w:p w14:paraId="03D16E29" w14:textId="77777777" w:rsidR="00313266" w:rsidRPr="001250B3" w:rsidRDefault="00313266" w:rsidP="00D167E9">
      <w:pPr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FAD4D6F" w14:textId="5B8FFD49" w:rsidR="00313266" w:rsidRPr="001250B3" w:rsidRDefault="00313266" w:rsidP="00D167E9">
      <w:pPr>
        <w:spacing w:after="0" w:line="480" w:lineRule="auto"/>
        <w:rPr>
          <w:rFonts w:asciiTheme="majorBidi" w:hAnsiTheme="majorBidi" w:cstheme="majorBidi"/>
        </w:rPr>
      </w:pPr>
    </w:p>
    <w:p w14:paraId="0F5108BC" w14:textId="77777777" w:rsidR="00D167E9" w:rsidRDefault="00D167E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216DB40" w14:textId="1BEAA1DB" w:rsidR="00190AA3" w:rsidRPr="001250B3" w:rsidRDefault="00190AA3" w:rsidP="00D167E9">
      <w:pPr>
        <w:spacing w:after="0" w:line="480" w:lineRule="auto"/>
        <w:rPr>
          <w:rFonts w:asciiTheme="majorBidi" w:hAnsiTheme="majorBidi" w:cstheme="majorBidi"/>
        </w:rPr>
      </w:pPr>
      <w:r w:rsidRPr="00271DFE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B133B2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775F5" w:rsidRPr="00F408C6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775F5" w:rsidRPr="00271D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71DFE">
        <w:rPr>
          <w:rFonts w:asciiTheme="majorBidi" w:hAnsiTheme="majorBidi" w:cstheme="majorBidi"/>
          <w:b/>
          <w:bCs/>
          <w:sz w:val="24"/>
          <w:szCs w:val="24"/>
        </w:rPr>
        <w:t xml:space="preserve">Reliability of </w:t>
      </w:r>
      <w:r w:rsidR="00873A48" w:rsidRPr="00F408C6">
        <w:rPr>
          <w:rFonts w:asciiTheme="majorBidi" w:hAnsiTheme="majorBidi" w:cstheme="majorBidi"/>
          <w:b/>
          <w:bCs/>
          <w:sz w:val="24"/>
          <w:szCs w:val="24"/>
        </w:rPr>
        <w:t>other tests of</w:t>
      </w:r>
      <w:r w:rsidR="000775F5" w:rsidRPr="00271DFE">
        <w:rPr>
          <w:rFonts w:asciiTheme="majorBidi" w:hAnsiTheme="majorBidi" w:cstheme="majorBidi"/>
          <w:b/>
          <w:bCs/>
          <w:sz w:val="24"/>
          <w:szCs w:val="24"/>
        </w:rPr>
        <w:t xml:space="preserve"> individual differences</w:t>
      </w:r>
      <w:r w:rsidRPr="00F408C6">
        <w:rPr>
          <w:rFonts w:asciiTheme="majorBidi" w:hAnsiTheme="majorBidi" w:cstheme="majorBidi"/>
          <w:sz w:val="24"/>
          <w:szCs w:val="24"/>
        </w:rPr>
        <w:t>.</w:t>
      </w:r>
      <w:r w:rsidR="000775F5" w:rsidRPr="00F408C6">
        <w:rPr>
          <w:rFonts w:asciiTheme="majorBidi" w:hAnsiTheme="majorBidi" w:cstheme="majorBidi"/>
          <w:sz w:val="24"/>
          <w:szCs w:val="24"/>
        </w:rPr>
        <w:t xml:space="preserve"> The table below reports reliability estimates for measures </w:t>
      </w:r>
      <w:r w:rsidR="00873A48" w:rsidRPr="00F408C6">
        <w:rPr>
          <w:rFonts w:asciiTheme="majorBidi" w:hAnsiTheme="majorBidi" w:cstheme="majorBidi"/>
          <w:sz w:val="24"/>
          <w:szCs w:val="24"/>
        </w:rPr>
        <w:t xml:space="preserve">from the battery of individual-differences tests in MECO L2 as well as for comprehension accuracy in the eye-tracking L2 reading task. </w:t>
      </w:r>
      <w:r w:rsidR="00F408C6" w:rsidRPr="00F408C6">
        <w:rPr>
          <w:rFonts w:asciiTheme="majorBidi" w:hAnsiTheme="majorBidi" w:cstheme="majorBidi"/>
          <w:sz w:val="24"/>
          <w:szCs w:val="24"/>
        </w:rPr>
        <w:t xml:space="preserve">For comprehension, </w:t>
      </w:r>
      <w:proofErr w:type="gramStart"/>
      <w:r w:rsidR="00F408C6" w:rsidRPr="00F408C6">
        <w:rPr>
          <w:rFonts w:asciiTheme="majorBidi" w:hAnsiTheme="majorBidi" w:cstheme="majorBidi"/>
          <w:sz w:val="24"/>
          <w:szCs w:val="24"/>
        </w:rPr>
        <w:t>spelling</w:t>
      </w:r>
      <w:proofErr w:type="gramEnd"/>
      <w:r w:rsidR="00F408C6" w:rsidRPr="00F408C6">
        <w:rPr>
          <w:rFonts w:asciiTheme="majorBidi" w:hAnsiTheme="majorBidi" w:cstheme="majorBidi"/>
          <w:sz w:val="24"/>
          <w:szCs w:val="24"/>
        </w:rPr>
        <w:t xml:space="preserve"> and motivation we calculated both split-half reliability and Cronbach's alpha. Only split-half reliability was calculated for the vocabulary task because of the task's adaptive nature (i.e., because different participants had data from different trials in this task as a function of when the stopping rule was applied).</w:t>
      </w:r>
      <w:r w:rsidR="00F408C6">
        <w:rPr>
          <w:rFonts w:asciiTheme="majorBidi" w:hAnsiTheme="majorBidi" w:cstheme="majorBidi"/>
          <w:sz w:val="24"/>
          <w:szCs w:val="24"/>
        </w:rPr>
        <w:t xml:space="preserve"> For the vocabulary task we provide reliability estimates for scores calculated according to performance in the full task, as well as for scores based on responses in 'thousands' 2-5</w:t>
      </w:r>
      <w:r w:rsidR="005C2B6F">
        <w:rPr>
          <w:rFonts w:asciiTheme="majorBidi" w:hAnsiTheme="majorBidi" w:cstheme="majorBidi"/>
          <w:sz w:val="24"/>
          <w:szCs w:val="24"/>
        </w:rPr>
        <w:t xml:space="preserve"> (see Kuperman et al., 2023, for details)</w:t>
      </w:r>
      <w:r w:rsidR="00F408C6">
        <w:rPr>
          <w:rFonts w:asciiTheme="majorBidi" w:hAnsiTheme="majorBidi" w:cstheme="majorBidi"/>
          <w:sz w:val="24"/>
          <w:szCs w:val="24"/>
        </w:rPr>
        <w:t xml:space="preserve">. </w:t>
      </w:r>
      <w:r w:rsidR="00F408C6" w:rsidRPr="00F408C6">
        <w:rPr>
          <w:rFonts w:asciiTheme="majorBidi" w:hAnsiTheme="majorBidi" w:cstheme="majorBidi"/>
          <w:sz w:val="24"/>
          <w:szCs w:val="24"/>
        </w:rPr>
        <w:t>For split</w:t>
      </w:r>
      <w:r w:rsidR="005C2B6F">
        <w:rPr>
          <w:rFonts w:asciiTheme="majorBidi" w:hAnsiTheme="majorBidi" w:cstheme="majorBidi"/>
          <w:sz w:val="24"/>
          <w:szCs w:val="24"/>
        </w:rPr>
        <w:t>-</w:t>
      </w:r>
      <w:r w:rsidR="00F408C6" w:rsidRPr="00F408C6">
        <w:rPr>
          <w:rFonts w:asciiTheme="majorBidi" w:hAnsiTheme="majorBidi" w:cstheme="majorBidi"/>
          <w:sz w:val="24"/>
          <w:szCs w:val="24"/>
        </w:rPr>
        <w:t>half reliability, uncorrected and corrected values appear before and after the comma, respectively.</w:t>
      </w:r>
      <w:r w:rsidR="00873A48">
        <w:rPr>
          <w:rFonts w:asciiTheme="majorBidi" w:hAnsiTheme="majorBidi" w:cstheme="majorBidi"/>
          <w:b/>
          <w:bCs/>
        </w:rPr>
        <w:t xml:space="preserve"> </w:t>
      </w:r>
      <w:r w:rsidR="005C2B6F">
        <w:rPr>
          <w:rFonts w:asciiTheme="majorBidi" w:hAnsiTheme="majorBidi" w:cstheme="majorBidi"/>
        </w:rPr>
        <w:t xml:space="preserve">As </w:t>
      </w:r>
      <w:proofErr w:type="gramStart"/>
      <w:r w:rsidR="005C2B6F">
        <w:rPr>
          <w:rFonts w:asciiTheme="majorBidi" w:hAnsiTheme="majorBidi" w:cstheme="majorBidi"/>
        </w:rPr>
        <w:t>expected</w:t>
      </w:r>
      <w:proofErr w:type="gramEnd"/>
      <w:r w:rsidR="005C2B6F">
        <w:rPr>
          <w:rFonts w:asciiTheme="majorBidi" w:hAnsiTheme="majorBidi" w:cstheme="majorBidi"/>
        </w:rPr>
        <w:t xml:space="preserve"> given the use of identical tests and the large and </w:t>
      </w:r>
      <w:r w:rsidR="00A641F3">
        <w:rPr>
          <w:rFonts w:asciiTheme="majorBidi" w:hAnsiTheme="majorBidi" w:cstheme="majorBidi"/>
        </w:rPr>
        <w:t>generally similar</w:t>
      </w:r>
      <w:r w:rsidR="005C2B6F">
        <w:rPr>
          <w:rFonts w:asciiTheme="majorBidi" w:hAnsiTheme="majorBidi" w:cstheme="majorBidi"/>
        </w:rPr>
        <w:t xml:space="preserve"> samples, reliability estimates were </w:t>
      </w:r>
      <w:r w:rsidR="00A641F3">
        <w:rPr>
          <w:rFonts w:asciiTheme="majorBidi" w:hAnsiTheme="majorBidi" w:cstheme="majorBidi"/>
        </w:rPr>
        <w:t xml:space="preserve">comparable </w:t>
      </w:r>
      <w:r w:rsidR="005C2B6F">
        <w:rPr>
          <w:rFonts w:asciiTheme="majorBidi" w:hAnsiTheme="majorBidi" w:cstheme="majorBidi"/>
        </w:rPr>
        <w:t>to those reported in Kuperman et al., (2023)</w:t>
      </w:r>
      <w:r w:rsidR="00E62245">
        <w:rPr>
          <w:rFonts w:asciiTheme="majorBidi" w:hAnsiTheme="majorBidi" w:cstheme="majorBidi"/>
        </w:rPr>
        <w:t>, with</w:t>
      </w:r>
      <w:r w:rsidR="005C2B6F">
        <w:rPr>
          <w:rFonts w:asciiTheme="majorBidi" w:hAnsiTheme="majorBidi" w:cstheme="majorBidi"/>
        </w:rPr>
        <w:t xml:space="preserve"> all values within +-0.</w:t>
      </w:r>
      <w:r w:rsidR="00E62245">
        <w:rPr>
          <w:rFonts w:asciiTheme="majorBidi" w:hAnsiTheme="majorBidi" w:cstheme="majorBidi"/>
        </w:rPr>
        <w:t>1</w:t>
      </w:r>
      <w:r w:rsidR="005C2B6F">
        <w:rPr>
          <w:rFonts w:asciiTheme="majorBidi" w:hAnsiTheme="majorBidi" w:cstheme="majorBidi"/>
        </w:rPr>
        <w:t xml:space="preserve"> in terms of (corrected) reliability estimates. 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A641F3" w:rsidRPr="001250B3" w14:paraId="7A7B1DAB" w14:textId="77777777" w:rsidTr="00A641F3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5E304" w14:textId="77777777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Measure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9DE43" w14:textId="3EB48829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Split half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6189" w14:textId="2ED8646A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Cronbach's Alpha</w:t>
            </w:r>
          </w:p>
        </w:tc>
      </w:tr>
      <w:tr w:rsidR="00A641F3" w:rsidRPr="001250B3" w14:paraId="61C2422F" w14:textId="77777777" w:rsidTr="00A641F3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2E33BD" w14:textId="77777777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Spelling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080A19" w14:textId="1AD0FCCB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0.7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025D33" w14:textId="346208B2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</w:t>
            </w:r>
            <w:r w:rsidR="00D92DA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A641F3" w:rsidRPr="001250B3" w14:paraId="28A972B5" w14:textId="77777777" w:rsidTr="00A641F3">
        <w:trPr>
          <w:trHeight w:val="454"/>
          <w:jc w:val="center"/>
        </w:trPr>
        <w:tc>
          <w:tcPr>
            <w:tcW w:w="1701" w:type="dxa"/>
            <w:vAlign w:val="center"/>
          </w:tcPr>
          <w:p w14:paraId="74720127" w14:textId="0476602D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Vocabulary: all word groups</w:t>
            </w:r>
          </w:p>
        </w:tc>
        <w:tc>
          <w:tcPr>
            <w:tcW w:w="1701" w:type="dxa"/>
            <w:vAlign w:val="center"/>
          </w:tcPr>
          <w:p w14:paraId="0186F2B9" w14:textId="3689F2D3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</w:t>
            </w:r>
            <w:r w:rsidR="006D660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0.6</w:t>
            </w:r>
            <w:r w:rsidR="006D660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4D3CEADC" w14:textId="785BBDBD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N/A</w:t>
            </w:r>
          </w:p>
        </w:tc>
      </w:tr>
      <w:tr w:rsidR="00A641F3" w:rsidRPr="001250B3" w14:paraId="4173A171" w14:textId="77777777" w:rsidTr="00A641F3">
        <w:trPr>
          <w:trHeight w:val="454"/>
          <w:jc w:val="center"/>
        </w:trPr>
        <w:tc>
          <w:tcPr>
            <w:tcW w:w="1701" w:type="dxa"/>
            <w:vAlign w:val="center"/>
          </w:tcPr>
          <w:p w14:paraId="07A25343" w14:textId="5D9F247C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Vocabulary: word groups 2-5</w:t>
            </w:r>
          </w:p>
        </w:tc>
        <w:tc>
          <w:tcPr>
            <w:tcW w:w="1701" w:type="dxa"/>
            <w:vAlign w:val="center"/>
          </w:tcPr>
          <w:p w14:paraId="5BB2BB47" w14:textId="329508C7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0.74</w:t>
            </w:r>
          </w:p>
        </w:tc>
        <w:tc>
          <w:tcPr>
            <w:tcW w:w="1701" w:type="dxa"/>
            <w:vAlign w:val="center"/>
          </w:tcPr>
          <w:p w14:paraId="7A3CDF16" w14:textId="5A968BE4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N/A</w:t>
            </w:r>
          </w:p>
        </w:tc>
      </w:tr>
      <w:tr w:rsidR="00A641F3" w:rsidRPr="001250B3" w14:paraId="57C97728" w14:textId="77777777" w:rsidTr="00A641F3">
        <w:trPr>
          <w:trHeight w:val="454"/>
          <w:jc w:val="center"/>
        </w:trPr>
        <w:tc>
          <w:tcPr>
            <w:tcW w:w="1701" w:type="dxa"/>
            <w:vAlign w:val="center"/>
          </w:tcPr>
          <w:p w14:paraId="50563A12" w14:textId="77777777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Motivation</w:t>
            </w:r>
          </w:p>
        </w:tc>
        <w:tc>
          <w:tcPr>
            <w:tcW w:w="1701" w:type="dxa"/>
            <w:vAlign w:val="center"/>
          </w:tcPr>
          <w:p w14:paraId="6B91B71A" w14:textId="6618CBF5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0.6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283FD11F" w14:textId="492FB350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</w:t>
            </w:r>
            <w:r w:rsidR="006D660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A641F3" w:rsidRPr="001250B3" w14:paraId="3E9FC0FE" w14:textId="77777777" w:rsidTr="00A641F3">
        <w:trPr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D0C2D" w14:textId="77777777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sz w:val="20"/>
                <w:szCs w:val="20"/>
              </w:rPr>
              <w:t>Comprehension accuracy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E23F10" w14:textId="2D2068CA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="00C70CD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0.</w:t>
            </w:r>
            <w:r w:rsidR="00C70CD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7DC35B" w14:textId="34CFFD87" w:rsidR="00A641F3" w:rsidRPr="001250B3" w:rsidRDefault="00A641F3" w:rsidP="005C2B6F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250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</w:t>
            </w:r>
            <w:r w:rsidR="00C70CD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</w:t>
            </w:r>
          </w:p>
        </w:tc>
      </w:tr>
    </w:tbl>
    <w:p w14:paraId="3DF4AFD6" w14:textId="3F576E5C" w:rsidR="00190AA3" w:rsidRDefault="00190AA3" w:rsidP="00D167E9">
      <w:pPr>
        <w:spacing w:after="0" w:line="480" w:lineRule="auto"/>
        <w:rPr>
          <w:rFonts w:asciiTheme="majorBidi" w:hAnsiTheme="majorBidi" w:cstheme="majorBidi"/>
        </w:rPr>
      </w:pPr>
    </w:p>
    <w:p w14:paraId="183186E8" w14:textId="3F1130B2" w:rsidR="00487578" w:rsidRDefault="00487578" w:rsidP="00D167E9">
      <w:pPr>
        <w:spacing w:after="0" w:line="480" w:lineRule="auto"/>
        <w:rPr>
          <w:rFonts w:asciiTheme="majorBidi" w:hAnsiTheme="majorBidi" w:cstheme="majorBidi"/>
        </w:rPr>
      </w:pPr>
    </w:p>
    <w:p w14:paraId="11860245" w14:textId="5D11D03B" w:rsidR="00487578" w:rsidRDefault="00487578" w:rsidP="00D167E9">
      <w:pPr>
        <w:spacing w:after="0" w:line="480" w:lineRule="auto"/>
        <w:rPr>
          <w:rFonts w:asciiTheme="majorBidi" w:hAnsiTheme="majorBidi" w:cstheme="majorBidi"/>
        </w:rPr>
      </w:pPr>
    </w:p>
    <w:p w14:paraId="72CF1162" w14:textId="684C39D5" w:rsidR="00487578" w:rsidRPr="00310F48" w:rsidRDefault="00487578" w:rsidP="00310F48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487578" w:rsidRPr="00310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82"/>
    <w:rsid w:val="00030B71"/>
    <w:rsid w:val="00051938"/>
    <w:rsid w:val="00052087"/>
    <w:rsid w:val="00052D1A"/>
    <w:rsid w:val="00077035"/>
    <w:rsid w:val="000775F5"/>
    <w:rsid w:val="000847CF"/>
    <w:rsid w:val="000866B5"/>
    <w:rsid w:val="00093BD1"/>
    <w:rsid w:val="000C0DF1"/>
    <w:rsid w:val="000C108E"/>
    <w:rsid w:val="000E0EA1"/>
    <w:rsid w:val="000F2429"/>
    <w:rsid w:val="00111E29"/>
    <w:rsid w:val="001250B3"/>
    <w:rsid w:val="001272BF"/>
    <w:rsid w:val="00133AEB"/>
    <w:rsid w:val="00154D39"/>
    <w:rsid w:val="0016071F"/>
    <w:rsid w:val="001724E2"/>
    <w:rsid w:val="00180707"/>
    <w:rsid w:val="001856EC"/>
    <w:rsid w:val="001908C7"/>
    <w:rsid w:val="00190AA3"/>
    <w:rsid w:val="001A1BB2"/>
    <w:rsid w:val="001B42E4"/>
    <w:rsid w:val="001B5777"/>
    <w:rsid w:val="001D29C4"/>
    <w:rsid w:val="00220D30"/>
    <w:rsid w:val="00271DFE"/>
    <w:rsid w:val="00286632"/>
    <w:rsid w:val="002A378D"/>
    <w:rsid w:val="002D14EE"/>
    <w:rsid w:val="002E5FBB"/>
    <w:rsid w:val="002F0F37"/>
    <w:rsid w:val="00310F48"/>
    <w:rsid w:val="00313266"/>
    <w:rsid w:val="003219B6"/>
    <w:rsid w:val="0032423E"/>
    <w:rsid w:val="00331D20"/>
    <w:rsid w:val="00375141"/>
    <w:rsid w:val="00386727"/>
    <w:rsid w:val="003A1848"/>
    <w:rsid w:val="003D5C9A"/>
    <w:rsid w:val="003F59CF"/>
    <w:rsid w:val="00406BCF"/>
    <w:rsid w:val="004076E3"/>
    <w:rsid w:val="00415347"/>
    <w:rsid w:val="00430697"/>
    <w:rsid w:val="004346DD"/>
    <w:rsid w:val="00467C34"/>
    <w:rsid w:val="00484A52"/>
    <w:rsid w:val="00487578"/>
    <w:rsid w:val="004B07A7"/>
    <w:rsid w:val="004B6A8A"/>
    <w:rsid w:val="00502289"/>
    <w:rsid w:val="0052660D"/>
    <w:rsid w:val="0054204B"/>
    <w:rsid w:val="00545862"/>
    <w:rsid w:val="00547380"/>
    <w:rsid w:val="00547F83"/>
    <w:rsid w:val="005528EA"/>
    <w:rsid w:val="005556ED"/>
    <w:rsid w:val="0057298A"/>
    <w:rsid w:val="005C2B6F"/>
    <w:rsid w:val="00617CDD"/>
    <w:rsid w:val="00624F52"/>
    <w:rsid w:val="00636773"/>
    <w:rsid w:val="0066478B"/>
    <w:rsid w:val="00665CC9"/>
    <w:rsid w:val="00684526"/>
    <w:rsid w:val="006B211A"/>
    <w:rsid w:val="006C125B"/>
    <w:rsid w:val="006D1553"/>
    <w:rsid w:val="006D660B"/>
    <w:rsid w:val="006E0519"/>
    <w:rsid w:val="006E0A82"/>
    <w:rsid w:val="006E6FD3"/>
    <w:rsid w:val="00700EF7"/>
    <w:rsid w:val="00717756"/>
    <w:rsid w:val="007542AC"/>
    <w:rsid w:val="007550B8"/>
    <w:rsid w:val="0078191E"/>
    <w:rsid w:val="007C5AA7"/>
    <w:rsid w:val="007D2AC5"/>
    <w:rsid w:val="007D453A"/>
    <w:rsid w:val="007F2F1E"/>
    <w:rsid w:val="008261D5"/>
    <w:rsid w:val="00853139"/>
    <w:rsid w:val="00873A48"/>
    <w:rsid w:val="00897D16"/>
    <w:rsid w:val="008A117B"/>
    <w:rsid w:val="008A28CE"/>
    <w:rsid w:val="008A3CE6"/>
    <w:rsid w:val="008A6F45"/>
    <w:rsid w:val="008B3648"/>
    <w:rsid w:val="008D03D0"/>
    <w:rsid w:val="008D5F61"/>
    <w:rsid w:val="008E32B2"/>
    <w:rsid w:val="008E4491"/>
    <w:rsid w:val="008F0F8F"/>
    <w:rsid w:val="00914CB5"/>
    <w:rsid w:val="009325A6"/>
    <w:rsid w:val="009524D8"/>
    <w:rsid w:val="009547E8"/>
    <w:rsid w:val="00983349"/>
    <w:rsid w:val="00983734"/>
    <w:rsid w:val="009A5018"/>
    <w:rsid w:val="009A6BCC"/>
    <w:rsid w:val="009D2B59"/>
    <w:rsid w:val="00A11615"/>
    <w:rsid w:val="00A35F06"/>
    <w:rsid w:val="00A641F3"/>
    <w:rsid w:val="00A87BBC"/>
    <w:rsid w:val="00A90749"/>
    <w:rsid w:val="00AC3A79"/>
    <w:rsid w:val="00AE0EF5"/>
    <w:rsid w:val="00B133B2"/>
    <w:rsid w:val="00B1350D"/>
    <w:rsid w:val="00B13D23"/>
    <w:rsid w:val="00B20FE2"/>
    <w:rsid w:val="00B269CB"/>
    <w:rsid w:val="00B553B1"/>
    <w:rsid w:val="00B901B2"/>
    <w:rsid w:val="00BA28C2"/>
    <w:rsid w:val="00BA2C0F"/>
    <w:rsid w:val="00BA5A14"/>
    <w:rsid w:val="00BD6E2F"/>
    <w:rsid w:val="00C17711"/>
    <w:rsid w:val="00C17C4C"/>
    <w:rsid w:val="00C226A0"/>
    <w:rsid w:val="00C44E51"/>
    <w:rsid w:val="00C50FD2"/>
    <w:rsid w:val="00C667AA"/>
    <w:rsid w:val="00C70CD6"/>
    <w:rsid w:val="00C84E2C"/>
    <w:rsid w:val="00CB6D12"/>
    <w:rsid w:val="00CD2B3B"/>
    <w:rsid w:val="00D02254"/>
    <w:rsid w:val="00D167E9"/>
    <w:rsid w:val="00D65B83"/>
    <w:rsid w:val="00D92DA9"/>
    <w:rsid w:val="00DB0A39"/>
    <w:rsid w:val="00DC0955"/>
    <w:rsid w:val="00DE0E44"/>
    <w:rsid w:val="00DF471C"/>
    <w:rsid w:val="00E033F2"/>
    <w:rsid w:val="00E10F8C"/>
    <w:rsid w:val="00E42F2D"/>
    <w:rsid w:val="00E62245"/>
    <w:rsid w:val="00F25429"/>
    <w:rsid w:val="00F31A16"/>
    <w:rsid w:val="00F408C6"/>
    <w:rsid w:val="00F44F8B"/>
    <w:rsid w:val="00F766C3"/>
    <w:rsid w:val="00F8538A"/>
    <w:rsid w:val="00F904F4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B385"/>
  <w15:chartTrackingRefBased/>
  <w15:docId w15:val="{DAC35EC6-83F0-420B-9FF6-26AF77A7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4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6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3349"/>
    <w:pPr>
      <w:spacing w:after="0" w:line="240" w:lineRule="auto"/>
    </w:pPr>
  </w:style>
  <w:style w:type="table" w:styleId="TableGrid">
    <w:name w:val="Table Grid"/>
    <w:basedOn w:val="TableNormal"/>
    <w:uiPriority w:val="39"/>
    <w:rsid w:val="006D1553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1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Kuperman</dc:creator>
  <cp:keywords/>
  <dc:description/>
  <cp:lastModifiedBy>Noam Siegelman</cp:lastModifiedBy>
  <cp:revision>11</cp:revision>
  <dcterms:created xsi:type="dcterms:W3CDTF">2024-04-10T14:20:00Z</dcterms:created>
  <dcterms:modified xsi:type="dcterms:W3CDTF">2024-05-06T11:47:00Z</dcterms:modified>
</cp:coreProperties>
</file>