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73C18" w14:textId="77777777" w:rsidR="00237C77" w:rsidRDefault="00237C77" w:rsidP="00237C77">
      <w:r>
        <w:t>Supplement 3 – Species-level description of ecological data in relation to isotopic profiles. In this document we describe the diets and foraging behaviours of various species included in this study. We directly relate isotopic values of tissues from the periods of capture to the seasons in their local environments.</w:t>
      </w:r>
    </w:p>
    <w:p w14:paraId="5179DA44" w14:textId="77777777" w:rsidR="00237C77" w:rsidRDefault="00237C77" w:rsidP="009C48B5">
      <w:pPr>
        <w:spacing w:line="480" w:lineRule="auto"/>
        <w:ind w:firstLine="720"/>
      </w:pPr>
    </w:p>
    <w:p w14:paraId="577DB255" w14:textId="38780E7D" w:rsidR="00237C77" w:rsidRPr="00237C77" w:rsidRDefault="00237C77" w:rsidP="00237C77">
      <w:pPr>
        <w:spacing w:line="480" w:lineRule="auto"/>
      </w:pPr>
      <w:r>
        <w:t>Wide-ranging frugivore,</w:t>
      </w:r>
      <w:r w:rsidR="007E6EC3">
        <w:t xml:space="preserve"> Great fruit-eating bat,</w:t>
      </w:r>
      <w:r>
        <w:t xml:space="preserve"> </w:t>
      </w:r>
      <w:proofErr w:type="spellStart"/>
      <w:r>
        <w:rPr>
          <w:i/>
          <w:iCs/>
        </w:rPr>
        <w:t>Artibeus</w:t>
      </w:r>
      <w:proofErr w:type="spellEnd"/>
      <w:r>
        <w:rPr>
          <w:i/>
          <w:iCs/>
        </w:rPr>
        <w:t xml:space="preserve"> </w:t>
      </w:r>
      <w:proofErr w:type="spellStart"/>
      <w:r>
        <w:rPr>
          <w:i/>
          <w:iCs/>
        </w:rPr>
        <w:t>lituratus</w:t>
      </w:r>
      <w:proofErr w:type="spellEnd"/>
    </w:p>
    <w:p w14:paraId="5D9DE7FC" w14:textId="624787FE" w:rsidR="009C48B5" w:rsidRDefault="009C48B5" w:rsidP="009C48B5">
      <w:pPr>
        <w:spacing w:line="480" w:lineRule="auto"/>
      </w:pPr>
      <w:r w:rsidRPr="00883B82">
        <w:tab/>
        <w:t>We found that nitrogen isotopic ratios did not vary significantly for wide-ranging frugivorous bat</w:t>
      </w:r>
      <w:r>
        <w:t>,</w:t>
      </w:r>
      <w:r w:rsidRPr="00883B82">
        <w:t xml:space="preserve"> </w:t>
      </w:r>
      <w:proofErr w:type="spellStart"/>
      <w:r w:rsidRPr="00883B82">
        <w:rPr>
          <w:i/>
          <w:iCs/>
        </w:rPr>
        <w:t>Artibeus</w:t>
      </w:r>
      <w:proofErr w:type="spellEnd"/>
      <w:r w:rsidRPr="00883B82">
        <w:rPr>
          <w:i/>
          <w:iCs/>
        </w:rPr>
        <w:t xml:space="preserve"> </w:t>
      </w:r>
      <w:proofErr w:type="spellStart"/>
      <w:r w:rsidRPr="00883B82">
        <w:rPr>
          <w:i/>
          <w:iCs/>
        </w:rPr>
        <w:t>lituratus</w:t>
      </w:r>
      <w:proofErr w:type="spellEnd"/>
      <w:r w:rsidRPr="00883B82">
        <w:t>. This support</w:t>
      </w:r>
      <w:r>
        <w:t>ed</w:t>
      </w:r>
      <w:r w:rsidRPr="00883B82">
        <w:t xml:space="preserve"> our prediction that phytophagous species with high movement and dispersal capacity are less likely to switch from their preferred diets. </w:t>
      </w:r>
      <w:bookmarkStart w:id="0" w:name="_Hlk189133249"/>
      <w:bookmarkStart w:id="1" w:name="_Hlk189133467"/>
      <w:proofErr w:type="spellStart"/>
      <w:r w:rsidRPr="00883B82">
        <w:rPr>
          <w:i/>
          <w:iCs/>
        </w:rPr>
        <w:t>Artibeus</w:t>
      </w:r>
      <w:proofErr w:type="spellEnd"/>
      <w:r w:rsidRPr="00883B82">
        <w:rPr>
          <w:i/>
          <w:iCs/>
        </w:rPr>
        <w:t xml:space="preserve"> </w:t>
      </w:r>
      <w:proofErr w:type="spellStart"/>
      <w:r w:rsidRPr="00883B82">
        <w:rPr>
          <w:i/>
          <w:iCs/>
        </w:rPr>
        <w:t>lituratus</w:t>
      </w:r>
      <w:proofErr w:type="spellEnd"/>
      <w:r w:rsidRPr="00883B82">
        <w:rPr>
          <w:i/>
          <w:iCs/>
        </w:rPr>
        <w:t xml:space="preserve"> </w:t>
      </w:r>
      <w:r w:rsidRPr="00883B82">
        <w:t xml:space="preserve">are largely </w:t>
      </w:r>
      <w:r>
        <w:t xml:space="preserve">viewed as </w:t>
      </w:r>
      <w:r w:rsidRPr="00883B82">
        <w:rPr>
          <w:i/>
          <w:iCs/>
        </w:rPr>
        <w:t xml:space="preserve">Ficus </w:t>
      </w:r>
      <w:r w:rsidRPr="00883B82">
        <w:t>sp. specialists (</w:t>
      </w:r>
      <w:r>
        <w:t xml:space="preserve">Saldaña-Vázquez, 2014). </w:t>
      </w:r>
      <w:r w:rsidRPr="00883B82">
        <w:rPr>
          <w:i/>
          <w:iCs/>
        </w:rPr>
        <w:t xml:space="preserve">Ficus </w:t>
      </w:r>
      <w:bookmarkEnd w:id="0"/>
      <w:r w:rsidRPr="00883B82">
        <w:t>trees are known to produce fruits year-round and over a large area would be available as a food resource for this bat species (</w:t>
      </w:r>
      <w:r>
        <w:t>Milton et al., 1982; Bianchini et al., 2015</w:t>
      </w:r>
      <w:r w:rsidRPr="00883B82">
        <w:t xml:space="preserve">). </w:t>
      </w:r>
      <w:bookmarkStart w:id="2" w:name="_Hlk195101845"/>
      <w:proofErr w:type="spellStart"/>
      <w:r w:rsidRPr="00883B82">
        <w:rPr>
          <w:i/>
          <w:iCs/>
        </w:rPr>
        <w:t>Artibeus</w:t>
      </w:r>
      <w:proofErr w:type="spellEnd"/>
      <w:r w:rsidRPr="00883B82">
        <w:rPr>
          <w:i/>
          <w:iCs/>
        </w:rPr>
        <w:t xml:space="preserve"> </w:t>
      </w:r>
      <w:proofErr w:type="spellStart"/>
      <w:r w:rsidRPr="00883B82">
        <w:rPr>
          <w:i/>
          <w:iCs/>
        </w:rPr>
        <w:t>lituratus</w:t>
      </w:r>
      <w:proofErr w:type="spellEnd"/>
      <w:r w:rsidRPr="00883B82">
        <w:rPr>
          <w:i/>
          <w:iCs/>
        </w:rPr>
        <w:t xml:space="preserve"> </w:t>
      </w:r>
      <w:r w:rsidRPr="00883B82">
        <w:t xml:space="preserve">are also known to feed on </w:t>
      </w:r>
      <w:r w:rsidRPr="00883B82">
        <w:rPr>
          <w:i/>
          <w:iCs/>
        </w:rPr>
        <w:t xml:space="preserve">Cecropia </w:t>
      </w:r>
      <w:r w:rsidRPr="00883B82">
        <w:t xml:space="preserve">sp. and </w:t>
      </w:r>
      <w:r w:rsidRPr="00883B82">
        <w:rPr>
          <w:i/>
          <w:iCs/>
        </w:rPr>
        <w:t xml:space="preserve">Solanum </w:t>
      </w:r>
      <w:r w:rsidRPr="00883B82">
        <w:t>sp.</w:t>
      </w:r>
      <w:r>
        <w:t xml:space="preserve">, </w:t>
      </w:r>
      <w:r>
        <w:rPr>
          <w:i/>
          <w:iCs/>
        </w:rPr>
        <w:t xml:space="preserve">Piper </w:t>
      </w:r>
      <w:r>
        <w:t>sp.</w:t>
      </w:r>
      <w:r>
        <w:rPr>
          <w:i/>
          <w:iCs/>
        </w:rPr>
        <w:t xml:space="preserve">, </w:t>
      </w:r>
      <w:r>
        <w:t xml:space="preserve">and </w:t>
      </w:r>
      <w:proofErr w:type="spellStart"/>
      <w:r>
        <w:rPr>
          <w:i/>
          <w:iCs/>
        </w:rPr>
        <w:t>Vismia</w:t>
      </w:r>
      <w:proofErr w:type="spellEnd"/>
      <w:r>
        <w:rPr>
          <w:i/>
          <w:iCs/>
        </w:rPr>
        <w:t xml:space="preserve"> </w:t>
      </w:r>
      <w:r>
        <w:t xml:space="preserve">sp. </w:t>
      </w:r>
      <w:r w:rsidRPr="00883B82">
        <w:t>fruits (</w:t>
      </w:r>
      <w:r>
        <w:t xml:space="preserve">Galetti and </w:t>
      </w:r>
      <w:proofErr w:type="spellStart"/>
      <w:r>
        <w:t>Morellato</w:t>
      </w:r>
      <w:proofErr w:type="spellEnd"/>
      <w:r>
        <w:t xml:space="preserve">, 1994; Laurindo and </w:t>
      </w:r>
      <w:proofErr w:type="spellStart"/>
      <w:r>
        <w:t>Vizentin-Bugoni</w:t>
      </w:r>
      <w:proofErr w:type="spellEnd"/>
      <w:r>
        <w:t>, 2020; Cely-Gómez and Castillo-Figueroa, 2019; Ríos-Blanco and Pérez-Torres, 2015</w:t>
      </w:r>
      <w:r w:rsidRPr="00883B82">
        <w:t>), leaves (</w:t>
      </w:r>
      <w:proofErr w:type="spellStart"/>
      <w:r>
        <w:t>Bobrowiec</w:t>
      </w:r>
      <w:proofErr w:type="spellEnd"/>
      <w:r>
        <w:t xml:space="preserve"> and Cunha, 2010</w:t>
      </w:r>
      <w:r w:rsidRPr="00883B82">
        <w:t>), and occasionally insects (</w:t>
      </w:r>
      <w:proofErr w:type="spellStart"/>
      <w:r>
        <w:t>Pellón</w:t>
      </w:r>
      <w:proofErr w:type="spellEnd"/>
      <w:r>
        <w:t xml:space="preserve"> et al., 2023).</w:t>
      </w:r>
      <w:bookmarkEnd w:id="1"/>
      <w:bookmarkEnd w:id="2"/>
      <w:r>
        <w:t xml:space="preserve"> </w:t>
      </w:r>
      <w:r w:rsidRPr="00883B82">
        <w:t>This flexibility in diet, paired with their dispersal capacity (</w:t>
      </w:r>
      <w:r>
        <w:t xml:space="preserve">Mendes et al., 2009; Arnone et al., 2016; Laurindo and </w:t>
      </w:r>
      <w:proofErr w:type="spellStart"/>
      <w:r>
        <w:t>Gregorin</w:t>
      </w:r>
      <w:proofErr w:type="spellEnd"/>
      <w:r>
        <w:t>, 2019</w:t>
      </w:r>
      <w:r w:rsidRPr="00883B82">
        <w:t xml:space="preserve">), allows </w:t>
      </w:r>
      <w:r w:rsidRPr="00883B82">
        <w:rPr>
          <w:i/>
          <w:iCs/>
        </w:rPr>
        <w:t xml:space="preserve">A. </w:t>
      </w:r>
      <w:proofErr w:type="spellStart"/>
      <w:r w:rsidRPr="00883B82">
        <w:rPr>
          <w:i/>
          <w:iCs/>
        </w:rPr>
        <w:t>lituratus</w:t>
      </w:r>
      <w:proofErr w:type="spellEnd"/>
      <w:r w:rsidRPr="00883B82">
        <w:rPr>
          <w:i/>
          <w:iCs/>
        </w:rPr>
        <w:t xml:space="preserve"> </w:t>
      </w:r>
      <w:r w:rsidRPr="00883B82">
        <w:t xml:space="preserve">to have a stable availability of its preferred resources throughout the course of the year, as is evidenced by the lack of difference in </w:t>
      </w:r>
      <w:r w:rsidRPr="00883B82">
        <w:rPr>
          <w:i/>
        </w:rPr>
        <w:t>δ</w:t>
      </w:r>
      <w:r w:rsidRPr="00883B82">
        <w:rPr>
          <w:vertAlign w:val="superscript"/>
        </w:rPr>
        <w:t>15</w:t>
      </w:r>
      <w:r w:rsidRPr="00883B82">
        <w:t xml:space="preserve">N among tissues. </w:t>
      </w:r>
    </w:p>
    <w:p w14:paraId="7FDE448F" w14:textId="77777777" w:rsidR="007E6EC3" w:rsidRDefault="007E6EC3" w:rsidP="009C48B5">
      <w:pPr>
        <w:spacing w:line="480" w:lineRule="auto"/>
      </w:pPr>
    </w:p>
    <w:p w14:paraId="3B69EB22" w14:textId="004E25D1" w:rsidR="00237C77" w:rsidRPr="00237C77" w:rsidRDefault="00237C77" w:rsidP="009C48B5">
      <w:pPr>
        <w:spacing w:line="480" w:lineRule="auto"/>
        <w:rPr>
          <w:i/>
          <w:iCs/>
        </w:rPr>
      </w:pPr>
      <w:r>
        <w:t>Narrow ranging frugivore,</w:t>
      </w:r>
      <w:r w:rsidR="007E6EC3">
        <w:t xml:space="preserve"> Seba’s short-tailed bat,</w:t>
      </w:r>
      <w:r>
        <w:t xml:space="preserve"> </w:t>
      </w:r>
      <w:proofErr w:type="spellStart"/>
      <w:r>
        <w:rPr>
          <w:i/>
          <w:iCs/>
        </w:rPr>
        <w:t>Carollia</w:t>
      </w:r>
      <w:proofErr w:type="spellEnd"/>
      <w:r>
        <w:rPr>
          <w:i/>
          <w:iCs/>
        </w:rPr>
        <w:t xml:space="preserve"> </w:t>
      </w:r>
      <w:proofErr w:type="spellStart"/>
      <w:r>
        <w:rPr>
          <w:i/>
          <w:iCs/>
        </w:rPr>
        <w:t>perspicillata</w:t>
      </w:r>
      <w:proofErr w:type="spellEnd"/>
    </w:p>
    <w:p w14:paraId="0DD99D12" w14:textId="77777777" w:rsidR="009C48B5" w:rsidRDefault="009C48B5" w:rsidP="009C48B5">
      <w:pPr>
        <w:spacing w:line="480" w:lineRule="auto"/>
        <w:ind w:firstLine="720"/>
      </w:pPr>
      <w:r w:rsidRPr="00883B82">
        <w:t xml:space="preserve">Significant differences in </w:t>
      </w:r>
      <w:r w:rsidRPr="00883B82">
        <w:rPr>
          <w:i/>
        </w:rPr>
        <w:t>δ</w:t>
      </w:r>
      <w:r w:rsidRPr="00883B82">
        <w:rPr>
          <w:vertAlign w:val="superscript"/>
        </w:rPr>
        <w:t>15</w:t>
      </w:r>
      <w:r w:rsidRPr="00883B82">
        <w:t xml:space="preserve">N between tissues were detected for narrow-ranging frugivorous species </w:t>
      </w:r>
      <w:proofErr w:type="spellStart"/>
      <w:r w:rsidRPr="00883B82">
        <w:rPr>
          <w:i/>
          <w:iCs/>
        </w:rPr>
        <w:t>Carollia</w:t>
      </w:r>
      <w:proofErr w:type="spellEnd"/>
      <w:r w:rsidRPr="00883B82">
        <w:rPr>
          <w:i/>
          <w:iCs/>
        </w:rPr>
        <w:t xml:space="preserve"> </w:t>
      </w:r>
      <w:proofErr w:type="spellStart"/>
      <w:r w:rsidRPr="00883B82">
        <w:rPr>
          <w:i/>
          <w:iCs/>
        </w:rPr>
        <w:t>perspcillata</w:t>
      </w:r>
      <w:proofErr w:type="spellEnd"/>
      <w:r w:rsidRPr="00883B82">
        <w:rPr>
          <w:i/>
          <w:iCs/>
        </w:rPr>
        <w:t xml:space="preserve"> </w:t>
      </w:r>
      <w:r w:rsidRPr="00883B82">
        <w:t xml:space="preserve">and </w:t>
      </w:r>
      <w:proofErr w:type="spellStart"/>
      <w:r w:rsidRPr="00883B82">
        <w:rPr>
          <w:i/>
          <w:iCs/>
        </w:rPr>
        <w:t>Cynopterus</w:t>
      </w:r>
      <w:proofErr w:type="spellEnd"/>
      <w:r w:rsidRPr="00883B82">
        <w:rPr>
          <w:i/>
          <w:iCs/>
        </w:rPr>
        <w:t xml:space="preserve"> sphinx</w:t>
      </w:r>
      <w:r w:rsidRPr="00883B82">
        <w:t xml:space="preserve">, supporting </w:t>
      </w:r>
      <w:r>
        <w:t>the</w:t>
      </w:r>
      <w:r w:rsidRPr="00883B82">
        <w:t xml:space="preserve"> prediction that bats</w:t>
      </w:r>
      <w:r>
        <w:t xml:space="preserve">, which existing literature suggests are </w:t>
      </w:r>
      <w:r w:rsidRPr="00883B82">
        <w:t>limited in their movement</w:t>
      </w:r>
      <w:r>
        <w:t>s,</w:t>
      </w:r>
      <w:r w:rsidRPr="00883B82">
        <w:t xml:space="preserve"> are more likely to switch their diets to food items that are more seasonally abundant. </w:t>
      </w:r>
      <w:proofErr w:type="spellStart"/>
      <w:r w:rsidRPr="00883B82">
        <w:rPr>
          <w:i/>
          <w:iCs/>
        </w:rPr>
        <w:t>Carollia</w:t>
      </w:r>
      <w:proofErr w:type="spellEnd"/>
      <w:r w:rsidRPr="00883B82">
        <w:rPr>
          <w:i/>
          <w:iCs/>
        </w:rPr>
        <w:t xml:space="preserve"> </w:t>
      </w:r>
      <w:proofErr w:type="spellStart"/>
      <w:r w:rsidRPr="00883B82">
        <w:rPr>
          <w:i/>
          <w:iCs/>
        </w:rPr>
        <w:t>perspicillata</w:t>
      </w:r>
      <w:proofErr w:type="spellEnd"/>
      <w:r w:rsidRPr="00883B82">
        <w:rPr>
          <w:i/>
          <w:iCs/>
        </w:rPr>
        <w:t xml:space="preserve"> </w:t>
      </w:r>
      <w:r w:rsidRPr="00883B82">
        <w:t xml:space="preserve">is a widespread </w:t>
      </w:r>
      <w:r w:rsidRPr="00883B82">
        <w:lastRenderedPageBreak/>
        <w:t xml:space="preserve">Neotropical frugivorous species, known as a </w:t>
      </w:r>
      <w:r w:rsidRPr="00883B82">
        <w:rPr>
          <w:i/>
          <w:iCs/>
        </w:rPr>
        <w:t>Piper</w:t>
      </w:r>
      <w:r w:rsidRPr="00883B82">
        <w:t xml:space="preserve"> sp. specialist, feeding largely in edge habitat over a small home range</w:t>
      </w:r>
      <w:r>
        <w:t xml:space="preserve"> </w:t>
      </w:r>
      <w:r>
        <w:rPr>
          <w:rFonts w:eastAsia="Times New Roman"/>
          <w:color w:val="000000"/>
        </w:rPr>
        <w:t>(</w:t>
      </w:r>
      <w:r>
        <w:rPr>
          <w:color w:val="000000"/>
        </w:rPr>
        <w:t>Fleming and Heithaus, 1986; Mello et al., 2004</w:t>
      </w:r>
      <w:r w:rsidRPr="00883B82">
        <w:t>). They are also noted to consume many insects (</w:t>
      </w:r>
      <w:r>
        <w:t>Willig et al., 1993</w:t>
      </w:r>
      <w:r w:rsidRPr="00883B82">
        <w:t xml:space="preserve">), and previous studies have demonstrated some evidence for diet switching throughout the year tied to the availability of </w:t>
      </w:r>
      <w:r w:rsidRPr="00883B82">
        <w:rPr>
          <w:i/>
          <w:iCs/>
        </w:rPr>
        <w:t xml:space="preserve">Piper </w:t>
      </w:r>
      <w:r w:rsidRPr="00883B82">
        <w:t>(</w:t>
      </w:r>
      <w:r>
        <w:t>Mello et al., 2004</w:t>
      </w:r>
      <w:r w:rsidRPr="00883B82">
        <w:t>). Our findings suggest</w:t>
      </w:r>
      <w:r>
        <w:t>ed</w:t>
      </w:r>
      <w:r w:rsidRPr="00883B82">
        <w:t xml:space="preserve"> that protein intake is consistent throughout the year with the only comparison of significance being that heart </w:t>
      </w:r>
      <w:r w:rsidRPr="00883B82">
        <w:rPr>
          <w:i/>
        </w:rPr>
        <w:t>δ</w:t>
      </w:r>
      <w:r w:rsidRPr="00883B82">
        <w:rPr>
          <w:vertAlign w:val="superscript"/>
        </w:rPr>
        <w:t>15</w:t>
      </w:r>
      <w:r w:rsidRPr="00883B82">
        <w:t xml:space="preserve">N was higher than kidney, although there was no significant difference with other organ tissues. This </w:t>
      </w:r>
      <w:r>
        <w:t>could</w:t>
      </w:r>
      <w:r w:rsidRPr="00883B82">
        <w:t xml:space="preserve"> be indicative of </w:t>
      </w:r>
      <w:r w:rsidRPr="00883B82">
        <w:rPr>
          <w:i/>
          <w:iCs/>
        </w:rPr>
        <w:t xml:space="preserve">C. </w:t>
      </w:r>
      <w:proofErr w:type="spellStart"/>
      <w:r w:rsidRPr="00883B82">
        <w:rPr>
          <w:i/>
          <w:iCs/>
        </w:rPr>
        <w:t>perspicillata</w:t>
      </w:r>
      <w:proofErr w:type="spellEnd"/>
      <w:r w:rsidRPr="00883B82">
        <w:rPr>
          <w:i/>
          <w:iCs/>
        </w:rPr>
        <w:t xml:space="preserve"> </w:t>
      </w:r>
      <w:r w:rsidRPr="00883B82">
        <w:t xml:space="preserve">relying on a higher protein diet in the month prior to its capture, which reflects diet from the transitional period between wet and dry seasons at </w:t>
      </w:r>
      <w:proofErr w:type="spellStart"/>
      <w:r w:rsidRPr="00883B82">
        <w:t>Iwokrama</w:t>
      </w:r>
      <w:proofErr w:type="spellEnd"/>
      <w:r w:rsidRPr="00883B82">
        <w:t xml:space="preserve"> Forest Reserve in central Guyana (</w:t>
      </w:r>
      <w:r>
        <w:t>Lim and Engstrom, 2001)</w:t>
      </w:r>
      <w:r w:rsidRPr="00883B82">
        <w:t xml:space="preserve">. Increased </w:t>
      </w:r>
      <w:r w:rsidRPr="00883B82">
        <w:rPr>
          <w:i/>
        </w:rPr>
        <w:t>δ</w:t>
      </w:r>
      <w:r w:rsidRPr="00883B82">
        <w:rPr>
          <w:vertAlign w:val="superscript"/>
        </w:rPr>
        <w:t>15</w:t>
      </w:r>
      <w:r w:rsidRPr="00883B82">
        <w:t>N at the beginning of the dry season may also correspond to an increase in fruit production</w:t>
      </w:r>
      <w:r>
        <w:t xml:space="preserve"> </w:t>
      </w:r>
      <w:r>
        <w:rPr>
          <w:color w:val="000000"/>
        </w:rPr>
        <w:t>(Milton, 1991)</w:t>
      </w:r>
      <w:r w:rsidRPr="00883B82">
        <w:t>, or dehydration</w:t>
      </w:r>
      <w:r>
        <w:t xml:space="preserve"> (Hardman, 2011)</w:t>
      </w:r>
      <w:r w:rsidRPr="00883B82">
        <w:t xml:space="preserve">. Nitrogen stress </w:t>
      </w:r>
      <w:r>
        <w:t xml:space="preserve">(i.e., decrease of protein in diet) </w:t>
      </w:r>
      <w:r w:rsidRPr="00883B82">
        <w:t xml:space="preserve">has also been shown to increase </w:t>
      </w:r>
      <w:r w:rsidRPr="00883B82">
        <w:rPr>
          <w:i/>
        </w:rPr>
        <w:t>δ</w:t>
      </w:r>
      <w:r w:rsidRPr="00883B82">
        <w:rPr>
          <w:vertAlign w:val="superscript"/>
        </w:rPr>
        <w:t>15</w:t>
      </w:r>
      <w:r w:rsidRPr="00883B82">
        <w:t xml:space="preserve">N in tissues of </w:t>
      </w:r>
      <w:r>
        <w:t xml:space="preserve">phytophagous </w:t>
      </w:r>
      <w:r w:rsidRPr="00883B82">
        <w:t>bats</w:t>
      </w:r>
      <w:r>
        <w:t xml:space="preserve"> </w:t>
      </w:r>
      <w:r>
        <w:rPr>
          <w:color w:val="000000"/>
        </w:rPr>
        <w:t>(Voigt and Matt, 2004)</w:t>
      </w:r>
      <w:r w:rsidRPr="00883B82">
        <w:t xml:space="preserve">. </w:t>
      </w:r>
    </w:p>
    <w:p w14:paraId="13F91A61" w14:textId="77777777" w:rsidR="007E6EC3" w:rsidRDefault="007E6EC3" w:rsidP="00237C77">
      <w:pPr>
        <w:spacing w:line="480" w:lineRule="auto"/>
      </w:pPr>
    </w:p>
    <w:p w14:paraId="557BEA2E" w14:textId="66078FCE" w:rsidR="00237C77" w:rsidRPr="00237C77" w:rsidRDefault="00237C77" w:rsidP="00237C77">
      <w:pPr>
        <w:spacing w:line="480" w:lineRule="auto"/>
        <w:rPr>
          <w:i/>
          <w:iCs/>
        </w:rPr>
      </w:pPr>
      <w:r>
        <w:t>Narrow-ranging frugivore,</w:t>
      </w:r>
      <w:r w:rsidR="007E6EC3">
        <w:t xml:space="preserve"> Greater short-nosed fruit bat,</w:t>
      </w:r>
      <w:r>
        <w:t xml:space="preserve"> </w:t>
      </w:r>
      <w:proofErr w:type="spellStart"/>
      <w:r>
        <w:rPr>
          <w:i/>
          <w:iCs/>
        </w:rPr>
        <w:t>Cynopterus</w:t>
      </w:r>
      <w:proofErr w:type="spellEnd"/>
      <w:r>
        <w:rPr>
          <w:i/>
          <w:iCs/>
        </w:rPr>
        <w:t xml:space="preserve"> sphinx</w:t>
      </w:r>
    </w:p>
    <w:p w14:paraId="706B6BF1" w14:textId="77777777" w:rsidR="009C48B5" w:rsidRPr="00883B82" w:rsidRDefault="009C48B5" w:rsidP="009C48B5">
      <w:pPr>
        <w:spacing w:line="480" w:lineRule="auto"/>
        <w:ind w:firstLine="720"/>
      </w:pPr>
      <w:proofErr w:type="spellStart"/>
      <w:r w:rsidRPr="00883B82">
        <w:rPr>
          <w:i/>
          <w:iCs/>
        </w:rPr>
        <w:t>Cynopterus</w:t>
      </w:r>
      <w:proofErr w:type="spellEnd"/>
      <w:r w:rsidRPr="00883B82">
        <w:rPr>
          <w:i/>
          <w:iCs/>
        </w:rPr>
        <w:t xml:space="preserve"> sphinx </w:t>
      </w:r>
      <w:r w:rsidRPr="00883B82">
        <w:t xml:space="preserve">is a wide-spread and common frugivore in the </w:t>
      </w:r>
      <w:proofErr w:type="spellStart"/>
      <w:r w:rsidRPr="00883B82">
        <w:t>Paleotropics</w:t>
      </w:r>
      <w:proofErr w:type="spellEnd"/>
      <w:r w:rsidRPr="00883B82">
        <w:t>, which is also known to rely on floral nectar, fruit, pollen, and leaves (</w:t>
      </w:r>
      <w:r>
        <w:t>Bates et al., 2019; Ruby et al., 2000</w:t>
      </w:r>
      <w:r w:rsidRPr="00883B82">
        <w:t xml:space="preserve">). Similar to </w:t>
      </w:r>
      <w:r w:rsidRPr="00883B82">
        <w:rPr>
          <w:i/>
          <w:iCs/>
        </w:rPr>
        <w:t xml:space="preserve">C. </w:t>
      </w:r>
      <w:proofErr w:type="spellStart"/>
      <w:r w:rsidRPr="00883B82">
        <w:rPr>
          <w:i/>
          <w:iCs/>
        </w:rPr>
        <w:t>perspicillata</w:t>
      </w:r>
      <w:proofErr w:type="spellEnd"/>
      <w:r w:rsidRPr="00883B82">
        <w:rPr>
          <w:i/>
          <w:iCs/>
        </w:rPr>
        <w:t xml:space="preserve"> </w:t>
      </w:r>
      <w:r w:rsidRPr="00883B82">
        <w:t>it is also common in disturbed habitat, and is known to have high fidelity to a small home-range (</w:t>
      </w:r>
      <w:r>
        <w:t>Storz et al., 2000</w:t>
      </w:r>
      <w:r w:rsidRPr="00883B82">
        <w:t xml:space="preserve">); however, its flexible roosting strategy </w:t>
      </w:r>
      <w:r>
        <w:t xml:space="preserve">of </w:t>
      </w:r>
      <w:r w:rsidRPr="00883B82">
        <w:t>u</w:t>
      </w:r>
      <w:r>
        <w:t>s</w:t>
      </w:r>
      <w:r w:rsidRPr="00883B82">
        <w:t>ing foliage tents, caves, and anthropogenic structures (</w:t>
      </w:r>
      <w:r>
        <w:t>Campbell, 2008</w:t>
      </w:r>
      <w:r w:rsidRPr="00883B82">
        <w:t>), a</w:t>
      </w:r>
      <w:r>
        <w:t>nd</w:t>
      </w:r>
      <w:r w:rsidRPr="00883B82">
        <w:t xml:space="preserve"> records of island colonization following volcanic eruptions in Indonesia, suggest that this species may have a greater movement capacity than is typically described (</w:t>
      </w:r>
      <w:r>
        <w:t>Tidermann et al., 1990</w:t>
      </w:r>
      <w:r w:rsidRPr="00883B82">
        <w:t xml:space="preserve">). We detected significant differences in </w:t>
      </w:r>
      <w:r w:rsidRPr="00883B82">
        <w:rPr>
          <w:i/>
        </w:rPr>
        <w:t>δ</w:t>
      </w:r>
      <w:r w:rsidRPr="00883B82">
        <w:rPr>
          <w:vertAlign w:val="superscript"/>
        </w:rPr>
        <w:t>15</w:t>
      </w:r>
      <w:r w:rsidRPr="00883B82">
        <w:t xml:space="preserve">N with heart and patagium values higher than short-term organ </w:t>
      </w:r>
      <w:r w:rsidRPr="00883B82">
        <w:lastRenderedPageBreak/>
        <w:t>tissues</w:t>
      </w:r>
      <w:r w:rsidRPr="00883B82" w:rsidDel="00430654">
        <w:t xml:space="preserve"> </w:t>
      </w:r>
      <w:r w:rsidRPr="00883B82">
        <w:t xml:space="preserve">which suggests seasonal diet switching between sources of protein. </w:t>
      </w:r>
      <w:bookmarkStart w:id="3" w:name="_Hlk188964291"/>
      <w:r w:rsidRPr="00883B82">
        <w:t xml:space="preserve">Our findings suggest </w:t>
      </w:r>
      <w:r w:rsidRPr="00883B82">
        <w:rPr>
          <w:i/>
          <w:iCs/>
        </w:rPr>
        <w:t>C. sphinx</w:t>
      </w:r>
      <w:r w:rsidRPr="00883B82">
        <w:t xml:space="preserve"> </w:t>
      </w:r>
      <w:r>
        <w:t>may have a greater animal protein contribution to diet</w:t>
      </w:r>
      <w:r w:rsidRPr="00883B82">
        <w:t xml:space="preserve"> in the wet season than when they were captured in the transitional period between the wet and dry seasons. </w:t>
      </w:r>
      <w:bookmarkEnd w:id="3"/>
      <w:r w:rsidRPr="00883B82">
        <w:t>This corresponds to fruiting and flowering availability in Guangxi province, China, and seasonal diet switching has also been noted in rhesus macaques (</w:t>
      </w:r>
      <w:r>
        <w:t>Tang et al., 2016</w:t>
      </w:r>
      <w:r w:rsidRPr="00883B82">
        <w:t>), and white-headed langur (</w:t>
      </w:r>
      <w:r>
        <w:t>Lu et al., 2021</w:t>
      </w:r>
      <w:r w:rsidRPr="00883B82">
        <w:t xml:space="preserve">) in response to these seasonal pressures. The differences in </w:t>
      </w:r>
      <w:r w:rsidRPr="00883B82">
        <w:rPr>
          <w:i/>
        </w:rPr>
        <w:t>δ</w:t>
      </w:r>
      <w:r w:rsidRPr="00883B82">
        <w:rPr>
          <w:vertAlign w:val="superscript"/>
        </w:rPr>
        <w:t>15</w:t>
      </w:r>
      <w:r w:rsidRPr="00883B82">
        <w:t xml:space="preserve">N-values between metabolically active organ tissues, and hair, bone suggest that in the period that the bone was ossified, </w:t>
      </w:r>
      <w:r w:rsidRPr="00883B82">
        <w:rPr>
          <w:i/>
          <w:iCs/>
        </w:rPr>
        <w:t xml:space="preserve">C. sphinx </w:t>
      </w:r>
      <w:r w:rsidRPr="00883B82">
        <w:t>were feeding on similar protein sources as in the wet season, while in the period the hair was grown it was most likely in the same season of capture.</w:t>
      </w:r>
    </w:p>
    <w:p w14:paraId="05FC6E7B" w14:textId="77777777" w:rsidR="00237C77" w:rsidRDefault="00237C77" w:rsidP="00237C77">
      <w:pPr>
        <w:spacing w:line="480" w:lineRule="auto"/>
      </w:pPr>
    </w:p>
    <w:p w14:paraId="354440AC" w14:textId="7C3ED0E3" w:rsidR="00237C77" w:rsidRPr="00237C77" w:rsidRDefault="00237C77" w:rsidP="00237C77">
      <w:pPr>
        <w:spacing w:line="480" w:lineRule="auto"/>
      </w:pPr>
      <w:r>
        <w:t xml:space="preserve">Narrow-ranging insectivore, </w:t>
      </w:r>
      <w:r w:rsidR="007E6EC3">
        <w:t xml:space="preserve">Intermediate roundleaf bat, </w:t>
      </w:r>
      <w:proofErr w:type="spellStart"/>
      <w:r>
        <w:rPr>
          <w:i/>
          <w:iCs/>
        </w:rPr>
        <w:t>Hipposideros</w:t>
      </w:r>
      <w:proofErr w:type="spellEnd"/>
      <w:r>
        <w:rPr>
          <w:i/>
          <w:iCs/>
        </w:rPr>
        <w:t xml:space="preserve"> </w:t>
      </w:r>
      <w:proofErr w:type="spellStart"/>
      <w:r>
        <w:rPr>
          <w:i/>
          <w:iCs/>
        </w:rPr>
        <w:t>larvatus</w:t>
      </w:r>
      <w:proofErr w:type="spellEnd"/>
    </w:p>
    <w:p w14:paraId="29D9B593" w14:textId="77777777" w:rsidR="009C48B5" w:rsidRDefault="009C48B5" w:rsidP="009C48B5">
      <w:pPr>
        <w:spacing w:line="480" w:lineRule="auto"/>
        <w:ind w:firstLine="720"/>
      </w:pPr>
      <w:proofErr w:type="spellStart"/>
      <w:r w:rsidRPr="00883B82">
        <w:rPr>
          <w:i/>
          <w:iCs/>
        </w:rPr>
        <w:t>Hipposideros</w:t>
      </w:r>
      <w:proofErr w:type="spellEnd"/>
      <w:r w:rsidRPr="00883B82">
        <w:rPr>
          <w:i/>
          <w:iCs/>
        </w:rPr>
        <w:t xml:space="preserve"> </w:t>
      </w:r>
      <w:proofErr w:type="spellStart"/>
      <w:r w:rsidRPr="00883B82">
        <w:rPr>
          <w:i/>
          <w:iCs/>
        </w:rPr>
        <w:t>larvatus</w:t>
      </w:r>
      <w:proofErr w:type="spellEnd"/>
      <w:r w:rsidRPr="00883B82">
        <w:rPr>
          <w:i/>
          <w:iCs/>
        </w:rPr>
        <w:t xml:space="preserve"> </w:t>
      </w:r>
      <w:r w:rsidRPr="00883B82">
        <w:t>is a common species throughout southern China and Southeast Asia that is known to primarily be an edge-space forager (</w:t>
      </w:r>
      <w:proofErr w:type="spellStart"/>
      <w:r>
        <w:t>Ruadero</w:t>
      </w:r>
      <w:proofErr w:type="spellEnd"/>
      <w:r>
        <w:t xml:space="preserve"> et al., 2018; Srinivasulu and Srinivasulu, 2020</w:t>
      </w:r>
      <w:r w:rsidRPr="00883B82">
        <w:t xml:space="preserve">). Stable isotope data from central Thailand suggests that </w:t>
      </w:r>
      <w:r w:rsidRPr="00883B82">
        <w:rPr>
          <w:i/>
          <w:iCs/>
        </w:rPr>
        <w:t xml:space="preserve">H. </w:t>
      </w:r>
      <w:proofErr w:type="spellStart"/>
      <w:r w:rsidRPr="00883B82">
        <w:rPr>
          <w:i/>
          <w:iCs/>
        </w:rPr>
        <w:t>larvatus</w:t>
      </w:r>
      <w:proofErr w:type="spellEnd"/>
      <w:r w:rsidRPr="00883B82">
        <w:rPr>
          <w:i/>
          <w:iCs/>
        </w:rPr>
        <w:t xml:space="preserve"> </w:t>
      </w:r>
      <w:r w:rsidRPr="00883B82">
        <w:t>predominantly feed in both seasons on Coleoptera typically associated as agricultural pests; this study also used multiple tissues (hair, patagium) sampled in multiple seasons and did not detect significant differences in trophic niche in different seasons (</w:t>
      </w:r>
      <w:proofErr w:type="spellStart"/>
      <w:r>
        <w:t>Ruadero</w:t>
      </w:r>
      <w:proofErr w:type="spellEnd"/>
      <w:r>
        <w:t xml:space="preserve"> et al., 2018</w:t>
      </w:r>
      <w:r w:rsidRPr="00883B82">
        <w:t xml:space="preserve">). While there are significant differences in tissues in our dataset it is difficult to align these with potential seasonal shifts in diet. As there were no significant differences between patagium and organ tissues we are unable to determine if the significant differences with hair are a result of a seasonal signal, however, none of our samples reflect diet in the wet season and it is possible that </w:t>
      </w:r>
      <w:r w:rsidRPr="00883B82">
        <w:rPr>
          <w:i/>
          <w:iCs/>
        </w:rPr>
        <w:t xml:space="preserve">H. </w:t>
      </w:r>
      <w:proofErr w:type="spellStart"/>
      <w:r w:rsidRPr="00883B82">
        <w:rPr>
          <w:i/>
          <w:iCs/>
        </w:rPr>
        <w:t>larvatus</w:t>
      </w:r>
      <w:proofErr w:type="spellEnd"/>
      <w:r w:rsidRPr="00883B82">
        <w:rPr>
          <w:i/>
          <w:iCs/>
        </w:rPr>
        <w:t xml:space="preserve"> </w:t>
      </w:r>
      <w:r w:rsidRPr="00883B82">
        <w:t xml:space="preserve">moult and regrow hair under lower trophic conditions. </w:t>
      </w:r>
    </w:p>
    <w:p w14:paraId="12389B5B" w14:textId="77777777" w:rsidR="007E6EC3" w:rsidRDefault="007E6EC3" w:rsidP="00237C77">
      <w:pPr>
        <w:spacing w:line="480" w:lineRule="auto"/>
      </w:pPr>
    </w:p>
    <w:p w14:paraId="2F7FBE55" w14:textId="29C98835" w:rsidR="00237C77" w:rsidRPr="00237C77" w:rsidRDefault="00237C77" w:rsidP="00237C77">
      <w:pPr>
        <w:spacing w:line="480" w:lineRule="auto"/>
        <w:rPr>
          <w:i/>
          <w:iCs/>
        </w:rPr>
      </w:pPr>
      <w:r>
        <w:lastRenderedPageBreak/>
        <w:t>Wide-ranging insectivore,</w:t>
      </w:r>
      <w:r w:rsidR="007E6EC3">
        <w:t xml:space="preserve"> Amazonian common mustached bat,</w:t>
      </w:r>
      <w:r>
        <w:t xml:space="preserve"> </w:t>
      </w:r>
      <w:proofErr w:type="spellStart"/>
      <w:r>
        <w:rPr>
          <w:i/>
          <w:iCs/>
        </w:rPr>
        <w:t>Pteronotus</w:t>
      </w:r>
      <w:proofErr w:type="spellEnd"/>
      <w:r>
        <w:rPr>
          <w:i/>
          <w:iCs/>
        </w:rPr>
        <w:t xml:space="preserve"> </w:t>
      </w:r>
      <w:proofErr w:type="spellStart"/>
      <w:r>
        <w:rPr>
          <w:i/>
          <w:iCs/>
        </w:rPr>
        <w:t>alitonus</w:t>
      </w:r>
      <w:proofErr w:type="spellEnd"/>
    </w:p>
    <w:p w14:paraId="20178E3D" w14:textId="77777777" w:rsidR="009C48B5" w:rsidRDefault="009C48B5" w:rsidP="009C48B5">
      <w:pPr>
        <w:spacing w:line="480" w:lineRule="auto"/>
        <w:ind w:firstLine="720"/>
      </w:pPr>
      <w:r w:rsidRPr="00883B82">
        <w:t xml:space="preserve">Likewise, for </w:t>
      </w:r>
      <w:proofErr w:type="spellStart"/>
      <w:r w:rsidRPr="00883B82">
        <w:rPr>
          <w:i/>
          <w:iCs/>
        </w:rPr>
        <w:t>Pteronotus</w:t>
      </w:r>
      <w:proofErr w:type="spellEnd"/>
      <w:r w:rsidRPr="00883B82">
        <w:rPr>
          <w:i/>
          <w:iCs/>
        </w:rPr>
        <w:t xml:space="preserve"> </w:t>
      </w:r>
      <w:proofErr w:type="spellStart"/>
      <w:r w:rsidRPr="00883B82">
        <w:rPr>
          <w:i/>
          <w:iCs/>
        </w:rPr>
        <w:t>alitonus</w:t>
      </w:r>
      <w:proofErr w:type="spellEnd"/>
      <w:r w:rsidRPr="00883B82">
        <w:t xml:space="preserve">, significant differences in </w:t>
      </w:r>
      <w:r w:rsidRPr="00883B82">
        <w:rPr>
          <w:i/>
        </w:rPr>
        <w:t>δ</w:t>
      </w:r>
      <w:r w:rsidRPr="00883B82">
        <w:rPr>
          <w:vertAlign w:val="superscript"/>
        </w:rPr>
        <w:t>15</w:t>
      </w:r>
      <w:r w:rsidRPr="00883B82">
        <w:t xml:space="preserve">N among tissues may not reflect significant shifts in diet. Bone had higher values of </w:t>
      </w:r>
      <w:r w:rsidRPr="00883B82">
        <w:rPr>
          <w:i/>
        </w:rPr>
        <w:t>δ</w:t>
      </w:r>
      <w:r w:rsidRPr="00883B82">
        <w:rPr>
          <w:vertAlign w:val="superscript"/>
        </w:rPr>
        <w:t>15</w:t>
      </w:r>
      <w:r w:rsidRPr="00883B82">
        <w:t xml:space="preserve">N than all other tissues; additionally, patagium was significantly higher than organ tissues reflecting that past diet signals a higher trophic level than when these bats were captured. There is limited ecological data for </w:t>
      </w:r>
      <w:r w:rsidRPr="00883B82">
        <w:rPr>
          <w:i/>
          <w:iCs/>
        </w:rPr>
        <w:t xml:space="preserve">P. </w:t>
      </w:r>
      <w:proofErr w:type="spellStart"/>
      <w:r w:rsidRPr="00883B82">
        <w:rPr>
          <w:i/>
          <w:iCs/>
        </w:rPr>
        <w:t>alitonus</w:t>
      </w:r>
      <w:proofErr w:type="spellEnd"/>
      <w:r w:rsidRPr="00883B82">
        <w:t xml:space="preserve">, a recently described species from the </w:t>
      </w:r>
      <w:r w:rsidRPr="00883B82">
        <w:rPr>
          <w:i/>
          <w:iCs/>
        </w:rPr>
        <w:t xml:space="preserve">P. </w:t>
      </w:r>
      <w:proofErr w:type="spellStart"/>
      <w:r w:rsidRPr="00883B82">
        <w:rPr>
          <w:i/>
          <w:iCs/>
        </w:rPr>
        <w:t>parnelli</w:t>
      </w:r>
      <w:r>
        <w:rPr>
          <w:i/>
          <w:iCs/>
        </w:rPr>
        <w:t>i</w:t>
      </w:r>
      <w:proofErr w:type="spellEnd"/>
      <w:r w:rsidRPr="00883B82">
        <w:rPr>
          <w:i/>
          <w:iCs/>
        </w:rPr>
        <w:t xml:space="preserve"> </w:t>
      </w:r>
      <w:r w:rsidRPr="00883B82">
        <w:t>species complex, known from French Guiana, Suriname, Guyana, and northern Brazil (</w:t>
      </w:r>
      <w:r>
        <w:t>Pavan et al., 2018</w:t>
      </w:r>
      <w:r w:rsidRPr="00883B82">
        <w:t xml:space="preserve">). </w:t>
      </w:r>
      <w:proofErr w:type="spellStart"/>
      <w:r w:rsidRPr="00883B82">
        <w:rPr>
          <w:i/>
          <w:iCs/>
        </w:rPr>
        <w:t>Pteronotus</w:t>
      </w:r>
      <w:proofErr w:type="spellEnd"/>
      <w:r w:rsidRPr="00883B82">
        <w:rPr>
          <w:i/>
          <w:iCs/>
        </w:rPr>
        <w:t xml:space="preserve"> </w:t>
      </w:r>
      <w:proofErr w:type="spellStart"/>
      <w:r w:rsidRPr="00883B82">
        <w:rPr>
          <w:i/>
          <w:iCs/>
        </w:rPr>
        <w:t>alitonus</w:t>
      </w:r>
      <w:proofErr w:type="spellEnd"/>
      <w:r w:rsidRPr="00883B82">
        <w:rPr>
          <w:i/>
          <w:iCs/>
        </w:rPr>
        <w:t xml:space="preserve"> </w:t>
      </w:r>
      <w:r w:rsidRPr="00883B82">
        <w:t>are likely clutter space foragers capable of using constant-frequency echolocation (</w:t>
      </w:r>
      <w:r>
        <w:t>Filippi-</w:t>
      </w:r>
      <w:proofErr w:type="spellStart"/>
      <w:r>
        <w:t>Codaccioni</w:t>
      </w:r>
      <w:proofErr w:type="spellEnd"/>
      <w:r>
        <w:t xml:space="preserve"> et al., 2018</w:t>
      </w:r>
      <w:r w:rsidRPr="00883B82">
        <w:t xml:space="preserve">), and </w:t>
      </w:r>
      <w:proofErr w:type="gramStart"/>
      <w:r w:rsidRPr="00883B82">
        <w:t>similar to</w:t>
      </w:r>
      <w:proofErr w:type="gramEnd"/>
      <w:r w:rsidRPr="00883B82">
        <w:t xml:space="preserve"> </w:t>
      </w:r>
      <w:proofErr w:type="spellStart"/>
      <w:r w:rsidRPr="00883B82">
        <w:rPr>
          <w:i/>
          <w:iCs/>
        </w:rPr>
        <w:t>Pteronotus</w:t>
      </w:r>
      <w:proofErr w:type="spellEnd"/>
      <w:r w:rsidRPr="00883B82">
        <w:rPr>
          <w:i/>
          <w:iCs/>
        </w:rPr>
        <w:t xml:space="preserve"> </w:t>
      </w:r>
      <w:proofErr w:type="spellStart"/>
      <w:r w:rsidRPr="00883B82">
        <w:rPr>
          <w:i/>
          <w:iCs/>
        </w:rPr>
        <w:t>parnell</w:t>
      </w:r>
      <w:r>
        <w:rPr>
          <w:i/>
          <w:iCs/>
        </w:rPr>
        <w:t>i</w:t>
      </w:r>
      <w:r w:rsidRPr="00883B82">
        <w:rPr>
          <w:i/>
          <w:iCs/>
        </w:rPr>
        <w:t>i</w:t>
      </w:r>
      <w:proofErr w:type="spellEnd"/>
      <w:r w:rsidRPr="00883B82">
        <w:rPr>
          <w:i/>
          <w:iCs/>
        </w:rPr>
        <w:t xml:space="preserve"> </w:t>
      </w:r>
      <w:r w:rsidRPr="00883B82">
        <w:t>likely primarily feed on Lepidoptera (</w:t>
      </w:r>
      <w:r>
        <w:t>Emrich et al., 2013</w:t>
      </w:r>
      <w:r w:rsidRPr="00883B82">
        <w:t>)</w:t>
      </w:r>
      <w:r>
        <w:t>, though may also take Coleoptera and Diptera (Ingala et al., 2021; de Oliveira et al., 2020; Rolfe et al., 2014)</w:t>
      </w:r>
      <w:r w:rsidRPr="00883B82">
        <w:t xml:space="preserve">. The movement of </w:t>
      </w:r>
      <w:r w:rsidRPr="00883B82">
        <w:rPr>
          <w:i/>
          <w:iCs/>
        </w:rPr>
        <w:t xml:space="preserve">P. </w:t>
      </w:r>
      <w:proofErr w:type="spellStart"/>
      <w:r w:rsidRPr="00883B82">
        <w:rPr>
          <w:i/>
          <w:iCs/>
        </w:rPr>
        <w:t>alitonus</w:t>
      </w:r>
      <w:proofErr w:type="spellEnd"/>
      <w:r w:rsidRPr="00883B82">
        <w:rPr>
          <w:i/>
          <w:iCs/>
        </w:rPr>
        <w:t xml:space="preserve"> </w:t>
      </w:r>
      <w:r w:rsidRPr="00883B82">
        <w:rPr>
          <w:iCs/>
        </w:rPr>
        <w:t xml:space="preserve">has not been studied, but studies of </w:t>
      </w:r>
      <w:r w:rsidRPr="00883B82">
        <w:rPr>
          <w:i/>
        </w:rPr>
        <w:t xml:space="preserve">P. </w:t>
      </w:r>
      <w:proofErr w:type="spellStart"/>
      <w:r w:rsidRPr="00883B82">
        <w:rPr>
          <w:i/>
        </w:rPr>
        <w:t>mesoamericanus</w:t>
      </w:r>
      <w:proofErr w:type="spellEnd"/>
      <w:r w:rsidRPr="00883B82">
        <w:rPr>
          <w:i/>
        </w:rPr>
        <w:t xml:space="preserve"> </w:t>
      </w:r>
      <w:r w:rsidRPr="00883B82">
        <w:rPr>
          <w:iCs/>
        </w:rPr>
        <w:t>demonstrate that wing morphology allows individuals to fly over large distances and seasonal roost switching may occur (</w:t>
      </w:r>
      <w:r>
        <w:rPr>
          <w:iCs/>
        </w:rPr>
        <w:t>de Oliveira et al., 2020; Santos-Moreno and Hernández-Aguillar, 2022</w:t>
      </w:r>
      <w:r w:rsidRPr="00883B82">
        <w:rPr>
          <w:iCs/>
        </w:rPr>
        <w:t xml:space="preserve">). </w:t>
      </w:r>
      <w:proofErr w:type="spellStart"/>
      <w:r w:rsidRPr="00883B82">
        <w:rPr>
          <w:i/>
        </w:rPr>
        <w:t>Pteronotus</w:t>
      </w:r>
      <w:proofErr w:type="spellEnd"/>
      <w:r w:rsidRPr="00883B82">
        <w:rPr>
          <w:i/>
        </w:rPr>
        <w:t xml:space="preserve"> </w:t>
      </w:r>
      <w:proofErr w:type="spellStart"/>
      <w:r w:rsidRPr="00883B82">
        <w:rPr>
          <w:i/>
        </w:rPr>
        <w:t>parnelli</w:t>
      </w:r>
      <w:r>
        <w:rPr>
          <w:i/>
        </w:rPr>
        <w:t>i</w:t>
      </w:r>
      <w:proofErr w:type="spellEnd"/>
      <w:r w:rsidRPr="00883B82">
        <w:rPr>
          <w:i/>
        </w:rPr>
        <w:t xml:space="preserve"> </w:t>
      </w:r>
      <w:r w:rsidRPr="00883B82">
        <w:rPr>
          <w:iCs/>
        </w:rPr>
        <w:t xml:space="preserve">is also the only species in this complex for which moulting season has been documented </w:t>
      </w:r>
      <w:r w:rsidRPr="00883B82">
        <w:t>(between May and July</w:t>
      </w:r>
      <w:r>
        <w:t>; Smith, 1972</w:t>
      </w:r>
      <w:r w:rsidRPr="00883B82">
        <w:t>), which corresponds to the wet season in Guyana (</w:t>
      </w:r>
      <w:r>
        <w:t>Lim and Engstrom, 2001</w:t>
      </w:r>
      <w:r w:rsidRPr="00883B82">
        <w:t xml:space="preserve">). Our data indicates that hair </w:t>
      </w:r>
      <w:r w:rsidRPr="00883B82">
        <w:rPr>
          <w:i/>
        </w:rPr>
        <w:t>δ</w:t>
      </w:r>
      <w:r w:rsidRPr="00883B82">
        <w:rPr>
          <w:vertAlign w:val="superscript"/>
        </w:rPr>
        <w:t>15</w:t>
      </w:r>
      <w:r w:rsidRPr="00883B82">
        <w:t xml:space="preserve">N was most like patagium, which corresponds to the dry season, though there is no significant difference in </w:t>
      </w:r>
      <w:r w:rsidRPr="00883B82">
        <w:rPr>
          <w:i/>
        </w:rPr>
        <w:t>δ</w:t>
      </w:r>
      <w:r w:rsidRPr="00883B82">
        <w:rPr>
          <w:vertAlign w:val="superscript"/>
        </w:rPr>
        <w:t>15</w:t>
      </w:r>
      <w:r w:rsidRPr="00883B82">
        <w:t xml:space="preserve">N between hair and any tissue other than bone and spleen; it is not possible from this data to determine when the hair was grown. Bone having a distinctly high </w:t>
      </w:r>
      <w:r w:rsidRPr="00883B82">
        <w:rPr>
          <w:i/>
        </w:rPr>
        <w:t>δ</w:t>
      </w:r>
      <w:r w:rsidRPr="00883B82">
        <w:rPr>
          <w:vertAlign w:val="superscript"/>
        </w:rPr>
        <w:t>15</w:t>
      </w:r>
      <w:r w:rsidRPr="00883B82">
        <w:t>N may suggest that these individuals were collected early in their lives, as this can be explained as the signature of the bone being ossified while weaning from mothers’ milk (</w:t>
      </w:r>
      <w:r>
        <w:t>Jenkins et al., 2001</w:t>
      </w:r>
      <w:r w:rsidRPr="00883B82">
        <w:t xml:space="preserve">). </w:t>
      </w:r>
    </w:p>
    <w:p w14:paraId="5C5B02E4" w14:textId="77777777" w:rsidR="001F205C" w:rsidRDefault="001F205C" w:rsidP="009C48B5">
      <w:pPr>
        <w:spacing w:line="480" w:lineRule="auto"/>
        <w:ind w:firstLine="720"/>
      </w:pPr>
    </w:p>
    <w:p w14:paraId="2B424F72" w14:textId="77777777" w:rsidR="001F205C" w:rsidRDefault="001F205C" w:rsidP="009C48B5">
      <w:pPr>
        <w:spacing w:line="480" w:lineRule="auto"/>
        <w:ind w:firstLine="720"/>
      </w:pPr>
    </w:p>
    <w:p w14:paraId="3FCB4C34" w14:textId="5A622BD3" w:rsidR="001F205C" w:rsidRDefault="001F205C" w:rsidP="001F205C">
      <w:pPr>
        <w:spacing w:line="480" w:lineRule="auto"/>
        <w:rPr>
          <w:b/>
          <w:bCs/>
        </w:rPr>
      </w:pPr>
      <w:r>
        <w:rPr>
          <w:b/>
          <w:bCs/>
        </w:rPr>
        <w:lastRenderedPageBreak/>
        <w:t>Works Cited</w:t>
      </w:r>
    </w:p>
    <w:p w14:paraId="1E4B1C03" w14:textId="73A38896" w:rsidR="001F205C" w:rsidRDefault="001F205C" w:rsidP="001F205C">
      <w:r w:rsidRPr="001F205C">
        <w:t xml:space="preserve">Bates P, </w:t>
      </w:r>
      <w:proofErr w:type="spellStart"/>
      <w:r w:rsidRPr="001F205C">
        <w:t>Bumrungsri</w:t>
      </w:r>
      <w:proofErr w:type="spellEnd"/>
      <w:r w:rsidRPr="001F205C">
        <w:t xml:space="preserve"> S, </w:t>
      </w:r>
      <w:proofErr w:type="spellStart"/>
      <w:r w:rsidRPr="001F205C">
        <w:t>Molur</w:t>
      </w:r>
      <w:proofErr w:type="spellEnd"/>
      <w:r w:rsidRPr="001F205C">
        <w:t xml:space="preserve"> S and Srinivasulu C (2019) </w:t>
      </w:r>
      <w:proofErr w:type="spellStart"/>
      <w:r w:rsidRPr="001F205C">
        <w:rPr>
          <w:i/>
          <w:iCs/>
        </w:rPr>
        <w:t>Cynopterus</w:t>
      </w:r>
      <w:proofErr w:type="spellEnd"/>
      <w:r w:rsidRPr="001F205C">
        <w:rPr>
          <w:i/>
          <w:iCs/>
        </w:rPr>
        <w:t xml:space="preserve"> sphinx</w:t>
      </w:r>
      <w:r w:rsidRPr="001F205C">
        <w:t>. The IUCN Red List of Threatened Species e.T6106A22113656.</w:t>
      </w:r>
    </w:p>
    <w:p w14:paraId="4202CCB4" w14:textId="77777777" w:rsidR="001F205C" w:rsidRDefault="001F205C" w:rsidP="001F205C"/>
    <w:p w14:paraId="7A967D23" w14:textId="1F65072F" w:rsidR="001F205C" w:rsidRDefault="001F205C" w:rsidP="001F205C">
      <w:r w:rsidRPr="001F205C">
        <w:t xml:space="preserve">Bianchini E, Emmerick JM, Messetti AVL and Pimenta JA (2015) Phenology of two </w:t>
      </w:r>
      <w:r w:rsidRPr="001F205C">
        <w:rPr>
          <w:i/>
          <w:iCs/>
        </w:rPr>
        <w:t>Ficus</w:t>
      </w:r>
      <w:r w:rsidRPr="001F205C">
        <w:t xml:space="preserve"> species in seasonal semi-deciduous forest in Southern Brazil. </w:t>
      </w:r>
      <w:r w:rsidRPr="000A285F">
        <w:rPr>
          <w:i/>
          <w:iCs/>
        </w:rPr>
        <w:t>Brazilian Journal of Biology</w:t>
      </w:r>
      <w:r w:rsidRPr="001F205C">
        <w:t xml:space="preserve"> </w:t>
      </w:r>
      <w:r w:rsidRPr="000A285F">
        <w:rPr>
          <w:b/>
          <w:bCs/>
        </w:rPr>
        <w:t>75</w:t>
      </w:r>
      <w:r w:rsidRPr="001F205C">
        <w:t>(1), 206–214.</w:t>
      </w:r>
    </w:p>
    <w:p w14:paraId="5E3F0BC5" w14:textId="77777777" w:rsidR="001F205C" w:rsidRDefault="001F205C" w:rsidP="001F205C"/>
    <w:p w14:paraId="08A269F2" w14:textId="58FF8931" w:rsidR="001F205C" w:rsidRDefault="001F205C" w:rsidP="001F205C">
      <w:proofErr w:type="spellStart"/>
      <w:r w:rsidRPr="001F205C">
        <w:t>Bobrowiec</w:t>
      </w:r>
      <w:proofErr w:type="spellEnd"/>
      <w:r w:rsidRPr="001F205C">
        <w:t xml:space="preserve"> PED and Cunha RM (2010) Leaf-consuming behavior in the big fruit-eating bat, </w:t>
      </w:r>
      <w:proofErr w:type="spellStart"/>
      <w:r w:rsidRPr="001F205C">
        <w:rPr>
          <w:i/>
          <w:iCs/>
        </w:rPr>
        <w:t>Artibeus</w:t>
      </w:r>
      <w:proofErr w:type="spellEnd"/>
      <w:r w:rsidRPr="001F205C">
        <w:rPr>
          <w:i/>
          <w:iCs/>
        </w:rPr>
        <w:t xml:space="preserve"> </w:t>
      </w:r>
      <w:proofErr w:type="spellStart"/>
      <w:r w:rsidRPr="001F205C">
        <w:rPr>
          <w:i/>
          <w:iCs/>
        </w:rPr>
        <w:t>lituratus</w:t>
      </w:r>
      <w:proofErr w:type="spellEnd"/>
      <w:r w:rsidRPr="001F205C">
        <w:t xml:space="preserve"> (Olfers, 1818) (</w:t>
      </w:r>
      <w:proofErr w:type="spellStart"/>
      <w:r w:rsidRPr="001F205C">
        <w:t>Chiroptera</w:t>
      </w:r>
      <w:proofErr w:type="spellEnd"/>
      <w:r w:rsidRPr="001F205C">
        <w:t xml:space="preserve">: Phyllostomidae), in an urban area of Southeastern Brazil. </w:t>
      </w:r>
      <w:proofErr w:type="spellStart"/>
      <w:r w:rsidRPr="000A285F">
        <w:rPr>
          <w:i/>
          <w:iCs/>
        </w:rPr>
        <w:t>Chiroptera</w:t>
      </w:r>
      <w:proofErr w:type="spellEnd"/>
      <w:r w:rsidRPr="000A285F">
        <w:rPr>
          <w:i/>
          <w:iCs/>
        </w:rPr>
        <w:t xml:space="preserve"> Neotropical</w:t>
      </w:r>
      <w:r w:rsidRPr="001F205C">
        <w:t xml:space="preserve"> </w:t>
      </w:r>
      <w:r w:rsidRPr="000A285F">
        <w:rPr>
          <w:b/>
          <w:bCs/>
        </w:rPr>
        <w:t>16</w:t>
      </w:r>
      <w:r w:rsidRPr="001F205C">
        <w:t>(1), 595–599.</w:t>
      </w:r>
    </w:p>
    <w:p w14:paraId="73E0821D" w14:textId="77777777" w:rsidR="001F205C" w:rsidRDefault="001F205C" w:rsidP="001F205C"/>
    <w:p w14:paraId="399B92E1" w14:textId="7E4014CE" w:rsidR="001F205C" w:rsidRDefault="001F205C" w:rsidP="001F205C">
      <w:r w:rsidRPr="001F205C">
        <w:t xml:space="preserve">Campbell P (2008) The relationship between roosting ecology and degree of polygyny in harem-forming bats: Perspective from </w:t>
      </w:r>
      <w:proofErr w:type="spellStart"/>
      <w:r w:rsidRPr="001F205C">
        <w:rPr>
          <w:i/>
          <w:iCs/>
        </w:rPr>
        <w:t>Cynopterus</w:t>
      </w:r>
      <w:proofErr w:type="spellEnd"/>
      <w:r w:rsidRPr="001F205C">
        <w:t xml:space="preserve">. </w:t>
      </w:r>
      <w:r w:rsidRPr="000A285F">
        <w:rPr>
          <w:i/>
          <w:iCs/>
        </w:rPr>
        <w:t>Journal of Mammalogy</w:t>
      </w:r>
      <w:r w:rsidRPr="001F205C">
        <w:t xml:space="preserve"> </w:t>
      </w:r>
      <w:r w:rsidRPr="000A285F">
        <w:rPr>
          <w:b/>
          <w:bCs/>
        </w:rPr>
        <w:t>89</w:t>
      </w:r>
      <w:r w:rsidRPr="001F205C">
        <w:t>(6), 1351–1360.</w:t>
      </w:r>
    </w:p>
    <w:p w14:paraId="19F0025B" w14:textId="77777777" w:rsidR="001F205C" w:rsidRDefault="001F205C" w:rsidP="001F205C"/>
    <w:p w14:paraId="68A751D8" w14:textId="4D3360B1" w:rsidR="001F205C" w:rsidRDefault="001F205C" w:rsidP="001F205C">
      <w:r w:rsidRPr="001F205C">
        <w:t xml:space="preserve">Cely-Gómez MA and Castillo-Figueroa D (2019) Diet of dominant frugivorous bat species in an oil palm landscape from Colombian Llanos: Implications for forest conservation and recovery. </w:t>
      </w:r>
      <w:proofErr w:type="spellStart"/>
      <w:r w:rsidRPr="000A285F">
        <w:rPr>
          <w:i/>
          <w:iCs/>
        </w:rPr>
        <w:t>Therya</w:t>
      </w:r>
      <w:proofErr w:type="spellEnd"/>
      <w:r w:rsidRPr="000A285F">
        <w:t xml:space="preserve"> </w:t>
      </w:r>
      <w:r w:rsidRPr="000A285F">
        <w:rPr>
          <w:b/>
          <w:bCs/>
        </w:rPr>
        <w:t>10</w:t>
      </w:r>
      <w:r w:rsidRPr="001F205C">
        <w:t>(2), 149–153.</w:t>
      </w:r>
    </w:p>
    <w:p w14:paraId="6214EA3F" w14:textId="77777777" w:rsidR="001F205C" w:rsidRDefault="001F205C" w:rsidP="001F205C"/>
    <w:p w14:paraId="4E95D444" w14:textId="03A20974" w:rsidR="001F205C" w:rsidRDefault="001F205C" w:rsidP="001F205C">
      <w:r w:rsidRPr="001F205C">
        <w:t xml:space="preserve">de Oliveira HFM, Camargo NF, Hemprich-Bennett DR, Rodríguez-Herrera B, Rossiter SJ and Clare EL (2020) Wing morphology predicts individual niche specialization in </w:t>
      </w:r>
      <w:proofErr w:type="spellStart"/>
      <w:r w:rsidR="000A285F">
        <w:rPr>
          <w:i/>
          <w:iCs/>
        </w:rPr>
        <w:t>P</w:t>
      </w:r>
      <w:r w:rsidRPr="001F205C">
        <w:rPr>
          <w:i/>
          <w:iCs/>
        </w:rPr>
        <w:t>teronotus</w:t>
      </w:r>
      <w:proofErr w:type="spellEnd"/>
      <w:r w:rsidRPr="001F205C">
        <w:rPr>
          <w:i/>
          <w:iCs/>
        </w:rPr>
        <w:t xml:space="preserve"> </w:t>
      </w:r>
      <w:proofErr w:type="spellStart"/>
      <w:r w:rsidRPr="001F205C">
        <w:rPr>
          <w:i/>
          <w:iCs/>
        </w:rPr>
        <w:t>mesoamericanus</w:t>
      </w:r>
      <w:proofErr w:type="spellEnd"/>
      <w:r w:rsidRPr="001F205C">
        <w:t xml:space="preserve"> (Mammalia: </w:t>
      </w:r>
      <w:proofErr w:type="spellStart"/>
      <w:r w:rsidRPr="001F205C">
        <w:t>Chiroptera</w:t>
      </w:r>
      <w:proofErr w:type="spellEnd"/>
      <w:r w:rsidRPr="001F205C">
        <w:t xml:space="preserve">). </w:t>
      </w:r>
      <w:proofErr w:type="spellStart"/>
      <w:r w:rsidRPr="000A285F">
        <w:rPr>
          <w:i/>
          <w:iCs/>
        </w:rPr>
        <w:t>PLoS</w:t>
      </w:r>
      <w:proofErr w:type="spellEnd"/>
      <w:r w:rsidRPr="000A285F">
        <w:rPr>
          <w:i/>
          <w:iCs/>
        </w:rPr>
        <w:t xml:space="preserve"> One</w:t>
      </w:r>
      <w:r w:rsidRPr="001F205C">
        <w:t xml:space="preserve"> </w:t>
      </w:r>
      <w:r w:rsidRPr="000A285F">
        <w:rPr>
          <w:b/>
          <w:bCs/>
        </w:rPr>
        <w:t>15</w:t>
      </w:r>
      <w:r w:rsidRPr="001F205C">
        <w:t>(5), e0232601.</w:t>
      </w:r>
    </w:p>
    <w:p w14:paraId="700310A1" w14:textId="77777777" w:rsidR="001F205C" w:rsidRDefault="001F205C" w:rsidP="001F205C"/>
    <w:p w14:paraId="1E007A78" w14:textId="5FBD6839" w:rsidR="001F205C" w:rsidRDefault="001F205C" w:rsidP="001F205C">
      <w:r w:rsidRPr="001F205C">
        <w:t xml:space="preserve">Emrich MA, Clare EL, Symondson WOC, Koenig SE and Fenton MB (2013) Resource partitioning by insectivorous bats in Jamaica. </w:t>
      </w:r>
      <w:r w:rsidRPr="000A285F">
        <w:rPr>
          <w:i/>
          <w:iCs/>
        </w:rPr>
        <w:t>Molecular Ecology</w:t>
      </w:r>
      <w:r w:rsidRPr="001F205C">
        <w:t xml:space="preserve"> </w:t>
      </w:r>
      <w:r w:rsidRPr="000A285F">
        <w:rPr>
          <w:b/>
          <w:bCs/>
        </w:rPr>
        <w:t>23</w:t>
      </w:r>
      <w:r w:rsidRPr="001F205C">
        <w:t>(15), 3648–3656.</w:t>
      </w:r>
    </w:p>
    <w:p w14:paraId="1A13A2F5" w14:textId="77777777" w:rsidR="001F205C" w:rsidRDefault="001F205C" w:rsidP="001F205C"/>
    <w:p w14:paraId="29CF92DB" w14:textId="37367A9D" w:rsidR="00023184" w:rsidRDefault="001F205C">
      <w:r>
        <w:t>Filippi-</w:t>
      </w:r>
      <w:proofErr w:type="spellStart"/>
      <w:r>
        <w:t>Codaccioni</w:t>
      </w:r>
      <w:proofErr w:type="spellEnd"/>
      <w:r>
        <w:t xml:space="preserve"> O, Beguin MP, de Vienne DM, </w:t>
      </w:r>
      <w:proofErr w:type="spellStart"/>
      <w:r>
        <w:t>Portanier</w:t>
      </w:r>
      <w:proofErr w:type="spellEnd"/>
      <w:r>
        <w:t xml:space="preserve"> E, </w:t>
      </w:r>
      <w:proofErr w:type="spellStart"/>
      <w:r>
        <w:t>Fouchet</w:t>
      </w:r>
      <w:proofErr w:type="spellEnd"/>
      <w:r>
        <w:t xml:space="preserve"> D, </w:t>
      </w:r>
      <w:proofErr w:type="spellStart"/>
      <w:r>
        <w:t>Kaerle</w:t>
      </w:r>
      <w:proofErr w:type="spellEnd"/>
      <w:r>
        <w:t xml:space="preserve"> C, </w:t>
      </w:r>
      <w:proofErr w:type="spellStart"/>
      <w:r>
        <w:t>Muselet</w:t>
      </w:r>
      <w:proofErr w:type="spellEnd"/>
      <w:r>
        <w:t xml:space="preserve"> L, </w:t>
      </w:r>
      <w:proofErr w:type="spellStart"/>
      <w:r>
        <w:t>Queney</w:t>
      </w:r>
      <w:proofErr w:type="spellEnd"/>
      <w:r>
        <w:t xml:space="preserve"> G, Petit EJ, Regis C, Pons JB and Pontier D (2018) Coexistence of two sympatric cryptic bat species in French Guiana: Insights from genetic, acoustic and ecological data. </w:t>
      </w:r>
      <w:r>
        <w:rPr>
          <w:i/>
          <w:iCs/>
        </w:rPr>
        <w:t xml:space="preserve">BMC Evolutionary Biology </w:t>
      </w:r>
      <w:r>
        <w:rPr>
          <w:b/>
          <w:bCs/>
        </w:rPr>
        <w:t>18</w:t>
      </w:r>
      <w:r>
        <w:t>(1), 175.</w:t>
      </w:r>
    </w:p>
    <w:p w14:paraId="757A2D2C" w14:textId="77777777" w:rsidR="001F205C" w:rsidRDefault="001F205C"/>
    <w:p w14:paraId="54BDBC8B" w14:textId="245776A1" w:rsidR="001F205C" w:rsidRPr="000A285F" w:rsidRDefault="001F205C">
      <w:r>
        <w:t xml:space="preserve">Fleming TH and Heithaus ER (1986) Seasonal foraging behavior of the frugivorous bat, </w:t>
      </w:r>
      <w:proofErr w:type="spellStart"/>
      <w:r>
        <w:rPr>
          <w:i/>
          <w:iCs/>
        </w:rPr>
        <w:t>Carollia</w:t>
      </w:r>
      <w:proofErr w:type="spellEnd"/>
      <w:r>
        <w:rPr>
          <w:i/>
          <w:iCs/>
        </w:rPr>
        <w:t xml:space="preserve"> </w:t>
      </w:r>
      <w:proofErr w:type="spellStart"/>
      <w:r>
        <w:rPr>
          <w:i/>
          <w:iCs/>
        </w:rPr>
        <w:t>perspicillata</w:t>
      </w:r>
      <w:proofErr w:type="spellEnd"/>
      <w:r>
        <w:t xml:space="preserve">. </w:t>
      </w:r>
      <w:r w:rsidRPr="000A285F">
        <w:rPr>
          <w:i/>
          <w:iCs/>
        </w:rPr>
        <w:t>Journal of Mammalogy</w:t>
      </w:r>
      <w:r>
        <w:t xml:space="preserve"> </w:t>
      </w:r>
      <w:r w:rsidR="000A285F">
        <w:rPr>
          <w:b/>
          <w:bCs/>
        </w:rPr>
        <w:t>67</w:t>
      </w:r>
      <w:r w:rsidR="000A285F">
        <w:t>(4): 660-671.</w:t>
      </w:r>
    </w:p>
    <w:p w14:paraId="5F1CCF06" w14:textId="77777777" w:rsidR="000A285F" w:rsidRDefault="000A285F">
      <w:pPr>
        <w:rPr>
          <w:b/>
          <w:bCs/>
        </w:rPr>
      </w:pPr>
    </w:p>
    <w:p w14:paraId="62225D41" w14:textId="716AB122" w:rsidR="000A285F" w:rsidRDefault="000A285F">
      <w:r w:rsidRPr="000A285F">
        <w:t xml:space="preserve">Galetti M and </w:t>
      </w:r>
      <w:proofErr w:type="spellStart"/>
      <w:r w:rsidRPr="000A285F">
        <w:t>Morellato</w:t>
      </w:r>
      <w:proofErr w:type="spellEnd"/>
      <w:r w:rsidRPr="000A285F">
        <w:t xml:space="preserve"> LPC (1994) Diet of the large fruit-eating bat </w:t>
      </w:r>
      <w:proofErr w:type="spellStart"/>
      <w:r w:rsidRPr="000A285F">
        <w:rPr>
          <w:i/>
          <w:iCs/>
        </w:rPr>
        <w:t>Artibeus</w:t>
      </w:r>
      <w:proofErr w:type="spellEnd"/>
      <w:r w:rsidRPr="000A285F">
        <w:rPr>
          <w:i/>
          <w:iCs/>
        </w:rPr>
        <w:t xml:space="preserve"> </w:t>
      </w:r>
      <w:proofErr w:type="spellStart"/>
      <w:r w:rsidRPr="000A285F">
        <w:rPr>
          <w:i/>
          <w:iCs/>
        </w:rPr>
        <w:t>lituratus</w:t>
      </w:r>
      <w:proofErr w:type="spellEnd"/>
      <w:r w:rsidRPr="000A285F">
        <w:t xml:space="preserve"> in a forest fragment in Brazil. </w:t>
      </w:r>
      <w:r w:rsidRPr="000A285F">
        <w:rPr>
          <w:i/>
          <w:iCs/>
        </w:rPr>
        <w:t>Mammalia</w:t>
      </w:r>
      <w:r w:rsidRPr="000A285F">
        <w:t xml:space="preserve"> </w:t>
      </w:r>
      <w:r w:rsidRPr="000A285F">
        <w:rPr>
          <w:b/>
          <w:bCs/>
        </w:rPr>
        <w:t>58</w:t>
      </w:r>
      <w:r w:rsidRPr="000A285F">
        <w:t>(4), 661–665.</w:t>
      </w:r>
    </w:p>
    <w:p w14:paraId="614144AB" w14:textId="77777777" w:rsidR="000A285F" w:rsidRDefault="000A285F"/>
    <w:p w14:paraId="779C50A1" w14:textId="039E56C4" w:rsidR="000A285F" w:rsidRDefault="000A285F">
      <w:r w:rsidRPr="000A285F">
        <w:t>Hardman G (2011) Are elevated δ</w:t>
      </w:r>
      <w:r w:rsidRPr="000A285F">
        <w:rPr>
          <w:vertAlign w:val="superscript"/>
        </w:rPr>
        <w:t>15</w:t>
      </w:r>
      <w:r w:rsidRPr="000A285F">
        <w:t xml:space="preserve">N values in herbivores in hot and arid environments caused by diet or animal physiology? </w:t>
      </w:r>
      <w:r w:rsidRPr="000A285F">
        <w:rPr>
          <w:i/>
          <w:iCs/>
        </w:rPr>
        <w:t>Functional Ecology</w:t>
      </w:r>
      <w:r w:rsidRPr="000A285F">
        <w:t xml:space="preserve"> </w:t>
      </w:r>
      <w:r w:rsidRPr="000A285F">
        <w:rPr>
          <w:b/>
          <w:bCs/>
        </w:rPr>
        <w:t>25</w:t>
      </w:r>
      <w:r w:rsidRPr="000A285F">
        <w:t>(1), 122–131.</w:t>
      </w:r>
    </w:p>
    <w:p w14:paraId="1E812BE6" w14:textId="77777777" w:rsidR="000A285F" w:rsidRDefault="000A285F"/>
    <w:p w14:paraId="6DD0F787" w14:textId="77777777" w:rsidR="000A285F" w:rsidRDefault="000A285F">
      <w:r>
        <w:t xml:space="preserve">Ingala MR, Simmons NB, </w:t>
      </w:r>
      <w:proofErr w:type="spellStart"/>
      <w:r>
        <w:t>Wultsch</w:t>
      </w:r>
      <w:proofErr w:type="spellEnd"/>
      <w:r>
        <w:t xml:space="preserve"> C, </w:t>
      </w:r>
      <w:proofErr w:type="spellStart"/>
      <w:r>
        <w:t>Krampis</w:t>
      </w:r>
      <w:proofErr w:type="spellEnd"/>
      <w:r>
        <w:t xml:space="preserve"> K, Provost KL and Perkins SL (2021) Molecular diet analysis of neotropical bats based on fecal DNA metabarcoding. </w:t>
      </w:r>
      <w:r>
        <w:rPr>
          <w:i/>
          <w:iCs/>
        </w:rPr>
        <w:t xml:space="preserve">Ecology and Evolution </w:t>
      </w:r>
      <w:r>
        <w:rPr>
          <w:b/>
          <w:bCs/>
        </w:rPr>
        <w:t>11</w:t>
      </w:r>
      <w:r>
        <w:t>, 7474-7491.</w:t>
      </w:r>
    </w:p>
    <w:p w14:paraId="00AC5247" w14:textId="4C442875" w:rsidR="000A285F" w:rsidRDefault="000A285F">
      <w:r w:rsidRPr="000A285F">
        <w:lastRenderedPageBreak/>
        <w:t xml:space="preserve">Jenkins SG, Partridge ST, Stephenson TR, Farley SD and Robbins CT (2001) Nitrogen and carbon isotope fractionation between mothers, neonates, and nursing offspring. </w:t>
      </w:r>
      <w:proofErr w:type="spellStart"/>
      <w:r w:rsidRPr="000A285F">
        <w:t>Oecologia</w:t>
      </w:r>
      <w:proofErr w:type="spellEnd"/>
      <w:r w:rsidRPr="000A285F">
        <w:t xml:space="preserve"> 129, 336–341.</w:t>
      </w:r>
    </w:p>
    <w:p w14:paraId="750D242E" w14:textId="77777777" w:rsidR="000A285F" w:rsidRDefault="000A285F"/>
    <w:p w14:paraId="2BF050E0" w14:textId="603516F5" w:rsidR="000A285F" w:rsidRDefault="000A285F">
      <w:r w:rsidRPr="000A285F">
        <w:t xml:space="preserve">Laurindo RS and </w:t>
      </w:r>
      <w:proofErr w:type="spellStart"/>
      <w:r w:rsidRPr="000A285F">
        <w:t>Vizentin-Bugoni</w:t>
      </w:r>
      <w:proofErr w:type="spellEnd"/>
      <w:r w:rsidRPr="000A285F">
        <w:t xml:space="preserve"> J (2020) Diversity of fruits in </w:t>
      </w:r>
      <w:proofErr w:type="spellStart"/>
      <w:r w:rsidRPr="000A285F">
        <w:rPr>
          <w:i/>
          <w:iCs/>
        </w:rPr>
        <w:t>Artibeus</w:t>
      </w:r>
      <w:proofErr w:type="spellEnd"/>
      <w:r w:rsidRPr="000A285F">
        <w:rPr>
          <w:i/>
          <w:iCs/>
        </w:rPr>
        <w:t xml:space="preserve"> </w:t>
      </w:r>
      <w:proofErr w:type="spellStart"/>
      <w:r w:rsidRPr="000A285F">
        <w:rPr>
          <w:i/>
          <w:iCs/>
        </w:rPr>
        <w:t>lituratus</w:t>
      </w:r>
      <w:proofErr w:type="spellEnd"/>
      <w:r w:rsidRPr="000A285F">
        <w:t xml:space="preserve"> diet in urban and natural habitats in Brazil: A review. Journal of Tropical Ecology 36, 65–71.</w:t>
      </w:r>
    </w:p>
    <w:p w14:paraId="58B76254" w14:textId="77777777" w:rsidR="000A285F" w:rsidRDefault="000A285F"/>
    <w:p w14:paraId="638A7403" w14:textId="523E6F87" w:rsidR="000A285F" w:rsidRDefault="000A285F">
      <w:r w:rsidRPr="000A285F">
        <w:t xml:space="preserve">Lim BK and Engstrom MD (2001) Bat community structure at </w:t>
      </w:r>
      <w:proofErr w:type="spellStart"/>
      <w:r w:rsidRPr="000A285F">
        <w:t>Iwokrama</w:t>
      </w:r>
      <w:proofErr w:type="spellEnd"/>
      <w:r w:rsidRPr="000A285F">
        <w:t xml:space="preserve"> forest, Guyana. Journal of Tropical Ecology 17(5), 647–665.</w:t>
      </w:r>
    </w:p>
    <w:p w14:paraId="0EADFA03" w14:textId="77777777" w:rsidR="000A285F" w:rsidRDefault="000A285F"/>
    <w:p w14:paraId="621194D4" w14:textId="57B5F999" w:rsidR="000A285F" w:rsidRDefault="000A285F">
      <w:r w:rsidRPr="000A285F">
        <w:t xml:space="preserve">Lu S, Chen T, Huang Z, Li Y and Lu C (2021) Interannual variation in food choice of white-headed langur inhabiting limestone forests in </w:t>
      </w:r>
      <w:proofErr w:type="spellStart"/>
      <w:r w:rsidRPr="000A285F">
        <w:t>Fusui</w:t>
      </w:r>
      <w:proofErr w:type="spellEnd"/>
      <w:r w:rsidRPr="000A285F">
        <w:t>, southwest Guangxi, China. Ecology and Evolution 11(14), 9349–9360.</w:t>
      </w:r>
    </w:p>
    <w:p w14:paraId="52A84B87" w14:textId="77777777" w:rsidR="00642693" w:rsidRDefault="00642693"/>
    <w:p w14:paraId="7A61EE9F" w14:textId="76FC2244" w:rsidR="00642693" w:rsidRDefault="00642693">
      <w:r>
        <w:t xml:space="preserve">Mello MAR, </w:t>
      </w:r>
      <w:proofErr w:type="spellStart"/>
      <w:r>
        <w:t>Schittini</w:t>
      </w:r>
      <w:proofErr w:type="spellEnd"/>
      <w:r>
        <w:t xml:space="preserve"> GM, Selig P, and </w:t>
      </w:r>
      <w:proofErr w:type="spellStart"/>
      <w:r>
        <w:t>Bergallo</w:t>
      </w:r>
      <w:proofErr w:type="spellEnd"/>
      <w:r>
        <w:t xml:space="preserve"> HG (2004)</w:t>
      </w:r>
      <w:r w:rsidR="006F1E4C">
        <w:t xml:space="preserve"> Seasonal variation in the diet of the bat </w:t>
      </w:r>
      <w:proofErr w:type="spellStart"/>
      <w:r w:rsidR="006F1E4C">
        <w:rPr>
          <w:i/>
          <w:iCs/>
        </w:rPr>
        <w:t>Carollia</w:t>
      </w:r>
      <w:proofErr w:type="spellEnd"/>
      <w:r w:rsidR="006F1E4C">
        <w:rPr>
          <w:i/>
          <w:iCs/>
        </w:rPr>
        <w:t xml:space="preserve"> </w:t>
      </w:r>
      <w:proofErr w:type="spellStart"/>
      <w:r w:rsidR="006F1E4C">
        <w:rPr>
          <w:i/>
          <w:iCs/>
        </w:rPr>
        <w:t>perspicillata</w:t>
      </w:r>
      <w:proofErr w:type="spellEnd"/>
      <w:r w:rsidR="006F1E4C">
        <w:rPr>
          <w:i/>
          <w:iCs/>
        </w:rPr>
        <w:t xml:space="preserve"> </w:t>
      </w:r>
      <w:r w:rsidR="005F6630">
        <w:t>(</w:t>
      </w:r>
      <w:proofErr w:type="spellStart"/>
      <w:r w:rsidR="005F6630">
        <w:t>Chiroptera</w:t>
      </w:r>
      <w:proofErr w:type="spellEnd"/>
      <w:r w:rsidR="005F6630">
        <w:t xml:space="preserve">: Phyllostomidae) in an Atlantic Forest area in southeastern Brazil. </w:t>
      </w:r>
      <w:r w:rsidR="005F6630">
        <w:rPr>
          <w:i/>
          <w:iCs/>
        </w:rPr>
        <w:t xml:space="preserve">Acta </w:t>
      </w:r>
      <w:proofErr w:type="spellStart"/>
      <w:r w:rsidR="005F6630">
        <w:rPr>
          <w:i/>
          <w:iCs/>
        </w:rPr>
        <w:t>Chiropterologica</w:t>
      </w:r>
      <w:proofErr w:type="spellEnd"/>
      <w:r w:rsidR="005F6630">
        <w:rPr>
          <w:i/>
          <w:iCs/>
        </w:rPr>
        <w:t xml:space="preserve"> </w:t>
      </w:r>
      <w:r w:rsidR="005F6630">
        <w:rPr>
          <w:b/>
          <w:bCs/>
        </w:rPr>
        <w:t>68</w:t>
      </w:r>
      <w:r w:rsidR="005F6630">
        <w:t>, 49-55.</w:t>
      </w:r>
    </w:p>
    <w:p w14:paraId="17EC1397" w14:textId="77777777" w:rsidR="005F6630" w:rsidRDefault="005F6630"/>
    <w:p w14:paraId="76332D41" w14:textId="4F3D0DCF" w:rsidR="005F6630" w:rsidRDefault="005F6630">
      <w:r>
        <w:t xml:space="preserve">Mendes P, Vieira TB, Oprea M and Ditchfield AD (2009) Long-distance movement of </w:t>
      </w:r>
      <w:proofErr w:type="spellStart"/>
      <w:r>
        <w:rPr>
          <w:i/>
          <w:iCs/>
        </w:rPr>
        <w:t>Artibeus</w:t>
      </w:r>
      <w:proofErr w:type="spellEnd"/>
      <w:r>
        <w:rPr>
          <w:i/>
          <w:iCs/>
        </w:rPr>
        <w:t xml:space="preserve"> </w:t>
      </w:r>
      <w:proofErr w:type="spellStart"/>
      <w:r>
        <w:rPr>
          <w:i/>
          <w:iCs/>
        </w:rPr>
        <w:t>lituratus</w:t>
      </w:r>
      <w:proofErr w:type="spellEnd"/>
      <w:r>
        <w:rPr>
          <w:i/>
          <w:iCs/>
        </w:rPr>
        <w:t xml:space="preserve"> </w:t>
      </w:r>
      <w:r>
        <w:t>(</w:t>
      </w:r>
      <w:proofErr w:type="spellStart"/>
      <w:r>
        <w:t>Chiroptera</w:t>
      </w:r>
      <w:proofErr w:type="spellEnd"/>
      <w:r>
        <w:t xml:space="preserve">: Phyllostomidae) in the state of Espírito Santo, Brazil. </w:t>
      </w:r>
      <w:proofErr w:type="spellStart"/>
      <w:r>
        <w:rPr>
          <w:i/>
          <w:iCs/>
        </w:rPr>
        <w:t>Ecotropica</w:t>
      </w:r>
      <w:proofErr w:type="spellEnd"/>
      <w:r>
        <w:rPr>
          <w:i/>
          <w:iCs/>
        </w:rPr>
        <w:t xml:space="preserve"> </w:t>
      </w:r>
      <w:r>
        <w:rPr>
          <w:b/>
          <w:bCs/>
        </w:rPr>
        <w:t>15</w:t>
      </w:r>
      <w:r>
        <w:t>, 43-46.</w:t>
      </w:r>
    </w:p>
    <w:p w14:paraId="1CCF4684" w14:textId="77777777" w:rsidR="005F6630" w:rsidRDefault="005F6630"/>
    <w:p w14:paraId="27DCEF88" w14:textId="5BB4F44D" w:rsidR="005F6630" w:rsidRDefault="005F6630">
      <w:r w:rsidRPr="005F6630">
        <w:t xml:space="preserve">Milton K (1991) Leaf change and fruit production in six Neotropical </w:t>
      </w:r>
      <w:proofErr w:type="spellStart"/>
      <w:r w:rsidRPr="005F6630">
        <w:t>Moraceae</w:t>
      </w:r>
      <w:proofErr w:type="spellEnd"/>
      <w:r w:rsidRPr="005F6630">
        <w:t xml:space="preserve"> species. Journal of Ecology 79, 1–26.</w:t>
      </w:r>
    </w:p>
    <w:p w14:paraId="03A1CCAA" w14:textId="77777777" w:rsidR="005F6630" w:rsidRDefault="005F6630"/>
    <w:p w14:paraId="23308104" w14:textId="05464FC6" w:rsidR="005F6630" w:rsidRDefault="005F6630">
      <w:r>
        <w:t xml:space="preserve">Milton K, Windsor DM, Morrison DW and </w:t>
      </w:r>
      <w:proofErr w:type="spellStart"/>
      <w:r>
        <w:t>Estribi</w:t>
      </w:r>
      <w:proofErr w:type="spellEnd"/>
      <w:r>
        <w:t xml:space="preserve"> MA (1982) Fruiting </w:t>
      </w:r>
      <w:proofErr w:type="spellStart"/>
      <w:r>
        <w:t>phenologies</w:t>
      </w:r>
      <w:proofErr w:type="spellEnd"/>
      <w:r>
        <w:t xml:space="preserve"> of two Neotropical </w:t>
      </w:r>
      <w:r>
        <w:rPr>
          <w:i/>
          <w:iCs/>
        </w:rPr>
        <w:t xml:space="preserve">Ficus </w:t>
      </w:r>
      <w:r>
        <w:t xml:space="preserve">species. </w:t>
      </w:r>
      <w:r>
        <w:rPr>
          <w:i/>
          <w:iCs/>
        </w:rPr>
        <w:t xml:space="preserve">Ecology </w:t>
      </w:r>
      <w:r>
        <w:rPr>
          <w:b/>
          <w:bCs/>
        </w:rPr>
        <w:t>63</w:t>
      </w:r>
      <w:r>
        <w:t>(3), 752-762.</w:t>
      </w:r>
    </w:p>
    <w:p w14:paraId="42B17F7A" w14:textId="77777777" w:rsidR="005F6630" w:rsidRDefault="005F6630"/>
    <w:p w14:paraId="3DE443B0" w14:textId="58FA4416" w:rsidR="005F6630" w:rsidRPr="005F6630" w:rsidRDefault="005F6630">
      <w:r w:rsidRPr="005F6630">
        <w:t xml:space="preserve">Milton K (1991) Leaf change and fruit production in six Neotropical </w:t>
      </w:r>
      <w:proofErr w:type="spellStart"/>
      <w:r w:rsidRPr="005F6630">
        <w:t>Moraceae</w:t>
      </w:r>
      <w:proofErr w:type="spellEnd"/>
      <w:r w:rsidRPr="005F6630">
        <w:t xml:space="preserve"> species. Journal of Ecology 79, 1–26.</w:t>
      </w:r>
    </w:p>
    <w:p w14:paraId="7CC56517" w14:textId="77777777" w:rsidR="005F6630" w:rsidRDefault="005F6630"/>
    <w:p w14:paraId="235E7EE8" w14:textId="1C4736E0" w:rsidR="00FD48DB" w:rsidRDefault="00FD48DB">
      <w:r w:rsidRPr="00FD48DB">
        <w:t xml:space="preserve">Pavan AC, </w:t>
      </w:r>
      <w:proofErr w:type="spellStart"/>
      <w:r w:rsidRPr="00FD48DB">
        <w:t>Bobrowiec</w:t>
      </w:r>
      <w:proofErr w:type="spellEnd"/>
      <w:r w:rsidRPr="00FD48DB">
        <w:t xml:space="preserve"> PED and </w:t>
      </w:r>
      <w:proofErr w:type="spellStart"/>
      <w:r w:rsidRPr="00FD48DB">
        <w:t>Percequillo</w:t>
      </w:r>
      <w:proofErr w:type="spellEnd"/>
      <w:r w:rsidRPr="00FD48DB">
        <w:t xml:space="preserve"> AR (2018) Geographic variation in a South American clade of mormoopid bats, </w:t>
      </w:r>
      <w:proofErr w:type="spellStart"/>
      <w:r w:rsidRPr="00FD48DB">
        <w:rPr>
          <w:i/>
          <w:iCs/>
        </w:rPr>
        <w:t>Pteronotus</w:t>
      </w:r>
      <w:proofErr w:type="spellEnd"/>
      <w:r w:rsidRPr="00FD48DB">
        <w:t xml:space="preserve"> (</w:t>
      </w:r>
      <w:proofErr w:type="spellStart"/>
      <w:r w:rsidRPr="00FD48DB">
        <w:rPr>
          <w:i/>
          <w:iCs/>
        </w:rPr>
        <w:t>Phyllodia</w:t>
      </w:r>
      <w:proofErr w:type="spellEnd"/>
      <w:r w:rsidRPr="00FD48DB">
        <w:t>), with description of a new species. Journal of Mammalogy 99(3), 624–645.</w:t>
      </w:r>
    </w:p>
    <w:p w14:paraId="2DA0FEE4" w14:textId="77777777" w:rsidR="00FD48DB" w:rsidRDefault="00FD48DB"/>
    <w:p w14:paraId="267B56E6" w14:textId="0ED2EEE5" w:rsidR="00FD48DB" w:rsidRDefault="00FD48DB">
      <w:proofErr w:type="spellStart"/>
      <w:r>
        <w:t>Pellón</w:t>
      </w:r>
      <w:proofErr w:type="spellEnd"/>
      <w:r>
        <w:t xml:space="preserve"> JJ, Medina-Espinoza EF, Lim BK, Cornejo F and Medellín RA (2023) Eat what you can, when you can: Relatively high arthropod consumption by frugivorous bats in Amazonian Peru. </w:t>
      </w:r>
      <w:r>
        <w:rPr>
          <w:i/>
          <w:iCs/>
        </w:rPr>
        <w:t xml:space="preserve">Mammalian Biology </w:t>
      </w:r>
      <w:r>
        <w:rPr>
          <w:b/>
          <w:bCs/>
        </w:rPr>
        <w:t>103</w:t>
      </w:r>
      <w:r>
        <w:t>, 137-144.</w:t>
      </w:r>
    </w:p>
    <w:p w14:paraId="65E37B41" w14:textId="77777777" w:rsidR="00FD48DB" w:rsidRDefault="00FD48DB"/>
    <w:p w14:paraId="0851E654" w14:textId="4EBC4129" w:rsidR="00FD48DB" w:rsidRDefault="00FD48DB">
      <w:r w:rsidRPr="00FD48DB">
        <w:t xml:space="preserve">Ríos-Blanco MC and Pérez-Torres J (2015) Dieta de las </w:t>
      </w:r>
      <w:proofErr w:type="spellStart"/>
      <w:r w:rsidRPr="00FD48DB">
        <w:t>especies</w:t>
      </w:r>
      <w:proofErr w:type="spellEnd"/>
      <w:r w:rsidRPr="00FD48DB">
        <w:t xml:space="preserve"> </w:t>
      </w:r>
      <w:proofErr w:type="spellStart"/>
      <w:r w:rsidRPr="00FD48DB">
        <w:t>dominantes</w:t>
      </w:r>
      <w:proofErr w:type="spellEnd"/>
      <w:r w:rsidRPr="00FD48DB">
        <w:t xml:space="preserve"> del </w:t>
      </w:r>
      <w:proofErr w:type="spellStart"/>
      <w:r w:rsidRPr="00FD48DB">
        <w:t>ensamblaje</w:t>
      </w:r>
      <w:proofErr w:type="spellEnd"/>
      <w:r w:rsidRPr="00FD48DB">
        <w:t xml:space="preserve"> de </w:t>
      </w:r>
      <w:proofErr w:type="spellStart"/>
      <w:r w:rsidRPr="00FD48DB">
        <w:t>murciélagos</w:t>
      </w:r>
      <w:proofErr w:type="spellEnd"/>
      <w:r w:rsidRPr="00FD48DB">
        <w:t xml:space="preserve"> </w:t>
      </w:r>
      <w:proofErr w:type="spellStart"/>
      <w:r w:rsidRPr="00FD48DB">
        <w:t>frugívoros</w:t>
      </w:r>
      <w:proofErr w:type="spellEnd"/>
      <w:r w:rsidRPr="00FD48DB">
        <w:t xml:space="preserve"> </w:t>
      </w:r>
      <w:proofErr w:type="spellStart"/>
      <w:r w:rsidRPr="00FD48DB">
        <w:t>en</w:t>
      </w:r>
      <w:proofErr w:type="spellEnd"/>
      <w:r w:rsidRPr="00FD48DB">
        <w:t xml:space="preserve"> un bosque seco tropical (Colombia). </w:t>
      </w:r>
      <w:proofErr w:type="spellStart"/>
      <w:r w:rsidRPr="00FD48DB">
        <w:t>Mastozoologica</w:t>
      </w:r>
      <w:proofErr w:type="spellEnd"/>
      <w:r w:rsidRPr="00FD48DB">
        <w:t xml:space="preserve"> </w:t>
      </w:r>
      <w:proofErr w:type="spellStart"/>
      <w:r w:rsidRPr="00FD48DB">
        <w:t>Neotropica</w:t>
      </w:r>
      <w:proofErr w:type="spellEnd"/>
      <w:r w:rsidRPr="00FD48DB">
        <w:t xml:space="preserve"> 22(1), 103–111.</w:t>
      </w:r>
    </w:p>
    <w:p w14:paraId="1455B1C3" w14:textId="77777777" w:rsidR="00FD48DB" w:rsidRDefault="00FD48DB"/>
    <w:p w14:paraId="7FD7417C" w14:textId="49ACA0EB" w:rsidR="00FD48DB" w:rsidRDefault="00FD48DB">
      <w:r w:rsidRPr="00FD48DB">
        <w:t>Rolfe AK, Kurta A and Clemans DL (2014) Species-level analysis of diets of two mormoopid bats from Puerto Rico. Journal of Mammalogy 95(3), 587–596.</w:t>
      </w:r>
    </w:p>
    <w:p w14:paraId="3B0CF322" w14:textId="77777777" w:rsidR="00FD48DB" w:rsidRDefault="00FD48DB"/>
    <w:p w14:paraId="55223DE9" w14:textId="6E44CC8F" w:rsidR="00FD48DB" w:rsidRDefault="00FD48DB">
      <w:proofErr w:type="spellStart"/>
      <w:r>
        <w:lastRenderedPageBreak/>
        <w:t>Ruadero</w:t>
      </w:r>
      <w:proofErr w:type="spellEnd"/>
      <w:r>
        <w:t xml:space="preserve"> N, Voigt CC and </w:t>
      </w:r>
      <w:proofErr w:type="spellStart"/>
      <w:r>
        <w:t>Bumrungsri</w:t>
      </w:r>
      <w:proofErr w:type="spellEnd"/>
      <w:r>
        <w:t xml:space="preserve"> S (2018) Large dietary niche overlap of sympatric open-space foraging bats revealed by carbon and nitrogen stable isotopes. </w:t>
      </w:r>
      <w:r>
        <w:rPr>
          <w:i/>
          <w:iCs/>
        </w:rPr>
        <w:t xml:space="preserve">Acta </w:t>
      </w:r>
      <w:proofErr w:type="spellStart"/>
      <w:r>
        <w:rPr>
          <w:i/>
          <w:iCs/>
        </w:rPr>
        <w:t>Chiropterologica</w:t>
      </w:r>
      <w:proofErr w:type="spellEnd"/>
      <w:r>
        <w:rPr>
          <w:i/>
          <w:iCs/>
        </w:rPr>
        <w:t xml:space="preserve"> </w:t>
      </w:r>
      <w:r>
        <w:rPr>
          <w:b/>
          <w:bCs/>
        </w:rPr>
        <w:t>20</w:t>
      </w:r>
      <w:r>
        <w:t xml:space="preserve">(2), 329-341. </w:t>
      </w:r>
    </w:p>
    <w:p w14:paraId="2FB304DE" w14:textId="77777777" w:rsidR="00FD48DB" w:rsidRDefault="00FD48DB"/>
    <w:p w14:paraId="6A69B304" w14:textId="0F84EB2D" w:rsidR="00FD48DB" w:rsidRDefault="00FD48DB">
      <w:r w:rsidRPr="00FD48DB">
        <w:t xml:space="preserve">Ruby J, Nathan PT, </w:t>
      </w:r>
      <w:proofErr w:type="spellStart"/>
      <w:r w:rsidRPr="00FD48DB">
        <w:t>Balasingh</w:t>
      </w:r>
      <w:proofErr w:type="spellEnd"/>
      <w:r w:rsidRPr="00FD48DB">
        <w:t xml:space="preserve"> J and Kunz TH (2000) Chemical composition of fruits and leaves eaten by short-nosed fruit bat, </w:t>
      </w:r>
      <w:proofErr w:type="spellStart"/>
      <w:r w:rsidRPr="00FD48DB">
        <w:rPr>
          <w:i/>
          <w:iCs/>
        </w:rPr>
        <w:t>Cynopterus</w:t>
      </w:r>
      <w:proofErr w:type="spellEnd"/>
      <w:r w:rsidRPr="00FD48DB">
        <w:rPr>
          <w:i/>
          <w:iCs/>
        </w:rPr>
        <w:t xml:space="preserve"> sphinx</w:t>
      </w:r>
      <w:r w:rsidRPr="00FD48DB">
        <w:t>. Journal of Chemical Ecology 26, 2825–2841.</w:t>
      </w:r>
    </w:p>
    <w:p w14:paraId="0D86E8EC" w14:textId="77777777" w:rsidR="00FD48DB" w:rsidRDefault="00FD48DB"/>
    <w:p w14:paraId="6E4AFE07" w14:textId="46D49659" w:rsidR="00FD48DB" w:rsidRDefault="00FD48DB">
      <w:r w:rsidRPr="00FD48DB">
        <w:t>Saldaña-Vázquez RA (2014) Intrinsic and extrinsic factors affecting dietary specialization in Neotropical frugivorous bats. Mammal Review 44(3–4), 215–224.</w:t>
      </w:r>
    </w:p>
    <w:p w14:paraId="26DECFFC" w14:textId="77777777" w:rsidR="009B6256" w:rsidRDefault="009B6256"/>
    <w:p w14:paraId="6F68D2FF" w14:textId="05157717" w:rsidR="009B6256" w:rsidRDefault="009B6256">
      <w:r>
        <w:t>Santos-Moreno A and Hernández-Aguillar I (2022) Movements of three mormoopid bat species (</w:t>
      </w:r>
      <w:proofErr w:type="spellStart"/>
      <w:r>
        <w:t>Chiroptera</w:t>
      </w:r>
      <w:proofErr w:type="spellEnd"/>
      <w:r>
        <w:t xml:space="preserve">, </w:t>
      </w:r>
      <w:proofErr w:type="spellStart"/>
      <w:r>
        <w:t>Mormoopidae</w:t>
      </w:r>
      <w:proofErr w:type="spellEnd"/>
      <w:r>
        <w:t xml:space="preserve">) among three underground roosts in Southeastern Mexico. </w:t>
      </w:r>
      <w:r>
        <w:rPr>
          <w:i/>
          <w:iCs/>
        </w:rPr>
        <w:t xml:space="preserve">Mammalia </w:t>
      </w:r>
      <w:r>
        <w:rPr>
          <w:b/>
          <w:bCs/>
        </w:rPr>
        <w:t>86</w:t>
      </w:r>
      <w:r>
        <w:t>(5), 474-482.</w:t>
      </w:r>
    </w:p>
    <w:p w14:paraId="72CC819B" w14:textId="77777777" w:rsidR="009B6256" w:rsidRDefault="009B6256"/>
    <w:p w14:paraId="32C84461" w14:textId="2835C056" w:rsidR="009B6256" w:rsidRDefault="009B6256">
      <w:r w:rsidRPr="009B6256">
        <w:t xml:space="preserve">Smith JD (1972) Systematics of the chiropteran family </w:t>
      </w:r>
      <w:proofErr w:type="spellStart"/>
      <w:r w:rsidRPr="009B6256">
        <w:t>mormoopidae</w:t>
      </w:r>
      <w:proofErr w:type="spellEnd"/>
      <w:r w:rsidRPr="009B6256">
        <w:t>. Miscellaneous Publications of the University of Kansas Museum of Natural History 56, 1–132.</w:t>
      </w:r>
    </w:p>
    <w:p w14:paraId="0F015337" w14:textId="77777777" w:rsidR="009B6256" w:rsidRDefault="009B6256"/>
    <w:p w14:paraId="3F26F747" w14:textId="5DA0329C" w:rsidR="009B6256" w:rsidRDefault="009B6256">
      <w:r w:rsidRPr="009B6256">
        <w:t xml:space="preserve">Srinivasulu C and Srinivasulu A (2020) </w:t>
      </w:r>
      <w:proofErr w:type="spellStart"/>
      <w:r w:rsidRPr="009B6256">
        <w:rPr>
          <w:i/>
          <w:iCs/>
        </w:rPr>
        <w:t>Hipposideros</w:t>
      </w:r>
      <w:proofErr w:type="spellEnd"/>
      <w:r w:rsidRPr="009B6256">
        <w:rPr>
          <w:i/>
          <w:iCs/>
        </w:rPr>
        <w:t xml:space="preserve"> </w:t>
      </w:r>
      <w:proofErr w:type="spellStart"/>
      <w:r w:rsidRPr="009B6256">
        <w:rPr>
          <w:i/>
          <w:iCs/>
        </w:rPr>
        <w:t>larvatus</w:t>
      </w:r>
      <w:proofErr w:type="spellEnd"/>
      <w:r w:rsidRPr="009B6256">
        <w:t>. The IUCN Red List of Threatened Species e.T85646564A22091287.</w:t>
      </w:r>
    </w:p>
    <w:p w14:paraId="22FBE626" w14:textId="77777777" w:rsidR="009B6256" w:rsidRDefault="009B6256"/>
    <w:p w14:paraId="380ECF2C" w14:textId="3F264E69" w:rsidR="009B6256" w:rsidRDefault="009B6256">
      <w:r>
        <w:t xml:space="preserve">Storz JF, </w:t>
      </w:r>
      <w:proofErr w:type="spellStart"/>
      <w:r>
        <w:t>Balasingh</w:t>
      </w:r>
      <w:proofErr w:type="spellEnd"/>
      <w:r>
        <w:t xml:space="preserve"> J, Nathan PT, Emmanuel K and Kunz TH (2000) Dispersion and site fidelity in a tent-roosting population of the short-nosed fruit bat (</w:t>
      </w:r>
      <w:proofErr w:type="spellStart"/>
      <w:r>
        <w:rPr>
          <w:i/>
          <w:iCs/>
        </w:rPr>
        <w:t>Cynopterus</w:t>
      </w:r>
      <w:proofErr w:type="spellEnd"/>
      <w:r>
        <w:rPr>
          <w:i/>
          <w:iCs/>
        </w:rPr>
        <w:t xml:space="preserve"> sphinx</w:t>
      </w:r>
      <w:r>
        <w:t xml:space="preserve">) in Southern India. </w:t>
      </w:r>
      <w:r>
        <w:rPr>
          <w:i/>
          <w:iCs/>
        </w:rPr>
        <w:t xml:space="preserve">Journal of Tropical Ecology </w:t>
      </w:r>
      <w:r>
        <w:rPr>
          <w:b/>
          <w:bCs/>
        </w:rPr>
        <w:t>16</w:t>
      </w:r>
      <w:r>
        <w:t xml:space="preserve">(1), 117-131. </w:t>
      </w:r>
    </w:p>
    <w:p w14:paraId="3F060F1E" w14:textId="77777777" w:rsidR="009B6256" w:rsidRDefault="009B6256"/>
    <w:p w14:paraId="2B438D59" w14:textId="1137097C" w:rsidR="009B6256" w:rsidRDefault="009B6256">
      <w:r w:rsidRPr="009B6256">
        <w:t xml:space="preserve">Tang C, Huang L, Huang Z, </w:t>
      </w:r>
      <w:proofErr w:type="spellStart"/>
      <w:r w:rsidRPr="009B6256">
        <w:t>Krzton</w:t>
      </w:r>
      <w:proofErr w:type="spellEnd"/>
      <w:r w:rsidRPr="009B6256">
        <w:t xml:space="preserve"> A, Lu C and Zhou Q (2016) Forest seasonality shapes diet of limestone-living rhesus macaques at </w:t>
      </w:r>
      <w:proofErr w:type="spellStart"/>
      <w:r w:rsidRPr="009B6256">
        <w:t>Nonggang</w:t>
      </w:r>
      <w:proofErr w:type="spellEnd"/>
      <w:r w:rsidRPr="009B6256">
        <w:t>, China. Primates 57, 83–92.</w:t>
      </w:r>
    </w:p>
    <w:p w14:paraId="5FA74CEF" w14:textId="77777777" w:rsidR="009B6256" w:rsidRDefault="009B6256"/>
    <w:p w14:paraId="097217CF" w14:textId="23AF6111" w:rsidR="009B6256" w:rsidRPr="009B6256" w:rsidRDefault="009B6256">
      <w:r w:rsidRPr="009B6256">
        <w:t>Tidermann CR, Kitchener DJ, Zann RA and Thornton IWB (1990) Recolonization of the Krakatau Islands and adjacent areas of West Java, Indonesia, by bats (</w:t>
      </w:r>
      <w:proofErr w:type="spellStart"/>
      <w:r w:rsidRPr="009B6256">
        <w:t>Chiroptera</w:t>
      </w:r>
      <w:proofErr w:type="spellEnd"/>
      <w:r w:rsidRPr="009B6256">
        <w:t>) 1883-1986. Philosophical Transactions of the Royal Society of London B 328(1245), 128–130.</w:t>
      </w:r>
    </w:p>
    <w:p w14:paraId="3FAF2578" w14:textId="77777777" w:rsidR="009B6256" w:rsidRPr="009B6256" w:rsidRDefault="009B6256"/>
    <w:p w14:paraId="5399349C" w14:textId="59AA93EF" w:rsidR="00FD48DB" w:rsidRDefault="009B6256">
      <w:r>
        <w:t xml:space="preserve">Voigt CC and Matt F (2004) Nitrogen stress causes unpredictable enrichments of </w:t>
      </w:r>
      <w:r>
        <w:rPr>
          <w:vertAlign w:val="superscript"/>
        </w:rPr>
        <w:t>15</w:t>
      </w:r>
      <w:r>
        <w:t xml:space="preserve">N in two nectar-feeding bat species. </w:t>
      </w:r>
      <w:r>
        <w:rPr>
          <w:i/>
          <w:iCs/>
        </w:rPr>
        <w:t xml:space="preserve">Journal of Experimental Biology </w:t>
      </w:r>
      <w:r>
        <w:rPr>
          <w:b/>
          <w:bCs/>
        </w:rPr>
        <w:t>207</w:t>
      </w:r>
      <w:r>
        <w:t xml:space="preserve">, 1741-1748. </w:t>
      </w:r>
    </w:p>
    <w:p w14:paraId="374AFB04" w14:textId="77777777" w:rsidR="009B6256" w:rsidRDefault="009B6256"/>
    <w:p w14:paraId="7909DF9A" w14:textId="214E018B" w:rsidR="009B6256" w:rsidRDefault="009B6256">
      <w:r>
        <w:t xml:space="preserve">Willig MR, Camilo GR and Noble SJ (1993) Dietary overlap in frugivorous and insectivorous bats from edaphic Cerrado habitats of Brazil. </w:t>
      </w:r>
      <w:r>
        <w:rPr>
          <w:i/>
          <w:iCs/>
        </w:rPr>
        <w:t xml:space="preserve">Journal of Mammalogy </w:t>
      </w:r>
      <w:r>
        <w:rPr>
          <w:b/>
          <w:bCs/>
        </w:rPr>
        <w:t>74</w:t>
      </w:r>
      <w:r>
        <w:t>(1), 117-128.</w:t>
      </w:r>
    </w:p>
    <w:p w14:paraId="7122FF8D" w14:textId="77777777" w:rsidR="009B6256" w:rsidRDefault="009B6256"/>
    <w:p w14:paraId="712C721A" w14:textId="77777777" w:rsidR="009B6256" w:rsidRPr="009B6256" w:rsidRDefault="009B6256"/>
    <w:p w14:paraId="62C9F6CD" w14:textId="77777777" w:rsidR="00FD48DB" w:rsidRDefault="00FD48DB"/>
    <w:p w14:paraId="199E656A" w14:textId="77777777" w:rsidR="00FD48DB" w:rsidRDefault="00FD48DB"/>
    <w:p w14:paraId="1B5366B7" w14:textId="77777777" w:rsidR="00FD48DB" w:rsidRDefault="00FD48DB"/>
    <w:p w14:paraId="26354428" w14:textId="77777777" w:rsidR="00FD48DB" w:rsidRDefault="00FD48DB"/>
    <w:p w14:paraId="4A749C6B" w14:textId="77777777" w:rsidR="00FD48DB" w:rsidRPr="00FD48DB" w:rsidRDefault="00FD48DB"/>
    <w:p w14:paraId="39386555" w14:textId="77777777" w:rsidR="00FD48DB" w:rsidRDefault="00FD48DB"/>
    <w:p w14:paraId="271237BD" w14:textId="77777777" w:rsidR="00FD48DB" w:rsidRDefault="00FD48DB"/>
    <w:p w14:paraId="42E1E30A" w14:textId="77777777" w:rsidR="00FD48DB" w:rsidRDefault="00FD48DB"/>
    <w:p w14:paraId="3460F06F" w14:textId="77777777" w:rsidR="00FD48DB" w:rsidRDefault="00FD48DB"/>
    <w:p w14:paraId="39D893EE" w14:textId="77777777" w:rsidR="00FD48DB" w:rsidRDefault="00FD48DB"/>
    <w:p w14:paraId="2A7E4AAF" w14:textId="77777777" w:rsidR="00FD48DB" w:rsidRPr="00FD48DB" w:rsidRDefault="00FD48DB"/>
    <w:p w14:paraId="6E167C62" w14:textId="77777777" w:rsidR="005F6630" w:rsidRPr="005F6630" w:rsidRDefault="005F6630"/>
    <w:p w14:paraId="52BB78CE" w14:textId="77777777" w:rsidR="005F6630" w:rsidRDefault="005F6630"/>
    <w:p w14:paraId="5B10BACE" w14:textId="77777777" w:rsidR="005F6630" w:rsidRPr="005F6630" w:rsidRDefault="005F6630"/>
    <w:p w14:paraId="6E06A80D" w14:textId="77777777" w:rsidR="000A285F" w:rsidRDefault="000A285F"/>
    <w:p w14:paraId="48A497B2" w14:textId="77777777" w:rsidR="000A285F" w:rsidRPr="000A285F" w:rsidRDefault="000A285F"/>
    <w:sectPr w:rsidR="000A285F" w:rsidRPr="000A2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B5"/>
    <w:rsid w:val="00023184"/>
    <w:rsid w:val="00024F9D"/>
    <w:rsid w:val="000A285F"/>
    <w:rsid w:val="001F205C"/>
    <w:rsid w:val="002022E6"/>
    <w:rsid w:val="002158D9"/>
    <w:rsid w:val="00237C77"/>
    <w:rsid w:val="003255C5"/>
    <w:rsid w:val="00334F59"/>
    <w:rsid w:val="0059121F"/>
    <w:rsid w:val="005F6630"/>
    <w:rsid w:val="00642693"/>
    <w:rsid w:val="006F1E4C"/>
    <w:rsid w:val="00735BA0"/>
    <w:rsid w:val="007E6EC3"/>
    <w:rsid w:val="00831D23"/>
    <w:rsid w:val="008A5B8C"/>
    <w:rsid w:val="009B6256"/>
    <w:rsid w:val="009C48B5"/>
    <w:rsid w:val="00A6392E"/>
    <w:rsid w:val="00B131D1"/>
    <w:rsid w:val="00FD48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23591"/>
  <w15:chartTrackingRefBased/>
  <w15:docId w15:val="{414A075F-3AD0-4756-8516-7D8F4CD2B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8B5"/>
    <w:pPr>
      <w:spacing w:after="0" w:line="240" w:lineRule="auto"/>
    </w:pPr>
    <w:rPr>
      <w:rFonts w:ascii="Times New Roman" w:eastAsiaTheme="minorHAnsi" w:hAnsi="Times New Roman" w:cs="Times New Roman"/>
      <w:kern w:val="0"/>
      <w:lang w:val="en-CA" w:eastAsia="en-US"/>
      <w14:ligatures w14:val="none"/>
    </w:rPr>
  </w:style>
  <w:style w:type="paragraph" w:styleId="Heading1">
    <w:name w:val="heading 1"/>
    <w:basedOn w:val="Normal"/>
    <w:next w:val="Normal"/>
    <w:link w:val="Heading1Char"/>
    <w:uiPriority w:val="9"/>
    <w:qFormat/>
    <w:rsid w:val="009C48B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ja-JP"/>
      <w14:ligatures w14:val="standardContextual"/>
    </w:rPr>
  </w:style>
  <w:style w:type="paragraph" w:styleId="Heading2">
    <w:name w:val="heading 2"/>
    <w:basedOn w:val="Normal"/>
    <w:next w:val="Normal"/>
    <w:link w:val="Heading2Char"/>
    <w:uiPriority w:val="9"/>
    <w:semiHidden/>
    <w:unhideWhenUsed/>
    <w:qFormat/>
    <w:rsid w:val="009C48B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ja-JP"/>
      <w14:ligatures w14:val="standardContextual"/>
    </w:rPr>
  </w:style>
  <w:style w:type="paragraph" w:styleId="Heading3">
    <w:name w:val="heading 3"/>
    <w:basedOn w:val="Normal"/>
    <w:next w:val="Normal"/>
    <w:link w:val="Heading3Char"/>
    <w:uiPriority w:val="9"/>
    <w:semiHidden/>
    <w:unhideWhenUsed/>
    <w:qFormat/>
    <w:rsid w:val="009C48B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ja-JP"/>
      <w14:ligatures w14:val="standardContextual"/>
    </w:rPr>
  </w:style>
  <w:style w:type="paragraph" w:styleId="Heading4">
    <w:name w:val="heading 4"/>
    <w:basedOn w:val="Normal"/>
    <w:next w:val="Normal"/>
    <w:link w:val="Heading4Char"/>
    <w:uiPriority w:val="9"/>
    <w:semiHidden/>
    <w:unhideWhenUsed/>
    <w:qFormat/>
    <w:rsid w:val="009C48B5"/>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val="en-US" w:eastAsia="ja-JP"/>
      <w14:ligatures w14:val="standardContextual"/>
    </w:rPr>
  </w:style>
  <w:style w:type="paragraph" w:styleId="Heading5">
    <w:name w:val="heading 5"/>
    <w:basedOn w:val="Normal"/>
    <w:next w:val="Normal"/>
    <w:link w:val="Heading5Char"/>
    <w:uiPriority w:val="9"/>
    <w:semiHidden/>
    <w:unhideWhenUsed/>
    <w:qFormat/>
    <w:rsid w:val="009C48B5"/>
    <w:pPr>
      <w:keepNext/>
      <w:keepLines/>
      <w:spacing w:before="80" w:after="40" w:line="278" w:lineRule="auto"/>
      <w:outlineLvl w:val="4"/>
    </w:pPr>
    <w:rPr>
      <w:rFonts w:asciiTheme="minorHAnsi" w:eastAsiaTheme="majorEastAsia" w:hAnsiTheme="minorHAnsi" w:cstheme="majorBidi"/>
      <w:color w:val="0F4761" w:themeColor="accent1" w:themeShade="BF"/>
      <w:kern w:val="2"/>
      <w:lang w:val="en-US" w:eastAsia="ja-JP"/>
      <w14:ligatures w14:val="standardContextual"/>
    </w:rPr>
  </w:style>
  <w:style w:type="paragraph" w:styleId="Heading6">
    <w:name w:val="heading 6"/>
    <w:basedOn w:val="Normal"/>
    <w:next w:val="Normal"/>
    <w:link w:val="Heading6Char"/>
    <w:uiPriority w:val="9"/>
    <w:semiHidden/>
    <w:unhideWhenUsed/>
    <w:qFormat/>
    <w:rsid w:val="009C48B5"/>
    <w:pPr>
      <w:keepNext/>
      <w:keepLines/>
      <w:spacing w:before="40" w:line="278" w:lineRule="auto"/>
      <w:outlineLvl w:val="5"/>
    </w:pPr>
    <w:rPr>
      <w:rFonts w:asciiTheme="minorHAnsi" w:eastAsiaTheme="majorEastAsia" w:hAnsiTheme="minorHAnsi" w:cstheme="majorBidi"/>
      <w:i/>
      <w:iCs/>
      <w:color w:val="595959" w:themeColor="text1" w:themeTint="A6"/>
      <w:kern w:val="2"/>
      <w:lang w:val="en-US" w:eastAsia="ja-JP"/>
      <w14:ligatures w14:val="standardContextual"/>
    </w:rPr>
  </w:style>
  <w:style w:type="paragraph" w:styleId="Heading7">
    <w:name w:val="heading 7"/>
    <w:basedOn w:val="Normal"/>
    <w:next w:val="Normal"/>
    <w:link w:val="Heading7Char"/>
    <w:uiPriority w:val="9"/>
    <w:semiHidden/>
    <w:unhideWhenUsed/>
    <w:qFormat/>
    <w:rsid w:val="009C48B5"/>
    <w:pPr>
      <w:keepNext/>
      <w:keepLines/>
      <w:spacing w:before="40" w:line="278" w:lineRule="auto"/>
      <w:outlineLvl w:val="6"/>
    </w:pPr>
    <w:rPr>
      <w:rFonts w:asciiTheme="minorHAnsi" w:eastAsiaTheme="majorEastAsia" w:hAnsiTheme="minorHAnsi" w:cstheme="majorBidi"/>
      <w:color w:val="595959" w:themeColor="text1" w:themeTint="A6"/>
      <w:kern w:val="2"/>
      <w:lang w:val="en-US" w:eastAsia="ja-JP"/>
      <w14:ligatures w14:val="standardContextual"/>
    </w:rPr>
  </w:style>
  <w:style w:type="paragraph" w:styleId="Heading8">
    <w:name w:val="heading 8"/>
    <w:basedOn w:val="Normal"/>
    <w:next w:val="Normal"/>
    <w:link w:val="Heading8Char"/>
    <w:uiPriority w:val="9"/>
    <w:semiHidden/>
    <w:unhideWhenUsed/>
    <w:qFormat/>
    <w:rsid w:val="009C48B5"/>
    <w:pPr>
      <w:keepNext/>
      <w:keepLines/>
      <w:spacing w:line="278" w:lineRule="auto"/>
      <w:outlineLvl w:val="7"/>
    </w:pPr>
    <w:rPr>
      <w:rFonts w:asciiTheme="minorHAnsi" w:eastAsiaTheme="majorEastAsia" w:hAnsiTheme="minorHAnsi" w:cstheme="majorBidi"/>
      <w:i/>
      <w:iCs/>
      <w:color w:val="272727" w:themeColor="text1" w:themeTint="D8"/>
      <w:kern w:val="2"/>
      <w:lang w:val="en-US" w:eastAsia="ja-JP"/>
      <w14:ligatures w14:val="standardContextual"/>
    </w:rPr>
  </w:style>
  <w:style w:type="paragraph" w:styleId="Heading9">
    <w:name w:val="heading 9"/>
    <w:basedOn w:val="Normal"/>
    <w:next w:val="Normal"/>
    <w:link w:val="Heading9Char"/>
    <w:uiPriority w:val="9"/>
    <w:semiHidden/>
    <w:unhideWhenUsed/>
    <w:qFormat/>
    <w:rsid w:val="009C48B5"/>
    <w:pPr>
      <w:keepNext/>
      <w:keepLines/>
      <w:spacing w:line="278" w:lineRule="auto"/>
      <w:outlineLvl w:val="8"/>
    </w:pPr>
    <w:rPr>
      <w:rFonts w:asciiTheme="minorHAnsi" w:eastAsiaTheme="majorEastAsia" w:hAnsiTheme="minorHAnsi" w:cstheme="majorBidi"/>
      <w:color w:val="272727" w:themeColor="text1" w:themeTint="D8"/>
      <w:kern w:val="2"/>
      <w:lang w:val="en-US" w:eastAsia="ja-JP"/>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48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48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48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48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48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48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48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48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48B5"/>
    <w:rPr>
      <w:rFonts w:eastAsiaTheme="majorEastAsia" w:cstheme="majorBidi"/>
      <w:color w:val="272727" w:themeColor="text1" w:themeTint="D8"/>
    </w:rPr>
  </w:style>
  <w:style w:type="paragraph" w:styleId="Title">
    <w:name w:val="Title"/>
    <w:basedOn w:val="Normal"/>
    <w:next w:val="Normal"/>
    <w:link w:val="TitleChar"/>
    <w:uiPriority w:val="10"/>
    <w:qFormat/>
    <w:rsid w:val="009C48B5"/>
    <w:pPr>
      <w:spacing w:after="80"/>
      <w:contextualSpacing/>
    </w:pPr>
    <w:rPr>
      <w:rFonts w:asciiTheme="majorHAnsi" w:eastAsiaTheme="majorEastAsia" w:hAnsiTheme="majorHAnsi" w:cstheme="majorBidi"/>
      <w:spacing w:val="-10"/>
      <w:kern w:val="28"/>
      <w:sz w:val="56"/>
      <w:szCs w:val="56"/>
      <w:lang w:val="en-US" w:eastAsia="ja-JP"/>
      <w14:ligatures w14:val="standardContextual"/>
    </w:rPr>
  </w:style>
  <w:style w:type="character" w:customStyle="1" w:styleId="TitleChar">
    <w:name w:val="Title Char"/>
    <w:basedOn w:val="DefaultParagraphFont"/>
    <w:link w:val="Title"/>
    <w:uiPriority w:val="10"/>
    <w:rsid w:val="009C48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48B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ja-JP"/>
      <w14:ligatures w14:val="standardContextual"/>
    </w:rPr>
  </w:style>
  <w:style w:type="character" w:customStyle="1" w:styleId="SubtitleChar">
    <w:name w:val="Subtitle Char"/>
    <w:basedOn w:val="DefaultParagraphFont"/>
    <w:link w:val="Subtitle"/>
    <w:uiPriority w:val="11"/>
    <w:rsid w:val="009C48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48B5"/>
    <w:pPr>
      <w:spacing w:before="160" w:after="160" w:line="278" w:lineRule="auto"/>
      <w:jc w:val="center"/>
    </w:pPr>
    <w:rPr>
      <w:rFonts w:asciiTheme="minorHAnsi" w:eastAsiaTheme="minorEastAsia" w:hAnsiTheme="minorHAnsi" w:cstheme="minorBidi"/>
      <w:i/>
      <w:iCs/>
      <w:color w:val="404040" w:themeColor="text1" w:themeTint="BF"/>
      <w:kern w:val="2"/>
      <w:lang w:val="en-US" w:eastAsia="ja-JP"/>
      <w14:ligatures w14:val="standardContextual"/>
    </w:rPr>
  </w:style>
  <w:style w:type="character" w:customStyle="1" w:styleId="QuoteChar">
    <w:name w:val="Quote Char"/>
    <w:basedOn w:val="DefaultParagraphFont"/>
    <w:link w:val="Quote"/>
    <w:uiPriority w:val="29"/>
    <w:rsid w:val="009C48B5"/>
    <w:rPr>
      <w:i/>
      <w:iCs/>
      <w:color w:val="404040" w:themeColor="text1" w:themeTint="BF"/>
    </w:rPr>
  </w:style>
  <w:style w:type="paragraph" w:styleId="ListParagraph">
    <w:name w:val="List Paragraph"/>
    <w:basedOn w:val="Normal"/>
    <w:uiPriority w:val="34"/>
    <w:qFormat/>
    <w:rsid w:val="009C48B5"/>
    <w:pPr>
      <w:spacing w:after="160" w:line="278" w:lineRule="auto"/>
      <w:ind w:left="720"/>
      <w:contextualSpacing/>
    </w:pPr>
    <w:rPr>
      <w:rFonts w:asciiTheme="minorHAnsi" w:eastAsiaTheme="minorEastAsia" w:hAnsiTheme="minorHAnsi" w:cstheme="minorBidi"/>
      <w:kern w:val="2"/>
      <w:lang w:val="en-US" w:eastAsia="ja-JP"/>
      <w14:ligatures w14:val="standardContextual"/>
    </w:rPr>
  </w:style>
  <w:style w:type="character" w:styleId="IntenseEmphasis">
    <w:name w:val="Intense Emphasis"/>
    <w:basedOn w:val="DefaultParagraphFont"/>
    <w:uiPriority w:val="21"/>
    <w:qFormat/>
    <w:rsid w:val="009C48B5"/>
    <w:rPr>
      <w:i/>
      <w:iCs/>
      <w:color w:val="0F4761" w:themeColor="accent1" w:themeShade="BF"/>
    </w:rPr>
  </w:style>
  <w:style w:type="paragraph" w:styleId="IntenseQuote">
    <w:name w:val="Intense Quote"/>
    <w:basedOn w:val="Normal"/>
    <w:next w:val="Normal"/>
    <w:link w:val="IntenseQuoteChar"/>
    <w:uiPriority w:val="30"/>
    <w:qFormat/>
    <w:rsid w:val="009C48B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kern w:val="2"/>
      <w:lang w:val="en-US" w:eastAsia="ja-JP"/>
      <w14:ligatures w14:val="standardContextual"/>
    </w:rPr>
  </w:style>
  <w:style w:type="character" w:customStyle="1" w:styleId="IntenseQuoteChar">
    <w:name w:val="Intense Quote Char"/>
    <w:basedOn w:val="DefaultParagraphFont"/>
    <w:link w:val="IntenseQuote"/>
    <w:uiPriority w:val="30"/>
    <w:rsid w:val="009C48B5"/>
    <w:rPr>
      <w:i/>
      <w:iCs/>
      <w:color w:val="0F4761" w:themeColor="accent1" w:themeShade="BF"/>
    </w:rPr>
  </w:style>
  <w:style w:type="character" w:styleId="IntenseReference">
    <w:name w:val="Intense Reference"/>
    <w:basedOn w:val="DefaultParagraphFont"/>
    <w:uiPriority w:val="32"/>
    <w:qFormat/>
    <w:rsid w:val="009C48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2172</Words>
  <Characters>12385</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Hall</dc:creator>
  <cp:keywords/>
  <dc:description/>
  <cp:lastModifiedBy>Phillip Oelbaum</cp:lastModifiedBy>
  <cp:revision>2</cp:revision>
  <dcterms:created xsi:type="dcterms:W3CDTF">2026-06-03T17:09:00Z</dcterms:created>
  <dcterms:modified xsi:type="dcterms:W3CDTF">2026-06-03T17:09:00Z</dcterms:modified>
</cp:coreProperties>
</file>