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AE69D8" w14:textId="35F04B21" w:rsidR="0074428A" w:rsidRPr="00115EE9" w:rsidRDefault="0074428A" w:rsidP="0074428A">
      <w:pPr>
        <w:spacing w:before="120" w:after="120"/>
        <w:rPr>
          <w:rFonts w:ascii="Times New Roman" w:hAnsi="Times New Roman" w:cs="Times New Roman"/>
          <w:b/>
          <w:bCs/>
          <w:color w:val="auto"/>
          <w:sz w:val="24"/>
          <w:szCs w:val="24"/>
        </w:rPr>
      </w:pPr>
      <w:r w:rsidRPr="00115EE9">
        <w:rPr>
          <w:rFonts w:ascii="Times New Roman" w:hAnsi="Times New Roman" w:cs="Times New Roman"/>
          <w:b/>
          <w:bCs/>
          <w:color w:val="auto"/>
          <w:sz w:val="24"/>
          <w:szCs w:val="24"/>
        </w:rPr>
        <w:t>Supporting information for</w:t>
      </w:r>
    </w:p>
    <w:p w14:paraId="36045023" w14:textId="77777777" w:rsidR="0074428A" w:rsidRPr="00115EE9" w:rsidRDefault="0074428A" w:rsidP="0074428A">
      <w:pPr>
        <w:spacing w:before="120" w:after="120"/>
        <w:rPr>
          <w:rFonts w:ascii="Times New Roman" w:hAnsi="Times New Roman" w:cs="Times New Roman"/>
          <w:b/>
          <w:bCs/>
          <w:color w:val="auto"/>
          <w:sz w:val="24"/>
          <w:szCs w:val="24"/>
        </w:rPr>
      </w:pPr>
    </w:p>
    <w:p w14:paraId="7FA48367" w14:textId="25FEC890" w:rsidR="0074428A" w:rsidRPr="00243520" w:rsidRDefault="00243520" w:rsidP="0074428A">
      <w:pPr>
        <w:spacing w:before="120" w:after="120"/>
        <w:rPr>
          <w:rFonts w:ascii="Times New Roman" w:hAnsi="Times New Roman" w:cs="Times New Roman"/>
          <w:b/>
          <w:bCs/>
          <w:color w:val="auto"/>
          <w:sz w:val="24"/>
          <w:szCs w:val="24"/>
        </w:rPr>
      </w:pPr>
      <w:r w:rsidRPr="00243520">
        <w:rPr>
          <w:b/>
          <w:color w:val="auto"/>
          <w:sz w:val="24"/>
          <w:szCs w:val="24"/>
        </w:rPr>
        <w:t xml:space="preserve">Local scale carbon stock measurements, including deep soil layers, in a Terra </w:t>
      </w:r>
      <w:proofErr w:type="spellStart"/>
      <w:r w:rsidRPr="00243520">
        <w:rPr>
          <w:b/>
          <w:color w:val="auto"/>
          <w:sz w:val="24"/>
          <w:szCs w:val="24"/>
        </w:rPr>
        <w:t>firme</w:t>
      </w:r>
      <w:proofErr w:type="spellEnd"/>
      <w:r w:rsidRPr="00243520">
        <w:rPr>
          <w:b/>
          <w:color w:val="auto"/>
          <w:sz w:val="24"/>
          <w:szCs w:val="24"/>
        </w:rPr>
        <w:t xml:space="preserve"> forest </w:t>
      </w:r>
      <w:r w:rsidRPr="00243520">
        <w:rPr>
          <w:b/>
          <w:sz w:val="24"/>
          <w:szCs w:val="24"/>
        </w:rPr>
        <w:t>in northwestern Amazon.</w:t>
      </w:r>
    </w:p>
    <w:p w14:paraId="4D3A2F7A" w14:textId="77777777" w:rsidR="0091217C" w:rsidRPr="00115EE9" w:rsidRDefault="0091217C" w:rsidP="0074428A">
      <w:pPr>
        <w:spacing w:before="120" w:after="120" w:line="480" w:lineRule="auto"/>
        <w:rPr>
          <w:rFonts w:ascii="Times New Roman" w:hAnsi="Times New Roman" w:cs="Times New Roman"/>
          <w:color w:val="auto"/>
          <w:sz w:val="24"/>
          <w:szCs w:val="24"/>
          <w:lang w:val="es-CO"/>
        </w:rPr>
      </w:pPr>
      <w:r w:rsidRPr="00115EE9">
        <w:rPr>
          <w:rFonts w:ascii="Times New Roman" w:hAnsi="Times New Roman" w:cs="Times New Roman"/>
          <w:color w:val="auto"/>
          <w:sz w:val="24"/>
          <w:szCs w:val="24"/>
          <w:lang w:val="es-CO"/>
        </w:rPr>
        <w:t>Alvaro Duque</w:t>
      </w:r>
      <w:r w:rsidRPr="00115EE9">
        <w:rPr>
          <w:rFonts w:ascii="Times New Roman" w:hAnsi="Times New Roman" w:cs="Times New Roman"/>
          <w:color w:val="auto"/>
          <w:sz w:val="24"/>
          <w:szCs w:val="24"/>
          <w:vertAlign w:val="superscript"/>
          <w:lang w:val="es-CO"/>
        </w:rPr>
        <w:t>1</w:t>
      </w:r>
      <w:r w:rsidRPr="00115EE9">
        <w:rPr>
          <w:rFonts w:ascii="Times New Roman" w:hAnsi="Times New Roman" w:cs="Times New Roman"/>
          <w:color w:val="auto"/>
          <w:sz w:val="24"/>
          <w:szCs w:val="24"/>
          <w:lang w:val="es-CO"/>
        </w:rPr>
        <w:t xml:space="preserve">*, </w:t>
      </w:r>
      <w:bookmarkStart w:id="0" w:name="_GoBack"/>
      <w:bookmarkEnd w:id="0"/>
      <w:r w:rsidRPr="00115EE9">
        <w:rPr>
          <w:rFonts w:ascii="Times New Roman" w:hAnsi="Times New Roman" w:cs="Times New Roman"/>
          <w:color w:val="auto"/>
          <w:sz w:val="24"/>
          <w:szCs w:val="24"/>
          <w:lang w:val="es-CO"/>
        </w:rPr>
        <w:t>Luisa F. Gómez-Correa</w:t>
      </w:r>
      <w:r w:rsidRPr="00115EE9">
        <w:rPr>
          <w:rFonts w:ascii="Times New Roman" w:hAnsi="Times New Roman" w:cs="Times New Roman"/>
          <w:color w:val="auto"/>
          <w:sz w:val="24"/>
          <w:szCs w:val="24"/>
          <w:vertAlign w:val="superscript"/>
          <w:lang w:val="es-CO"/>
        </w:rPr>
        <w:t>1</w:t>
      </w:r>
      <w:r w:rsidRPr="00115EE9">
        <w:rPr>
          <w:rFonts w:ascii="Times New Roman" w:hAnsi="Times New Roman" w:cs="Times New Roman"/>
          <w:color w:val="auto"/>
          <w:sz w:val="24"/>
          <w:szCs w:val="24"/>
          <w:lang w:val="es-CO"/>
        </w:rPr>
        <w:t>, Andrés Barona</w:t>
      </w:r>
      <w:r w:rsidRPr="00115EE9">
        <w:rPr>
          <w:rFonts w:ascii="Times New Roman" w:hAnsi="Times New Roman" w:cs="Times New Roman"/>
          <w:color w:val="auto"/>
          <w:sz w:val="24"/>
          <w:szCs w:val="24"/>
          <w:vertAlign w:val="superscript"/>
          <w:lang w:val="es-CO"/>
        </w:rPr>
        <w:t>2</w:t>
      </w:r>
      <w:r w:rsidRPr="00115EE9">
        <w:rPr>
          <w:rFonts w:ascii="Times New Roman" w:hAnsi="Times New Roman" w:cs="Times New Roman"/>
          <w:color w:val="auto"/>
          <w:sz w:val="24"/>
          <w:szCs w:val="24"/>
          <w:lang w:val="es-CO"/>
        </w:rPr>
        <w:t>, Nicolás Castaño</w:t>
      </w:r>
      <w:r w:rsidRPr="00115EE9">
        <w:rPr>
          <w:rFonts w:ascii="Times New Roman" w:hAnsi="Times New Roman" w:cs="Times New Roman"/>
          <w:color w:val="auto"/>
          <w:sz w:val="24"/>
          <w:szCs w:val="24"/>
          <w:vertAlign w:val="superscript"/>
          <w:lang w:val="es-CO"/>
        </w:rPr>
        <w:t>2</w:t>
      </w:r>
      <w:r w:rsidRPr="00115EE9">
        <w:rPr>
          <w:rFonts w:ascii="Times New Roman" w:hAnsi="Times New Roman" w:cs="Times New Roman"/>
          <w:color w:val="auto"/>
          <w:sz w:val="24"/>
          <w:szCs w:val="24"/>
          <w:lang w:val="es-CO"/>
        </w:rPr>
        <w:t>, Stuart Davies</w:t>
      </w:r>
      <w:r w:rsidRPr="00115EE9">
        <w:rPr>
          <w:rFonts w:ascii="Times New Roman" w:hAnsi="Times New Roman" w:cs="Times New Roman"/>
          <w:color w:val="auto"/>
          <w:sz w:val="24"/>
          <w:szCs w:val="24"/>
          <w:vertAlign w:val="superscript"/>
          <w:lang w:val="es-CO"/>
        </w:rPr>
        <w:t>3</w:t>
      </w:r>
      <w:r w:rsidRPr="00115EE9">
        <w:rPr>
          <w:rFonts w:ascii="Times New Roman" w:hAnsi="Times New Roman" w:cs="Times New Roman"/>
          <w:color w:val="auto"/>
          <w:sz w:val="24"/>
          <w:szCs w:val="24"/>
          <w:lang w:val="es-CO"/>
        </w:rPr>
        <w:t>, Daniel Zuleta</w:t>
      </w:r>
      <w:r w:rsidRPr="00115EE9">
        <w:rPr>
          <w:rFonts w:ascii="Times New Roman" w:hAnsi="Times New Roman" w:cs="Times New Roman"/>
          <w:color w:val="auto"/>
          <w:sz w:val="24"/>
          <w:szCs w:val="24"/>
          <w:vertAlign w:val="superscript"/>
          <w:lang w:val="es-CO"/>
        </w:rPr>
        <w:t>3</w:t>
      </w:r>
      <w:r w:rsidRPr="00115EE9">
        <w:rPr>
          <w:rFonts w:ascii="Times New Roman" w:hAnsi="Times New Roman" w:cs="Times New Roman"/>
          <w:color w:val="auto"/>
          <w:sz w:val="24"/>
          <w:szCs w:val="24"/>
          <w:lang w:val="es-CO"/>
        </w:rPr>
        <w:t>, Helene C. Muller-Landau</w:t>
      </w:r>
      <w:r w:rsidRPr="00115EE9">
        <w:rPr>
          <w:rFonts w:ascii="Times New Roman" w:hAnsi="Times New Roman" w:cs="Times New Roman"/>
          <w:color w:val="auto"/>
          <w:sz w:val="24"/>
          <w:szCs w:val="24"/>
          <w:vertAlign w:val="superscript"/>
          <w:lang w:val="es-CO"/>
        </w:rPr>
        <w:t>3,4</w:t>
      </w:r>
      <w:r w:rsidRPr="00115EE9">
        <w:rPr>
          <w:rFonts w:ascii="Times New Roman" w:hAnsi="Times New Roman" w:cs="Times New Roman"/>
          <w:color w:val="auto"/>
          <w:sz w:val="24"/>
          <w:szCs w:val="24"/>
          <w:lang w:val="es-CO"/>
        </w:rPr>
        <w:t>.</w:t>
      </w:r>
    </w:p>
    <w:p w14:paraId="4B9B4F81" w14:textId="77777777" w:rsidR="0074428A" w:rsidRPr="00115EE9" w:rsidRDefault="0074428A" w:rsidP="0074428A">
      <w:pPr>
        <w:spacing w:before="120" w:after="120" w:line="480" w:lineRule="auto"/>
        <w:rPr>
          <w:rFonts w:ascii="Times New Roman" w:hAnsi="Times New Roman" w:cs="Times New Roman"/>
          <w:color w:val="auto"/>
          <w:sz w:val="24"/>
          <w:szCs w:val="24"/>
          <w:lang w:val="es-CO"/>
        </w:rPr>
      </w:pPr>
    </w:p>
    <w:p w14:paraId="348BF570" w14:textId="77777777" w:rsidR="0074428A" w:rsidRPr="00115EE9" w:rsidRDefault="0074428A" w:rsidP="0074428A">
      <w:pPr>
        <w:pStyle w:val="NormalWeb"/>
        <w:spacing w:before="0" w:beforeAutospacing="0" w:after="0" w:afterAutospacing="0" w:line="480" w:lineRule="auto"/>
        <w:rPr>
          <w:lang w:val="es-CO"/>
        </w:rPr>
      </w:pPr>
      <w:r w:rsidRPr="00115EE9">
        <w:rPr>
          <w:vertAlign w:val="superscript"/>
          <w:lang w:val="es-CO"/>
        </w:rPr>
        <w:t>1</w:t>
      </w:r>
      <w:r w:rsidRPr="00115EE9">
        <w:rPr>
          <w:lang w:val="es-CO"/>
        </w:rPr>
        <w:t xml:space="preserve"> </w:t>
      </w:r>
      <w:proofErr w:type="gramStart"/>
      <w:r w:rsidRPr="00115EE9">
        <w:rPr>
          <w:lang w:val="es-CO"/>
        </w:rPr>
        <w:t>Departamento</w:t>
      </w:r>
      <w:proofErr w:type="gramEnd"/>
      <w:r w:rsidRPr="00115EE9">
        <w:rPr>
          <w:lang w:val="es-CO"/>
        </w:rPr>
        <w:t xml:space="preserve"> de Ciencias Forestales, Universidad Nacional de Colombia Sede Medellín, 050034 Medellín, Colombia.</w:t>
      </w:r>
    </w:p>
    <w:p w14:paraId="78538879" w14:textId="77777777" w:rsidR="0074428A" w:rsidRPr="00115EE9" w:rsidRDefault="0074428A" w:rsidP="0074428A">
      <w:pPr>
        <w:pStyle w:val="NormalWeb"/>
        <w:spacing w:before="0" w:beforeAutospacing="0" w:after="0" w:afterAutospacing="0" w:line="480" w:lineRule="auto"/>
        <w:rPr>
          <w:lang w:val="es-CO"/>
        </w:rPr>
      </w:pPr>
      <w:r w:rsidRPr="00115EE9">
        <w:rPr>
          <w:vertAlign w:val="superscript"/>
          <w:lang w:val="es-CO"/>
        </w:rPr>
        <w:t>2</w:t>
      </w:r>
      <w:r w:rsidRPr="00115EE9">
        <w:rPr>
          <w:lang w:val="es-CO"/>
        </w:rPr>
        <w:t xml:space="preserve"> </w:t>
      </w:r>
      <w:proofErr w:type="gramStart"/>
      <w:r w:rsidRPr="00115EE9">
        <w:rPr>
          <w:lang w:val="es-CO"/>
        </w:rPr>
        <w:t>Herbario</w:t>
      </w:r>
      <w:proofErr w:type="gramEnd"/>
      <w:r w:rsidRPr="00115EE9">
        <w:rPr>
          <w:lang w:val="es-CO"/>
        </w:rPr>
        <w:t xml:space="preserve"> Amazónico Colombiano, Instituto Amazónico de Investigaciones Científicas SINCHI, 110311 Bogotá, Colombia.</w:t>
      </w:r>
    </w:p>
    <w:p w14:paraId="37A79267" w14:textId="77777777" w:rsidR="0074428A" w:rsidRPr="00115EE9" w:rsidRDefault="0074428A" w:rsidP="0074428A">
      <w:pPr>
        <w:pStyle w:val="NormalWeb"/>
        <w:spacing w:before="0" w:beforeAutospacing="0" w:after="0" w:afterAutospacing="0" w:line="480" w:lineRule="auto"/>
      </w:pPr>
      <w:r w:rsidRPr="00115EE9">
        <w:rPr>
          <w:vertAlign w:val="superscript"/>
        </w:rPr>
        <w:t xml:space="preserve">3 </w:t>
      </w:r>
      <w:r w:rsidRPr="00115EE9">
        <w:t>Forest Global Earth Observatory, Smithsonian Tropical Research Institute, 20560 Washington, DC, USA.</w:t>
      </w:r>
    </w:p>
    <w:p w14:paraId="32A84A6B" w14:textId="77777777" w:rsidR="0074428A" w:rsidRPr="00115EE9" w:rsidRDefault="0074428A" w:rsidP="0074428A">
      <w:pPr>
        <w:spacing w:before="120" w:after="120" w:line="480" w:lineRule="auto"/>
        <w:rPr>
          <w:rFonts w:ascii="Times New Roman" w:hAnsi="Times New Roman" w:cs="Times New Roman"/>
          <w:color w:val="auto"/>
          <w:sz w:val="24"/>
          <w:szCs w:val="24"/>
          <w:lang w:val="es-CO"/>
        </w:rPr>
      </w:pPr>
      <w:r w:rsidRPr="00115EE9">
        <w:rPr>
          <w:rFonts w:ascii="Times New Roman" w:hAnsi="Times New Roman" w:cs="Times New Roman"/>
          <w:color w:val="auto"/>
          <w:sz w:val="24"/>
          <w:szCs w:val="24"/>
          <w:vertAlign w:val="superscript"/>
          <w:lang w:val="es-CO"/>
        </w:rPr>
        <w:t>4</w:t>
      </w:r>
      <w:r w:rsidRPr="00115EE9">
        <w:rPr>
          <w:rFonts w:ascii="Times New Roman" w:hAnsi="Times New Roman" w:cs="Times New Roman"/>
          <w:color w:val="auto"/>
          <w:sz w:val="24"/>
          <w:szCs w:val="24"/>
          <w:lang w:val="es-CO"/>
        </w:rPr>
        <w:t xml:space="preserve"> </w:t>
      </w:r>
      <w:proofErr w:type="spellStart"/>
      <w:r w:rsidRPr="00115EE9">
        <w:rPr>
          <w:rFonts w:ascii="Times New Roman" w:hAnsi="Times New Roman" w:cs="Times New Roman"/>
          <w:color w:val="auto"/>
          <w:sz w:val="24"/>
          <w:szCs w:val="24"/>
          <w:lang w:val="es-CO"/>
        </w:rPr>
        <w:t>Smithsonian</w:t>
      </w:r>
      <w:proofErr w:type="spellEnd"/>
      <w:r w:rsidRPr="00115EE9">
        <w:rPr>
          <w:rFonts w:ascii="Times New Roman" w:hAnsi="Times New Roman" w:cs="Times New Roman"/>
          <w:color w:val="auto"/>
          <w:sz w:val="24"/>
          <w:szCs w:val="24"/>
          <w:lang w:val="es-CO"/>
        </w:rPr>
        <w:t xml:space="preserve"> Tropical </w:t>
      </w:r>
      <w:proofErr w:type="spellStart"/>
      <w:r w:rsidRPr="00115EE9">
        <w:rPr>
          <w:rFonts w:ascii="Times New Roman" w:hAnsi="Times New Roman" w:cs="Times New Roman"/>
          <w:color w:val="auto"/>
          <w:sz w:val="24"/>
          <w:szCs w:val="24"/>
          <w:lang w:val="es-CO"/>
        </w:rPr>
        <w:t>Research</w:t>
      </w:r>
      <w:proofErr w:type="spellEnd"/>
      <w:r w:rsidRPr="00115EE9">
        <w:rPr>
          <w:rFonts w:ascii="Times New Roman" w:hAnsi="Times New Roman" w:cs="Times New Roman"/>
          <w:color w:val="auto"/>
          <w:sz w:val="24"/>
          <w:szCs w:val="24"/>
          <w:lang w:val="es-CO"/>
        </w:rPr>
        <w:t xml:space="preserve"> </w:t>
      </w:r>
      <w:proofErr w:type="spellStart"/>
      <w:r w:rsidRPr="00115EE9">
        <w:rPr>
          <w:rFonts w:ascii="Times New Roman" w:hAnsi="Times New Roman" w:cs="Times New Roman"/>
          <w:color w:val="auto"/>
          <w:sz w:val="24"/>
          <w:szCs w:val="24"/>
          <w:lang w:val="es-CO"/>
        </w:rPr>
        <w:t>Institute</w:t>
      </w:r>
      <w:proofErr w:type="spellEnd"/>
      <w:r w:rsidRPr="00115EE9">
        <w:rPr>
          <w:rFonts w:ascii="Times New Roman" w:hAnsi="Times New Roman" w:cs="Times New Roman"/>
          <w:color w:val="auto"/>
          <w:sz w:val="24"/>
          <w:szCs w:val="24"/>
          <w:lang w:val="es-CO"/>
        </w:rPr>
        <w:t xml:space="preserve">, PO Box 0843-03092 Balboa, Ancón, </w:t>
      </w:r>
      <w:proofErr w:type="spellStart"/>
      <w:r w:rsidRPr="00115EE9">
        <w:rPr>
          <w:rFonts w:ascii="Times New Roman" w:hAnsi="Times New Roman" w:cs="Times New Roman"/>
          <w:color w:val="auto"/>
          <w:sz w:val="24"/>
          <w:szCs w:val="24"/>
          <w:lang w:val="es-CO"/>
        </w:rPr>
        <w:t>Panama</w:t>
      </w:r>
      <w:proofErr w:type="spellEnd"/>
      <w:r w:rsidRPr="00115EE9">
        <w:rPr>
          <w:rFonts w:ascii="Times New Roman" w:hAnsi="Times New Roman" w:cs="Times New Roman"/>
          <w:color w:val="auto"/>
          <w:sz w:val="24"/>
          <w:szCs w:val="24"/>
          <w:lang w:val="es-CO"/>
        </w:rPr>
        <w:t>.</w:t>
      </w:r>
    </w:p>
    <w:p w14:paraId="7D3BABE8" w14:textId="77777777" w:rsidR="0074428A" w:rsidRPr="00115EE9" w:rsidRDefault="0074428A" w:rsidP="0074428A">
      <w:pPr>
        <w:pStyle w:val="NormalWeb"/>
        <w:spacing w:before="0" w:beforeAutospacing="0" w:after="0" w:afterAutospacing="0" w:line="480" w:lineRule="auto"/>
      </w:pPr>
      <w:r w:rsidRPr="00115EE9">
        <w:rPr>
          <w:lang w:val="es-CO"/>
        </w:rPr>
        <w:t>*</w:t>
      </w:r>
      <w:proofErr w:type="spellStart"/>
      <w:r w:rsidRPr="00115EE9">
        <w:rPr>
          <w:lang w:val="es-CO"/>
        </w:rPr>
        <w:t>Corresponding</w:t>
      </w:r>
      <w:proofErr w:type="spellEnd"/>
      <w:r w:rsidRPr="00115EE9">
        <w:rPr>
          <w:lang w:val="es-CO"/>
        </w:rPr>
        <w:t xml:space="preserve"> </w:t>
      </w:r>
      <w:proofErr w:type="spellStart"/>
      <w:r w:rsidRPr="00115EE9">
        <w:rPr>
          <w:lang w:val="es-CO"/>
        </w:rPr>
        <w:t>author</w:t>
      </w:r>
      <w:proofErr w:type="spellEnd"/>
      <w:r w:rsidRPr="00115EE9">
        <w:rPr>
          <w:lang w:val="es-CO"/>
        </w:rPr>
        <w:t xml:space="preserve">: Departamento de Ciencias Forestales, Universidad Nacional de Colombia, Calle 59A No. 63-20. </w:t>
      </w:r>
      <w:r w:rsidRPr="00115EE9">
        <w:t xml:space="preserve">050034, Medellín, Colombia. E-mail address: </w:t>
      </w:r>
      <w:hyperlink r:id="rId11" w:history="1">
        <w:r w:rsidRPr="00115EE9">
          <w:rPr>
            <w:rStyle w:val="Hipervnculo"/>
            <w:color w:val="auto"/>
          </w:rPr>
          <w:t>ajduque@unal.edu.co</w:t>
        </w:r>
      </w:hyperlink>
    </w:p>
    <w:p w14:paraId="60A8532E" w14:textId="77777777" w:rsidR="0074428A" w:rsidRPr="00115EE9" w:rsidRDefault="0074428A" w:rsidP="0074428A">
      <w:pPr>
        <w:spacing w:before="120" w:after="120" w:line="480" w:lineRule="auto"/>
        <w:rPr>
          <w:rFonts w:ascii="Times New Roman" w:hAnsi="Times New Roman" w:cs="Times New Roman"/>
          <w:color w:val="auto"/>
          <w:sz w:val="24"/>
          <w:szCs w:val="24"/>
        </w:rPr>
      </w:pPr>
    </w:p>
    <w:p w14:paraId="09D1CE5B" w14:textId="77777777" w:rsidR="0023446A" w:rsidRPr="00115EE9" w:rsidRDefault="0023446A">
      <w:pPr>
        <w:spacing w:after="0" w:line="240" w:lineRule="auto"/>
        <w:rPr>
          <w:rFonts w:ascii="Times New Roman" w:hAnsi="Times New Roman" w:cs="Times New Roman"/>
          <w:color w:val="auto"/>
          <w:sz w:val="24"/>
          <w:szCs w:val="24"/>
        </w:rPr>
      </w:pPr>
    </w:p>
    <w:p w14:paraId="210338DF" w14:textId="40DA17DA" w:rsidR="00E85C98" w:rsidRPr="00115EE9" w:rsidRDefault="00E85C98">
      <w:pPr>
        <w:spacing w:after="0" w:line="240" w:lineRule="auto"/>
        <w:rPr>
          <w:rFonts w:ascii="Times New Roman" w:hAnsi="Times New Roman" w:cs="Times New Roman"/>
          <w:color w:val="auto"/>
          <w:sz w:val="24"/>
          <w:szCs w:val="24"/>
        </w:rPr>
      </w:pPr>
      <w:r w:rsidRPr="00115EE9">
        <w:rPr>
          <w:rFonts w:ascii="Times New Roman" w:hAnsi="Times New Roman" w:cs="Times New Roman"/>
          <w:color w:val="auto"/>
          <w:sz w:val="24"/>
          <w:szCs w:val="24"/>
        </w:rPr>
        <w:br w:type="page"/>
      </w:r>
    </w:p>
    <w:p w14:paraId="1AA3ECA6" w14:textId="3E8466F0" w:rsidR="0079137B" w:rsidRPr="00115EE9" w:rsidRDefault="0079137B" w:rsidP="00CE338E">
      <w:pPr>
        <w:spacing w:before="120" w:after="120"/>
        <w:rPr>
          <w:rFonts w:ascii="Times New Roman" w:hAnsi="Times New Roman" w:cs="Times New Roman"/>
          <w:b/>
          <w:bCs/>
          <w:color w:val="auto"/>
          <w:sz w:val="24"/>
          <w:szCs w:val="24"/>
        </w:rPr>
      </w:pPr>
      <w:r w:rsidRPr="00115EE9">
        <w:rPr>
          <w:rFonts w:ascii="Times New Roman" w:hAnsi="Times New Roman" w:cs="Times New Roman"/>
          <w:b/>
          <w:bCs/>
          <w:color w:val="auto"/>
          <w:sz w:val="24"/>
          <w:szCs w:val="24"/>
        </w:rPr>
        <w:lastRenderedPageBreak/>
        <w:t>Methods S1</w:t>
      </w:r>
    </w:p>
    <w:p w14:paraId="3F952D82" w14:textId="77777777" w:rsidR="00222D06" w:rsidRPr="00115EE9" w:rsidRDefault="00222D06" w:rsidP="00CE338E">
      <w:pPr>
        <w:spacing w:before="120" w:after="120"/>
        <w:rPr>
          <w:rFonts w:ascii="Times New Roman" w:hAnsi="Times New Roman" w:cs="Times New Roman"/>
          <w:b/>
          <w:bCs/>
          <w:color w:val="auto"/>
          <w:sz w:val="24"/>
          <w:szCs w:val="24"/>
        </w:rPr>
      </w:pPr>
      <w:r w:rsidRPr="00115EE9">
        <w:rPr>
          <w:rFonts w:ascii="Times New Roman" w:hAnsi="Times New Roman" w:cs="Times New Roman"/>
          <w:b/>
          <w:bCs/>
          <w:color w:val="auto"/>
          <w:sz w:val="24"/>
          <w:szCs w:val="24"/>
        </w:rPr>
        <w:t>Soil carbon sampling protocol</w:t>
      </w:r>
    </w:p>
    <w:p w14:paraId="4359D1DC" w14:textId="77777777" w:rsidR="00115EE9" w:rsidRPr="00115EE9" w:rsidRDefault="00115EE9" w:rsidP="00115EE9">
      <w:pPr>
        <w:jc w:val="both"/>
        <w:rPr>
          <w:rFonts w:ascii="Times New Roman" w:hAnsi="Times New Roman" w:cs="Times New Roman"/>
          <w:color w:val="auto"/>
          <w:sz w:val="24"/>
          <w:szCs w:val="24"/>
        </w:rPr>
      </w:pPr>
      <w:r w:rsidRPr="00115EE9">
        <w:rPr>
          <w:rFonts w:ascii="Times New Roman" w:hAnsi="Times New Roman" w:cs="Times New Roman"/>
          <w:color w:val="auto"/>
          <w:sz w:val="24"/>
          <w:szCs w:val="24"/>
        </w:rPr>
        <w:t>Soil will be sampled by taking a series of cores across the plot. A total of 9 cores will be taken in each hectare, consisting of:</w:t>
      </w:r>
    </w:p>
    <w:p w14:paraId="69929A65" w14:textId="77777777" w:rsidR="00115EE9" w:rsidRPr="00115EE9" w:rsidRDefault="00115EE9" w:rsidP="00115EE9">
      <w:pPr>
        <w:jc w:val="both"/>
        <w:rPr>
          <w:rFonts w:ascii="Times New Roman" w:hAnsi="Times New Roman" w:cs="Times New Roman"/>
          <w:color w:val="auto"/>
          <w:sz w:val="24"/>
          <w:szCs w:val="24"/>
        </w:rPr>
      </w:pPr>
      <w:r w:rsidRPr="00115EE9">
        <w:rPr>
          <w:rFonts w:ascii="Times New Roman" w:hAnsi="Times New Roman" w:cs="Times New Roman"/>
          <w:color w:val="auto"/>
          <w:sz w:val="24"/>
          <w:szCs w:val="24"/>
        </w:rPr>
        <w:t xml:space="preserve"> 9 surface cores to 10 cm (depending on the nature of the soil)</w:t>
      </w:r>
    </w:p>
    <w:p w14:paraId="383A0649" w14:textId="77777777" w:rsidR="00115EE9" w:rsidRPr="00115EE9" w:rsidRDefault="00115EE9" w:rsidP="00115EE9">
      <w:pPr>
        <w:jc w:val="both"/>
        <w:rPr>
          <w:rFonts w:ascii="Times New Roman" w:hAnsi="Times New Roman" w:cs="Times New Roman"/>
          <w:color w:val="auto"/>
          <w:sz w:val="24"/>
          <w:szCs w:val="24"/>
        </w:rPr>
      </w:pPr>
      <w:r w:rsidRPr="00115EE9">
        <w:rPr>
          <w:rFonts w:ascii="Times New Roman" w:hAnsi="Times New Roman" w:cs="Times New Roman"/>
          <w:color w:val="auto"/>
          <w:sz w:val="24"/>
          <w:szCs w:val="24"/>
        </w:rPr>
        <w:t xml:space="preserve">9 surface cores to 20 cm </w:t>
      </w:r>
    </w:p>
    <w:p w14:paraId="250FE015" w14:textId="77777777" w:rsidR="00115EE9" w:rsidRPr="00115EE9" w:rsidRDefault="00115EE9" w:rsidP="00115EE9">
      <w:pPr>
        <w:jc w:val="both"/>
        <w:rPr>
          <w:rFonts w:ascii="Times New Roman" w:hAnsi="Times New Roman" w:cs="Times New Roman"/>
          <w:color w:val="auto"/>
          <w:sz w:val="24"/>
          <w:szCs w:val="24"/>
        </w:rPr>
      </w:pPr>
      <w:r w:rsidRPr="00115EE9">
        <w:rPr>
          <w:rFonts w:ascii="Times New Roman" w:hAnsi="Times New Roman" w:cs="Times New Roman"/>
          <w:color w:val="auto"/>
          <w:sz w:val="24"/>
          <w:szCs w:val="24"/>
        </w:rPr>
        <w:t>5 deeper samples of 20-50 cm</w:t>
      </w:r>
    </w:p>
    <w:p w14:paraId="6D145CFE" w14:textId="77777777" w:rsidR="00115EE9" w:rsidRPr="00115EE9" w:rsidRDefault="00115EE9" w:rsidP="00115EE9">
      <w:pPr>
        <w:jc w:val="both"/>
        <w:rPr>
          <w:rFonts w:ascii="Times New Roman" w:hAnsi="Times New Roman" w:cs="Times New Roman"/>
          <w:color w:val="auto"/>
          <w:sz w:val="24"/>
          <w:szCs w:val="24"/>
        </w:rPr>
      </w:pPr>
      <w:r w:rsidRPr="00115EE9">
        <w:rPr>
          <w:rFonts w:ascii="Times New Roman" w:hAnsi="Times New Roman" w:cs="Times New Roman"/>
          <w:color w:val="auto"/>
          <w:sz w:val="24"/>
          <w:szCs w:val="24"/>
        </w:rPr>
        <w:t xml:space="preserve">5 deeper samples of 50 -100 cm </w:t>
      </w:r>
    </w:p>
    <w:p w14:paraId="41407489" w14:textId="77777777" w:rsidR="00115EE9" w:rsidRPr="00115EE9" w:rsidRDefault="00115EE9" w:rsidP="00115EE9">
      <w:pPr>
        <w:jc w:val="both"/>
        <w:rPr>
          <w:rFonts w:ascii="Times New Roman" w:hAnsi="Times New Roman" w:cs="Times New Roman"/>
          <w:color w:val="auto"/>
          <w:sz w:val="24"/>
          <w:szCs w:val="24"/>
        </w:rPr>
      </w:pPr>
      <w:r w:rsidRPr="00115EE9">
        <w:rPr>
          <w:rFonts w:ascii="Times New Roman" w:hAnsi="Times New Roman" w:cs="Times New Roman"/>
          <w:color w:val="auto"/>
          <w:sz w:val="24"/>
          <w:szCs w:val="24"/>
        </w:rPr>
        <w:t>1 very deep sample of 100 – 150 cm</w:t>
      </w:r>
    </w:p>
    <w:p w14:paraId="60C373C6" w14:textId="16511E6A" w:rsidR="00115EE9" w:rsidRPr="00115EE9" w:rsidRDefault="00115EE9" w:rsidP="00115EE9">
      <w:pPr>
        <w:jc w:val="both"/>
        <w:rPr>
          <w:rFonts w:ascii="Times New Roman" w:hAnsi="Times New Roman" w:cs="Times New Roman"/>
          <w:color w:val="auto"/>
          <w:sz w:val="24"/>
          <w:szCs w:val="24"/>
        </w:rPr>
      </w:pPr>
      <w:r w:rsidRPr="00115EE9">
        <w:rPr>
          <w:rFonts w:ascii="Times New Roman" w:hAnsi="Times New Roman" w:cs="Times New Roman"/>
          <w:color w:val="auto"/>
          <w:sz w:val="24"/>
          <w:szCs w:val="24"/>
        </w:rPr>
        <w:t>1 very deep sample of 150 – 200 cm*</w:t>
      </w:r>
    </w:p>
    <w:p w14:paraId="453D6220" w14:textId="77777777" w:rsidR="00115EE9" w:rsidRPr="00115EE9" w:rsidRDefault="00115EE9" w:rsidP="00115EE9">
      <w:pPr>
        <w:jc w:val="both"/>
        <w:rPr>
          <w:rFonts w:ascii="Times New Roman" w:hAnsi="Times New Roman" w:cs="Times New Roman"/>
          <w:color w:val="auto"/>
          <w:sz w:val="24"/>
          <w:szCs w:val="24"/>
        </w:rPr>
      </w:pPr>
      <w:r w:rsidRPr="00115EE9">
        <w:rPr>
          <w:rFonts w:ascii="Times New Roman" w:hAnsi="Times New Roman" w:cs="Times New Roman"/>
          <w:color w:val="auto"/>
          <w:sz w:val="24"/>
          <w:szCs w:val="24"/>
        </w:rPr>
        <w:t>1 very deep sample of 200-250 cm*</w:t>
      </w:r>
    </w:p>
    <w:p w14:paraId="5EEA2E61" w14:textId="77777777" w:rsidR="00115EE9" w:rsidRPr="00115EE9" w:rsidRDefault="00115EE9" w:rsidP="00115EE9">
      <w:pPr>
        <w:jc w:val="both"/>
        <w:rPr>
          <w:rFonts w:ascii="Times New Roman" w:hAnsi="Times New Roman" w:cs="Times New Roman"/>
          <w:color w:val="auto"/>
          <w:sz w:val="24"/>
          <w:szCs w:val="24"/>
        </w:rPr>
      </w:pPr>
      <w:r w:rsidRPr="00115EE9">
        <w:rPr>
          <w:rFonts w:ascii="Times New Roman" w:hAnsi="Times New Roman" w:cs="Times New Roman"/>
          <w:color w:val="auto"/>
          <w:sz w:val="24"/>
          <w:szCs w:val="24"/>
        </w:rPr>
        <w:t xml:space="preserve">1 very deep sample of 250-300 cm* </w:t>
      </w:r>
    </w:p>
    <w:p w14:paraId="59022763" w14:textId="77777777" w:rsidR="00115EE9" w:rsidRPr="00115EE9" w:rsidRDefault="00115EE9" w:rsidP="00115EE9">
      <w:pPr>
        <w:jc w:val="both"/>
        <w:rPr>
          <w:rFonts w:ascii="Times New Roman" w:hAnsi="Times New Roman" w:cs="Times New Roman"/>
          <w:color w:val="auto"/>
          <w:sz w:val="24"/>
          <w:szCs w:val="24"/>
        </w:rPr>
      </w:pPr>
    </w:p>
    <w:p w14:paraId="42ADED3D" w14:textId="77777777" w:rsidR="00115EE9" w:rsidRPr="00115EE9" w:rsidRDefault="00115EE9" w:rsidP="00115EE9">
      <w:pPr>
        <w:jc w:val="both"/>
        <w:rPr>
          <w:rFonts w:ascii="Times New Roman" w:hAnsi="Times New Roman" w:cs="Times New Roman"/>
          <w:color w:val="auto"/>
          <w:sz w:val="24"/>
          <w:szCs w:val="24"/>
        </w:rPr>
      </w:pPr>
      <w:r w:rsidRPr="00115EE9">
        <w:rPr>
          <w:rFonts w:ascii="Times New Roman" w:hAnsi="Times New Roman" w:cs="Times New Roman"/>
          <w:color w:val="auto"/>
          <w:sz w:val="24"/>
          <w:szCs w:val="24"/>
        </w:rPr>
        <w:t xml:space="preserve">* will be done if auger can bore through without hitting bedrock or coarse roots. </w:t>
      </w:r>
    </w:p>
    <w:p w14:paraId="257302B2" w14:textId="77777777" w:rsidR="00115EE9" w:rsidRPr="00115EE9" w:rsidRDefault="00115EE9" w:rsidP="00115EE9">
      <w:pPr>
        <w:jc w:val="both"/>
        <w:rPr>
          <w:rFonts w:ascii="Times New Roman" w:hAnsi="Times New Roman" w:cs="Times New Roman"/>
          <w:color w:val="auto"/>
          <w:sz w:val="24"/>
          <w:szCs w:val="24"/>
        </w:rPr>
      </w:pPr>
    </w:p>
    <w:p w14:paraId="483B2FB8" w14:textId="77777777" w:rsidR="00115EE9" w:rsidRPr="00115EE9" w:rsidRDefault="00115EE9" w:rsidP="00115EE9">
      <w:pPr>
        <w:jc w:val="both"/>
        <w:rPr>
          <w:rFonts w:ascii="Times New Roman" w:hAnsi="Times New Roman" w:cs="Times New Roman"/>
          <w:color w:val="auto"/>
          <w:sz w:val="24"/>
          <w:szCs w:val="24"/>
        </w:rPr>
      </w:pPr>
      <w:r w:rsidRPr="00115EE9">
        <w:rPr>
          <w:rFonts w:ascii="Times New Roman" w:hAnsi="Times New Roman" w:cs="Times New Roman"/>
          <w:color w:val="auto"/>
          <w:sz w:val="24"/>
          <w:szCs w:val="24"/>
        </w:rPr>
        <w:t xml:space="preserve">The very deep core will be located in the center of each hectare, and the 1 m cores will be located in the center of each of the four corner 20 x 20 m squares. The additional surface cores will be taken from the center of eight of the remaining 20 x 20 m squares in the outer square of each hectare. In a nutshell, measure 10 m from the middle point to all the angles. </w:t>
      </w:r>
    </w:p>
    <w:p w14:paraId="21A28382" w14:textId="77777777" w:rsidR="00115EE9" w:rsidRPr="00115EE9" w:rsidRDefault="00115EE9" w:rsidP="00115EE9">
      <w:pPr>
        <w:rPr>
          <w:rFonts w:ascii="Times New Roman" w:hAnsi="Times New Roman" w:cs="Times New Roman"/>
          <w:color w:val="auto"/>
          <w:sz w:val="24"/>
          <w:szCs w:val="24"/>
        </w:rPr>
      </w:pPr>
    </w:p>
    <w:p w14:paraId="729BC7A6" w14:textId="7F738D13" w:rsidR="00115EE9" w:rsidRPr="00115EE9" w:rsidRDefault="00115EE9" w:rsidP="00115EE9">
      <w:pPr>
        <w:rPr>
          <w:rFonts w:ascii="Times New Roman" w:hAnsi="Times New Roman" w:cs="Times New Roman"/>
          <w:color w:val="auto"/>
          <w:sz w:val="24"/>
          <w:szCs w:val="24"/>
        </w:rPr>
      </w:pPr>
      <w:r w:rsidRPr="00115EE9">
        <w:rPr>
          <w:rFonts w:ascii="Times New Roman" w:hAnsi="Times New Roman" w:cs="Times New Roman"/>
          <w:color w:val="auto"/>
          <w:sz w:val="24"/>
          <w:szCs w:val="24"/>
        </w:rPr>
        <w:t>------------ 20 m-------------------</w:t>
      </w:r>
    </w:p>
    <w:tbl>
      <w:tblPr>
        <w:tblpPr w:leftFromText="180" w:rightFromText="180"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76"/>
        <w:gridCol w:w="830"/>
        <w:gridCol w:w="576"/>
        <w:gridCol w:w="590"/>
      </w:tblGrid>
      <w:tr w:rsidR="00115EE9" w:rsidRPr="00115EE9" w14:paraId="144DFACA" w14:textId="77777777" w:rsidTr="005447FD">
        <w:trPr>
          <w:trHeight w:val="576"/>
        </w:trPr>
        <w:tc>
          <w:tcPr>
            <w:tcW w:w="576" w:type="dxa"/>
            <w:tcBorders>
              <w:top w:val="single" w:sz="18" w:space="0" w:color="auto"/>
              <w:left w:val="single" w:sz="18" w:space="0" w:color="auto"/>
            </w:tcBorders>
            <w:shd w:val="clear" w:color="auto" w:fill="auto"/>
            <w:vAlign w:val="center"/>
          </w:tcPr>
          <w:p w14:paraId="5D4718B3" w14:textId="77777777" w:rsidR="00115EE9" w:rsidRPr="00115EE9" w:rsidRDefault="00115EE9" w:rsidP="00115EE9">
            <w:pPr>
              <w:rPr>
                <w:rFonts w:ascii="Times New Roman" w:hAnsi="Times New Roman" w:cs="Times New Roman"/>
                <w:color w:val="auto"/>
                <w:sz w:val="24"/>
                <w:szCs w:val="24"/>
              </w:rPr>
            </w:pPr>
            <w:r w:rsidRPr="00115EE9">
              <w:rPr>
                <w:rFonts w:ascii="Times New Roman" w:hAnsi="Times New Roman" w:cs="Times New Roman"/>
                <w:color w:val="auto"/>
                <w:sz w:val="24"/>
                <w:szCs w:val="24"/>
              </w:rPr>
              <w:t>S/D</w:t>
            </w:r>
          </w:p>
        </w:tc>
        <w:tc>
          <w:tcPr>
            <w:tcW w:w="576" w:type="dxa"/>
            <w:tcBorders>
              <w:top w:val="single" w:sz="18" w:space="0" w:color="auto"/>
              <w:bottom w:val="single" w:sz="12" w:space="0" w:color="auto"/>
            </w:tcBorders>
            <w:shd w:val="clear" w:color="auto" w:fill="auto"/>
            <w:vAlign w:val="center"/>
          </w:tcPr>
          <w:p w14:paraId="0B8B6C5D" w14:textId="77777777" w:rsidR="00115EE9" w:rsidRPr="00115EE9" w:rsidRDefault="00115EE9" w:rsidP="00115EE9">
            <w:pPr>
              <w:rPr>
                <w:rFonts w:ascii="Times New Roman" w:hAnsi="Times New Roman" w:cs="Times New Roman"/>
                <w:color w:val="auto"/>
                <w:sz w:val="24"/>
                <w:szCs w:val="24"/>
              </w:rPr>
            </w:pPr>
          </w:p>
        </w:tc>
        <w:tc>
          <w:tcPr>
            <w:tcW w:w="576" w:type="dxa"/>
            <w:tcBorders>
              <w:top w:val="single" w:sz="18" w:space="0" w:color="auto"/>
              <w:bottom w:val="single" w:sz="12" w:space="0" w:color="auto"/>
            </w:tcBorders>
            <w:shd w:val="clear" w:color="auto" w:fill="auto"/>
            <w:vAlign w:val="center"/>
          </w:tcPr>
          <w:p w14:paraId="7EC8DD62" w14:textId="77777777" w:rsidR="00115EE9" w:rsidRPr="00115EE9" w:rsidRDefault="00115EE9" w:rsidP="00115EE9">
            <w:pPr>
              <w:rPr>
                <w:rFonts w:ascii="Times New Roman" w:hAnsi="Times New Roman" w:cs="Times New Roman"/>
                <w:color w:val="auto"/>
                <w:sz w:val="24"/>
                <w:szCs w:val="24"/>
              </w:rPr>
            </w:pPr>
            <w:r w:rsidRPr="00115EE9">
              <w:rPr>
                <w:rFonts w:ascii="Times New Roman" w:hAnsi="Times New Roman" w:cs="Times New Roman"/>
                <w:color w:val="auto"/>
                <w:sz w:val="24"/>
                <w:szCs w:val="24"/>
              </w:rPr>
              <w:t>S</w:t>
            </w:r>
          </w:p>
        </w:tc>
        <w:tc>
          <w:tcPr>
            <w:tcW w:w="576" w:type="dxa"/>
            <w:tcBorders>
              <w:top w:val="single" w:sz="18" w:space="0" w:color="auto"/>
              <w:bottom w:val="single" w:sz="12" w:space="0" w:color="auto"/>
            </w:tcBorders>
            <w:shd w:val="clear" w:color="auto" w:fill="auto"/>
            <w:vAlign w:val="center"/>
          </w:tcPr>
          <w:p w14:paraId="7AE2023E" w14:textId="77777777" w:rsidR="00115EE9" w:rsidRPr="00115EE9" w:rsidRDefault="00115EE9" w:rsidP="00115EE9">
            <w:pPr>
              <w:rPr>
                <w:rFonts w:ascii="Times New Roman" w:hAnsi="Times New Roman" w:cs="Times New Roman"/>
                <w:color w:val="auto"/>
                <w:sz w:val="24"/>
                <w:szCs w:val="24"/>
              </w:rPr>
            </w:pPr>
          </w:p>
        </w:tc>
        <w:tc>
          <w:tcPr>
            <w:tcW w:w="576" w:type="dxa"/>
            <w:tcBorders>
              <w:top w:val="single" w:sz="18" w:space="0" w:color="auto"/>
              <w:right w:val="single" w:sz="18" w:space="0" w:color="auto"/>
            </w:tcBorders>
            <w:shd w:val="clear" w:color="auto" w:fill="auto"/>
            <w:vAlign w:val="center"/>
          </w:tcPr>
          <w:p w14:paraId="4B7CF84A" w14:textId="77777777" w:rsidR="00115EE9" w:rsidRPr="00115EE9" w:rsidRDefault="00115EE9" w:rsidP="00115EE9">
            <w:pPr>
              <w:rPr>
                <w:rFonts w:ascii="Times New Roman" w:hAnsi="Times New Roman" w:cs="Times New Roman"/>
                <w:color w:val="auto"/>
                <w:sz w:val="24"/>
                <w:szCs w:val="24"/>
              </w:rPr>
            </w:pPr>
            <w:r w:rsidRPr="00115EE9">
              <w:rPr>
                <w:rFonts w:ascii="Times New Roman" w:hAnsi="Times New Roman" w:cs="Times New Roman"/>
                <w:color w:val="auto"/>
                <w:sz w:val="24"/>
                <w:szCs w:val="24"/>
              </w:rPr>
              <w:t>S/D</w:t>
            </w:r>
          </w:p>
        </w:tc>
      </w:tr>
      <w:tr w:rsidR="00115EE9" w:rsidRPr="00115EE9" w14:paraId="15919596" w14:textId="77777777" w:rsidTr="005447FD">
        <w:trPr>
          <w:trHeight w:val="576"/>
        </w:trPr>
        <w:tc>
          <w:tcPr>
            <w:tcW w:w="576" w:type="dxa"/>
            <w:tcBorders>
              <w:left w:val="single" w:sz="18" w:space="0" w:color="auto"/>
              <w:right w:val="single" w:sz="12" w:space="0" w:color="auto"/>
            </w:tcBorders>
            <w:shd w:val="clear" w:color="auto" w:fill="auto"/>
            <w:vAlign w:val="center"/>
          </w:tcPr>
          <w:p w14:paraId="0E9ACAF0" w14:textId="77777777" w:rsidR="00115EE9" w:rsidRPr="00115EE9" w:rsidRDefault="00115EE9" w:rsidP="00115EE9">
            <w:pPr>
              <w:rPr>
                <w:rFonts w:ascii="Times New Roman" w:hAnsi="Times New Roman" w:cs="Times New Roman"/>
                <w:color w:val="auto"/>
                <w:sz w:val="24"/>
                <w:szCs w:val="24"/>
              </w:rPr>
            </w:pPr>
          </w:p>
        </w:tc>
        <w:tc>
          <w:tcPr>
            <w:tcW w:w="576" w:type="dxa"/>
            <w:tcBorders>
              <w:top w:val="single" w:sz="12" w:space="0" w:color="auto"/>
              <w:left w:val="single" w:sz="12" w:space="0" w:color="auto"/>
              <w:bottom w:val="single" w:sz="6" w:space="0" w:color="auto"/>
              <w:right w:val="single" w:sz="6" w:space="0" w:color="auto"/>
            </w:tcBorders>
            <w:shd w:val="clear" w:color="auto" w:fill="auto"/>
            <w:vAlign w:val="center"/>
          </w:tcPr>
          <w:p w14:paraId="63680B76" w14:textId="77777777" w:rsidR="00115EE9" w:rsidRPr="00115EE9" w:rsidRDefault="00115EE9" w:rsidP="00115EE9">
            <w:pPr>
              <w:rPr>
                <w:rFonts w:ascii="Times New Roman" w:hAnsi="Times New Roman" w:cs="Times New Roman"/>
                <w:color w:val="auto"/>
                <w:sz w:val="24"/>
                <w:szCs w:val="24"/>
              </w:rPr>
            </w:pPr>
          </w:p>
        </w:tc>
        <w:tc>
          <w:tcPr>
            <w:tcW w:w="576" w:type="dxa"/>
            <w:tcBorders>
              <w:top w:val="single" w:sz="12" w:space="0" w:color="auto"/>
              <w:left w:val="single" w:sz="6" w:space="0" w:color="auto"/>
              <w:bottom w:val="single" w:sz="6" w:space="0" w:color="auto"/>
              <w:right w:val="single" w:sz="6" w:space="0" w:color="auto"/>
            </w:tcBorders>
            <w:shd w:val="clear" w:color="auto" w:fill="auto"/>
            <w:vAlign w:val="center"/>
          </w:tcPr>
          <w:p w14:paraId="298CA980" w14:textId="77777777" w:rsidR="00115EE9" w:rsidRPr="00115EE9" w:rsidRDefault="00115EE9" w:rsidP="00115EE9">
            <w:pPr>
              <w:rPr>
                <w:rFonts w:ascii="Times New Roman" w:hAnsi="Times New Roman" w:cs="Times New Roman"/>
                <w:color w:val="auto"/>
                <w:sz w:val="24"/>
                <w:szCs w:val="24"/>
              </w:rPr>
            </w:pPr>
          </w:p>
        </w:tc>
        <w:tc>
          <w:tcPr>
            <w:tcW w:w="576" w:type="dxa"/>
            <w:tcBorders>
              <w:top w:val="single" w:sz="12" w:space="0" w:color="auto"/>
              <w:left w:val="single" w:sz="6" w:space="0" w:color="auto"/>
              <w:bottom w:val="single" w:sz="6" w:space="0" w:color="auto"/>
              <w:right w:val="single" w:sz="12" w:space="0" w:color="auto"/>
            </w:tcBorders>
            <w:shd w:val="clear" w:color="auto" w:fill="auto"/>
            <w:vAlign w:val="center"/>
          </w:tcPr>
          <w:p w14:paraId="144F621A" w14:textId="77777777" w:rsidR="00115EE9" w:rsidRPr="00115EE9" w:rsidRDefault="00115EE9" w:rsidP="00115EE9">
            <w:pPr>
              <w:rPr>
                <w:rFonts w:ascii="Times New Roman" w:hAnsi="Times New Roman" w:cs="Times New Roman"/>
                <w:color w:val="auto"/>
                <w:sz w:val="24"/>
                <w:szCs w:val="24"/>
              </w:rPr>
            </w:pPr>
          </w:p>
        </w:tc>
        <w:tc>
          <w:tcPr>
            <w:tcW w:w="576" w:type="dxa"/>
            <w:tcBorders>
              <w:left w:val="single" w:sz="12" w:space="0" w:color="auto"/>
              <w:right w:val="single" w:sz="18" w:space="0" w:color="auto"/>
            </w:tcBorders>
            <w:shd w:val="clear" w:color="auto" w:fill="auto"/>
            <w:vAlign w:val="center"/>
          </w:tcPr>
          <w:p w14:paraId="447347AD" w14:textId="77777777" w:rsidR="00115EE9" w:rsidRPr="00115EE9" w:rsidRDefault="00115EE9" w:rsidP="00115EE9">
            <w:pPr>
              <w:rPr>
                <w:rFonts w:ascii="Times New Roman" w:hAnsi="Times New Roman" w:cs="Times New Roman"/>
                <w:color w:val="auto"/>
                <w:sz w:val="24"/>
                <w:szCs w:val="24"/>
              </w:rPr>
            </w:pPr>
          </w:p>
        </w:tc>
      </w:tr>
      <w:tr w:rsidR="00115EE9" w:rsidRPr="00115EE9" w14:paraId="7E132A55" w14:textId="77777777" w:rsidTr="005447FD">
        <w:trPr>
          <w:trHeight w:val="576"/>
        </w:trPr>
        <w:tc>
          <w:tcPr>
            <w:tcW w:w="576" w:type="dxa"/>
            <w:tcBorders>
              <w:left w:val="single" w:sz="18" w:space="0" w:color="auto"/>
              <w:right w:val="single" w:sz="12" w:space="0" w:color="auto"/>
            </w:tcBorders>
            <w:shd w:val="clear" w:color="auto" w:fill="auto"/>
            <w:vAlign w:val="center"/>
          </w:tcPr>
          <w:p w14:paraId="0D2457E3" w14:textId="77777777" w:rsidR="00115EE9" w:rsidRPr="00115EE9" w:rsidRDefault="00115EE9" w:rsidP="00115EE9">
            <w:pPr>
              <w:rPr>
                <w:rFonts w:ascii="Times New Roman" w:hAnsi="Times New Roman" w:cs="Times New Roman"/>
                <w:color w:val="auto"/>
                <w:sz w:val="24"/>
                <w:szCs w:val="24"/>
              </w:rPr>
            </w:pPr>
            <w:r w:rsidRPr="00115EE9">
              <w:rPr>
                <w:rFonts w:ascii="Times New Roman" w:hAnsi="Times New Roman" w:cs="Times New Roman"/>
                <w:color w:val="auto"/>
                <w:sz w:val="24"/>
                <w:szCs w:val="24"/>
              </w:rPr>
              <w:t>S</w:t>
            </w:r>
          </w:p>
        </w:tc>
        <w:tc>
          <w:tcPr>
            <w:tcW w:w="576" w:type="dxa"/>
            <w:tcBorders>
              <w:top w:val="single" w:sz="6" w:space="0" w:color="auto"/>
              <w:left w:val="single" w:sz="12" w:space="0" w:color="auto"/>
              <w:bottom w:val="single" w:sz="6" w:space="0" w:color="auto"/>
              <w:right w:val="single" w:sz="6" w:space="0" w:color="auto"/>
            </w:tcBorders>
            <w:shd w:val="clear" w:color="auto" w:fill="auto"/>
            <w:vAlign w:val="center"/>
          </w:tcPr>
          <w:p w14:paraId="464C6260" w14:textId="77777777" w:rsidR="00115EE9" w:rsidRPr="00115EE9" w:rsidRDefault="00115EE9" w:rsidP="00115EE9">
            <w:pPr>
              <w:rPr>
                <w:rFonts w:ascii="Times New Roman" w:hAnsi="Times New Roman" w:cs="Times New Roman"/>
                <w:color w:val="auto"/>
                <w:sz w:val="24"/>
                <w:szCs w:val="24"/>
              </w:rPr>
            </w:pPr>
          </w:p>
        </w:tc>
        <w:tc>
          <w:tcPr>
            <w:tcW w:w="576" w:type="dxa"/>
            <w:tcBorders>
              <w:top w:val="single" w:sz="6" w:space="0" w:color="auto"/>
              <w:left w:val="single" w:sz="6" w:space="0" w:color="auto"/>
              <w:bottom w:val="single" w:sz="6" w:space="0" w:color="auto"/>
              <w:right w:val="single" w:sz="6" w:space="0" w:color="auto"/>
            </w:tcBorders>
            <w:shd w:val="clear" w:color="auto" w:fill="auto"/>
            <w:vAlign w:val="center"/>
          </w:tcPr>
          <w:p w14:paraId="7B66DE94" w14:textId="77777777" w:rsidR="00115EE9" w:rsidRPr="00115EE9" w:rsidRDefault="00115EE9" w:rsidP="00115EE9">
            <w:pPr>
              <w:rPr>
                <w:rFonts w:ascii="Times New Roman" w:hAnsi="Times New Roman" w:cs="Times New Roman"/>
                <w:color w:val="auto"/>
                <w:sz w:val="24"/>
                <w:szCs w:val="24"/>
              </w:rPr>
            </w:pPr>
            <w:r w:rsidRPr="00115EE9">
              <w:rPr>
                <w:rFonts w:ascii="Times New Roman" w:hAnsi="Times New Roman" w:cs="Times New Roman"/>
                <w:color w:val="auto"/>
                <w:sz w:val="24"/>
                <w:szCs w:val="24"/>
              </w:rPr>
              <w:t>V/S/D</w:t>
            </w:r>
          </w:p>
        </w:tc>
        <w:tc>
          <w:tcPr>
            <w:tcW w:w="576" w:type="dxa"/>
            <w:tcBorders>
              <w:top w:val="single" w:sz="6" w:space="0" w:color="auto"/>
              <w:left w:val="single" w:sz="6" w:space="0" w:color="auto"/>
              <w:bottom w:val="single" w:sz="6" w:space="0" w:color="auto"/>
              <w:right w:val="single" w:sz="12" w:space="0" w:color="auto"/>
            </w:tcBorders>
            <w:shd w:val="clear" w:color="auto" w:fill="auto"/>
            <w:vAlign w:val="center"/>
          </w:tcPr>
          <w:p w14:paraId="3475CE93" w14:textId="77777777" w:rsidR="00115EE9" w:rsidRPr="00115EE9" w:rsidRDefault="00115EE9" w:rsidP="00115EE9">
            <w:pPr>
              <w:rPr>
                <w:rFonts w:ascii="Times New Roman" w:hAnsi="Times New Roman" w:cs="Times New Roman"/>
                <w:color w:val="auto"/>
                <w:sz w:val="24"/>
                <w:szCs w:val="24"/>
              </w:rPr>
            </w:pPr>
          </w:p>
        </w:tc>
        <w:tc>
          <w:tcPr>
            <w:tcW w:w="576" w:type="dxa"/>
            <w:tcBorders>
              <w:left w:val="single" w:sz="12" w:space="0" w:color="auto"/>
              <w:right w:val="single" w:sz="18" w:space="0" w:color="auto"/>
            </w:tcBorders>
            <w:shd w:val="clear" w:color="auto" w:fill="auto"/>
            <w:vAlign w:val="center"/>
          </w:tcPr>
          <w:p w14:paraId="2682AC27" w14:textId="77777777" w:rsidR="00115EE9" w:rsidRPr="00115EE9" w:rsidRDefault="00115EE9" w:rsidP="00115EE9">
            <w:pPr>
              <w:rPr>
                <w:rFonts w:ascii="Times New Roman" w:hAnsi="Times New Roman" w:cs="Times New Roman"/>
                <w:color w:val="auto"/>
                <w:sz w:val="24"/>
                <w:szCs w:val="24"/>
              </w:rPr>
            </w:pPr>
            <w:r w:rsidRPr="00115EE9">
              <w:rPr>
                <w:rFonts w:ascii="Times New Roman" w:hAnsi="Times New Roman" w:cs="Times New Roman"/>
                <w:color w:val="auto"/>
                <w:sz w:val="24"/>
                <w:szCs w:val="24"/>
              </w:rPr>
              <w:t>S</w:t>
            </w:r>
          </w:p>
        </w:tc>
      </w:tr>
      <w:tr w:rsidR="00115EE9" w:rsidRPr="00115EE9" w14:paraId="07C6363F" w14:textId="77777777" w:rsidTr="005447FD">
        <w:trPr>
          <w:trHeight w:val="576"/>
        </w:trPr>
        <w:tc>
          <w:tcPr>
            <w:tcW w:w="576" w:type="dxa"/>
            <w:tcBorders>
              <w:left w:val="single" w:sz="18" w:space="0" w:color="auto"/>
              <w:right w:val="single" w:sz="12" w:space="0" w:color="auto"/>
            </w:tcBorders>
            <w:shd w:val="clear" w:color="auto" w:fill="auto"/>
            <w:vAlign w:val="center"/>
          </w:tcPr>
          <w:p w14:paraId="404BFABC" w14:textId="0EF80525" w:rsidR="00115EE9" w:rsidRPr="00115EE9" w:rsidRDefault="00115EE9" w:rsidP="00115EE9">
            <w:pPr>
              <w:rPr>
                <w:rFonts w:ascii="Times New Roman" w:hAnsi="Times New Roman" w:cs="Times New Roman"/>
                <w:color w:val="auto"/>
                <w:sz w:val="24"/>
                <w:szCs w:val="24"/>
              </w:rPr>
            </w:pPr>
          </w:p>
        </w:tc>
        <w:tc>
          <w:tcPr>
            <w:tcW w:w="576" w:type="dxa"/>
            <w:tcBorders>
              <w:top w:val="single" w:sz="6" w:space="0" w:color="auto"/>
              <w:left w:val="single" w:sz="12" w:space="0" w:color="auto"/>
              <w:bottom w:val="single" w:sz="12" w:space="0" w:color="auto"/>
              <w:right w:val="single" w:sz="6" w:space="0" w:color="auto"/>
            </w:tcBorders>
            <w:shd w:val="clear" w:color="auto" w:fill="auto"/>
            <w:vAlign w:val="center"/>
          </w:tcPr>
          <w:p w14:paraId="3DDEE1E1" w14:textId="77777777" w:rsidR="00115EE9" w:rsidRPr="00115EE9" w:rsidRDefault="00115EE9" w:rsidP="00115EE9">
            <w:pPr>
              <w:rPr>
                <w:rFonts w:ascii="Times New Roman" w:hAnsi="Times New Roman" w:cs="Times New Roman"/>
                <w:color w:val="auto"/>
                <w:sz w:val="24"/>
                <w:szCs w:val="24"/>
              </w:rPr>
            </w:pPr>
          </w:p>
        </w:tc>
        <w:tc>
          <w:tcPr>
            <w:tcW w:w="576" w:type="dxa"/>
            <w:tcBorders>
              <w:top w:val="single" w:sz="6" w:space="0" w:color="auto"/>
              <w:left w:val="single" w:sz="6" w:space="0" w:color="auto"/>
              <w:bottom w:val="single" w:sz="12" w:space="0" w:color="auto"/>
              <w:right w:val="single" w:sz="6" w:space="0" w:color="auto"/>
            </w:tcBorders>
            <w:shd w:val="clear" w:color="auto" w:fill="auto"/>
            <w:vAlign w:val="center"/>
          </w:tcPr>
          <w:p w14:paraId="2A8C3793" w14:textId="77777777" w:rsidR="00115EE9" w:rsidRPr="00115EE9" w:rsidRDefault="00115EE9" w:rsidP="00115EE9">
            <w:pPr>
              <w:rPr>
                <w:rFonts w:ascii="Times New Roman" w:hAnsi="Times New Roman" w:cs="Times New Roman"/>
                <w:color w:val="auto"/>
                <w:sz w:val="24"/>
                <w:szCs w:val="24"/>
              </w:rPr>
            </w:pPr>
          </w:p>
        </w:tc>
        <w:tc>
          <w:tcPr>
            <w:tcW w:w="576" w:type="dxa"/>
            <w:tcBorders>
              <w:top w:val="single" w:sz="6" w:space="0" w:color="auto"/>
              <w:left w:val="single" w:sz="6" w:space="0" w:color="auto"/>
              <w:bottom w:val="single" w:sz="12" w:space="0" w:color="auto"/>
              <w:right w:val="single" w:sz="12" w:space="0" w:color="auto"/>
            </w:tcBorders>
            <w:shd w:val="clear" w:color="auto" w:fill="auto"/>
            <w:vAlign w:val="center"/>
          </w:tcPr>
          <w:p w14:paraId="603CDD24" w14:textId="77777777" w:rsidR="00115EE9" w:rsidRPr="00115EE9" w:rsidRDefault="00115EE9" w:rsidP="00115EE9">
            <w:pPr>
              <w:rPr>
                <w:rFonts w:ascii="Times New Roman" w:hAnsi="Times New Roman" w:cs="Times New Roman"/>
                <w:color w:val="auto"/>
                <w:sz w:val="24"/>
                <w:szCs w:val="24"/>
              </w:rPr>
            </w:pPr>
          </w:p>
        </w:tc>
        <w:tc>
          <w:tcPr>
            <w:tcW w:w="576" w:type="dxa"/>
            <w:tcBorders>
              <w:left w:val="single" w:sz="12" w:space="0" w:color="auto"/>
              <w:right w:val="single" w:sz="18" w:space="0" w:color="auto"/>
            </w:tcBorders>
            <w:shd w:val="clear" w:color="auto" w:fill="auto"/>
            <w:vAlign w:val="center"/>
          </w:tcPr>
          <w:p w14:paraId="19FC86A5" w14:textId="77777777" w:rsidR="00115EE9" w:rsidRPr="00115EE9" w:rsidRDefault="00115EE9" w:rsidP="00115EE9">
            <w:pPr>
              <w:rPr>
                <w:rFonts w:ascii="Times New Roman" w:hAnsi="Times New Roman" w:cs="Times New Roman"/>
                <w:color w:val="auto"/>
                <w:sz w:val="24"/>
                <w:szCs w:val="24"/>
              </w:rPr>
            </w:pPr>
          </w:p>
        </w:tc>
      </w:tr>
      <w:tr w:rsidR="00115EE9" w:rsidRPr="00115EE9" w14:paraId="629E10A4" w14:textId="77777777" w:rsidTr="005447FD">
        <w:trPr>
          <w:trHeight w:val="576"/>
        </w:trPr>
        <w:tc>
          <w:tcPr>
            <w:tcW w:w="576" w:type="dxa"/>
            <w:tcBorders>
              <w:left w:val="single" w:sz="18" w:space="0" w:color="auto"/>
              <w:bottom w:val="single" w:sz="18" w:space="0" w:color="auto"/>
            </w:tcBorders>
            <w:shd w:val="clear" w:color="auto" w:fill="auto"/>
            <w:vAlign w:val="center"/>
          </w:tcPr>
          <w:p w14:paraId="5A1BBB3E" w14:textId="77777777" w:rsidR="00115EE9" w:rsidRPr="00115EE9" w:rsidRDefault="00115EE9" w:rsidP="00115EE9">
            <w:pPr>
              <w:rPr>
                <w:rFonts w:ascii="Times New Roman" w:hAnsi="Times New Roman" w:cs="Times New Roman"/>
                <w:color w:val="auto"/>
                <w:sz w:val="24"/>
                <w:szCs w:val="24"/>
              </w:rPr>
            </w:pPr>
            <w:r w:rsidRPr="00115EE9">
              <w:rPr>
                <w:rFonts w:ascii="Times New Roman" w:hAnsi="Times New Roman" w:cs="Times New Roman"/>
                <w:color w:val="auto"/>
                <w:sz w:val="24"/>
                <w:szCs w:val="24"/>
              </w:rPr>
              <w:t>S/D</w:t>
            </w:r>
          </w:p>
        </w:tc>
        <w:tc>
          <w:tcPr>
            <w:tcW w:w="576" w:type="dxa"/>
            <w:tcBorders>
              <w:top w:val="single" w:sz="12" w:space="0" w:color="auto"/>
              <w:bottom w:val="single" w:sz="18" w:space="0" w:color="auto"/>
            </w:tcBorders>
            <w:shd w:val="clear" w:color="auto" w:fill="auto"/>
            <w:vAlign w:val="center"/>
          </w:tcPr>
          <w:p w14:paraId="74EB27BD" w14:textId="77777777" w:rsidR="00115EE9" w:rsidRPr="00115EE9" w:rsidRDefault="00115EE9" w:rsidP="00115EE9">
            <w:pPr>
              <w:rPr>
                <w:rFonts w:ascii="Times New Roman" w:hAnsi="Times New Roman" w:cs="Times New Roman"/>
                <w:color w:val="auto"/>
                <w:sz w:val="24"/>
                <w:szCs w:val="24"/>
              </w:rPr>
            </w:pPr>
          </w:p>
        </w:tc>
        <w:tc>
          <w:tcPr>
            <w:tcW w:w="576" w:type="dxa"/>
            <w:tcBorders>
              <w:top w:val="single" w:sz="12" w:space="0" w:color="auto"/>
              <w:bottom w:val="single" w:sz="18" w:space="0" w:color="auto"/>
            </w:tcBorders>
            <w:shd w:val="clear" w:color="auto" w:fill="auto"/>
            <w:vAlign w:val="center"/>
          </w:tcPr>
          <w:p w14:paraId="7C608547" w14:textId="77777777" w:rsidR="00115EE9" w:rsidRPr="00115EE9" w:rsidRDefault="00115EE9" w:rsidP="00115EE9">
            <w:pPr>
              <w:rPr>
                <w:rFonts w:ascii="Times New Roman" w:hAnsi="Times New Roman" w:cs="Times New Roman"/>
                <w:color w:val="auto"/>
                <w:sz w:val="24"/>
                <w:szCs w:val="24"/>
              </w:rPr>
            </w:pPr>
            <w:r w:rsidRPr="00115EE9">
              <w:rPr>
                <w:rFonts w:ascii="Times New Roman" w:hAnsi="Times New Roman" w:cs="Times New Roman"/>
                <w:color w:val="auto"/>
                <w:sz w:val="24"/>
                <w:szCs w:val="24"/>
              </w:rPr>
              <w:t>S</w:t>
            </w:r>
          </w:p>
        </w:tc>
        <w:tc>
          <w:tcPr>
            <w:tcW w:w="576" w:type="dxa"/>
            <w:tcBorders>
              <w:top w:val="single" w:sz="12" w:space="0" w:color="auto"/>
              <w:bottom w:val="single" w:sz="18" w:space="0" w:color="auto"/>
            </w:tcBorders>
            <w:shd w:val="clear" w:color="auto" w:fill="auto"/>
            <w:vAlign w:val="center"/>
          </w:tcPr>
          <w:p w14:paraId="1DE5EC4E" w14:textId="77777777" w:rsidR="00115EE9" w:rsidRPr="00115EE9" w:rsidRDefault="00115EE9" w:rsidP="00115EE9">
            <w:pPr>
              <w:rPr>
                <w:rFonts w:ascii="Times New Roman" w:hAnsi="Times New Roman" w:cs="Times New Roman"/>
                <w:color w:val="auto"/>
                <w:sz w:val="24"/>
                <w:szCs w:val="24"/>
              </w:rPr>
            </w:pPr>
          </w:p>
        </w:tc>
        <w:tc>
          <w:tcPr>
            <w:tcW w:w="576" w:type="dxa"/>
            <w:tcBorders>
              <w:bottom w:val="single" w:sz="18" w:space="0" w:color="auto"/>
              <w:right w:val="single" w:sz="18" w:space="0" w:color="auto"/>
            </w:tcBorders>
            <w:shd w:val="clear" w:color="auto" w:fill="auto"/>
            <w:vAlign w:val="center"/>
          </w:tcPr>
          <w:p w14:paraId="18A73B63" w14:textId="77777777" w:rsidR="00115EE9" w:rsidRPr="00115EE9" w:rsidRDefault="00115EE9" w:rsidP="00115EE9">
            <w:pPr>
              <w:rPr>
                <w:rFonts w:ascii="Times New Roman" w:hAnsi="Times New Roman" w:cs="Times New Roman"/>
                <w:color w:val="auto"/>
                <w:sz w:val="24"/>
                <w:szCs w:val="24"/>
              </w:rPr>
            </w:pPr>
            <w:r w:rsidRPr="00115EE9">
              <w:rPr>
                <w:rFonts w:ascii="Times New Roman" w:hAnsi="Times New Roman" w:cs="Times New Roman"/>
                <w:color w:val="auto"/>
                <w:sz w:val="24"/>
                <w:szCs w:val="24"/>
              </w:rPr>
              <w:t>S/D</w:t>
            </w:r>
          </w:p>
        </w:tc>
      </w:tr>
    </w:tbl>
    <w:p w14:paraId="64F14EF3" w14:textId="77777777" w:rsidR="00115EE9" w:rsidRPr="00115EE9" w:rsidRDefault="00115EE9" w:rsidP="00115EE9">
      <w:pPr>
        <w:rPr>
          <w:rFonts w:ascii="Times New Roman" w:hAnsi="Times New Roman" w:cs="Times New Roman"/>
          <w:color w:val="auto"/>
          <w:sz w:val="24"/>
          <w:szCs w:val="24"/>
        </w:rPr>
      </w:pPr>
    </w:p>
    <w:p w14:paraId="186EA549" w14:textId="77777777" w:rsidR="00115EE9" w:rsidRPr="00115EE9" w:rsidRDefault="00115EE9" w:rsidP="00115EE9">
      <w:pPr>
        <w:rPr>
          <w:rFonts w:ascii="Times New Roman" w:hAnsi="Times New Roman" w:cs="Times New Roman"/>
          <w:color w:val="auto"/>
          <w:sz w:val="24"/>
          <w:szCs w:val="24"/>
        </w:rPr>
      </w:pPr>
    </w:p>
    <w:p w14:paraId="67C78F4C" w14:textId="77777777" w:rsidR="00115EE9" w:rsidRPr="00115EE9" w:rsidRDefault="00115EE9" w:rsidP="00115EE9">
      <w:pPr>
        <w:rPr>
          <w:rFonts w:ascii="Times New Roman" w:hAnsi="Times New Roman" w:cs="Times New Roman"/>
          <w:color w:val="auto"/>
          <w:sz w:val="24"/>
          <w:szCs w:val="24"/>
        </w:rPr>
      </w:pPr>
    </w:p>
    <w:p w14:paraId="6DD15623" w14:textId="77777777" w:rsidR="00115EE9" w:rsidRPr="00115EE9" w:rsidRDefault="00115EE9" w:rsidP="00115EE9">
      <w:pPr>
        <w:rPr>
          <w:rFonts w:ascii="Times New Roman" w:hAnsi="Times New Roman" w:cs="Times New Roman"/>
          <w:color w:val="auto"/>
          <w:sz w:val="24"/>
          <w:szCs w:val="24"/>
        </w:rPr>
      </w:pPr>
    </w:p>
    <w:p w14:paraId="12E25C67" w14:textId="77777777" w:rsidR="00115EE9" w:rsidRPr="00115EE9" w:rsidRDefault="00115EE9" w:rsidP="00115EE9">
      <w:pPr>
        <w:rPr>
          <w:rFonts w:ascii="Times New Roman" w:hAnsi="Times New Roman" w:cs="Times New Roman"/>
          <w:color w:val="auto"/>
          <w:sz w:val="24"/>
          <w:szCs w:val="24"/>
        </w:rPr>
      </w:pPr>
    </w:p>
    <w:p w14:paraId="584E12FC" w14:textId="77777777" w:rsidR="00115EE9" w:rsidRDefault="00115EE9" w:rsidP="00115EE9">
      <w:pPr>
        <w:outlineLvl w:val="0"/>
        <w:rPr>
          <w:rFonts w:ascii="Times New Roman" w:hAnsi="Times New Roman" w:cs="Times New Roman"/>
          <w:color w:val="auto"/>
          <w:sz w:val="24"/>
          <w:szCs w:val="24"/>
        </w:rPr>
      </w:pPr>
    </w:p>
    <w:p w14:paraId="76C8B614" w14:textId="2E6FB0A2" w:rsidR="00115EE9" w:rsidRPr="00115EE9" w:rsidRDefault="00115EE9" w:rsidP="00115EE9">
      <w:pPr>
        <w:jc w:val="both"/>
        <w:outlineLvl w:val="0"/>
        <w:rPr>
          <w:rFonts w:ascii="Times New Roman" w:hAnsi="Times New Roman" w:cs="Times New Roman"/>
          <w:color w:val="auto"/>
          <w:sz w:val="24"/>
          <w:szCs w:val="24"/>
        </w:rPr>
      </w:pPr>
      <w:r w:rsidRPr="00C60EA9">
        <w:rPr>
          <w:rFonts w:ascii="Times New Roman" w:hAnsi="Times New Roman" w:cs="Times New Roman"/>
          <w:b/>
          <w:bCs/>
          <w:color w:val="auto"/>
          <w:sz w:val="24"/>
          <w:szCs w:val="24"/>
        </w:rPr>
        <w:lastRenderedPageBreak/>
        <w:t>Figure S1</w:t>
      </w:r>
      <w:r>
        <w:rPr>
          <w:rFonts w:ascii="Times New Roman" w:hAnsi="Times New Roman" w:cs="Times New Roman"/>
          <w:color w:val="auto"/>
          <w:sz w:val="24"/>
          <w:szCs w:val="24"/>
        </w:rPr>
        <w:t xml:space="preserve">. Soil sampling protocol scheme in the 20 m × 20 m quadrat located in the center of each 1-ha (100 m × 100 m) plot. </w:t>
      </w:r>
      <w:r w:rsidRPr="00115EE9">
        <w:rPr>
          <w:rFonts w:ascii="Times New Roman" w:hAnsi="Times New Roman" w:cs="Times New Roman"/>
          <w:color w:val="auto"/>
          <w:sz w:val="24"/>
          <w:szCs w:val="24"/>
        </w:rPr>
        <w:t>S = surface core to 10 or 20 cm only</w:t>
      </w:r>
      <w:r>
        <w:rPr>
          <w:rFonts w:ascii="Times New Roman" w:hAnsi="Times New Roman" w:cs="Times New Roman"/>
          <w:color w:val="auto"/>
          <w:sz w:val="24"/>
          <w:szCs w:val="24"/>
        </w:rPr>
        <w:t xml:space="preserve">. </w:t>
      </w:r>
      <w:r w:rsidRPr="00115EE9">
        <w:rPr>
          <w:rFonts w:ascii="Times New Roman" w:hAnsi="Times New Roman" w:cs="Times New Roman"/>
          <w:color w:val="auto"/>
          <w:sz w:val="24"/>
          <w:szCs w:val="24"/>
        </w:rPr>
        <w:t>D = deep core to 1 m</w:t>
      </w:r>
      <w:r>
        <w:rPr>
          <w:rFonts w:ascii="Times New Roman" w:hAnsi="Times New Roman" w:cs="Times New Roman"/>
          <w:color w:val="auto"/>
          <w:sz w:val="24"/>
          <w:szCs w:val="24"/>
        </w:rPr>
        <w:t xml:space="preserve">. </w:t>
      </w:r>
      <w:r w:rsidRPr="00115EE9">
        <w:rPr>
          <w:rFonts w:ascii="Times New Roman" w:hAnsi="Times New Roman" w:cs="Times New Roman"/>
          <w:color w:val="auto"/>
          <w:sz w:val="24"/>
          <w:szCs w:val="24"/>
        </w:rPr>
        <w:t>V = very deep core to bedrock</w:t>
      </w:r>
    </w:p>
    <w:p w14:paraId="1D37C9A2" w14:textId="45FFFCCF" w:rsidR="00115EE9" w:rsidRPr="00115EE9" w:rsidRDefault="00115EE9" w:rsidP="00115EE9">
      <w:pPr>
        <w:jc w:val="both"/>
        <w:rPr>
          <w:rFonts w:ascii="Times New Roman" w:hAnsi="Times New Roman" w:cs="Times New Roman"/>
          <w:bCs/>
          <w:color w:val="auto"/>
          <w:sz w:val="24"/>
          <w:szCs w:val="24"/>
        </w:rPr>
      </w:pPr>
      <w:r w:rsidRPr="00115EE9">
        <w:rPr>
          <w:rFonts w:ascii="Times New Roman" w:hAnsi="Times New Roman" w:cs="Times New Roman"/>
          <w:bCs/>
          <w:color w:val="auto"/>
          <w:sz w:val="24"/>
          <w:szCs w:val="24"/>
        </w:rPr>
        <w:t>We must procedure as follow:</w:t>
      </w:r>
    </w:p>
    <w:p w14:paraId="0CD01FF1" w14:textId="77777777" w:rsidR="00115EE9" w:rsidRPr="00115EE9" w:rsidRDefault="00115EE9" w:rsidP="00115EE9">
      <w:pPr>
        <w:jc w:val="both"/>
        <w:rPr>
          <w:rFonts w:ascii="Times New Roman" w:hAnsi="Times New Roman" w:cs="Times New Roman"/>
          <w:b/>
          <w:color w:val="auto"/>
          <w:sz w:val="24"/>
          <w:szCs w:val="24"/>
        </w:rPr>
      </w:pPr>
      <w:r w:rsidRPr="00115EE9">
        <w:rPr>
          <w:rFonts w:ascii="Times New Roman" w:hAnsi="Times New Roman" w:cs="Times New Roman"/>
          <w:color w:val="auto"/>
          <w:sz w:val="24"/>
          <w:szCs w:val="24"/>
        </w:rPr>
        <w:t xml:space="preserve">1. Identifiable leaves and leaf fragments will be removed from the surface prior to sampling. However, surface roots are retained for sampling. If coarse roots are hit during sampling, stop and move to adjacent point </w:t>
      </w:r>
      <w:r w:rsidRPr="00524139">
        <w:rPr>
          <w:rFonts w:ascii="Times New Roman" w:hAnsi="Times New Roman" w:cs="Times New Roman"/>
          <w:bCs/>
          <w:color w:val="auto"/>
          <w:sz w:val="24"/>
          <w:szCs w:val="24"/>
        </w:rPr>
        <w:t>within 50 cm for 0-10 cm. If roots interrupt at 10-20 cm, cut roots with knife and clippers.</w:t>
      </w:r>
      <w:r w:rsidRPr="00115EE9">
        <w:rPr>
          <w:rFonts w:ascii="Times New Roman" w:hAnsi="Times New Roman" w:cs="Times New Roman"/>
          <w:b/>
          <w:color w:val="auto"/>
          <w:sz w:val="24"/>
          <w:szCs w:val="24"/>
        </w:rPr>
        <w:t xml:space="preserve"> </w:t>
      </w:r>
    </w:p>
    <w:p w14:paraId="100D2843" w14:textId="77777777" w:rsidR="00115EE9" w:rsidRPr="00115EE9" w:rsidRDefault="00115EE9" w:rsidP="00115EE9">
      <w:pPr>
        <w:jc w:val="both"/>
        <w:rPr>
          <w:rFonts w:ascii="Times New Roman" w:hAnsi="Times New Roman" w:cs="Times New Roman"/>
          <w:color w:val="auto"/>
          <w:sz w:val="24"/>
          <w:szCs w:val="24"/>
        </w:rPr>
      </w:pPr>
      <w:r w:rsidRPr="00115EE9">
        <w:rPr>
          <w:rFonts w:ascii="Times New Roman" w:hAnsi="Times New Roman" w:cs="Times New Roman"/>
          <w:color w:val="auto"/>
          <w:sz w:val="24"/>
          <w:szCs w:val="24"/>
        </w:rPr>
        <w:t>2. The surface samples will be taken using a soil corer.</w:t>
      </w:r>
    </w:p>
    <w:p w14:paraId="7C0FBC62" w14:textId="77777777" w:rsidR="00115EE9" w:rsidRPr="00115EE9" w:rsidRDefault="00115EE9" w:rsidP="00115EE9">
      <w:pPr>
        <w:jc w:val="both"/>
        <w:rPr>
          <w:rFonts w:ascii="Times New Roman" w:hAnsi="Times New Roman" w:cs="Times New Roman"/>
          <w:b/>
          <w:color w:val="auto"/>
          <w:sz w:val="24"/>
          <w:szCs w:val="24"/>
        </w:rPr>
      </w:pPr>
      <w:r w:rsidRPr="00115EE9">
        <w:rPr>
          <w:rFonts w:ascii="Times New Roman" w:hAnsi="Times New Roman" w:cs="Times New Roman"/>
          <w:color w:val="auto"/>
          <w:sz w:val="24"/>
          <w:szCs w:val="24"/>
        </w:rPr>
        <w:t xml:space="preserve">3. If soil from the corer separates during handling, dig the soil from the bored hole using a spoon and put it in plastic bags. </w:t>
      </w:r>
      <w:r w:rsidRPr="00524139">
        <w:rPr>
          <w:rFonts w:ascii="Times New Roman" w:hAnsi="Times New Roman" w:cs="Times New Roman"/>
          <w:bCs/>
          <w:color w:val="auto"/>
          <w:sz w:val="24"/>
          <w:szCs w:val="24"/>
        </w:rPr>
        <w:t xml:space="preserve">Keep the corer straight. Minimize soil falling into hole and remove it at the top 2 cm of the core before placing in bag if this happens. </w:t>
      </w:r>
    </w:p>
    <w:p w14:paraId="586F559F" w14:textId="760CBA30" w:rsidR="00115EE9" w:rsidRPr="00115EE9" w:rsidRDefault="00115EE9" w:rsidP="00115EE9">
      <w:pPr>
        <w:jc w:val="both"/>
        <w:rPr>
          <w:rFonts w:ascii="Times New Roman" w:hAnsi="Times New Roman" w:cs="Times New Roman"/>
          <w:color w:val="auto"/>
          <w:sz w:val="24"/>
          <w:szCs w:val="24"/>
        </w:rPr>
      </w:pPr>
      <w:r w:rsidRPr="00115EE9">
        <w:rPr>
          <w:rFonts w:ascii="Times New Roman" w:hAnsi="Times New Roman" w:cs="Times New Roman"/>
          <w:color w:val="auto"/>
          <w:sz w:val="24"/>
          <w:szCs w:val="24"/>
        </w:rPr>
        <w:t xml:space="preserve">4. The second coring of 10-20 cm is done in the same hole. </w:t>
      </w:r>
    </w:p>
    <w:p w14:paraId="775D9AF3" w14:textId="77777777" w:rsidR="00115EE9" w:rsidRPr="00524139" w:rsidRDefault="00115EE9" w:rsidP="00115EE9">
      <w:pPr>
        <w:jc w:val="both"/>
        <w:rPr>
          <w:rFonts w:ascii="Times New Roman" w:hAnsi="Times New Roman" w:cs="Times New Roman"/>
          <w:color w:val="auto"/>
          <w:sz w:val="24"/>
          <w:szCs w:val="24"/>
        </w:rPr>
      </w:pPr>
      <w:r w:rsidRPr="00115EE9">
        <w:rPr>
          <w:rFonts w:ascii="Times New Roman" w:hAnsi="Times New Roman" w:cs="Times New Roman"/>
          <w:color w:val="auto"/>
          <w:sz w:val="24"/>
          <w:szCs w:val="24"/>
        </w:rPr>
        <w:t xml:space="preserve">5. Change the auger head for sampling more than 20 cm. Deeper samples will be taken using a </w:t>
      </w:r>
      <w:proofErr w:type="spellStart"/>
      <w:r w:rsidRPr="00115EE9">
        <w:rPr>
          <w:rFonts w:ascii="Times New Roman" w:hAnsi="Times New Roman" w:cs="Times New Roman"/>
          <w:color w:val="auto"/>
          <w:sz w:val="24"/>
          <w:szCs w:val="24"/>
        </w:rPr>
        <w:t>dutch</w:t>
      </w:r>
      <w:proofErr w:type="spellEnd"/>
      <w:r w:rsidRPr="00115EE9">
        <w:rPr>
          <w:rFonts w:ascii="Times New Roman" w:hAnsi="Times New Roman" w:cs="Times New Roman"/>
          <w:color w:val="auto"/>
          <w:sz w:val="24"/>
          <w:szCs w:val="24"/>
        </w:rPr>
        <w:t xml:space="preserve"> auger (the type of auger will depend on soil properties at the site). Mark the depth of </w:t>
      </w:r>
      <w:r w:rsidRPr="00524139">
        <w:rPr>
          <w:rFonts w:ascii="Times New Roman" w:hAnsi="Times New Roman" w:cs="Times New Roman"/>
          <w:color w:val="auto"/>
          <w:sz w:val="24"/>
          <w:szCs w:val="24"/>
        </w:rPr>
        <w:t>auger boring on the steel using tape accordingly. Bring extra plastic bags for samples 50 -100cm and above because of bigger sample size.</w:t>
      </w:r>
    </w:p>
    <w:p w14:paraId="0B88A63A" w14:textId="77777777" w:rsidR="00115EE9" w:rsidRPr="00115EE9" w:rsidRDefault="00115EE9" w:rsidP="00115EE9">
      <w:pPr>
        <w:jc w:val="both"/>
        <w:rPr>
          <w:rFonts w:ascii="Times New Roman" w:hAnsi="Times New Roman" w:cs="Times New Roman"/>
          <w:color w:val="auto"/>
          <w:sz w:val="24"/>
          <w:szCs w:val="24"/>
        </w:rPr>
      </w:pPr>
      <w:r w:rsidRPr="00115EE9">
        <w:rPr>
          <w:rFonts w:ascii="Times New Roman" w:hAnsi="Times New Roman" w:cs="Times New Roman"/>
          <w:color w:val="auto"/>
          <w:sz w:val="24"/>
          <w:szCs w:val="24"/>
        </w:rPr>
        <w:t xml:space="preserve">6. If you hit bedrock or laterite, mark at the depth the final auger boring is done and note in the plastic bag. </w:t>
      </w:r>
    </w:p>
    <w:p w14:paraId="69AB95A0" w14:textId="0B8E848B" w:rsidR="00115EE9" w:rsidRPr="00524139" w:rsidRDefault="00115EE9" w:rsidP="00115EE9">
      <w:pPr>
        <w:jc w:val="both"/>
        <w:rPr>
          <w:rFonts w:ascii="Times New Roman" w:hAnsi="Times New Roman" w:cs="Times New Roman"/>
          <w:color w:val="auto"/>
          <w:sz w:val="24"/>
          <w:szCs w:val="24"/>
        </w:rPr>
      </w:pPr>
      <w:r w:rsidRPr="00524139">
        <w:rPr>
          <w:rFonts w:ascii="Times New Roman" w:hAnsi="Times New Roman" w:cs="Times New Roman"/>
          <w:color w:val="auto"/>
          <w:sz w:val="24"/>
          <w:szCs w:val="24"/>
        </w:rPr>
        <w:t>7. For samples of very deep, sample 2 met</w:t>
      </w:r>
      <w:r w:rsidR="00524139" w:rsidRPr="00524139">
        <w:rPr>
          <w:rFonts w:ascii="Times New Roman" w:hAnsi="Times New Roman" w:cs="Times New Roman"/>
          <w:color w:val="auto"/>
          <w:sz w:val="24"/>
          <w:szCs w:val="24"/>
        </w:rPr>
        <w:t>ers</w:t>
      </w:r>
      <w:r w:rsidRPr="00524139">
        <w:rPr>
          <w:rFonts w:ascii="Times New Roman" w:hAnsi="Times New Roman" w:cs="Times New Roman"/>
          <w:color w:val="auto"/>
          <w:sz w:val="24"/>
          <w:szCs w:val="24"/>
        </w:rPr>
        <w:t xml:space="preserve"> from the midpoint in a northeasterly direction</w:t>
      </w:r>
    </w:p>
    <w:p w14:paraId="3FF949C1" w14:textId="77777777" w:rsidR="00115EE9" w:rsidRPr="00115EE9" w:rsidRDefault="00115EE9" w:rsidP="00115EE9">
      <w:pPr>
        <w:jc w:val="both"/>
        <w:rPr>
          <w:rFonts w:ascii="Times New Roman" w:hAnsi="Times New Roman" w:cs="Times New Roman"/>
          <w:color w:val="auto"/>
          <w:sz w:val="24"/>
          <w:szCs w:val="24"/>
        </w:rPr>
      </w:pPr>
      <w:r w:rsidRPr="00115EE9">
        <w:rPr>
          <w:rFonts w:ascii="Times New Roman" w:hAnsi="Times New Roman" w:cs="Times New Roman"/>
          <w:color w:val="auto"/>
          <w:sz w:val="24"/>
          <w:szCs w:val="24"/>
        </w:rPr>
        <w:t>8. Samples from the mineral soil will be separated into 8 depths (0-10 cm, 10-20 cm, 20-50 cm, 50-100 cm, 100-150cm, 150-200 cm, 200 – 250, and 250-300 cm) and will be combined for each depth interval in each hectare (composite). This will yield eight discrete samples per hectare, or 400 samples per 50 ha plot. However, if samples for more than 200 cm is absent, samples will be less.</w:t>
      </w:r>
    </w:p>
    <w:p w14:paraId="38563F06" w14:textId="77777777" w:rsidR="00524139" w:rsidRDefault="00524139" w:rsidP="00CE338E">
      <w:pPr>
        <w:spacing w:before="120" w:after="120"/>
        <w:rPr>
          <w:rFonts w:ascii="Times New Roman" w:hAnsi="Times New Roman" w:cs="Times New Roman"/>
          <w:b/>
          <w:bCs/>
          <w:color w:val="auto"/>
          <w:sz w:val="24"/>
          <w:szCs w:val="24"/>
        </w:rPr>
      </w:pPr>
    </w:p>
    <w:p w14:paraId="6B4CE3B9" w14:textId="757F8675" w:rsidR="00CE338E" w:rsidRPr="00115EE9" w:rsidRDefault="00D40C56" w:rsidP="00CE338E">
      <w:pPr>
        <w:spacing w:before="120" w:after="120"/>
        <w:rPr>
          <w:rFonts w:ascii="Times New Roman" w:hAnsi="Times New Roman" w:cs="Times New Roman"/>
          <w:b/>
          <w:bCs/>
          <w:color w:val="auto"/>
          <w:sz w:val="24"/>
          <w:szCs w:val="24"/>
        </w:rPr>
      </w:pPr>
      <w:r w:rsidRPr="00115EE9">
        <w:rPr>
          <w:rFonts w:ascii="Times New Roman" w:hAnsi="Times New Roman" w:cs="Times New Roman"/>
          <w:b/>
          <w:bCs/>
          <w:color w:val="auto"/>
          <w:sz w:val="24"/>
          <w:szCs w:val="24"/>
        </w:rPr>
        <w:t>Carbon stocks in woody debris</w:t>
      </w:r>
    </w:p>
    <w:p w14:paraId="7FC931E8" w14:textId="6FAF55F0" w:rsidR="00CE338E" w:rsidRPr="00115EE9" w:rsidRDefault="00CE338E" w:rsidP="00CE338E">
      <w:pPr>
        <w:spacing w:before="120" w:after="120"/>
        <w:rPr>
          <w:rFonts w:ascii="Times New Roman" w:hAnsi="Times New Roman" w:cs="Times New Roman"/>
          <w:color w:val="auto"/>
          <w:sz w:val="24"/>
          <w:szCs w:val="24"/>
        </w:rPr>
      </w:pPr>
      <w:r w:rsidRPr="00115EE9">
        <w:rPr>
          <w:rFonts w:ascii="Times New Roman" w:hAnsi="Times New Roman" w:cs="Times New Roman"/>
          <w:color w:val="auto"/>
          <w:sz w:val="24"/>
          <w:szCs w:val="24"/>
        </w:rPr>
        <w:t xml:space="preserve">Carbon stocks in woody debris were calculated as the sum of the dry mass stored in fallen fine woody debris (FFWD), fallen coarse woody debris (FCWD), and standing coarse woody debris (SCWD). FCWDs were defined as logs with a diameter (D, in cm) ≥20 cm, and tallied using the line cross-section mass method </w:t>
      </w:r>
      <w:sdt>
        <w:sdtPr>
          <w:rPr>
            <w:rFonts w:ascii="Times New Roman" w:hAnsi="Times New Roman" w:cs="Times New Roman"/>
            <w:color w:val="auto"/>
            <w:sz w:val="24"/>
            <w:szCs w:val="24"/>
          </w:rPr>
          <w:tag w:val="MENDELEY_CITATION_v3_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"/>
          <w:id w:val="518980840"/>
          <w:placeholder>
            <w:docPart w:val="DefaultPlaceholder_-1854013440"/>
          </w:placeholder>
        </w:sdtPr>
        <w:sdtEndPr/>
        <w:sdtContent>
          <w:r w:rsidR="00706B80" w:rsidRPr="00115EE9">
            <w:rPr>
              <w:rFonts w:ascii="Times New Roman" w:eastAsia="Times New Roman" w:hAnsi="Times New Roman" w:cs="Times New Roman"/>
              <w:color w:val="auto"/>
              <w:sz w:val="24"/>
              <w:szCs w:val="24"/>
            </w:rPr>
            <w:t xml:space="preserve">(Harmon </w:t>
          </w:r>
          <w:r w:rsidR="00706B80" w:rsidRPr="00115EE9">
            <w:rPr>
              <w:rFonts w:ascii="Times New Roman" w:eastAsia="Times New Roman" w:hAnsi="Times New Roman" w:cs="Times New Roman"/>
              <w:i/>
              <w:iCs/>
              <w:color w:val="auto"/>
              <w:sz w:val="24"/>
              <w:szCs w:val="24"/>
            </w:rPr>
            <w:t>et al.</w:t>
          </w:r>
          <w:r w:rsidR="00706B80" w:rsidRPr="00115EE9">
            <w:rPr>
              <w:rFonts w:ascii="Times New Roman" w:eastAsia="Times New Roman" w:hAnsi="Times New Roman" w:cs="Times New Roman"/>
              <w:color w:val="auto"/>
              <w:sz w:val="24"/>
              <w:szCs w:val="24"/>
            </w:rPr>
            <w:t xml:space="preserve"> 1986; </w:t>
          </w:r>
          <w:proofErr w:type="spellStart"/>
          <w:r w:rsidR="00706B80" w:rsidRPr="00115EE9">
            <w:rPr>
              <w:rFonts w:ascii="Times New Roman" w:eastAsia="Times New Roman" w:hAnsi="Times New Roman" w:cs="Times New Roman"/>
              <w:color w:val="auto"/>
              <w:sz w:val="24"/>
              <w:szCs w:val="24"/>
            </w:rPr>
            <w:t>Larjavaara</w:t>
          </w:r>
          <w:proofErr w:type="spellEnd"/>
          <w:r w:rsidR="00706B80" w:rsidRPr="00115EE9">
            <w:rPr>
              <w:rFonts w:ascii="Times New Roman" w:eastAsia="Times New Roman" w:hAnsi="Times New Roman" w:cs="Times New Roman"/>
              <w:color w:val="auto"/>
              <w:sz w:val="24"/>
              <w:szCs w:val="24"/>
            </w:rPr>
            <w:t xml:space="preserve"> and Muller-Landau 2011)</w:t>
          </w:r>
        </w:sdtContent>
      </w:sdt>
      <w:r w:rsidRPr="00115EE9">
        <w:rPr>
          <w:rFonts w:ascii="Times New Roman" w:hAnsi="Times New Roman" w:cs="Times New Roman"/>
          <w:color w:val="auto"/>
          <w:sz w:val="24"/>
          <w:szCs w:val="24"/>
        </w:rPr>
        <w:t>. The sampling of FCWD took place in 10 parallel transects of 500 m (5000 m in total) that were divided in sections of 20 m each. To assess carbon stocks (Mg) at the 1-ha scale (100</w:t>
      </w:r>
      <w:r w:rsidR="00FE538D" w:rsidRPr="00115EE9">
        <w:rPr>
          <w:rFonts w:ascii="Times New Roman" w:hAnsi="Times New Roman" w:cs="Times New Roman"/>
          <w:color w:val="auto"/>
          <w:sz w:val="24"/>
          <w:szCs w:val="24"/>
        </w:rPr>
        <w:t xml:space="preserve"> </w:t>
      </w:r>
      <w:r w:rsidRPr="00115EE9">
        <w:rPr>
          <w:rFonts w:ascii="Times New Roman" w:hAnsi="Times New Roman" w:cs="Times New Roman"/>
          <w:color w:val="auto"/>
          <w:sz w:val="24"/>
          <w:szCs w:val="24"/>
        </w:rPr>
        <w:t>x 100</w:t>
      </w:r>
      <w:r w:rsidR="00FE538D" w:rsidRPr="00115EE9">
        <w:rPr>
          <w:rFonts w:ascii="Times New Roman" w:hAnsi="Times New Roman" w:cs="Times New Roman"/>
          <w:color w:val="auto"/>
          <w:sz w:val="24"/>
          <w:szCs w:val="24"/>
        </w:rPr>
        <w:t xml:space="preserve"> </w:t>
      </w:r>
      <w:r w:rsidRPr="00115EE9">
        <w:rPr>
          <w:rFonts w:ascii="Times New Roman" w:hAnsi="Times New Roman" w:cs="Times New Roman"/>
          <w:color w:val="auto"/>
          <w:sz w:val="24"/>
          <w:szCs w:val="24"/>
        </w:rPr>
        <w:t>m), we used two 100 m long transects in each one of the 25 100</w:t>
      </w:r>
      <w:r w:rsidR="00FE538D" w:rsidRPr="00115EE9">
        <w:rPr>
          <w:rFonts w:ascii="Times New Roman" w:hAnsi="Times New Roman" w:cs="Times New Roman"/>
          <w:color w:val="auto"/>
          <w:sz w:val="24"/>
          <w:szCs w:val="24"/>
        </w:rPr>
        <w:t xml:space="preserve"> </w:t>
      </w:r>
      <w:r w:rsidRPr="00115EE9">
        <w:rPr>
          <w:rFonts w:ascii="Times New Roman" w:hAnsi="Times New Roman" w:cs="Times New Roman"/>
          <w:color w:val="auto"/>
          <w:sz w:val="24"/>
          <w:szCs w:val="24"/>
        </w:rPr>
        <w:lastRenderedPageBreak/>
        <w:t>x 100</w:t>
      </w:r>
      <w:r w:rsidR="00FE538D" w:rsidRPr="00115EE9">
        <w:rPr>
          <w:rFonts w:ascii="Times New Roman" w:hAnsi="Times New Roman" w:cs="Times New Roman"/>
          <w:color w:val="auto"/>
          <w:sz w:val="24"/>
          <w:szCs w:val="24"/>
        </w:rPr>
        <w:t xml:space="preserve"> </w:t>
      </w:r>
      <w:r w:rsidRPr="00115EE9">
        <w:rPr>
          <w:rFonts w:ascii="Times New Roman" w:hAnsi="Times New Roman" w:cs="Times New Roman"/>
          <w:color w:val="auto"/>
          <w:sz w:val="24"/>
          <w:szCs w:val="24"/>
        </w:rPr>
        <w:t xml:space="preserve">m </w:t>
      </w:r>
      <w:r w:rsidR="00FE538D" w:rsidRPr="00115EE9">
        <w:rPr>
          <w:rFonts w:ascii="Times New Roman" w:hAnsi="Times New Roman" w:cs="Times New Roman"/>
          <w:color w:val="auto"/>
          <w:sz w:val="24"/>
          <w:szCs w:val="24"/>
        </w:rPr>
        <w:t xml:space="preserve">subplots </w:t>
      </w:r>
      <w:r w:rsidRPr="00115EE9">
        <w:rPr>
          <w:rFonts w:ascii="Times New Roman" w:hAnsi="Times New Roman" w:cs="Times New Roman"/>
          <w:color w:val="auto"/>
          <w:sz w:val="24"/>
          <w:szCs w:val="24"/>
        </w:rPr>
        <w:t>in</w:t>
      </w:r>
      <w:r w:rsidR="00FE538D" w:rsidRPr="00115EE9">
        <w:rPr>
          <w:rFonts w:ascii="Times New Roman" w:hAnsi="Times New Roman" w:cs="Times New Roman"/>
          <w:color w:val="auto"/>
          <w:sz w:val="24"/>
          <w:szCs w:val="24"/>
        </w:rPr>
        <w:t>to</w:t>
      </w:r>
      <w:r w:rsidRPr="00115EE9">
        <w:rPr>
          <w:rFonts w:ascii="Times New Roman" w:hAnsi="Times New Roman" w:cs="Times New Roman"/>
          <w:color w:val="auto"/>
          <w:sz w:val="24"/>
          <w:szCs w:val="24"/>
        </w:rPr>
        <w:t xml:space="preserve"> which we divided the plot (Figure 1). We used a caliper to measure D at the intersection point of the FCWD and transect. In addition, we recorded the direction (</w:t>
      </w:r>
      <m:oMath>
        <m:r>
          <w:rPr>
            <w:rFonts w:ascii="Cambria Math" w:hAnsi="Cambria Math" w:cs="Times New Roman"/>
            <w:color w:val="auto"/>
            <w:sz w:val="24"/>
            <w:szCs w:val="24"/>
          </w:rPr>
          <m:t>α</m:t>
        </m:r>
      </m:oMath>
      <w:r w:rsidRPr="00115EE9">
        <w:rPr>
          <w:rFonts w:ascii="Times New Roman" w:hAnsi="Times New Roman" w:cs="Times New Roman"/>
          <w:color w:val="auto"/>
          <w:sz w:val="24"/>
          <w:szCs w:val="24"/>
        </w:rPr>
        <w:t xml:space="preserve">) of </w:t>
      </w:r>
      <w:r w:rsidR="00FE538D" w:rsidRPr="00115EE9">
        <w:rPr>
          <w:rFonts w:ascii="Times New Roman" w:hAnsi="Times New Roman" w:cs="Times New Roman"/>
          <w:color w:val="auto"/>
          <w:sz w:val="24"/>
          <w:szCs w:val="24"/>
        </w:rPr>
        <w:t xml:space="preserve">each piece of </w:t>
      </w:r>
      <w:r w:rsidRPr="00115EE9">
        <w:rPr>
          <w:rFonts w:ascii="Times New Roman" w:hAnsi="Times New Roman" w:cs="Times New Roman"/>
          <w:color w:val="auto"/>
          <w:sz w:val="24"/>
          <w:szCs w:val="24"/>
        </w:rPr>
        <w:t xml:space="preserve">FCWD as well as </w:t>
      </w:r>
      <w:r w:rsidR="00FE538D" w:rsidRPr="00115EE9">
        <w:rPr>
          <w:rFonts w:ascii="Times New Roman" w:hAnsi="Times New Roman" w:cs="Times New Roman"/>
          <w:color w:val="auto"/>
          <w:sz w:val="24"/>
          <w:szCs w:val="24"/>
        </w:rPr>
        <w:t xml:space="preserve">its </w:t>
      </w:r>
      <w:r w:rsidRPr="00115EE9">
        <w:rPr>
          <w:rFonts w:ascii="Times New Roman" w:hAnsi="Times New Roman" w:cs="Times New Roman"/>
          <w:color w:val="auto"/>
          <w:sz w:val="24"/>
          <w:szCs w:val="24"/>
        </w:rPr>
        <w:t>inclination angle (</w:t>
      </w:r>
      <m:oMath>
        <m:r>
          <w:rPr>
            <w:rFonts w:ascii="Cambria Math" w:hAnsi="Cambria Math" w:cs="Times New Roman"/>
            <w:color w:val="auto"/>
            <w:sz w:val="24"/>
            <w:szCs w:val="24"/>
          </w:rPr>
          <m:t>γ</m:t>
        </m:r>
      </m:oMath>
      <w:r w:rsidRPr="00115EE9">
        <w:rPr>
          <w:rFonts w:ascii="Times New Roman" w:hAnsi="Times New Roman" w:cs="Times New Roman"/>
          <w:color w:val="auto"/>
          <w:sz w:val="24"/>
          <w:szCs w:val="24"/>
        </w:rPr>
        <w:t xml:space="preserve">) in relation to the transect line, using a SUNTO clinometer. The hardness of the wood of FCWD was measured at </w:t>
      </w:r>
      <w:r w:rsidR="00706B80" w:rsidRPr="00115EE9">
        <w:rPr>
          <w:rFonts w:ascii="Times New Roman" w:hAnsi="Times New Roman" w:cs="Times New Roman"/>
          <w:color w:val="auto"/>
          <w:sz w:val="24"/>
          <w:szCs w:val="24"/>
        </w:rPr>
        <w:t xml:space="preserve">the </w:t>
      </w:r>
      <w:r w:rsidRPr="00115EE9">
        <w:rPr>
          <w:rFonts w:ascii="Times New Roman" w:hAnsi="Times New Roman" w:cs="Times New Roman"/>
          <w:color w:val="auto"/>
          <w:sz w:val="24"/>
          <w:szCs w:val="24"/>
        </w:rPr>
        <w:t xml:space="preserve">D measurement point using a dynamic penetrometer </w:t>
      </w:r>
      <w:sdt>
        <w:sdtPr>
          <w:rPr>
            <w:rFonts w:ascii="Times New Roman" w:hAnsi="Times New Roman" w:cs="Times New Roman"/>
            <w:color w:val="auto"/>
            <w:sz w:val="24"/>
            <w:szCs w:val="24"/>
          </w:rPr>
          <w:tag w:val="MENDELEY_CITATION_v3_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"/>
          <w:id w:val="370499200"/>
          <w:placeholder>
            <w:docPart w:val="DefaultPlaceholder_-1854013440"/>
          </w:placeholder>
        </w:sdtPr>
        <w:sdtEndPr/>
        <w:sdtContent>
          <w:r w:rsidR="00706B80" w:rsidRPr="00115EE9">
            <w:rPr>
              <w:rFonts w:ascii="Times New Roman" w:eastAsia="Times New Roman" w:hAnsi="Times New Roman" w:cs="Times New Roman"/>
              <w:color w:val="auto"/>
              <w:sz w:val="24"/>
              <w:szCs w:val="24"/>
            </w:rPr>
            <w:t>(</w:t>
          </w:r>
          <w:proofErr w:type="spellStart"/>
          <w:r w:rsidR="00706B80" w:rsidRPr="00115EE9">
            <w:rPr>
              <w:rFonts w:ascii="Times New Roman" w:eastAsia="Times New Roman" w:hAnsi="Times New Roman" w:cs="Times New Roman"/>
              <w:color w:val="auto"/>
              <w:sz w:val="24"/>
              <w:szCs w:val="24"/>
            </w:rPr>
            <w:t>Larjavaara</w:t>
          </w:r>
          <w:proofErr w:type="spellEnd"/>
          <w:r w:rsidR="00706B80" w:rsidRPr="00115EE9">
            <w:rPr>
              <w:rFonts w:ascii="Times New Roman" w:eastAsia="Times New Roman" w:hAnsi="Times New Roman" w:cs="Times New Roman"/>
              <w:color w:val="auto"/>
              <w:sz w:val="24"/>
              <w:szCs w:val="24"/>
            </w:rPr>
            <w:t xml:space="preserve"> and Muller-Landau 2011)</w:t>
          </w:r>
        </w:sdtContent>
      </w:sdt>
      <w:r w:rsidRPr="00115EE9">
        <w:rPr>
          <w:rFonts w:ascii="Times New Roman" w:hAnsi="Times New Roman" w:cs="Times New Roman"/>
          <w:color w:val="auto"/>
          <w:sz w:val="24"/>
          <w:szCs w:val="24"/>
        </w:rPr>
        <w:t>. The penetration depth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i</m:t>
            </m:r>
          </m:sub>
        </m:sSub>
      </m:oMath>
      <w:r w:rsidRPr="00115EE9">
        <w:rPr>
          <w:rFonts w:ascii="Times New Roman" w:hAnsi="Times New Roman" w:cs="Times New Roman"/>
          <w:color w:val="auto"/>
          <w:sz w:val="24"/>
          <w:szCs w:val="24"/>
        </w:rPr>
        <w:t>, in cm) of the 20 cm pin after 20 strikes was measured; in those cases where the pin completely penetrated the piece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i</m:t>
            </m:r>
          </m:sub>
        </m:sSub>
      </m:oMath>
      <w:r w:rsidRPr="00115EE9">
        <w:rPr>
          <w:rFonts w:ascii="Times New Roman" w:hAnsi="Times New Roman" w:cs="Times New Roman"/>
          <w:color w:val="auto"/>
          <w:sz w:val="24"/>
          <w:szCs w:val="24"/>
        </w:rPr>
        <w:t xml:space="preserve"> =20 cm), the number of strikes was registered. The wood samples of FCWDs encountered in each transect were weighed and packed in plastic bags, and the associated oven dry weight and wood density (WD; g cm</w:t>
      </w:r>
      <w:r w:rsidRPr="00115EE9">
        <w:rPr>
          <w:rFonts w:ascii="Times New Roman" w:hAnsi="Times New Roman" w:cs="Times New Roman"/>
          <w:color w:val="auto"/>
          <w:sz w:val="24"/>
          <w:szCs w:val="24"/>
          <w:vertAlign w:val="superscript"/>
        </w:rPr>
        <w:t>-3</w:t>
      </w:r>
      <w:r w:rsidRPr="00115EE9">
        <w:rPr>
          <w:rFonts w:ascii="Times New Roman" w:hAnsi="Times New Roman" w:cs="Times New Roman"/>
          <w:color w:val="auto"/>
          <w:sz w:val="24"/>
          <w:szCs w:val="24"/>
        </w:rPr>
        <w:t xml:space="preserve">) </w:t>
      </w:r>
      <w:r w:rsidR="00BA08AD" w:rsidRPr="00115EE9">
        <w:rPr>
          <w:rFonts w:ascii="Times New Roman" w:hAnsi="Times New Roman" w:cs="Times New Roman"/>
          <w:color w:val="auto"/>
          <w:sz w:val="24"/>
          <w:szCs w:val="24"/>
        </w:rPr>
        <w:t xml:space="preserve">were </w:t>
      </w:r>
      <w:r w:rsidRPr="00115EE9">
        <w:rPr>
          <w:rFonts w:ascii="Times New Roman" w:hAnsi="Times New Roman" w:cs="Times New Roman"/>
          <w:color w:val="auto"/>
          <w:sz w:val="24"/>
          <w:szCs w:val="24"/>
        </w:rPr>
        <w:t>determined in the laboratory of the Universidad Nacional de Colombia (Medellin campus). To calculate WD, we dried the samples at 65 ºC to constant weight (in g). The volume of each piece (in cm</w:t>
      </w:r>
      <w:r w:rsidRPr="00115EE9">
        <w:rPr>
          <w:rFonts w:ascii="Times New Roman" w:hAnsi="Times New Roman" w:cs="Times New Roman"/>
          <w:color w:val="auto"/>
          <w:sz w:val="24"/>
          <w:szCs w:val="24"/>
          <w:vertAlign w:val="superscript"/>
        </w:rPr>
        <w:t>3</w:t>
      </w:r>
      <w:r w:rsidRPr="00115EE9">
        <w:rPr>
          <w:rFonts w:ascii="Times New Roman" w:hAnsi="Times New Roman" w:cs="Times New Roman"/>
          <w:color w:val="auto"/>
          <w:sz w:val="24"/>
          <w:szCs w:val="24"/>
        </w:rPr>
        <w:t>) was calculated by water displacement. WD of FCWD (WD</w:t>
      </w:r>
      <w:r w:rsidRPr="00115EE9">
        <w:rPr>
          <w:rFonts w:ascii="Times New Roman" w:hAnsi="Times New Roman" w:cs="Times New Roman"/>
          <w:color w:val="auto"/>
          <w:sz w:val="24"/>
          <w:szCs w:val="24"/>
          <w:vertAlign w:val="subscript"/>
        </w:rPr>
        <w:t>FCWD</w:t>
      </w:r>
      <w:r w:rsidRPr="00115EE9">
        <w:rPr>
          <w:rFonts w:ascii="Times New Roman" w:hAnsi="Times New Roman" w:cs="Times New Roman"/>
          <w:color w:val="auto"/>
          <w:sz w:val="24"/>
          <w:szCs w:val="24"/>
        </w:rPr>
        <w:t>; g cm</w:t>
      </w:r>
      <w:r w:rsidRPr="00115EE9">
        <w:rPr>
          <w:rFonts w:ascii="Times New Roman" w:hAnsi="Times New Roman" w:cs="Times New Roman"/>
          <w:color w:val="auto"/>
          <w:sz w:val="24"/>
          <w:szCs w:val="24"/>
          <w:vertAlign w:val="superscript"/>
        </w:rPr>
        <w:t>-3</w:t>
      </w:r>
      <w:r w:rsidRPr="00115EE9">
        <w:rPr>
          <w:rFonts w:ascii="Times New Roman" w:hAnsi="Times New Roman" w:cs="Times New Roman"/>
          <w:color w:val="auto"/>
          <w:sz w:val="24"/>
          <w:szCs w:val="24"/>
        </w:rPr>
        <w:t>) was obtained by dividing the dry weight of the piece by its volume.</w:t>
      </w:r>
    </w:p>
    <w:p w14:paraId="648C7B4E" w14:textId="3C007CA8" w:rsidR="00CE338E" w:rsidRPr="00115EE9" w:rsidRDefault="00CE338E" w:rsidP="00CE338E">
      <w:pPr>
        <w:spacing w:before="120" w:after="120"/>
        <w:rPr>
          <w:rFonts w:ascii="Times New Roman" w:hAnsi="Times New Roman" w:cs="Times New Roman"/>
          <w:color w:val="auto"/>
          <w:sz w:val="24"/>
          <w:szCs w:val="24"/>
        </w:rPr>
      </w:pPr>
      <w:r w:rsidRPr="00115EE9">
        <w:rPr>
          <w:rFonts w:ascii="Times New Roman" w:hAnsi="Times New Roman" w:cs="Times New Roman"/>
          <w:color w:val="auto"/>
          <w:sz w:val="24"/>
          <w:szCs w:val="24"/>
        </w:rPr>
        <w:t>We fitted a log-log regression between WD</w:t>
      </w:r>
      <w:r w:rsidRPr="00115EE9">
        <w:rPr>
          <w:rFonts w:ascii="Times New Roman" w:hAnsi="Times New Roman" w:cs="Times New Roman"/>
          <w:color w:val="auto"/>
          <w:sz w:val="24"/>
          <w:szCs w:val="24"/>
          <w:vertAlign w:val="subscript"/>
        </w:rPr>
        <w:t>FCWD</w:t>
      </w:r>
      <w:r w:rsidRPr="00115EE9">
        <w:rPr>
          <w:rFonts w:ascii="Times New Roman" w:hAnsi="Times New Roman" w:cs="Times New Roman"/>
          <w:color w:val="auto"/>
          <w:sz w:val="24"/>
          <w:szCs w:val="24"/>
        </w:rPr>
        <w:t xml:space="preserve"> and the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i</m:t>
            </m:r>
          </m:sub>
        </m:sSub>
      </m:oMath>
      <w:r w:rsidRPr="00115EE9">
        <w:rPr>
          <w:rFonts w:ascii="Times New Roman" w:hAnsi="Times New Roman" w:cs="Times New Roman"/>
          <w:color w:val="auto"/>
          <w:sz w:val="24"/>
          <w:szCs w:val="24"/>
        </w:rPr>
        <w:t>, using the data from 140 samples collected in the field (Figure S1). The selected model was log</w:t>
      </w:r>
      <w:r w:rsidRPr="00115EE9">
        <w:rPr>
          <w:rFonts w:ascii="Times New Roman" w:hAnsi="Times New Roman" w:cs="Times New Roman"/>
          <w:color w:val="auto"/>
          <w:sz w:val="24"/>
          <w:szCs w:val="24"/>
          <w:vertAlign w:val="subscript"/>
        </w:rPr>
        <w:t>10</w:t>
      </w:r>
      <w:r w:rsidRPr="00115EE9">
        <w:rPr>
          <w:rFonts w:ascii="Times New Roman" w:hAnsi="Times New Roman" w:cs="Times New Roman"/>
          <w:color w:val="auto"/>
          <w:sz w:val="24"/>
          <w:szCs w:val="24"/>
        </w:rPr>
        <w:t>(WD</w:t>
      </w:r>
      <w:r w:rsidRPr="00115EE9">
        <w:rPr>
          <w:rFonts w:ascii="Times New Roman" w:hAnsi="Times New Roman" w:cs="Times New Roman"/>
          <w:color w:val="auto"/>
          <w:sz w:val="24"/>
          <w:szCs w:val="24"/>
          <w:vertAlign w:val="subscript"/>
        </w:rPr>
        <w:t>FCWD</w:t>
      </w:r>
      <w:r w:rsidRPr="00115EE9">
        <w:rPr>
          <w:rFonts w:ascii="Times New Roman" w:hAnsi="Times New Roman" w:cs="Times New Roman"/>
          <w:color w:val="auto"/>
          <w:sz w:val="24"/>
          <w:szCs w:val="24"/>
        </w:rPr>
        <w:t>) = −0.520−0.409*log</w:t>
      </w:r>
      <w:r w:rsidRPr="00115EE9">
        <w:rPr>
          <w:rFonts w:ascii="Times New Roman" w:hAnsi="Times New Roman" w:cs="Times New Roman"/>
          <w:color w:val="auto"/>
          <w:sz w:val="24"/>
          <w:szCs w:val="24"/>
          <w:vertAlign w:val="subscript"/>
        </w:rPr>
        <w:t>10</w:t>
      </w:r>
      <w:r w:rsidRPr="00115EE9">
        <w:rPr>
          <w:rFonts w:ascii="Times New Roman" w:hAnsi="Times New Roman" w:cs="Times New Roman"/>
          <w:color w:val="auto"/>
          <w:sz w:val="24"/>
          <w:szCs w:val="24"/>
        </w:rPr>
        <w:t>(</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i</m:t>
            </m:r>
          </m:sub>
        </m:sSub>
      </m:oMath>
      <w:r w:rsidRPr="00115EE9">
        <w:rPr>
          <w:rFonts w:ascii="Times New Roman" w:hAnsi="Times New Roman" w:cs="Times New Roman"/>
          <w:color w:val="auto"/>
          <w:sz w:val="24"/>
          <w:szCs w:val="24"/>
        </w:rPr>
        <w:t>) (</w:t>
      </w:r>
      <m:oMath>
        <m:sSubSup>
          <m:sSubSupPr>
            <m:ctrlPr>
              <w:rPr>
                <w:rFonts w:ascii="Cambria Math" w:hAnsi="Cambria Math" w:cs="Times New Roman"/>
                <w:color w:val="auto"/>
                <w:sz w:val="24"/>
                <w:szCs w:val="24"/>
              </w:rPr>
            </m:ctrlPr>
          </m:sSubSupPr>
          <m:e>
            <m:r>
              <w:rPr>
                <w:rFonts w:ascii="Cambria Math" w:hAnsi="Cambria Math" w:cs="Times New Roman"/>
                <w:color w:val="auto"/>
                <w:sz w:val="24"/>
                <w:szCs w:val="24"/>
              </w:rPr>
              <m:t>r</m:t>
            </m:r>
          </m:e>
          <m:sub>
            <m:r>
              <w:rPr>
                <w:rFonts w:ascii="Cambria Math" w:hAnsi="Cambria Math" w:cs="Times New Roman"/>
                <w:color w:val="auto"/>
                <w:sz w:val="24"/>
                <w:szCs w:val="24"/>
              </w:rPr>
              <m:t>Adj</m:t>
            </m:r>
            <m:r>
              <m:rPr>
                <m:sty m:val="p"/>
              </m:rPr>
              <w:rPr>
                <w:rFonts w:ascii="Cambria Math" w:hAnsi="Cambria Math" w:cs="Times New Roman"/>
                <w:color w:val="auto"/>
                <w:sz w:val="24"/>
                <w:szCs w:val="24"/>
              </w:rPr>
              <m:t>.</m:t>
            </m:r>
          </m:sub>
          <m:sup>
            <m:r>
              <m:rPr>
                <m:sty m:val="p"/>
              </m:rPr>
              <w:rPr>
                <w:rFonts w:ascii="Cambria Math" w:hAnsi="Cambria Math" w:cs="Times New Roman"/>
                <w:color w:val="auto"/>
                <w:sz w:val="24"/>
                <w:szCs w:val="24"/>
              </w:rPr>
              <m:t>2</m:t>
            </m:r>
          </m:sup>
        </m:sSubSup>
      </m:oMath>
      <w:r w:rsidRPr="00115EE9">
        <w:rPr>
          <w:rFonts w:ascii="Times New Roman" w:hAnsi="Times New Roman" w:cs="Times New Roman"/>
          <w:color w:val="auto"/>
          <w:sz w:val="24"/>
          <w:szCs w:val="24"/>
        </w:rPr>
        <w:t xml:space="preserve"> =0.38, p &lt;0.001, df =139). The fitted model was employed to estimate the WD</w:t>
      </w:r>
      <w:r w:rsidRPr="00115EE9">
        <w:rPr>
          <w:rFonts w:ascii="Times New Roman" w:hAnsi="Times New Roman" w:cs="Times New Roman"/>
          <w:color w:val="auto"/>
          <w:sz w:val="24"/>
          <w:szCs w:val="24"/>
          <w:vertAlign w:val="subscript"/>
        </w:rPr>
        <w:t>FCWD</w:t>
      </w:r>
      <w:r w:rsidRPr="00115EE9">
        <w:rPr>
          <w:rFonts w:ascii="Times New Roman" w:hAnsi="Times New Roman" w:cs="Times New Roman"/>
          <w:color w:val="auto"/>
          <w:sz w:val="24"/>
          <w:szCs w:val="24"/>
        </w:rPr>
        <w:t xml:space="preserve"> of those</w:t>
      </w:r>
      <w:r w:rsidR="00FE538D" w:rsidRPr="00115EE9">
        <w:rPr>
          <w:rFonts w:ascii="Times New Roman" w:hAnsi="Times New Roman" w:cs="Times New Roman"/>
          <w:color w:val="auto"/>
          <w:sz w:val="24"/>
          <w:szCs w:val="24"/>
        </w:rPr>
        <w:t xml:space="preserve"> pieces of</w:t>
      </w:r>
      <w:r w:rsidRPr="00115EE9">
        <w:rPr>
          <w:rFonts w:ascii="Times New Roman" w:hAnsi="Times New Roman" w:cs="Times New Roman"/>
          <w:color w:val="auto"/>
          <w:sz w:val="24"/>
          <w:szCs w:val="24"/>
        </w:rPr>
        <w:t xml:space="preserve"> FCWD for which we only had a value of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i</m:t>
            </m:r>
          </m:sub>
        </m:sSub>
      </m:oMath>
      <w:r w:rsidRPr="00115EE9">
        <w:rPr>
          <w:rFonts w:ascii="Times New Roman" w:hAnsi="Times New Roman" w:cs="Times New Roman"/>
          <w:color w:val="auto"/>
          <w:sz w:val="24"/>
          <w:szCs w:val="24"/>
        </w:rPr>
        <w:t>. The cross-</w:t>
      </w:r>
      <w:r w:rsidR="00FE538D" w:rsidRPr="00115EE9">
        <w:rPr>
          <w:rFonts w:ascii="Times New Roman" w:hAnsi="Times New Roman" w:cs="Times New Roman"/>
          <w:color w:val="auto"/>
          <w:sz w:val="24"/>
          <w:szCs w:val="24"/>
        </w:rPr>
        <w:t xml:space="preserve">section </w:t>
      </w:r>
      <w:r w:rsidRPr="00115EE9">
        <w:rPr>
          <w:rFonts w:ascii="Times New Roman" w:hAnsi="Times New Roman" w:cs="Times New Roman"/>
          <w:color w:val="auto"/>
          <w:sz w:val="24"/>
          <w:szCs w:val="24"/>
        </w:rPr>
        <w:t>area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c</m:t>
            </m:r>
          </m:e>
          <m:sub>
            <m:r>
              <w:rPr>
                <w:rFonts w:ascii="Cambria Math" w:hAnsi="Cambria Math" w:cs="Times New Roman"/>
                <w:color w:val="auto"/>
                <w:sz w:val="24"/>
                <w:szCs w:val="24"/>
              </w:rPr>
              <m:t>a</m:t>
            </m:r>
          </m:sub>
        </m:sSub>
      </m:oMath>
      <w:r w:rsidRPr="00115EE9">
        <w:rPr>
          <w:rFonts w:ascii="Times New Roman" w:hAnsi="Times New Roman" w:cs="Times New Roman"/>
          <w:color w:val="auto"/>
          <w:sz w:val="24"/>
          <w:szCs w:val="24"/>
        </w:rPr>
        <w:t>, in m</w:t>
      </w:r>
      <w:r w:rsidRPr="00115EE9">
        <w:rPr>
          <w:rFonts w:ascii="Times New Roman" w:hAnsi="Times New Roman" w:cs="Times New Roman"/>
          <w:color w:val="auto"/>
          <w:sz w:val="24"/>
          <w:szCs w:val="24"/>
          <w:vertAlign w:val="superscript"/>
        </w:rPr>
        <w:t>2</w:t>
      </w:r>
      <w:r w:rsidRPr="00115EE9">
        <w:rPr>
          <w:rFonts w:ascii="Times New Roman" w:hAnsi="Times New Roman" w:cs="Times New Roman"/>
          <w:color w:val="auto"/>
          <w:sz w:val="24"/>
          <w:szCs w:val="24"/>
        </w:rPr>
        <w:t xml:space="preserve">) of each </w:t>
      </w:r>
      <w:r w:rsidR="00FE538D" w:rsidRPr="00115EE9">
        <w:rPr>
          <w:rFonts w:ascii="Times New Roman" w:hAnsi="Times New Roman" w:cs="Times New Roman"/>
          <w:color w:val="auto"/>
          <w:sz w:val="24"/>
          <w:szCs w:val="24"/>
        </w:rPr>
        <w:t xml:space="preserve">piece of </w:t>
      </w:r>
      <w:r w:rsidRPr="00115EE9">
        <w:rPr>
          <w:rFonts w:ascii="Times New Roman" w:hAnsi="Times New Roman" w:cs="Times New Roman"/>
          <w:color w:val="auto"/>
          <w:sz w:val="24"/>
          <w:szCs w:val="24"/>
        </w:rPr>
        <w:t xml:space="preserve">FCWD was estimated from D assuming a </w:t>
      </w:r>
      <w:r w:rsidR="00FE538D" w:rsidRPr="00115EE9">
        <w:rPr>
          <w:rFonts w:ascii="Times New Roman" w:hAnsi="Times New Roman" w:cs="Times New Roman"/>
          <w:color w:val="auto"/>
          <w:sz w:val="24"/>
          <w:szCs w:val="24"/>
        </w:rPr>
        <w:t>circular cross-section</w:t>
      </w:r>
      <w:r w:rsidRPr="00115EE9">
        <w:rPr>
          <w:rFonts w:ascii="Times New Roman" w:hAnsi="Times New Roman" w:cs="Times New Roman"/>
          <w:color w:val="auto"/>
          <w:sz w:val="24"/>
          <w:szCs w:val="24"/>
        </w:rPr>
        <w:t xml:space="preserve">. When </w:t>
      </w:r>
      <m:oMath>
        <m:r>
          <w:rPr>
            <w:rFonts w:ascii="Cambria Math" w:hAnsi="Cambria Math" w:cs="Times New Roman"/>
            <w:color w:val="auto"/>
            <w:sz w:val="24"/>
            <w:szCs w:val="24"/>
          </w:rPr>
          <m:t>γ</m:t>
        </m:r>
      </m:oMath>
      <w:r w:rsidRPr="00115EE9">
        <w:rPr>
          <w:rFonts w:ascii="Times New Roman" w:hAnsi="Times New Roman" w:cs="Times New Roman"/>
          <w:color w:val="auto"/>
          <w:sz w:val="24"/>
          <w:szCs w:val="24"/>
        </w:rPr>
        <w:t xml:space="preserve"> &gt;0°, a correction was applied dividing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c</m:t>
            </m:r>
          </m:e>
          <m:sub>
            <m:r>
              <w:rPr>
                <w:rFonts w:ascii="Cambria Math" w:hAnsi="Cambria Math" w:cs="Times New Roman"/>
                <w:color w:val="auto"/>
                <w:sz w:val="24"/>
                <w:szCs w:val="24"/>
              </w:rPr>
              <m:t>a</m:t>
            </m:r>
          </m:sub>
        </m:sSub>
      </m:oMath>
      <w:r w:rsidRPr="00115EE9">
        <w:rPr>
          <w:rFonts w:ascii="Times New Roman" w:hAnsi="Times New Roman" w:cs="Times New Roman"/>
          <w:color w:val="auto"/>
          <w:sz w:val="24"/>
          <w:szCs w:val="24"/>
        </w:rPr>
        <w:t xml:space="preserve"> by the cosine of the angle (cos </w:t>
      </w:r>
      <m:oMath>
        <m:r>
          <w:rPr>
            <w:rFonts w:ascii="Cambria Math" w:hAnsi="Cambria Math" w:cs="Times New Roman"/>
            <w:color w:val="auto"/>
            <w:sz w:val="24"/>
            <w:szCs w:val="24"/>
          </w:rPr>
          <m:t>γ</m:t>
        </m:r>
      </m:oMath>
      <w:r w:rsidRPr="00115EE9">
        <w:rPr>
          <w:rFonts w:ascii="Times New Roman" w:hAnsi="Times New Roman" w:cs="Times New Roman"/>
          <w:color w:val="auto"/>
          <w:sz w:val="24"/>
          <w:szCs w:val="24"/>
        </w:rPr>
        <w:t>). The cross-section mass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c</m:t>
            </m:r>
          </m:e>
          <m:sub>
            <m:r>
              <w:rPr>
                <w:rFonts w:ascii="Cambria Math" w:hAnsi="Cambria Math" w:cs="Times New Roman"/>
                <w:color w:val="auto"/>
                <w:sz w:val="24"/>
                <w:szCs w:val="24"/>
              </w:rPr>
              <m:t>i</m:t>
            </m:r>
          </m:sub>
        </m:sSub>
      </m:oMath>
      <w:r w:rsidRPr="00115EE9">
        <w:rPr>
          <w:rFonts w:ascii="Times New Roman" w:hAnsi="Times New Roman" w:cs="Times New Roman"/>
          <w:color w:val="auto"/>
          <w:sz w:val="24"/>
          <w:szCs w:val="24"/>
        </w:rPr>
        <w:t>, in kg m</w:t>
      </w:r>
      <w:r w:rsidRPr="00115EE9">
        <w:rPr>
          <w:rFonts w:ascii="Times New Roman" w:hAnsi="Times New Roman" w:cs="Times New Roman"/>
          <w:color w:val="auto"/>
          <w:sz w:val="24"/>
          <w:szCs w:val="24"/>
          <w:vertAlign w:val="superscript"/>
        </w:rPr>
        <w:t>-1</w:t>
      </w:r>
      <w:r w:rsidRPr="00115EE9">
        <w:rPr>
          <w:rFonts w:ascii="Times New Roman" w:hAnsi="Times New Roman" w:cs="Times New Roman"/>
          <w:color w:val="auto"/>
          <w:sz w:val="24"/>
          <w:szCs w:val="24"/>
        </w:rPr>
        <w:t xml:space="preserve">) of each FCWD was calculated as the product of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c</m:t>
            </m:r>
          </m:e>
          <m:sub>
            <m:r>
              <w:rPr>
                <w:rFonts w:ascii="Cambria Math" w:hAnsi="Cambria Math" w:cs="Times New Roman"/>
                <w:color w:val="auto"/>
                <w:sz w:val="24"/>
                <w:szCs w:val="24"/>
              </w:rPr>
              <m:t>a</m:t>
            </m:r>
          </m:sub>
        </m:sSub>
      </m:oMath>
      <w:r w:rsidRPr="00115EE9">
        <w:rPr>
          <w:rFonts w:ascii="Times New Roman" w:hAnsi="Times New Roman" w:cs="Times New Roman"/>
          <w:color w:val="auto"/>
          <w:sz w:val="24"/>
          <w:szCs w:val="24"/>
        </w:rPr>
        <w:t xml:space="preserve"> and WD</w:t>
      </w:r>
      <w:r w:rsidRPr="00115EE9">
        <w:rPr>
          <w:rFonts w:ascii="Times New Roman" w:hAnsi="Times New Roman" w:cs="Times New Roman"/>
          <w:color w:val="auto"/>
          <w:sz w:val="24"/>
          <w:szCs w:val="24"/>
          <w:vertAlign w:val="subscript"/>
        </w:rPr>
        <w:t>FCWD</w:t>
      </w:r>
      <w:r w:rsidRPr="00115EE9">
        <w:rPr>
          <w:rFonts w:ascii="Times New Roman" w:hAnsi="Times New Roman" w:cs="Times New Roman"/>
          <w:color w:val="auto"/>
          <w:sz w:val="24"/>
          <w:szCs w:val="24"/>
        </w:rPr>
        <w:t>. The mass</w:t>
      </w:r>
      <w:r w:rsidR="00FE538D" w:rsidRPr="00115EE9">
        <w:rPr>
          <w:rFonts w:ascii="Times New Roman" w:hAnsi="Times New Roman" w:cs="Times New Roman"/>
          <w:color w:val="auto"/>
          <w:sz w:val="24"/>
          <w:szCs w:val="24"/>
        </w:rPr>
        <w:t xml:space="preserve"> per area</w:t>
      </w:r>
      <w:r w:rsidRPr="00115EE9">
        <w:rPr>
          <w:rFonts w:ascii="Times New Roman" w:hAnsi="Times New Roman" w:cs="Times New Roman"/>
          <w:color w:val="auto"/>
          <w:sz w:val="24"/>
          <w:szCs w:val="24"/>
        </w:rPr>
        <w:t xml:space="preserve"> (</w:t>
      </w:r>
      <m:oMath>
        <m:r>
          <w:rPr>
            <w:rFonts w:ascii="Cambria Math" w:hAnsi="Cambria Math" w:cs="Times New Roman"/>
            <w:color w:val="auto"/>
            <w:sz w:val="24"/>
            <w:szCs w:val="24"/>
          </w:rPr>
          <m:t>M</m:t>
        </m:r>
      </m:oMath>
      <w:r w:rsidRPr="00115EE9">
        <w:rPr>
          <w:rFonts w:ascii="Times New Roman" w:hAnsi="Times New Roman" w:cs="Times New Roman"/>
          <w:color w:val="auto"/>
          <w:sz w:val="24"/>
          <w:szCs w:val="24"/>
        </w:rPr>
        <w:t>, in kg</w:t>
      </w:r>
      <w:r w:rsidR="00FE538D" w:rsidRPr="00115EE9">
        <w:rPr>
          <w:rFonts w:ascii="Times New Roman" w:hAnsi="Times New Roman" w:cs="Times New Roman"/>
          <w:color w:val="auto"/>
          <w:sz w:val="24"/>
          <w:szCs w:val="24"/>
        </w:rPr>
        <w:t xml:space="preserve"> </w:t>
      </w:r>
      <w:r w:rsidRPr="00115EE9">
        <w:rPr>
          <w:rFonts w:ascii="Times New Roman" w:hAnsi="Times New Roman" w:cs="Times New Roman"/>
          <w:color w:val="auto"/>
          <w:sz w:val="24"/>
          <w:szCs w:val="24"/>
        </w:rPr>
        <w:t>m</w:t>
      </w:r>
      <w:r w:rsidR="00FE538D" w:rsidRPr="00115EE9">
        <w:rPr>
          <w:rFonts w:ascii="Times New Roman" w:hAnsi="Times New Roman" w:cs="Times New Roman"/>
          <w:color w:val="auto"/>
          <w:sz w:val="24"/>
          <w:szCs w:val="24"/>
          <w:vertAlign w:val="superscript"/>
        </w:rPr>
        <w:t>-</w:t>
      </w:r>
      <w:r w:rsidRPr="00115EE9">
        <w:rPr>
          <w:rFonts w:ascii="Times New Roman" w:hAnsi="Times New Roman" w:cs="Times New Roman"/>
          <w:color w:val="auto"/>
          <w:sz w:val="24"/>
          <w:szCs w:val="24"/>
          <w:vertAlign w:val="superscript"/>
        </w:rPr>
        <w:t>2</w:t>
      </w:r>
      <w:r w:rsidRPr="00115EE9">
        <w:rPr>
          <w:rFonts w:ascii="Times New Roman" w:hAnsi="Times New Roman" w:cs="Times New Roman"/>
          <w:color w:val="auto"/>
          <w:sz w:val="24"/>
          <w:szCs w:val="24"/>
        </w:rPr>
        <w:t xml:space="preserve">) </w:t>
      </w:r>
      <w:r w:rsidR="00FE538D" w:rsidRPr="00115EE9">
        <w:rPr>
          <w:rFonts w:ascii="Times New Roman" w:hAnsi="Times New Roman" w:cs="Times New Roman"/>
          <w:color w:val="auto"/>
          <w:sz w:val="24"/>
          <w:szCs w:val="24"/>
        </w:rPr>
        <w:t>in</w:t>
      </w:r>
      <w:r w:rsidRPr="00115EE9">
        <w:rPr>
          <w:rFonts w:ascii="Times New Roman" w:hAnsi="Times New Roman" w:cs="Times New Roman"/>
          <w:color w:val="auto"/>
          <w:sz w:val="24"/>
          <w:szCs w:val="24"/>
        </w:rPr>
        <w:t xml:space="preserve"> FCWD</w:t>
      </w:r>
      <w:r w:rsidR="00FE538D" w:rsidRPr="00115EE9">
        <w:rPr>
          <w:rFonts w:ascii="Times New Roman" w:hAnsi="Times New Roman" w:cs="Times New Roman"/>
          <w:color w:val="auto"/>
          <w:sz w:val="24"/>
          <w:szCs w:val="24"/>
        </w:rPr>
        <w:t xml:space="preserve"> in each 1-ha subplot</w:t>
      </w:r>
      <w:r w:rsidRPr="00115EE9">
        <w:rPr>
          <w:rFonts w:ascii="Times New Roman" w:hAnsi="Times New Roman" w:cs="Times New Roman"/>
          <w:color w:val="auto"/>
          <w:sz w:val="24"/>
          <w:szCs w:val="24"/>
        </w:rPr>
        <w:t xml:space="preserve"> </w:t>
      </w:r>
      <w:sdt>
        <w:sdtPr>
          <w:rPr>
            <w:rFonts w:ascii="Times New Roman" w:hAnsi="Times New Roman" w:cs="Times New Roman"/>
            <w:color w:val="auto"/>
            <w:sz w:val="24"/>
            <w:szCs w:val="24"/>
          </w:rPr>
          <w:tag w:val="MENDELEY_CITATION_v3_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"/>
          <w:id w:val="-1145589541"/>
          <w:placeholder>
            <w:docPart w:val="DefaultPlaceholder_-1854013440"/>
          </w:placeholder>
        </w:sdtPr>
        <w:sdtEndPr/>
        <w:sdtContent>
          <w:r w:rsidR="00706B80" w:rsidRPr="00115EE9">
            <w:rPr>
              <w:rFonts w:ascii="Times New Roman" w:eastAsia="Times New Roman" w:hAnsi="Times New Roman" w:cs="Times New Roman"/>
              <w:color w:val="auto"/>
              <w:sz w:val="24"/>
              <w:szCs w:val="24"/>
            </w:rPr>
            <w:t>(</w:t>
          </w:r>
          <w:proofErr w:type="spellStart"/>
          <w:r w:rsidR="00706B80" w:rsidRPr="00115EE9">
            <w:rPr>
              <w:rFonts w:ascii="Times New Roman" w:eastAsia="Times New Roman" w:hAnsi="Times New Roman" w:cs="Times New Roman"/>
              <w:color w:val="auto"/>
              <w:sz w:val="24"/>
              <w:szCs w:val="24"/>
            </w:rPr>
            <w:t>Larjavaara</w:t>
          </w:r>
          <w:proofErr w:type="spellEnd"/>
          <w:r w:rsidR="00706B80" w:rsidRPr="00115EE9">
            <w:rPr>
              <w:rFonts w:ascii="Times New Roman" w:eastAsia="Times New Roman" w:hAnsi="Times New Roman" w:cs="Times New Roman"/>
              <w:color w:val="auto"/>
              <w:sz w:val="24"/>
              <w:szCs w:val="24"/>
            </w:rPr>
            <w:t xml:space="preserve"> and Muller-Landau 2011)</w:t>
          </w:r>
        </w:sdtContent>
      </w:sdt>
      <w:r w:rsidRPr="00115EE9">
        <w:rPr>
          <w:rFonts w:ascii="Times New Roman" w:hAnsi="Times New Roman" w:cs="Times New Roman"/>
          <w:color w:val="auto"/>
          <w:sz w:val="24"/>
          <w:szCs w:val="24"/>
        </w:rPr>
        <w:t xml:space="preserve"> was calculated as </w:t>
      </w:r>
      <m:oMath>
        <m:r>
          <w:rPr>
            <w:rFonts w:ascii="Cambria Math" w:hAnsi="Cambria Math" w:cs="Times New Roman"/>
            <w:color w:val="auto"/>
            <w:sz w:val="24"/>
            <w:szCs w:val="24"/>
          </w:rPr>
          <m:t>M</m:t>
        </m:r>
        <m:r>
          <m:rPr>
            <m:sty m:val="p"/>
          </m:rPr>
          <w:rPr>
            <w:rFonts w:ascii="Cambria Math" w:hAnsi="Cambria Math" w:cs="Times New Roman"/>
            <w:color w:val="auto"/>
            <w:sz w:val="24"/>
            <w:szCs w:val="24"/>
          </w:rPr>
          <m:t xml:space="preserve">= </m:t>
        </m:r>
        <m:f>
          <m:fPr>
            <m:ctrlPr>
              <w:rPr>
                <w:rFonts w:ascii="Cambria Math" w:hAnsi="Cambria Math" w:cs="Times New Roman"/>
                <w:color w:val="auto"/>
                <w:sz w:val="24"/>
                <w:szCs w:val="24"/>
              </w:rPr>
            </m:ctrlPr>
          </m:fPr>
          <m:num>
            <m:r>
              <w:rPr>
                <w:rFonts w:ascii="Cambria Math" w:hAnsi="Cambria Math" w:cs="Times New Roman"/>
                <w:color w:val="auto"/>
                <w:sz w:val="24"/>
                <w:szCs w:val="24"/>
              </w:rPr>
              <m:t>π</m:t>
            </m:r>
          </m:num>
          <m:den>
            <m:r>
              <m:rPr>
                <m:sty m:val="p"/>
              </m:rPr>
              <w:rPr>
                <w:rFonts w:ascii="Cambria Math" w:hAnsi="Cambria Math" w:cs="Times New Roman"/>
                <w:color w:val="auto"/>
                <w:sz w:val="24"/>
                <w:szCs w:val="24"/>
              </w:rPr>
              <m:t>2</m:t>
            </m:r>
            <m:r>
              <w:rPr>
                <w:rFonts w:ascii="Cambria Math" w:hAnsi="Cambria Math" w:cs="Times New Roman"/>
                <w:color w:val="auto"/>
                <w:sz w:val="24"/>
                <w:szCs w:val="24"/>
              </w:rPr>
              <m:t>L</m:t>
            </m:r>
          </m:den>
        </m:f>
        <m:r>
          <m:rPr>
            <m:sty m:val="p"/>
          </m:rPr>
          <w:rPr>
            <w:rFonts w:ascii="Cambria Math" w:hAnsi="Cambria Math" w:cs="Times New Roman"/>
            <w:color w:val="auto"/>
            <w:sz w:val="24"/>
            <w:szCs w:val="24"/>
          </w:rPr>
          <m:t xml:space="preserve"> </m:t>
        </m:r>
        <m:nary>
          <m:naryPr>
            <m:chr m:val="∑"/>
            <m:limLoc m:val="undOvr"/>
            <m:subHide m:val="1"/>
            <m:supHide m:val="1"/>
            <m:ctrlPr>
              <w:rPr>
                <w:rFonts w:ascii="Cambria Math" w:hAnsi="Cambria Math" w:cs="Times New Roman"/>
                <w:color w:val="auto"/>
                <w:sz w:val="24"/>
                <w:szCs w:val="24"/>
              </w:rPr>
            </m:ctrlPr>
          </m:naryPr>
          <m:sub/>
          <m:sup/>
          <m:e>
            <m:sSub>
              <m:sSubPr>
                <m:ctrlPr>
                  <w:rPr>
                    <w:rFonts w:ascii="Cambria Math" w:hAnsi="Cambria Math" w:cs="Times New Roman"/>
                    <w:color w:val="auto"/>
                    <w:sz w:val="24"/>
                    <w:szCs w:val="24"/>
                  </w:rPr>
                </m:ctrlPr>
              </m:sSubPr>
              <m:e>
                <m:r>
                  <w:rPr>
                    <w:rFonts w:ascii="Cambria Math" w:hAnsi="Cambria Math" w:cs="Times New Roman"/>
                    <w:color w:val="auto"/>
                    <w:sz w:val="24"/>
                    <w:szCs w:val="24"/>
                  </w:rPr>
                  <m:t>c</m:t>
                </m:r>
              </m:e>
              <m:sub>
                <m:r>
                  <w:rPr>
                    <w:rFonts w:ascii="Cambria Math" w:hAnsi="Cambria Math" w:cs="Times New Roman"/>
                    <w:color w:val="auto"/>
                    <w:sz w:val="24"/>
                    <w:szCs w:val="24"/>
                  </w:rPr>
                  <m:t>i</m:t>
                </m:r>
              </m:sub>
            </m:sSub>
          </m:e>
        </m:nary>
      </m:oMath>
      <w:r w:rsidRPr="00115EE9">
        <w:rPr>
          <w:rFonts w:ascii="Times New Roman" w:hAnsi="Times New Roman" w:cs="Times New Roman"/>
          <w:color w:val="auto"/>
          <w:sz w:val="24"/>
          <w:szCs w:val="24"/>
        </w:rPr>
        <w:t xml:space="preserve">, where </w:t>
      </w:r>
      <m:oMath>
        <m:r>
          <w:rPr>
            <w:rFonts w:ascii="Cambria Math" w:hAnsi="Cambria Math" w:cs="Times New Roman"/>
            <w:color w:val="auto"/>
            <w:sz w:val="24"/>
            <w:szCs w:val="24"/>
          </w:rPr>
          <m:t>L</m:t>
        </m:r>
      </m:oMath>
      <w:r w:rsidRPr="00115EE9">
        <w:rPr>
          <w:rFonts w:ascii="Times New Roman" w:hAnsi="Times New Roman" w:cs="Times New Roman"/>
          <w:color w:val="auto"/>
          <w:sz w:val="24"/>
          <w:szCs w:val="24"/>
        </w:rPr>
        <w:t xml:space="preserve"> is the total length of the transect</w:t>
      </w:r>
      <w:r w:rsidR="00FE538D" w:rsidRPr="00115EE9">
        <w:rPr>
          <w:rFonts w:ascii="Times New Roman" w:hAnsi="Times New Roman" w:cs="Times New Roman"/>
          <w:color w:val="auto"/>
          <w:sz w:val="24"/>
          <w:szCs w:val="24"/>
        </w:rPr>
        <w:t>s</w:t>
      </w:r>
      <w:r w:rsidRPr="00115EE9">
        <w:rPr>
          <w:rFonts w:ascii="Times New Roman" w:hAnsi="Times New Roman" w:cs="Times New Roman"/>
          <w:color w:val="auto"/>
          <w:sz w:val="24"/>
          <w:szCs w:val="24"/>
        </w:rPr>
        <w:t xml:space="preserve"> (in m).</w:t>
      </w:r>
    </w:p>
    <w:p w14:paraId="7C633A12" w14:textId="65C47B10" w:rsidR="00CE338E" w:rsidRPr="00115EE9" w:rsidRDefault="00CE338E" w:rsidP="00CE338E">
      <w:pPr>
        <w:spacing w:before="120" w:after="120"/>
        <w:rPr>
          <w:rFonts w:ascii="Times New Roman" w:hAnsi="Times New Roman" w:cs="Times New Roman"/>
          <w:color w:val="auto"/>
          <w:sz w:val="24"/>
          <w:szCs w:val="24"/>
        </w:rPr>
      </w:pPr>
      <w:r w:rsidRPr="00115EE9">
        <w:rPr>
          <w:rFonts w:ascii="Times New Roman" w:hAnsi="Times New Roman" w:cs="Times New Roman"/>
          <w:color w:val="auto"/>
          <w:sz w:val="24"/>
          <w:szCs w:val="24"/>
        </w:rPr>
        <w:t xml:space="preserve">The </w:t>
      </w:r>
      <w:proofErr w:type="spellStart"/>
      <w:r w:rsidRPr="00115EE9">
        <w:rPr>
          <w:rFonts w:ascii="Times New Roman" w:hAnsi="Times New Roman" w:cs="Times New Roman"/>
          <w:color w:val="auto"/>
          <w:sz w:val="24"/>
          <w:szCs w:val="24"/>
        </w:rPr>
        <w:t>necromass</w:t>
      </w:r>
      <w:proofErr w:type="spellEnd"/>
      <w:r w:rsidRPr="00115EE9">
        <w:rPr>
          <w:rFonts w:ascii="Times New Roman" w:hAnsi="Times New Roman" w:cs="Times New Roman"/>
          <w:color w:val="auto"/>
          <w:sz w:val="24"/>
          <w:szCs w:val="24"/>
        </w:rPr>
        <w:t xml:space="preserve"> of FFWD (2 cm ≤ D &lt;20 cm) was </w:t>
      </w:r>
      <w:r w:rsidR="00FE538D" w:rsidRPr="00115EE9">
        <w:rPr>
          <w:rFonts w:ascii="Times New Roman" w:hAnsi="Times New Roman" w:cs="Times New Roman"/>
          <w:color w:val="auto"/>
          <w:sz w:val="24"/>
          <w:szCs w:val="24"/>
        </w:rPr>
        <w:t xml:space="preserve">also </w:t>
      </w:r>
      <w:r w:rsidRPr="00115EE9">
        <w:rPr>
          <w:rFonts w:ascii="Times New Roman" w:hAnsi="Times New Roman" w:cs="Times New Roman"/>
          <w:color w:val="auto"/>
          <w:sz w:val="24"/>
          <w:szCs w:val="24"/>
        </w:rPr>
        <w:t xml:space="preserve">calculated using the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c</m:t>
            </m:r>
          </m:e>
          <m:sub>
            <m:r>
              <w:rPr>
                <w:rFonts w:ascii="Cambria Math" w:hAnsi="Cambria Math" w:cs="Times New Roman"/>
                <w:color w:val="auto"/>
                <w:sz w:val="24"/>
                <w:szCs w:val="24"/>
              </w:rPr>
              <m:t>i</m:t>
            </m:r>
          </m:sub>
        </m:sSub>
      </m:oMath>
      <w:r w:rsidRPr="00115EE9">
        <w:rPr>
          <w:rFonts w:ascii="Times New Roman" w:hAnsi="Times New Roman" w:cs="Times New Roman"/>
          <w:color w:val="auto"/>
          <w:sz w:val="24"/>
          <w:szCs w:val="24"/>
        </w:rPr>
        <w:t xml:space="preserve"> method </w:t>
      </w:r>
      <w:sdt>
        <w:sdtPr>
          <w:rPr>
            <w:rFonts w:ascii="Times New Roman" w:hAnsi="Times New Roman" w:cs="Times New Roman"/>
            <w:color w:val="auto"/>
            <w:sz w:val="24"/>
            <w:szCs w:val="24"/>
          </w:rPr>
          <w:tag w:val="MENDELEY_CITATION_v3_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"/>
          <w:id w:val="-1811783782"/>
          <w:placeholder>
            <w:docPart w:val="DefaultPlaceholder_-1854013440"/>
          </w:placeholder>
        </w:sdtPr>
        <w:sdtEndPr/>
        <w:sdtContent>
          <w:r w:rsidR="00706B80" w:rsidRPr="00115EE9">
            <w:rPr>
              <w:rFonts w:ascii="Times New Roman" w:eastAsia="Times New Roman" w:hAnsi="Times New Roman" w:cs="Times New Roman"/>
              <w:color w:val="auto"/>
              <w:sz w:val="24"/>
              <w:szCs w:val="24"/>
            </w:rPr>
            <w:t>(</w:t>
          </w:r>
          <w:proofErr w:type="spellStart"/>
          <w:r w:rsidR="00706B80" w:rsidRPr="00115EE9">
            <w:rPr>
              <w:rFonts w:ascii="Times New Roman" w:eastAsia="Times New Roman" w:hAnsi="Times New Roman" w:cs="Times New Roman"/>
              <w:color w:val="auto"/>
              <w:sz w:val="24"/>
              <w:szCs w:val="24"/>
            </w:rPr>
            <w:t>Larjavaara</w:t>
          </w:r>
          <w:proofErr w:type="spellEnd"/>
          <w:r w:rsidR="00706B80" w:rsidRPr="00115EE9">
            <w:rPr>
              <w:rFonts w:ascii="Times New Roman" w:eastAsia="Times New Roman" w:hAnsi="Times New Roman" w:cs="Times New Roman"/>
              <w:color w:val="auto"/>
              <w:sz w:val="24"/>
              <w:szCs w:val="24"/>
            </w:rPr>
            <w:t xml:space="preserve"> and Muller-Landau 2011)</w:t>
          </w:r>
        </w:sdtContent>
      </w:sdt>
      <w:r w:rsidRPr="00115EE9">
        <w:rPr>
          <w:rFonts w:ascii="Times New Roman" w:hAnsi="Times New Roman" w:cs="Times New Roman"/>
          <w:color w:val="auto"/>
          <w:sz w:val="24"/>
          <w:szCs w:val="24"/>
        </w:rPr>
        <w:t xml:space="preserve">, </w:t>
      </w:r>
      <w:r w:rsidR="00FE538D" w:rsidRPr="00115EE9">
        <w:rPr>
          <w:rFonts w:ascii="Times New Roman" w:hAnsi="Times New Roman" w:cs="Times New Roman"/>
          <w:color w:val="auto"/>
          <w:sz w:val="24"/>
          <w:szCs w:val="24"/>
        </w:rPr>
        <w:t xml:space="preserve">as for </w:t>
      </w:r>
      <w:r w:rsidRPr="00115EE9">
        <w:rPr>
          <w:rFonts w:ascii="Times New Roman" w:hAnsi="Times New Roman" w:cs="Times New Roman"/>
          <w:color w:val="auto"/>
          <w:sz w:val="24"/>
          <w:szCs w:val="24"/>
        </w:rPr>
        <w:t xml:space="preserve">FCWD. In this case, a subsection of 2 m located at the beginning of each section of 20 m along each transect of 500 m was measured (25 sections of 2 m in each transect); that means 10 subsections of 2 m distributed in two parallel transects of 100 m long in each 1-ha plot. D of each FFWD was registered as well as the distance at which it was found along each transect. Samples were collected for 30% of FFWD registered in each transect (n =93), weighed and packed into plastic bags.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WD</m:t>
            </m:r>
          </m:e>
          <m:sub>
            <m:r>
              <w:rPr>
                <w:rFonts w:ascii="Cambria Math" w:hAnsi="Cambria Math" w:cs="Times New Roman"/>
                <w:color w:val="auto"/>
                <w:sz w:val="24"/>
                <w:szCs w:val="24"/>
              </w:rPr>
              <m:t>FWD</m:t>
            </m:r>
          </m:sub>
        </m:sSub>
      </m:oMath>
      <w:r w:rsidRPr="00115EE9">
        <w:rPr>
          <w:rFonts w:ascii="Times New Roman" w:hAnsi="Times New Roman" w:cs="Times New Roman"/>
          <w:color w:val="auto"/>
          <w:sz w:val="24"/>
          <w:szCs w:val="24"/>
        </w:rPr>
        <w:t xml:space="preserve"> was obtained by dividing dry mass (in g) over volume (in cm</w:t>
      </w:r>
      <w:r w:rsidRPr="00115EE9">
        <w:rPr>
          <w:rFonts w:ascii="Times New Roman" w:hAnsi="Times New Roman" w:cs="Times New Roman"/>
          <w:color w:val="auto"/>
          <w:sz w:val="24"/>
          <w:szCs w:val="24"/>
          <w:vertAlign w:val="superscript"/>
        </w:rPr>
        <w:t>3</w:t>
      </w:r>
      <w:r w:rsidRPr="00115EE9">
        <w:rPr>
          <w:rFonts w:ascii="Times New Roman" w:hAnsi="Times New Roman" w:cs="Times New Roman"/>
          <w:color w:val="auto"/>
          <w:sz w:val="24"/>
          <w:szCs w:val="24"/>
        </w:rPr>
        <w:t xml:space="preserve">), which were obtained following the standard protocol mentioned above. The average value of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WD</m:t>
            </m:r>
          </m:e>
          <m:sub>
            <m:r>
              <w:rPr>
                <w:rFonts w:ascii="Cambria Math" w:hAnsi="Cambria Math" w:cs="Times New Roman"/>
                <w:color w:val="auto"/>
                <w:sz w:val="24"/>
                <w:szCs w:val="24"/>
              </w:rPr>
              <m:t>FWD</m:t>
            </m:r>
          </m:sub>
        </m:sSub>
      </m:oMath>
      <w:r w:rsidRPr="00115EE9">
        <w:rPr>
          <w:rFonts w:ascii="Times New Roman" w:hAnsi="Times New Roman" w:cs="Times New Roman"/>
          <w:color w:val="auto"/>
          <w:sz w:val="24"/>
          <w:szCs w:val="24"/>
        </w:rPr>
        <w:t xml:space="preserve"> was calculated for each transect and assigned to the remaining 70% of FFWD pieces tallied. The carbon stored in the fallen woody debris was obtained by adding FCWD and FFWD (all converted to Mg ha</w:t>
      </w:r>
      <w:r w:rsidRPr="00115EE9">
        <w:rPr>
          <w:rFonts w:ascii="Times New Roman" w:hAnsi="Times New Roman" w:cs="Times New Roman"/>
          <w:color w:val="auto"/>
          <w:sz w:val="24"/>
          <w:szCs w:val="24"/>
          <w:vertAlign w:val="superscript"/>
        </w:rPr>
        <w:t>-1</w:t>
      </w:r>
      <w:r w:rsidRPr="00115EE9">
        <w:rPr>
          <w:rFonts w:ascii="Times New Roman" w:hAnsi="Times New Roman" w:cs="Times New Roman"/>
          <w:color w:val="auto"/>
          <w:sz w:val="24"/>
          <w:szCs w:val="24"/>
        </w:rPr>
        <w:t xml:space="preserve">), multiplied by a factor of 0.48 </w:t>
      </w:r>
      <w:sdt>
        <w:sdtPr>
          <w:rPr>
            <w:rFonts w:ascii="Times New Roman" w:hAnsi="Times New Roman" w:cs="Times New Roman"/>
            <w:color w:val="auto"/>
            <w:sz w:val="24"/>
            <w:szCs w:val="24"/>
          </w:rPr>
          <w:tag w:val="MENDELEY_CITATION_v3_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"/>
          <w:id w:val="-1455933488"/>
          <w:placeholder>
            <w:docPart w:val="DefaultPlaceholder_-1854013440"/>
          </w:placeholder>
        </w:sdtPr>
        <w:sdtEndPr/>
        <w:sdtContent>
          <w:r w:rsidR="00706B80" w:rsidRPr="00115EE9">
            <w:rPr>
              <w:rFonts w:ascii="Times New Roman" w:eastAsia="Times New Roman" w:hAnsi="Times New Roman" w:cs="Times New Roman"/>
              <w:color w:val="auto"/>
              <w:sz w:val="24"/>
              <w:szCs w:val="24"/>
            </w:rPr>
            <w:t xml:space="preserve">(Martin </w:t>
          </w:r>
          <w:r w:rsidR="00706B80" w:rsidRPr="00115EE9">
            <w:rPr>
              <w:rFonts w:ascii="Times New Roman" w:eastAsia="Times New Roman" w:hAnsi="Times New Roman" w:cs="Times New Roman"/>
              <w:i/>
              <w:iCs/>
              <w:color w:val="auto"/>
              <w:sz w:val="24"/>
              <w:szCs w:val="24"/>
            </w:rPr>
            <w:t>et al.</w:t>
          </w:r>
          <w:r w:rsidR="00706B80" w:rsidRPr="00115EE9">
            <w:rPr>
              <w:rFonts w:ascii="Times New Roman" w:eastAsia="Times New Roman" w:hAnsi="Times New Roman" w:cs="Times New Roman"/>
              <w:color w:val="auto"/>
              <w:sz w:val="24"/>
              <w:szCs w:val="24"/>
            </w:rPr>
            <w:t xml:space="preserve"> 2018)</w:t>
          </w:r>
        </w:sdtContent>
      </w:sdt>
      <w:r w:rsidRPr="00115EE9">
        <w:rPr>
          <w:rFonts w:ascii="Times New Roman" w:hAnsi="Times New Roman" w:cs="Times New Roman"/>
          <w:color w:val="auto"/>
          <w:sz w:val="24"/>
          <w:szCs w:val="24"/>
        </w:rPr>
        <w:t xml:space="preserve">. </w:t>
      </w:r>
    </w:p>
    <w:p w14:paraId="58BD9589" w14:textId="224744E2" w:rsidR="00E35F03" w:rsidRPr="00115EE9" w:rsidRDefault="00CE338E" w:rsidP="00CE338E">
      <w:pPr>
        <w:spacing w:before="120" w:after="120"/>
        <w:rPr>
          <w:rFonts w:ascii="Times New Roman" w:hAnsi="Times New Roman" w:cs="Times New Roman"/>
          <w:color w:val="auto"/>
          <w:sz w:val="24"/>
          <w:szCs w:val="24"/>
        </w:rPr>
      </w:pPr>
      <w:r w:rsidRPr="00115EE9">
        <w:rPr>
          <w:rFonts w:ascii="Times New Roman" w:hAnsi="Times New Roman" w:cs="Times New Roman"/>
          <w:color w:val="auto"/>
          <w:sz w:val="24"/>
          <w:szCs w:val="24"/>
        </w:rPr>
        <w:t>The sampling of SCWD took place in 100 0.16-ha plots (40 x 40</w:t>
      </w:r>
      <w:r w:rsidR="00FE538D" w:rsidRPr="00115EE9">
        <w:rPr>
          <w:rFonts w:ascii="Times New Roman" w:hAnsi="Times New Roman" w:cs="Times New Roman"/>
          <w:color w:val="auto"/>
          <w:sz w:val="24"/>
          <w:szCs w:val="24"/>
        </w:rPr>
        <w:t xml:space="preserve"> </w:t>
      </w:r>
      <w:r w:rsidRPr="00115EE9">
        <w:rPr>
          <w:rFonts w:ascii="Times New Roman" w:hAnsi="Times New Roman" w:cs="Times New Roman"/>
          <w:color w:val="auto"/>
          <w:sz w:val="24"/>
          <w:szCs w:val="24"/>
        </w:rPr>
        <w:t xml:space="preserve">m) systematically distributed across the 25-ha plot (Figure 1). We used a caliper to measure the DBH in all </w:t>
      </w:r>
      <w:r w:rsidR="00FE538D" w:rsidRPr="00115EE9">
        <w:rPr>
          <w:rFonts w:ascii="Times New Roman" w:hAnsi="Times New Roman" w:cs="Times New Roman"/>
          <w:color w:val="auto"/>
          <w:sz w:val="24"/>
          <w:szCs w:val="24"/>
        </w:rPr>
        <w:t>standing dead trees</w:t>
      </w:r>
      <w:r w:rsidRPr="00115EE9">
        <w:rPr>
          <w:rFonts w:ascii="Times New Roman" w:hAnsi="Times New Roman" w:cs="Times New Roman"/>
          <w:color w:val="auto"/>
          <w:sz w:val="24"/>
          <w:szCs w:val="24"/>
        </w:rPr>
        <w:t xml:space="preserve"> with a height greater than 130 cm. In smaller standing </w:t>
      </w:r>
      <w:r w:rsidR="00FE538D" w:rsidRPr="00115EE9">
        <w:rPr>
          <w:rFonts w:ascii="Times New Roman" w:hAnsi="Times New Roman" w:cs="Times New Roman"/>
          <w:color w:val="auto"/>
          <w:sz w:val="24"/>
          <w:szCs w:val="24"/>
        </w:rPr>
        <w:t>dead trees</w:t>
      </w:r>
      <w:r w:rsidRPr="00115EE9">
        <w:rPr>
          <w:rFonts w:ascii="Times New Roman" w:hAnsi="Times New Roman" w:cs="Times New Roman"/>
          <w:color w:val="auto"/>
          <w:sz w:val="24"/>
          <w:szCs w:val="24"/>
        </w:rPr>
        <w:t xml:space="preserve">, the D at a half of the total height was measured. The volume (V) of each log was estimated </w:t>
      </w:r>
      <w:r w:rsidRPr="00115EE9">
        <w:rPr>
          <w:rFonts w:ascii="Times New Roman" w:hAnsi="Times New Roman" w:cs="Times New Roman"/>
          <w:color w:val="auto"/>
          <w:sz w:val="24"/>
          <w:szCs w:val="24"/>
        </w:rPr>
        <w:lastRenderedPageBreak/>
        <w:t xml:space="preserve">employing the </w:t>
      </w:r>
      <w:proofErr w:type="spellStart"/>
      <w:r w:rsidRPr="00115EE9">
        <w:rPr>
          <w:rFonts w:ascii="Times New Roman" w:hAnsi="Times New Roman" w:cs="Times New Roman"/>
          <w:color w:val="auto"/>
          <w:sz w:val="24"/>
          <w:szCs w:val="24"/>
        </w:rPr>
        <w:t>Smalian</w:t>
      </w:r>
      <w:proofErr w:type="spellEnd"/>
      <w:r w:rsidRPr="00115EE9">
        <w:rPr>
          <w:rFonts w:ascii="Times New Roman" w:hAnsi="Times New Roman" w:cs="Times New Roman"/>
          <w:color w:val="auto"/>
          <w:sz w:val="24"/>
          <w:szCs w:val="24"/>
        </w:rPr>
        <w:t xml:space="preserve"> approach, which is defined by V = (p/8) × L × (d1+d2), where d1 and d2 are the diameter of the log at each extreme, and L the total length. Due to the lack of a specific taper function, for logs with height ≤ 5 m, we used the whole volume of the cylinder. However, for logs with height &gt; 5 m, we used the volume of a paraboloid, which means 0.5 the volume of a cylinder. The latter was employed to avoid overestimation in large still standing trees. The hardness of the SCWD’s wood was measured at </w:t>
      </w:r>
      <w:r w:rsidR="00E35F03" w:rsidRPr="00115EE9">
        <w:rPr>
          <w:rFonts w:ascii="Times New Roman" w:hAnsi="Times New Roman" w:cs="Times New Roman"/>
          <w:color w:val="auto"/>
          <w:sz w:val="24"/>
          <w:szCs w:val="24"/>
        </w:rPr>
        <w:t xml:space="preserve">the </w:t>
      </w:r>
      <w:r w:rsidRPr="00115EE9">
        <w:rPr>
          <w:rFonts w:ascii="Times New Roman" w:hAnsi="Times New Roman" w:cs="Times New Roman"/>
          <w:color w:val="auto"/>
          <w:sz w:val="24"/>
          <w:szCs w:val="24"/>
        </w:rPr>
        <w:t xml:space="preserve">measurement point using a dynamic penetrometer </w:t>
      </w:r>
      <w:sdt>
        <w:sdtPr>
          <w:rPr>
            <w:rFonts w:ascii="Times New Roman" w:hAnsi="Times New Roman" w:cs="Times New Roman"/>
            <w:color w:val="auto"/>
            <w:sz w:val="24"/>
            <w:szCs w:val="24"/>
          </w:rPr>
          <w:tag w:val="MENDELEY_CITATION_v3_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"/>
          <w:id w:val="-512763134"/>
          <w:placeholder>
            <w:docPart w:val="DefaultPlaceholder_-1854013440"/>
          </w:placeholder>
        </w:sdtPr>
        <w:sdtEndPr/>
        <w:sdtContent>
          <w:r w:rsidR="00706B80" w:rsidRPr="00115EE9">
            <w:rPr>
              <w:rFonts w:ascii="Times New Roman" w:eastAsia="Times New Roman" w:hAnsi="Times New Roman" w:cs="Times New Roman"/>
              <w:color w:val="auto"/>
              <w:sz w:val="24"/>
              <w:szCs w:val="24"/>
            </w:rPr>
            <w:t>(</w:t>
          </w:r>
          <w:proofErr w:type="spellStart"/>
          <w:r w:rsidR="00706B80" w:rsidRPr="00115EE9">
            <w:rPr>
              <w:rFonts w:ascii="Times New Roman" w:eastAsia="Times New Roman" w:hAnsi="Times New Roman" w:cs="Times New Roman"/>
              <w:color w:val="auto"/>
              <w:sz w:val="24"/>
              <w:szCs w:val="24"/>
            </w:rPr>
            <w:t>Larjavaara</w:t>
          </w:r>
          <w:proofErr w:type="spellEnd"/>
          <w:r w:rsidR="00706B80" w:rsidRPr="00115EE9">
            <w:rPr>
              <w:rFonts w:ascii="Times New Roman" w:eastAsia="Times New Roman" w:hAnsi="Times New Roman" w:cs="Times New Roman"/>
              <w:color w:val="auto"/>
              <w:sz w:val="24"/>
              <w:szCs w:val="24"/>
            </w:rPr>
            <w:t xml:space="preserve"> and Muller-Landau 2011)</w:t>
          </w:r>
        </w:sdtContent>
      </w:sdt>
      <w:r w:rsidRPr="00115EE9">
        <w:rPr>
          <w:rFonts w:ascii="Times New Roman" w:hAnsi="Times New Roman" w:cs="Times New Roman"/>
          <w:color w:val="auto"/>
          <w:sz w:val="24"/>
          <w:szCs w:val="24"/>
        </w:rPr>
        <w:t>, and the WD estimated employing the model developed with the FCWD. The total dry mass was estimated as the product of volume (m</w:t>
      </w:r>
      <w:r w:rsidRPr="00115EE9">
        <w:rPr>
          <w:rFonts w:ascii="Times New Roman" w:hAnsi="Times New Roman" w:cs="Times New Roman"/>
          <w:color w:val="auto"/>
          <w:sz w:val="24"/>
          <w:szCs w:val="24"/>
          <w:vertAlign w:val="superscript"/>
        </w:rPr>
        <w:t>3</w:t>
      </w:r>
      <w:r w:rsidRPr="00115EE9">
        <w:rPr>
          <w:rFonts w:ascii="Times New Roman" w:hAnsi="Times New Roman" w:cs="Times New Roman"/>
          <w:color w:val="auto"/>
          <w:sz w:val="24"/>
          <w:szCs w:val="24"/>
        </w:rPr>
        <w:t>) and WD (Mg m</w:t>
      </w:r>
      <w:r w:rsidRPr="00115EE9">
        <w:rPr>
          <w:rFonts w:ascii="Times New Roman" w:hAnsi="Times New Roman" w:cs="Times New Roman"/>
          <w:color w:val="auto"/>
          <w:sz w:val="24"/>
          <w:szCs w:val="24"/>
          <w:vertAlign w:val="superscript"/>
        </w:rPr>
        <w:t>−3</w:t>
      </w:r>
      <w:r w:rsidRPr="00115EE9">
        <w:rPr>
          <w:rFonts w:ascii="Times New Roman" w:hAnsi="Times New Roman" w:cs="Times New Roman"/>
          <w:color w:val="auto"/>
          <w:sz w:val="24"/>
          <w:szCs w:val="24"/>
        </w:rPr>
        <w:t xml:space="preserve">). The carbon stored in SCWD was obtained by multiplying the dry mass by a factor of 0.456 </w:t>
      </w:r>
      <w:sdt>
        <w:sdtPr>
          <w:rPr>
            <w:rFonts w:ascii="Times New Roman" w:hAnsi="Times New Roman" w:cs="Times New Roman"/>
            <w:color w:val="auto"/>
            <w:sz w:val="24"/>
            <w:szCs w:val="24"/>
          </w:rPr>
          <w:tag w:val="MENDELEY_CITATION_v3_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"/>
          <w:id w:val="-1306468632"/>
          <w:placeholder>
            <w:docPart w:val="DefaultPlaceholder_-1854013440"/>
          </w:placeholder>
        </w:sdtPr>
        <w:sdtEndPr/>
        <w:sdtContent>
          <w:r w:rsidR="00706B80" w:rsidRPr="00115EE9">
            <w:rPr>
              <w:rFonts w:ascii="Times New Roman" w:eastAsia="Times New Roman" w:hAnsi="Times New Roman" w:cs="Times New Roman"/>
              <w:color w:val="auto"/>
              <w:sz w:val="24"/>
              <w:szCs w:val="24"/>
            </w:rPr>
            <w:t xml:space="preserve">(Martin </w:t>
          </w:r>
          <w:r w:rsidR="00706B80" w:rsidRPr="00115EE9">
            <w:rPr>
              <w:rFonts w:ascii="Times New Roman" w:eastAsia="Times New Roman" w:hAnsi="Times New Roman" w:cs="Times New Roman"/>
              <w:i/>
              <w:iCs/>
              <w:color w:val="auto"/>
              <w:sz w:val="24"/>
              <w:szCs w:val="24"/>
            </w:rPr>
            <w:t>et al.</w:t>
          </w:r>
          <w:r w:rsidR="00706B80" w:rsidRPr="00115EE9">
            <w:rPr>
              <w:rFonts w:ascii="Times New Roman" w:eastAsia="Times New Roman" w:hAnsi="Times New Roman" w:cs="Times New Roman"/>
              <w:color w:val="auto"/>
              <w:sz w:val="24"/>
              <w:szCs w:val="24"/>
            </w:rPr>
            <w:t xml:space="preserve"> 2018)</w:t>
          </w:r>
        </w:sdtContent>
      </w:sdt>
      <w:r w:rsidRPr="00115EE9">
        <w:rPr>
          <w:rFonts w:ascii="Times New Roman" w:hAnsi="Times New Roman" w:cs="Times New Roman"/>
          <w:color w:val="auto"/>
          <w:sz w:val="24"/>
          <w:szCs w:val="24"/>
        </w:rPr>
        <w:t>. To assess SCWD at the 1-ha scale, we used the average of 4 0.16-ha plots previously extrapolated to Mg ha</w:t>
      </w:r>
      <w:r w:rsidRPr="00115EE9">
        <w:rPr>
          <w:rFonts w:ascii="Times New Roman" w:hAnsi="Times New Roman" w:cs="Times New Roman"/>
          <w:color w:val="auto"/>
          <w:sz w:val="24"/>
          <w:szCs w:val="24"/>
          <w:vertAlign w:val="superscript"/>
        </w:rPr>
        <w:t>-1</w:t>
      </w:r>
      <w:r w:rsidRPr="00115EE9">
        <w:rPr>
          <w:rFonts w:ascii="Times New Roman" w:hAnsi="Times New Roman" w:cs="Times New Roman"/>
          <w:color w:val="auto"/>
          <w:sz w:val="24"/>
          <w:szCs w:val="24"/>
        </w:rPr>
        <w:t xml:space="preserve"> located within each 100</w:t>
      </w:r>
      <w:r w:rsidR="00522FE9">
        <w:rPr>
          <w:rFonts w:ascii="Times New Roman" w:hAnsi="Times New Roman" w:cs="Times New Roman"/>
          <w:color w:val="auto"/>
          <w:sz w:val="24"/>
          <w:szCs w:val="24"/>
        </w:rPr>
        <w:t xml:space="preserve"> </w:t>
      </w:r>
      <w:r w:rsidRPr="00115EE9">
        <w:rPr>
          <w:rFonts w:ascii="Times New Roman" w:hAnsi="Times New Roman" w:cs="Times New Roman"/>
          <w:color w:val="auto"/>
          <w:sz w:val="24"/>
          <w:szCs w:val="24"/>
        </w:rPr>
        <w:t xml:space="preserve">m </w:t>
      </w:r>
      <w:r w:rsidR="00522FE9">
        <w:rPr>
          <w:rFonts w:ascii="Times New Roman" w:hAnsi="Times New Roman" w:cs="Times New Roman"/>
          <w:color w:val="auto"/>
          <w:sz w:val="24"/>
          <w:szCs w:val="24"/>
        </w:rPr>
        <w:t>×</w:t>
      </w:r>
      <w:r w:rsidRPr="00115EE9">
        <w:rPr>
          <w:rFonts w:ascii="Times New Roman" w:hAnsi="Times New Roman" w:cs="Times New Roman"/>
          <w:color w:val="auto"/>
          <w:sz w:val="24"/>
          <w:szCs w:val="24"/>
        </w:rPr>
        <w:t xml:space="preserve"> 100</w:t>
      </w:r>
      <w:r w:rsidR="00522FE9">
        <w:rPr>
          <w:rFonts w:ascii="Times New Roman" w:hAnsi="Times New Roman" w:cs="Times New Roman"/>
          <w:color w:val="auto"/>
          <w:sz w:val="24"/>
          <w:szCs w:val="24"/>
        </w:rPr>
        <w:t xml:space="preserve"> </w:t>
      </w:r>
      <w:r w:rsidRPr="00115EE9">
        <w:rPr>
          <w:rFonts w:ascii="Times New Roman" w:hAnsi="Times New Roman" w:cs="Times New Roman"/>
          <w:color w:val="auto"/>
          <w:sz w:val="24"/>
          <w:szCs w:val="24"/>
        </w:rPr>
        <w:t xml:space="preserve">m plot (Figure 1). </w:t>
      </w:r>
    </w:p>
    <w:p w14:paraId="05B7C379" w14:textId="7812F894" w:rsidR="00CE338E" w:rsidRPr="00115EE9" w:rsidRDefault="00E35F03" w:rsidP="00CE338E">
      <w:pPr>
        <w:spacing w:before="120" w:after="120"/>
        <w:rPr>
          <w:rFonts w:ascii="Times New Roman" w:hAnsi="Times New Roman" w:cs="Times New Roman"/>
          <w:color w:val="auto"/>
          <w:sz w:val="24"/>
          <w:szCs w:val="24"/>
        </w:rPr>
      </w:pPr>
      <w:r w:rsidRPr="00115EE9">
        <w:rPr>
          <w:rFonts w:ascii="Times New Roman" w:hAnsi="Times New Roman" w:cs="Times New Roman"/>
          <w:color w:val="auto"/>
          <w:sz w:val="24"/>
          <w:szCs w:val="24"/>
        </w:rPr>
        <w:t>For both fallen and standing woody debris, t</w:t>
      </w:r>
      <w:r w:rsidR="00CE338E" w:rsidRPr="00115EE9">
        <w:rPr>
          <w:rFonts w:ascii="Times New Roman" w:hAnsi="Times New Roman" w:cs="Times New Roman"/>
          <w:color w:val="auto"/>
          <w:sz w:val="24"/>
          <w:szCs w:val="24"/>
        </w:rPr>
        <w:t xml:space="preserve">he estimated uncertainty of the mean was </w:t>
      </w:r>
      <w:r w:rsidRPr="00115EE9">
        <w:rPr>
          <w:rFonts w:ascii="Times New Roman" w:hAnsi="Times New Roman" w:cs="Times New Roman"/>
          <w:color w:val="auto"/>
          <w:sz w:val="24"/>
          <w:szCs w:val="24"/>
        </w:rPr>
        <w:t xml:space="preserve">quantified </w:t>
      </w:r>
      <w:r w:rsidR="00CE338E" w:rsidRPr="00115EE9">
        <w:rPr>
          <w:rFonts w:ascii="Times New Roman" w:hAnsi="Times New Roman" w:cs="Times New Roman"/>
          <w:color w:val="auto"/>
          <w:sz w:val="24"/>
          <w:szCs w:val="24"/>
        </w:rPr>
        <w:t xml:space="preserve">as the standard deviation (SD) of the </w:t>
      </w:r>
      <w:r w:rsidRPr="00115EE9">
        <w:rPr>
          <w:rFonts w:ascii="Times New Roman" w:hAnsi="Times New Roman" w:cs="Times New Roman"/>
          <w:color w:val="auto"/>
          <w:sz w:val="24"/>
          <w:szCs w:val="24"/>
        </w:rPr>
        <w:t xml:space="preserve">estimates for </w:t>
      </w:r>
      <w:r w:rsidR="00CE338E" w:rsidRPr="00115EE9">
        <w:rPr>
          <w:rFonts w:ascii="Times New Roman" w:hAnsi="Times New Roman" w:cs="Times New Roman"/>
          <w:color w:val="auto"/>
          <w:sz w:val="24"/>
          <w:szCs w:val="24"/>
        </w:rPr>
        <w:t xml:space="preserve">25 </w:t>
      </w:r>
      <w:r w:rsidRPr="00115EE9">
        <w:rPr>
          <w:rFonts w:ascii="Times New Roman" w:hAnsi="Times New Roman" w:cs="Times New Roman"/>
          <w:color w:val="auto"/>
          <w:sz w:val="24"/>
          <w:szCs w:val="24"/>
        </w:rPr>
        <w:t xml:space="preserve">1-ha subplots.  </w:t>
      </w:r>
    </w:p>
    <w:p w14:paraId="1D48CE8D" w14:textId="3A706312" w:rsidR="00CE338E" w:rsidRPr="00115EE9" w:rsidRDefault="00CE338E">
      <w:pPr>
        <w:spacing w:after="0" w:line="240" w:lineRule="auto"/>
        <w:rPr>
          <w:rFonts w:ascii="Times New Roman" w:hAnsi="Times New Roman" w:cs="Times New Roman"/>
          <w:color w:val="auto"/>
          <w:sz w:val="24"/>
          <w:szCs w:val="24"/>
        </w:rPr>
      </w:pPr>
      <w:r w:rsidRPr="00115EE9">
        <w:rPr>
          <w:rFonts w:ascii="Times New Roman" w:hAnsi="Times New Roman" w:cs="Times New Roman"/>
          <w:color w:val="auto"/>
          <w:sz w:val="24"/>
          <w:szCs w:val="24"/>
        </w:rPr>
        <w:br w:type="page"/>
      </w:r>
    </w:p>
    <w:p w14:paraId="188271E8" w14:textId="77777777" w:rsidR="00ED79FA" w:rsidRPr="00115EE9" w:rsidRDefault="00ED79FA" w:rsidP="00791F88">
      <w:pPr>
        <w:spacing w:before="120" w:after="120"/>
        <w:jc w:val="center"/>
        <w:rPr>
          <w:rFonts w:ascii="Times New Roman" w:hAnsi="Times New Roman" w:cs="Times New Roman"/>
          <w:color w:val="auto"/>
          <w:sz w:val="24"/>
          <w:szCs w:val="24"/>
        </w:rPr>
      </w:pPr>
    </w:p>
    <w:p w14:paraId="2C7104F4" w14:textId="546AB924" w:rsidR="00196C0C" w:rsidRPr="00115EE9" w:rsidRDefault="00E66F21" w:rsidP="00692C7B">
      <w:pPr>
        <w:spacing w:after="0" w:line="240" w:lineRule="auto"/>
        <w:rPr>
          <w:rFonts w:ascii="Times New Roman" w:hAnsi="Times New Roman" w:cs="Times New Roman"/>
          <w:color w:val="auto"/>
          <w:sz w:val="24"/>
          <w:szCs w:val="24"/>
        </w:rPr>
      </w:pPr>
      <w:r w:rsidRPr="00115EE9">
        <w:rPr>
          <w:rFonts w:ascii="Times New Roman" w:hAnsi="Times New Roman" w:cs="Times New Roman"/>
          <w:noProof/>
          <w:color w:val="auto"/>
          <w:sz w:val="24"/>
          <w:szCs w:val="24"/>
        </w:rPr>
        <w:drawing>
          <wp:inline distT="0" distB="0" distL="0" distR="0" wp14:anchorId="496AB5EB" wp14:editId="48CAD884">
            <wp:extent cx="5612130" cy="5052695"/>
            <wp:effectExtent l="0" t="0" r="7620" b="0"/>
            <wp:docPr id="2109464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64929" name="Picture 2109464929"/>
                    <pic:cNvPicPr/>
                  </pic:nvPicPr>
                  <pic:blipFill>
                    <a:blip r:embed="rId12"/>
                    <a:stretch>
                      <a:fillRect/>
                    </a:stretch>
                  </pic:blipFill>
                  <pic:spPr>
                    <a:xfrm>
                      <a:off x="0" y="0"/>
                      <a:ext cx="5612130" cy="5052695"/>
                    </a:xfrm>
                    <a:prstGeom prst="rect">
                      <a:avLst/>
                    </a:prstGeom>
                  </pic:spPr>
                </pic:pic>
              </a:graphicData>
            </a:graphic>
          </wp:inline>
        </w:drawing>
      </w:r>
    </w:p>
    <w:p w14:paraId="7715C062" w14:textId="505B394B" w:rsidR="00791F88" w:rsidRPr="00115EE9" w:rsidRDefault="00196C0C" w:rsidP="00692C7B">
      <w:pPr>
        <w:spacing w:after="0" w:line="240" w:lineRule="auto"/>
        <w:rPr>
          <w:rFonts w:ascii="Times New Roman" w:hAnsi="Times New Roman" w:cs="Times New Roman"/>
          <w:color w:val="auto"/>
          <w:sz w:val="24"/>
          <w:szCs w:val="24"/>
        </w:rPr>
      </w:pPr>
      <w:r w:rsidRPr="00115EE9">
        <w:rPr>
          <w:rFonts w:ascii="Times New Roman" w:hAnsi="Times New Roman" w:cs="Times New Roman"/>
          <w:b/>
          <w:bCs/>
          <w:color w:val="auto"/>
          <w:sz w:val="24"/>
          <w:szCs w:val="24"/>
        </w:rPr>
        <w:t>Figure S</w:t>
      </w:r>
      <w:r w:rsidR="00E819FE">
        <w:rPr>
          <w:rFonts w:ascii="Times New Roman" w:hAnsi="Times New Roman" w:cs="Times New Roman"/>
          <w:b/>
          <w:bCs/>
          <w:color w:val="auto"/>
          <w:sz w:val="24"/>
          <w:szCs w:val="24"/>
        </w:rPr>
        <w:t>2</w:t>
      </w:r>
      <w:r w:rsidR="00325A0C" w:rsidRPr="00115EE9">
        <w:rPr>
          <w:rFonts w:ascii="Times New Roman" w:hAnsi="Times New Roman" w:cs="Times New Roman"/>
          <w:color w:val="auto"/>
          <w:sz w:val="24"/>
          <w:szCs w:val="24"/>
        </w:rPr>
        <w:t>.</w:t>
      </w:r>
      <w:r w:rsidR="00B74BF0" w:rsidRPr="00115EE9">
        <w:rPr>
          <w:rFonts w:ascii="Times New Roman" w:hAnsi="Times New Roman" w:cs="Times New Roman"/>
          <w:color w:val="auto"/>
          <w:sz w:val="24"/>
          <w:szCs w:val="24"/>
        </w:rPr>
        <w:t xml:space="preserve"> </w:t>
      </w:r>
      <w:r w:rsidR="00B74BF0" w:rsidRPr="00115EE9">
        <w:rPr>
          <w:rStyle w:val="Nmerodelnea"/>
          <w:color w:val="auto"/>
          <w:szCs w:val="24"/>
        </w:rPr>
        <w:t xml:space="preserve">Regression model used to </w:t>
      </w:r>
      <w:r w:rsidR="0084650A" w:rsidRPr="00115EE9">
        <w:rPr>
          <w:rStyle w:val="Nmerodelnea"/>
          <w:color w:val="auto"/>
          <w:szCs w:val="24"/>
        </w:rPr>
        <w:t>estimate</w:t>
      </w:r>
      <w:r w:rsidR="00B74BF0" w:rsidRPr="00115EE9">
        <w:rPr>
          <w:rStyle w:val="Nmerodelnea"/>
          <w:color w:val="auto"/>
          <w:szCs w:val="24"/>
        </w:rPr>
        <w:t xml:space="preserve"> wood density </w:t>
      </w:r>
      <w:r w:rsidR="002975BD" w:rsidRPr="00115EE9">
        <w:rPr>
          <w:rStyle w:val="Nmerodelnea"/>
          <w:color w:val="auto"/>
          <w:szCs w:val="24"/>
        </w:rPr>
        <w:t>(WD; g cm</w:t>
      </w:r>
      <w:r w:rsidR="002975BD" w:rsidRPr="00115EE9">
        <w:rPr>
          <w:rStyle w:val="Nmerodelnea"/>
          <w:color w:val="auto"/>
          <w:szCs w:val="24"/>
          <w:vertAlign w:val="superscript"/>
        </w:rPr>
        <w:t>-3</w:t>
      </w:r>
      <w:r w:rsidR="002975BD" w:rsidRPr="00115EE9">
        <w:rPr>
          <w:rStyle w:val="Nmerodelnea"/>
          <w:color w:val="auto"/>
          <w:szCs w:val="24"/>
        </w:rPr>
        <w:t xml:space="preserve">) </w:t>
      </w:r>
      <w:r w:rsidR="00B74BF0" w:rsidRPr="00115EE9">
        <w:rPr>
          <w:rStyle w:val="Nmerodelnea"/>
          <w:color w:val="auto"/>
          <w:szCs w:val="24"/>
        </w:rPr>
        <w:t>of fallen coarse woody debris</w:t>
      </w:r>
      <w:r w:rsidR="002975BD" w:rsidRPr="00115EE9">
        <w:rPr>
          <w:rStyle w:val="Nmerodelnea"/>
          <w:color w:val="auto"/>
          <w:szCs w:val="24"/>
        </w:rPr>
        <w:t xml:space="preserve"> (FCWD)</w:t>
      </w:r>
      <w:r w:rsidR="00B74BF0" w:rsidRPr="00115EE9">
        <w:rPr>
          <w:rStyle w:val="Nmerodelnea"/>
          <w:color w:val="auto"/>
          <w:szCs w:val="24"/>
        </w:rPr>
        <w:t xml:space="preserve"> and stand</w:t>
      </w:r>
      <w:r w:rsidR="00430D3F" w:rsidRPr="00115EE9">
        <w:rPr>
          <w:rStyle w:val="Nmerodelnea"/>
          <w:color w:val="auto"/>
          <w:szCs w:val="24"/>
        </w:rPr>
        <w:t>ing</w:t>
      </w:r>
      <w:r w:rsidR="00B74BF0" w:rsidRPr="00115EE9">
        <w:rPr>
          <w:rStyle w:val="Nmerodelnea"/>
          <w:color w:val="auto"/>
          <w:szCs w:val="24"/>
        </w:rPr>
        <w:t xml:space="preserve"> coarse woody debris</w:t>
      </w:r>
      <w:r w:rsidR="00430D3F" w:rsidRPr="00115EE9">
        <w:rPr>
          <w:rStyle w:val="Nmerodelnea"/>
          <w:color w:val="auto"/>
          <w:szCs w:val="24"/>
        </w:rPr>
        <w:t xml:space="preserve"> </w:t>
      </w:r>
      <w:r w:rsidR="002975BD" w:rsidRPr="00115EE9">
        <w:rPr>
          <w:rStyle w:val="Nmerodelnea"/>
          <w:color w:val="auto"/>
          <w:szCs w:val="24"/>
        </w:rPr>
        <w:t xml:space="preserve">(SCWD) </w:t>
      </w:r>
      <w:r w:rsidR="00430D3F" w:rsidRPr="00115EE9">
        <w:rPr>
          <w:rStyle w:val="Nmerodelnea"/>
          <w:color w:val="auto"/>
          <w:szCs w:val="24"/>
        </w:rPr>
        <w:t>from the penetrometer measurements</w:t>
      </w:r>
      <w:r w:rsidR="00B74BF0" w:rsidRPr="00115EE9">
        <w:rPr>
          <w:rStyle w:val="Nmerodelnea"/>
          <w:color w:val="auto"/>
          <w:szCs w:val="24"/>
        </w:rPr>
        <w:t xml:space="preserve">. </w:t>
      </w:r>
      <m:oMath>
        <m:sSub>
          <m:sSubPr>
            <m:ctrlPr>
              <w:rPr>
                <w:rFonts w:ascii="Cambria Math" w:hAnsi="Cambria Math" w:cs="Times New Roman"/>
                <w:i/>
                <w:color w:val="auto"/>
                <w:sz w:val="24"/>
                <w:szCs w:val="24"/>
              </w:rPr>
            </m:ctrlPr>
          </m:sSubPr>
          <m:e>
            <m:r>
              <w:rPr>
                <w:rFonts w:ascii="Cambria Math" w:hAnsi="Cambria Math" w:cs="Times New Roman"/>
                <w:color w:val="auto"/>
                <w:sz w:val="24"/>
                <w:szCs w:val="24"/>
              </w:rPr>
              <m:t>P</m:t>
            </m:r>
          </m:e>
          <m:sub>
            <m:r>
              <w:rPr>
                <w:rFonts w:ascii="Cambria Math" w:hAnsi="Cambria Math" w:cs="Times New Roman"/>
                <w:color w:val="auto"/>
                <w:sz w:val="24"/>
                <w:szCs w:val="24"/>
              </w:rPr>
              <m:t>i</m:t>
            </m:r>
          </m:sub>
        </m:sSub>
      </m:oMath>
      <w:r w:rsidR="00B74BF0" w:rsidRPr="00115EE9">
        <w:rPr>
          <w:rFonts w:ascii="Times New Roman" w:eastAsiaTheme="minorEastAsia" w:hAnsi="Times New Roman" w:cs="Times New Roman"/>
          <w:color w:val="auto"/>
          <w:sz w:val="24"/>
          <w:szCs w:val="24"/>
        </w:rPr>
        <w:t xml:space="preserve">: </w:t>
      </w:r>
      <w:r w:rsidR="00B74BF0" w:rsidRPr="00115EE9">
        <w:rPr>
          <w:rFonts w:ascii="Times New Roman" w:hAnsi="Times New Roman" w:cs="Times New Roman"/>
          <w:color w:val="auto"/>
          <w:sz w:val="24"/>
          <w:szCs w:val="24"/>
        </w:rPr>
        <w:t>Penetration depth</w:t>
      </w:r>
      <w:r w:rsidR="00F90912" w:rsidRPr="00115EE9">
        <w:rPr>
          <w:rFonts w:ascii="Times New Roman" w:hAnsi="Times New Roman" w:cs="Times New Roman"/>
          <w:color w:val="auto"/>
          <w:sz w:val="24"/>
          <w:szCs w:val="24"/>
        </w:rPr>
        <w:t xml:space="preserve"> of the 20 cm pin after 20 strikes with a dynamic penetrometer (</w:t>
      </w:r>
      <w:proofErr w:type="spellStart"/>
      <w:r w:rsidR="00F90912" w:rsidRPr="00115EE9">
        <w:rPr>
          <w:rFonts w:ascii="Times New Roman" w:hAnsi="Times New Roman" w:cs="Times New Roman"/>
          <w:color w:val="auto"/>
          <w:sz w:val="24"/>
          <w:szCs w:val="24"/>
        </w:rPr>
        <w:t>Lar</w:t>
      </w:r>
      <w:r w:rsidR="007D5911" w:rsidRPr="00115EE9">
        <w:rPr>
          <w:rFonts w:ascii="Times New Roman" w:hAnsi="Times New Roman" w:cs="Times New Roman"/>
          <w:color w:val="auto"/>
          <w:sz w:val="24"/>
          <w:szCs w:val="24"/>
        </w:rPr>
        <w:t>ja</w:t>
      </w:r>
      <w:r w:rsidR="00F90912" w:rsidRPr="00115EE9">
        <w:rPr>
          <w:rFonts w:ascii="Times New Roman" w:hAnsi="Times New Roman" w:cs="Times New Roman"/>
          <w:color w:val="auto"/>
          <w:sz w:val="24"/>
          <w:szCs w:val="24"/>
        </w:rPr>
        <w:t>vaara</w:t>
      </w:r>
      <w:proofErr w:type="spellEnd"/>
      <w:r w:rsidR="00F90912" w:rsidRPr="00115EE9">
        <w:rPr>
          <w:rFonts w:ascii="Times New Roman" w:hAnsi="Times New Roman" w:cs="Times New Roman"/>
          <w:color w:val="auto"/>
          <w:sz w:val="24"/>
          <w:szCs w:val="24"/>
        </w:rPr>
        <w:t xml:space="preserve"> and Muller-Landau 2011)</w:t>
      </w:r>
      <w:r w:rsidR="00B74BF0" w:rsidRPr="00115EE9">
        <w:rPr>
          <w:rFonts w:ascii="Times New Roman" w:hAnsi="Times New Roman" w:cs="Times New Roman"/>
          <w:color w:val="auto"/>
          <w:sz w:val="24"/>
          <w:szCs w:val="24"/>
        </w:rPr>
        <w:t xml:space="preserve">. </w:t>
      </w:r>
      <w:r w:rsidR="00F90912" w:rsidRPr="00115EE9">
        <w:rPr>
          <w:rFonts w:ascii="Times New Roman" w:hAnsi="Times New Roman" w:cs="Times New Roman"/>
          <w:color w:val="auto"/>
          <w:sz w:val="24"/>
          <w:szCs w:val="24"/>
        </w:rPr>
        <w:t xml:space="preserve">Each point represents one piece of fallen coarse woody debris sampled </w:t>
      </w:r>
      <w:r w:rsidR="002975BD" w:rsidRPr="00115EE9">
        <w:rPr>
          <w:rFonts w:ascii="Times New Roman" w:hAnsi="Times New Roman" w:cs="Times New Roman"/>
          <w:color w:val="auto"/>
          <w:sz w:val="24"/>
          <w:szCs w:val="24"/>
        </w:rPr>
        <w:t>along</w:t>
      </w:r>
      <w:r w:rsidR="00F90912" w:rsidRPr="00115EE9">
        <w:rPr>
          <w:rFonts w:ascii="Times New Roman" w:hAnsi="Times New Roman" w:cs="Times New Roman"/>
          <w:color w:val="auto"/>
          <w:sz w:val="24"/>
          <w:szCs w:val="24"/>
        </w:rPr>
        <w:t xml:space="preserve"> transects.  </w:t>
      </w:r>
    </w:p>
    <w:p w14:paraId="4B43319A" w14:textId="77777777" w:rsidR="004E21EB" w:rsidRPr="00115EE9" w:rsidRDefault="004E21EB" w:rsidP="00692C7B">
      <w:pPr>
        <w:spacing w:after="0" w:line="240" w:lineRule="auto"/>
        <w:rPr>
          <w:rFonts w:ascii="Times New Roman" w:hAnsi="Times New Roman" w:cs="Times New Roman"/>
          <w:color w:val="auto"/>
          <w:sz w:val="24"/>
          <w:szCs w:val="24"/>
        </w:rPr>
      </w:pPr>
    </w:p>
    <w:p w14:paraId="2292A60A" w14:textId="77777777" w:rsidR="004E21EB" w:rsidRPr="00115EE9" w:rsidRDefault="004E21EB" w:rsidP="004E21EB">
      <w:pPr>
        <w:spacing w:before="120" w:after="120" w:line="480" w:lineRule="auto"/>
        <w:rPr>
          <w:rFonts w:ascii="Times New Roman" w:hAnsi="Times New Roman" w:cs="Times New Roman"/>
          <w:color w:val="auto"/>
          <w:sz w:val="24"/>
          <w:szCs w:val="24"/>
        </w:rPr>
      </w:pPr>
      <w:r w:rsidRPr="00115EE9">
        <w:rPr>
          <w:rFonts w:ascii="Times New Roman" w:hAnsi="Times New Roman" w:cs="Times New Roman"/>
          <w:noProof/>
          <w:color w:val="auto"/>
          <w:sz w:val="24"/>
          <w:szCs w:val="24"/>
        </w:rPr>
        <w:lastRenderedPageBreak/>
        <w:drawing>
          <wp:inline distT="0" distB="0" distL="0" distR="0" wp14:anchorId="4FE8108C" wp14:editId="14CFB616">
            <wp:extent cx="4319016" cy="4319016"/>
            <wp:effectExtent l="0" t="0" r="5715" b="5715"/>
            <wp:docPr id="696830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30066" name="Picture 696830066"/>
                    <pic:cNvPicPr/>
                  </pic:nvPicPr>
                  <pic:blipFill>
                    <a:blip r:embed="rId13"/>
                    <a:stretch>
                      <a:fillRect/>
                    </a:stretch>
                  </pic:blipFill>
                  <pic:spPr>
                    <a:xfrm>
                      <a:off x="0" y="0"/>
                      <a:ext cx="4319016" cy="4319016"/>
                    </a:xfrm>
                    <a:prstGeom prst="rect">
                      <a:avLst/>
                    </a:prstGeom>
                  </pic:spPr>
                </pic:pic>
              </a:graphicData>
            </a:graphic>
          </wp:inline>
        </w:drawing>
      </w:r>
    </w:p>
    <w:p w14:paraId="6EF88A8C" w14:textId="478515DE" w:rsidR="00BE0213" w:rsidRPr="00115EE9" w:rsidRDefault="004E21EB" w:rsidP="003601A0">
      <w:pPr>
        <w:spacing w:after="0" w:line="240" w:lineRule="auto"/>
        <w:rPr>
          <w:rFonts w:ascii="Times New Roman" w:hAnsi="Times New Roman" w:cs="Times New Roman"/>
          <w:color w:val="auto"/>
          <w:sz w:val="24"/>
          <w:szCs w:val="24"/>
        </w:rPr>
      </w:pPr>
      <w:r w:rsidRPr="00115EE9">
        <w:rPr>
          <w:rFonts w:ascii="Times New Roman" w:hAnsi="Times New Roman" w:cs="Times New Roman"/>
          <w:b/>
          <w:bCs/>
          <w:color w:val="auto"/>
          <w:sz w:val="24"/>
          <w:szCs w:val="24"/>
        </w:rPr>
        <w:t>Figure S</w:t>
      </w:r>
      <w:r w:rsidR="003B23F7">
        <w:rPr>
          <w:rFonts w:ascii="Times New Roman" w:hAnsi="Times New Roman" w:cs="Times New Roman"/>
          <w:b/>
          <w:bCs/>
          <w:color w:val="auto"/>
          <w:sz w:val="24"/>
          <w:szCs w:val="24"/>
        </w:rPr>
        <w:t>3</w:t>
      </w:r>
      <w:r w:rsidRPr="00115EE9">
        <w:rPr>
          <w:rFonts w:ascii="Times New Roman" w:hAnsi="Times New Roman" w:cs="Times New Roman"/>
          <w:b/>
          <w:bCs/>
          <w:color w:val="auto"/>
          <w:sz w:val="24"/>
          <w:szCs w:val="24"/>
        </w:rPr>
        <w:t xml:space="preserve">. </w:t>
      </w:r>
      <w:r w:rsidRPr="00115EE9">
        <w:rPr>
          <w:rFonts w:ascii="Times New Roman" w:hAnsi="Times New Roman" w:cs="Times New Roman"/>
          <w:color w:val="auto"/>
          <w:sz w:val="24"/>
          <w:szCs w:val="24"/>
        </w:rPr>
        <w:t xml:space="preserve">Height-diameter relationship for </w:t>
      </w:r>
      <w:proofErr w:type="spellStart"/>
      <w:r w:rsidRPr="00115EE9">
        <w:rPr>
          <w:rFonts w:ascii="Times New Roman" w:hAnsi="Times New Roman" w:cs="Times New Roman"/>
          <w:color w:val="auto"/>
          <w:sz w:val="24"/>
          <w:szCs w:val="24"/>
        </w:rPr>
        <w:t>Amacayacu</w:t>
      </w:r>
      <w:proofErr w:type="spellEnd"/>
      <w:r w:rsidRPr="00115EE9">
        <w:rPr>
          <w:rFonts w:ascii="Times New Roman" w:hAnsi="Times New Roman" w:cs="Times New Roman"/>
          <w:color w:val="auto"/>
          <w:sz w:val="24"/>
          <w:szCs w:val="24"/>
        </w:rPr>
        <w:t xml:space="preserve"> trees.  Points show data for </w:t>
      </w:r>
      <w:r w:rsidR="002944D5">
        <w:rPr>
          <w:rFonts w:ascii="Times New Roman" w:hAnsi="Times New Roman" w:cs="Times New Roman"/>
          <w:color w:val="auto"/>
          <w:sz w:val="24"/>
          <w:szCs w:val="24"/>
        </w:rPr>
        <w:t>9112</w:t>
      </w:r>
      <w:r w:rsidRPr="00115EE9">
        <w:rPr>
          <w:rFonts w:ascii="Times New Roman" w:hAnsi="Times New Roman" w:cs="Times New Roman"/>
          <w:color w:val="auto"/>
          <w:sz w:val="24"/>
          <w:szCs w:val="24"/>
        </w:rPr>
        <w:t xml:space="preserve"> trees, including all trees with DBH ≥60 cm.  The red line and printed equation show the best-fit Weibull model, with height in m and DBH in cm. </w:t>
      </w:r>
    </w:p>
    <w:p w14:paraId="52ABE2DD" w14:textId="77777777" w:rsidR="00BE0213" w:rsidRPr="00115EE9" w:rsidRDefault="00BE0213">
      <w:pPr>
        <w:spacing w:after="0" w:line="240" w:lineRule="auto"/>
        <w:rPr>
          <w:rFonts w:ascii="Times New Roman" w:hAnsi="Times New Roman" w:cs="Times New Roman"/>
          <w:color w:val="auto"/>
          <w:sz w:val="24"/>
          <w:szCs w:val="24"/>
        </w:rPr>
      </w:pPr>
      <w:r w:rsidRPr="00115EE9">
        <w:rPr>
          <w:rFonts w:ascii="Times New Roman" w:hAnsi="Times New Roman" w:cs="Times New Roman"/>
          <w:color w:val="auto"/>
          <w:sz w:val="24"/>
          <w:szCs w:val="24"/>
        </w:rPr>
        <w:br w:type="page"/>
      </w:r>
    </w:p>
    <w:p w14:paraId="6CE444B3" w14:textId="441330CA" w:rsidR="00860BBC" w:rsidRPr="00115EE9" w:rsidRDefault="00860BBC" w:rsidP="00BE0213">
      <w:pPr>
        <w:spacing w:after="0" w:line="240" w:lineRule="auto"/>
        <w:rPr>
          <w:rFonts w:ascii="Times New Roman" w:hAnsi="Times New Roman" w:cs="Times New Roman"/>
          <w:b/>
          <w:bCs/>
          <w:color w:val="auto"/>
          <w:sz w:val="24"/>
          <w:szCs w:val="24"/>
        </w:rPr>
      </w:pPr>
      <w:r w:rsidRPr="00115EE9">
        <w:rPr>
          <w:rFonts w:ascii="Times New Roman" w:hAnsi="Times New Roman" w:cs="Times New Roman"/>
          <w:b/>
          <w:bCs/>
          <w:noProof/>
          <w:color w:val="auto"/>
          <w:sz w:val="24"/>
          <w:szCs w:val="24"/>
        </w:rPr>
        <w:lastRenderedPageBreak/>
        <w:drawing>
          <wp:inline distT="0" distB="0" distL="0" distR="0" wp14:anchorId="2F437CCA" wp14:editId="537A5486">
            <wp:extent cx="4572000" cy="4572000"/>
            <wp:effectExtent l="0" t="0" r="0" b="0"/>
            <wp:docPr id="1293542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42396" name="Picture 1293542396"/>
                    <pic:cNvPicPr/>
                  </pic:nvPicPr>
                  <pic:blipFill>
                    <a:blip r:embed="rId14"/>
                    <a:stretch>
                      <a:fillRect/>
                    </a:stretch>
                  </pic:blipFill>
                  <pic:spPr>
                    <a:xfrm>
                      <a:off x="0" y="0"/>
                      <a:ext cx="4572000" cy="4572000"/>
                    </a:xfrm>
                    <a:prstGeom prst="rect">
                      <a:avLst/>
                    </a:prstGeom>
                  </pic:spPr>
                </pic:pic>
              </a:graphicData>
            </a:graphic>
          </wp:inline>
        </w:drawing>
      </w:r>
    </w:p>
    <w:p w14:paraId="22B45B1D" w14:textId="77777777" w:rsidR="00860BBC" w:rsidRPr="00115EE9" w:rsidRDefault="00860BBC" w:rsidP="00BE0213">
      <w:pPr>
        <w:spacing w:after="0" w:line="240" w:lineRule="auto"/>
        <w:rPr>
          <w:rFonts w:ascii="Times New Roman" w:hAnsi="Times New Roman" w:cs="Times New Roman"/>
          <w:b/>
          <w:bCs/>
          <w:color w:val="auto"/>
          <w:sz w:val="24"/>
          <w:szCs w:val="24"/>
        </w:rPr>
      </w:pPr>
    </w:p>
    <w:p w14:paraId="6B67222F" w14:textId="66F64B79" w:rsidR="00BE0213" w:rsidRPr="00115EE9" w:rsidRDefault="00BE0213" w:rsidP="00BE0213">
      <w:pPr>
        <w:spacing w:after="0" w:line="240" w:lineRule="auto"/>
        <w:rPr>
          <w:rFonts w:ascii="Times New Roman" w:hAnsi="Times New Roman" w:cs="Times New Roman"/>
          <w:color w:val="auto"/>
          <w:sz w:val="24"/>
          <w:szCs w:val="24"/>
        </w:rPr>
      </w:pPr>
      <w:r w:rsidRPr="00115EE9">
        <w:rPr>
          <w:rFonts w:ascii="Times New Roman" w:hAnsi="Times New Roman" w:cs="Times New Roman"/>
          <w:b/>
          <w:bCs/>
          <w:color w:val="auto"/>
          <w:sz w:val="24"/>
          <w:szCs w:val="24"/>
        </w:rPr>
        <w:t>Figure S</w:t>
      </w:r>
      <w:r w:rsidR="002B2867">
        <w:rPr>
          <w:rFonts w:ascii="Times New Roman" w:hAnsi="Times New Roman" w:cs="Times New Roman"/>
          <w:b/>
          <w:bCs/>
          <w:color w:val="auto"/>
          <w:sz w:val="24"/>
          <w:szCs w:val="24"/>
        </w:rPr>
        <w:t>4</w:t>
      </w:r>
      <w:r w:rsidRPr="00115EE9">
        <w:rPr>
          <w:rFonts w:ascii="Times New Roman" w:hAnsi="Times New Roman" w:cs="Times New Roman"/>
          <w:b/>
          <w:bCs/>
          <w:color w:val="auto"/>
          <w:sz w:val="24"/>
          <w:szCs w:val="24"/>
        </w:rPr>
        <w:t xml:space="preserve">. </w:t>
      </w:r>
      <w:r w:rsidR="00860BBC" w:rsidRPr="00115EE9">
        <w:rPr>
          <w:rFonts w:ascii="Times New Roman" w:hAnsi="Times New Roman" w:cs="Times New Roman"/>
          <w:color w:val="auto"/>
          <w:sz w:val="24"/>
          <w:szCs w:val="24"/>
        </w:rPr>
        <w:t>Total soil carbon stocks (</w:t>
      </w:r>
      <w:proofErr w:type="spellStart"/>
      <w:r w:rsidR="00860BBC" w:rsidRPr="00115EE9">
        <w:rPr>
          <w:rFonts w:ascii="Times New Roman" w:hAnsi="Times New Roman" w:cs="Times New Roman"/>
          <w:color w:val="auto"/>
          <w:sz w:val="24"/>
          <w:szCs w:val="24"/>
        </w:rPr>
        <w:t>Ctot</w:t>
      </w:r>
      <w:proofErr w:type="spellEnd"/>
      <w:r w:rsidR="00860BBC" w:rsidRPr="00115EE9">
        <w:rPr>
          <w:rFonts w:ascii="Times New Roman" w:hAnsi="Times New Roman" w:cs="Times New Roman"/>
          <w:color w:val="auto"/>
          <w:sz w:val="24"/>
          <w:szCs w:val="24"/>
        </w:rPr>
        <w:t>) across topographic units (Habitat)</w:t>
      </w:r>
      <w:r w:rsidR="0053402F">
        <w:rPr>
          <w:rFonts w:ascii="Times New Roman" w:hAnsi="Times New Roman" w:cs="Times New Roman"/>
          <w:color w:val="auto"/>
          <w:sz w:val="24"/>
          <w:szCs w:val="24"/>
        </w:rPr>
        <w:t xml:space="preserve"> as they were defined by Zuleta et al. (2017)</w:t>
      </w:r>
      <w:r w:rsidRPr="00115EE9">
        <w:rPr>
          <w:rFonts w:ascii="Times New Roman" w:hAnsi="Times New Roman" w:cs="Times New Roman"/>
          <w:color w:val="auto"/>
          <w:sz w:val="24"/>
          <w:szCs w:val="24"/>
        </w:rPr>
        <w:t xml:space="preserve">. </w:t>
      </w:r>
    </w:p>
    <w:p w14:paraId="7B788878" w14:textId="77777777" w:rsidR="00513D10" w:rsidRPr="00513D10" w:rsidRDefault="00BE0213" w:rsidP="00513D10">
      <w:pPr>
        <w:spacing w:after="0" w:line="240" w:lineRule="auto"/>
        <w:rPr>
          <w:rFonts w:ascii="Times New Roman" w:hAnsi="Times New Roman" w:cs="Times New Roman"/>
          <w:color w:val="auto"/>
          <w:sz w:val="24"/>
          <w:szCs w:val="24"/>
        </w:rPr>
      </w:pPr>
      <w:r w:rsidRPr="00115EE9">
        <w:rPr>
          <w:rFonts w:ascii="Times New Roman" w:hAnsi="Times New Roman" w:cs="Times New Roman"/>
          <w:color w:val="auto"/>
          <w:sz w:val="24"/>
          <w:szCs w:val="24"/>
        </w:rPr>
        <w:br w:type="page"/>
      </w:r>
      <w:r w:rsidR="00513D10" w:rsidRPr="00513D10">
        <w:rPr>
          <w:rFonts w:ascii="Times New Roman" w:hAnsi="Times New Roman" w:cs="Times New Roman"/>
          <w:b/>
          <w:color w:val="auto"/>
          <w:sz w:val="24"/>
          <w:szCs w:val="24"/>
        </w:rPr>
        <w:lastRenderedPageBreak/>
        <w:t>Table S1</w:t>
      </w:r>
      <w:r w:rsidR="00513D10" w:rsidRPr="00513D10">
        <w:rPr>
          <w:rFonts w:ascii="Times New Roman" w:hAnsi="Times New Roman" w:cs="Times New Roman"/>
          <w:color w:val="auto"/>
          <w:sz w:val="24"/>
          <w:szCs w:val="24"/>
        </w:rPr>
        <w:t xml:space="preserve">: Total carbon stocks in the 25 1-ha (100 m × 100 m) plots of the </w:t>
      </w:r>
      <w:proofErr w:type="spellStart"/>
      <w:r w:rsidR="00513D10" w:rsidRPr="00513D10">
        <w:rPr>
          <w:rFonts w:ascii="Times New Roman" w:hAnsi="Times New Roman" w:cs="Times New Roman"/>
          <w:color w:val="auto"/>
          <w:sz w:val="24"/>
          <w:szCs w:val="24"/>
        </w:rPr>
        <w:t>Amacayacu</w:t>
      </w:r>
      <w:proofErr w:type="spellEnd"/>
      <w:r w:rsidR="00513D10" w:rsidRPr="00513D10">
        <w:rPr>
          <w:rFonts w:ascii="Times New Roman" w:hAnsi="Times New Roman" w:cs="Times New Roman"/>
          <w:color w:val="auto"/>
          <w:sz w:val="24"/>
          <w:szCs w:val="24"/>
        </w:rPr>
        <w:t xml:space="preserve"> Forest Dynamics Plot located in northwestern Amazonia. X: location on the X axis along the 500 m × 500 m plot. Y: location on the Y axis along the 500 m × 500 m plot. </w:t>
      </w:r>
      <w:proofErr w:type="spellStart"/>
      <w:r w:rsidR="00513D10" w:rsidRPr="00513D10">
        <w:rPr>
          <w:rFonts w:ascii="Times New Roman" w:hAnsi="Times New Roman" w:cs="Times New Roman"/>
          <w:color w:val="auto"/>
          <w:sz w:val="24"/>
          <w:szCs w:val="24"/>
        </w:rPr>
        <w:t>Soil_tot</w:t>
      </w:r>
      <w:proofErr w:type="spellEnd"/>
      <w:r w:rsidR="00513D10" w:rsidRPr="00513D10">
        <w:rPr>
          <w:rFonts w:ascii="Times New Roman" w:hAnsi="Times New Roman" w:cs="Times New Roman"/>
          <w:color w:val="auto"/>
          <w:sz w:val="24"/>
          <w:szCs w:val="24"/>
        </w:rPr>
        <w:t xml:space="preserve">: total soil carbon stocks (Mg C ha-1). </w:t>
      </w:r>
      <w:proofErr w:type="spellStart"/>
      <w:r w:rsidR="00513D10" w:rsidRPr="00513D10">
        <w:rPr>
          <w:rFonts w:ascii="Times New Roman" w:hAnsi="Times New Roman" w:cs="Times New Roman"/>
          <w:color w:val="auto"/>
          <w:sz w:val="24"/>
          <w:szCs w:val="24"/>
        </w:rPr>
        <w:t>WDebris</w:t>
      </w:r>
      <w:proofErr w:type="spellEnd"/>
      <w:r w:rsidR="00513D10" w:rsidRPr="00513D10">
        <w:rPr>
          <w:rFonts w:ascii="Times New Roman" w:hAnsi="Times New Roman" w:cs="Times New Roman"/>
          <w:color w:val="auto"/>
          <w:sz w:val="24"/>
          <w:szCs w:val="24"/>
        </w:rPr>
        <w:t xml:space="preserve">: fine and coarse woody debris (Mg C ha-1). AGC: aboveground carbon stocks (Mg C ha-1). BGC: belowground carbon stocks (Mg C ha-1). </w:t>
      </w:r>
      <w:proofErr w:type="spellStart"/>
      <w:r w:rsidR="00513D10" w:rsidRPr="00513D10">
        <w:rPr>
          <w:rFonts w:ascii="Times New Roman" w:hAnsi="Times New Roman" w:cs="Times New Roman"/>
          <w:color w:val="auto"/>
          <w:sz w:val="24"/>
          <w:szCs w:val="24"/>
        </w:rPr>
        <w:t>C.tot</w:t>
      </w:r>
      <w:proofErr w:type="spellEnd"/>
      <w:r w:rsidR="00513D10" w:rsidRPr="00513D10">
        <w:rPr>
          <w:rFonts w:ascii="Times New Roman" w:hAnsi="Times New Roman" w:cs="Times New Roman"/>
          <w:color w:val="auto"/>
          <w:sz w:val="24"/>
          <w:szCs w:val="24"/>
        </w:rPr>
        <w:t>: total carbon stocks (Mg C ha-1).</w:t>
      </w:r>
    </w:p>
    <w:p w14:paraId="5A18704F" w14:textId="77777777" w:rsidR="00513D10" w:rsidRPr="008D2E63" w:rsidRDefault="00513D10" w:rsidP="00513D10"/>
    <w:tbl>
      <w:tblPr>
        <w:tblW w:w="8920" w:type="dxa"/>
        <w:tblLook w:val="04A0" w:firstRow="1" w:lastRow="0" w:firstColumn="1" w:lastColumn="0" w:noHBand="0" w:noVBand="1"/>
      </w:tblPr>
      <w:tblGrid>
        <w:gridCol w:w="1200"/>
        <w:gridCol w:w="1200"/>
        <w:gridCol w:w="1200"/>
        <w:gridCol w:w="1280"/>
        <w:gridCol w:w="1380"/>
        <w:gridCol w:w="1280"/>
        <w:gridCol w:w="1380"/>
      </w:tblGrid>
      <w:tr w:rsidR="00513D10" w:rsidRPr="003F30A1" w14:paraId="26FA56EF" w14:textId="77777777" w:rsidTr="00F85DC2">
        <w:trPr>
          <w:trHeight w:val="290"/>
        </w:trPr>
        <w:tc>
          <w:tcPr>
            <w:tcW w:w="1200" w:type="dxa"/>
            <w:tcBorders>
              <w:top w:val="nil"/>
              <w:left w:val="nil"/>
              <w:bottom w:val="nil"/>
              <w:right w:val="nil"/>
            </w:tcBorders>
            <w:shd w:val="clear" w:color="auto" w:fill="auto"/>
            <w:noWrap/>
            <w:vAlign w:val="bottom"/>
            <w:hideMark/>
          </w:tcPr>
          <w:p w14:paraId="76996555" w14:textId="77777777" w:rsidR="00513D10" w:rsidRPr="003F30A1" w:rsidRDefault="00513D10" w:rsidP="00864EA6">
            <w:pPr>
              <w:jc w:val="right"/>
              <w:rPr>
                <w:rFonts w:ascii="Calibri" w:eastAsia="Times New Roman" w:hAnsi="Calibri" w:cs="Calibri"/>
                <w:b/>
                <w:color w:val="000000"/>
                <w:sz w:val="22"/>
                <w:szCs w:val="22"/>
              </w:rPr>
            </w:pPr>
            <w:r w:rsidRPr="003F30A1">
              <w:rPr>
                <w:rFonts w:ascii="Calibri" w:eastAsia="Times New Roman" w:hAnsi="Calibri" w:cs="Calibri"/>
                <w:b/>
                <w:color w:val="000000"/>
                <w:sz w:val="22"/>
                <w:szCs w:val="22"/>
              </w:rPr>
              <w:t>X</w:t>
            </w:r>
          </w:p>
        </w:tc>
        <w:tc>
          <w:tcPr>
            <w:tcW w:w="1200" w:type="dxa"/>
            <w:tcBorders>
              <w:top w:val="nil"/>
              <w:left w:val="nil"/>
              <w:bottom w:val="nil"/>
              <w:right w:val="nil"/>
            </w:tcBorders>
            <w:shd w:val="clear" w:color="auto" w:fill="auto"/>
            <w:noWrap/>
            <w:vAlign w:val="bottom"/>
            <w:hideMark/>
          </w:tcPr>
          <w:p w14:paraId="75D15786" w14:textId="77777777" w:rsidR="00513D10" w:rsidRPr="003F30A1" w:rsidRDefault="00513D10" w:rsidP="00864EA6">
            <w:pPr>
              <w:jc w:val="right"/>
              <w:rPr>
                <w:rFonts w:ascii="Calibri" w:eastAsia="Times New Roman" w:hAnsi="Calibri" w:cs="Calibri"/>
                <w:b/>
                <w:color w:val="000000"/>
                <w:sz w:val="22"/>
                <w:szCs w:val="22"/>
              </w:rPr>
            </w:pPr>
            <w:r w:rsidRPr="003F30A1">
              <w:rPr>
                <w:rFonts w:ascii="Calibri" w:eastAsia="Times New Roman" w:hAnsi="Calibri" w:cs="Calibri"/>
                <w:b/>
                <w:color w:val="000000"/>
                <w:sz w:val="22"/>
                <w:szCs w:val="22"/>
              </w:rPr>
              <w:t>Y</w:t>
            </w:r>
          </w:p>
        </w:tc>
        <w:tc>
          <w:tcPr>
            <w:tcW w:w="1200" w:type="dxa"/>
            <w:tcBorders>
              <w:top w:val="nil"/>
              <w:left w:val="nil"/>
              <w:bottom w:val="nil"/>
              <w:right w:val="nil"/>
            </w:tcBorders>
            <w:shd w:val="clear" w:color="auto" w:fill="auto"/>
            <w:noWrap/>
            <w:vAlign w:val="bottom"/>
            <w:hideMark/>
          </w:tcPr>
          <w:p w14:paraId="7B17B460" w14:textId="77777777" w:rsidR="00513D10" w:rsidRPr="003F30A1" w:rsidRDefault="00513D10" w:rsidP="00864EA6">
            <w:pPr>
              <w:jc w:val="right"/>
              <w:rPr>
                <w:rFonts w:ascii="Calibri" w:eastAsia="Times New Roman" w:hAnsi="Calibri" w:cs="Calibri"/>
                <w:b/>
                <w:color w:val="000000"/>
                <w:sz w:val="22"/>
                <w:szCs w:val="22"/>
              </w:rPr>
            </w:pPr>
            <w:proofErr w:type="spellStart"/>
            <w:r w:rsidRPr="003F30A1">
              <w:rPr>
                <w:rFonts w:ascii="Calibri" w:eastAsia="Times New Roman" w:hAnsi="Calibri" w:cs="Calibri"/>
                <w:b/>
                <w:color w:val="000000"/>
                <w:sz w:val="22"/>
                <w:szCs w:val="22"/>
              </w:rPr>
              <w:t>Soil_tot</w:t>
            </w:r>
            <w:proofErr w:type="spellEnd"/>
          </w:p>
        </w:tc>
        <w:tc>
          <w:tcPr>
            <w:tcW w:w="1280" w:type="dxa"/>
            <w:tcBorders>
              <w:top w:val="nil"/>
              <w:left w:val="nil"/>
              <w:bottom w:val="nil"/>
              <w:right w:val="nil"/>
            </w:tcBorders>
            <w:shd w:val="clear" w:color="auto" w:fill="auto"/>
            <w:noWrap/>
            <w:vAlign w:val="bottom"/>
            <w:hideMark/>
          </w:tcPr>
          <w:p w14:paraId="576FBB16" w14:textId="77777777" w:rsidR="00513D10" w:rsidRPr="003F30A1" w:rsidRDefault="00513D10" w:rsidP="00864EA6">
            <w:pPr>
              <w:jc w:val="right"/>
              <w:rPr>
                <w:rFonts w:ascii="Calibri" w:eastAsia="Times New Roman" w:hAnsi="Calibri" w:cs="Calibri"/>
                <w:b/>
                <w:color w:val="000000"/>
                <w:sz w:val="22"/>
                <w:szCs w:val="22"/>
              </w:rPr>
            </w:pPr>
            <w:proofErr w:type="spellStart"/>
            <w:r w:rsidRPr="003F30A1">
              <w:rPr>
                <w:rFonts w:ascii="Calibri" w:eastAsia="Times New Roman" w:hAnsi="Calibri" w:cs="Calibri"/>
                <w:b/>
                <w:color w:val="000000"/>
                <w:sz w:val="22"/>
                <w:szCs w:val="22"/>
              </w:rPr>
              <w:t>WDebris</w:t>
            </w:r>
            <w:proofErr w:type="spellEnd"/>
          </w:p>
        </w:tc>
        <w:tc>
          <w:tcPr>
            <w:tcW w:w="1380" w:type="dxa"/>
            <w:tcBorders>
              <w:top w:val="nil"/>
              <w:left w:val="nil"/>
              <w:bottom w:val="nil"/>
              <w:right w:val="nil"/>
            </w:tcBorders>
            <w:shd w:val="clear" w:color="auto" w:fill="auto"/>
            <w:noWrap/>
            <w:vAlign w:val="bottom"/>
            <w:hideMark/>
          </w:tcPr>
          <w:p w14:paraId="746930B4" w14:textId="77777777" w:rsidR="00513D10" w:rsidRPr="003F30A1" w:rsidRDefault="00513D10" w:rsidP="00864EA6">
            <w:pPr>
              <w:jc w:val="right"/>
              <w:rPr>
                <w:rFonts w:ascii="Calibri" w:eastAsia="Times New Roman" w:hAnsi="Calibri" w:cs="Calibri"/>
                <w:b/>
                <w:color w:val="000000"/>
                <w:sz w:val="22"/>
                <w:szCs w:val="22"/>
              </w:rPr>
            </w:pPr>
            <w:r w:rsidRPr="003F30A1">
              <w:rPr>
                <w:rFonts w:ascii="Calibri" w:eastAsia="Times New Roman" w:hAnsi="Calibri" w:cs="Calibri"/>
                <w:b/>
                <w:color w:val="000000"/>
                <w:sz w:val="22"/>
                <w:szCs w:val="22"/>
              </w:rPr>
              <w:t>AGC</w:t>
            </w:r>
          </w:p>
        </w:tc>
        <w:tc>
          <w:tcPr>
            <w:tcW w:w="1280" w:type="dxa"/>
            <w:tcBorders>
              <w:top w:val="nil"/>
              <w:left w:val="nil"/>
              <w:bottom w:val="nil"/>
              <w:right w:val="nil"/>
            </w:tcBorders>
            <w:shd w:val="clear" w:color="auto" w:fill="auto"/>
            <w:noWrap/>
            <w:vAlign w:val="bottom"/>
            <w:hideMark/>
          </w:tcPr>
          <w:p w14:paraId="027E50F2" w14:textId="77777777" w:rsidR="00513D10" w:rsidRPr="003F30A1" w:rsidRDefault="00513D10" w:rsidP="00864EA6">
            <w:pPr>
              <w:jc w:val="right"/>
              <w:rPr>
                <w:rFonts w:ascii="Calibri" w:eastAsia="Times New Roman" w:hAnsi="Calibri" w:cs="Calibri"/>
                <w:b/>
                <w:color w:val="000000"/>
                <w:sz w:val="22"/>
                <w:szCs w:val="22"/>
              </w:rPr>
            </w:pPr>
            <w:r w:rsidRPr="003F30A1">
              <w:rPr>
                <w:rFonts w:ascii="Calibri" w:eastAsia="Times New Roman" w:hAnsi="Calibri" w:cs="Calibri"/>
                <w:b/>
                <w:color w:val="000000"/>
                <w:sz w:val="22"/>
                <w:szCs w:val="22"/>
              </w:rPr>
              <w:t>BGC</w:t>
            </w:r>
          </w:p>
        </w:tc>
        <w:tc>
          <w:tcPr>
            <w:tcW w:w="1380" w:type="dxa"/>
            <w:tcBorders>
              <w:top w:val="nil"/>
              <w:left w:val="nil"/>
              <w:bottom w:val="nil"/>
              <w:right w:val="nil"/>
            </w:tcBorders>
            <w:shd w:val="clear" w:color="auto" w:fill="auto"/>
            <w:noWrap/>
            <w:vAlign w:val="bottom"/>
            <w:hideMark/>
          </w:tcPr>
          <w:p w14:paraId="42F40897" w14:textId="77777777" w:rsidR="00513D10" w:rsidRPr="003F30A1" w:rsidRDefault="00513D10" w:rsidP="00864EA6">
            <w:pPr>
              <w:jc w:val="right"/>
              <w:rPr>
                <w:rFonts w:ascii="Calibri" w:eastAsia="Times New Roman" w:hAnsi="Calibri" w:cs="Calibri"/>
                <w:b/>
                <w:color w:val="000000"/>
                <w:sz w:val="22"/>
                <w:szCs w:val="22"/>
              </w:rPr>
            </w:pPr>
            <w:proofErr w:type="spellStart"/>
            <w:r w:rsidRPr="003F30A1">
              <w:rPr>
                <w:rFonts w:ascii="Calibri" w:eastAsia="Times New Roman" w:hAnsi="Calibri" w:cs="Calibri"/>
                <w:b/>
                <w:color w:val="000000"/>
                <w:sz w:val="22"/>
                <w:szCs w:val="22"/>
              </w:rPr>
              <w:t>C.tot</w:t>
            </w:r>
            <w:proofErr w:type="spellEnd"/>
          </w:p>
        </w:tc>
      </w:tr>
      <w:tr w:rsidR="00513D10" w:rsidRPr="008D2E63" w14:paraId="5C2B244D" w14:textId="77777777" w:rsidTr="00F85DC2">
        <w:trPr>
          <w:trHeight w:val="290"/>
        </w:trPr>
        <w:tc>
          <w:tcPr>
            <w:tcW w:w="1200" w:type="dxa"/>
            <w:tcBorders>
              <w:top w:val="nil"/>
              <w:left w:val="nil"/>
              <w:bottom w:val="nil"/>
              <w:right w:val="nil"/>
            </w:tcBorders>
            <w:shd w:val="clear" w:color="auto" w:fill="auto"/>
            <w:noWrap/>
            <w:vAlign w:val="bottom"/>
            <w:hideMark/>
          </w:tcPr>
          <w:p w14:paraId="6CE5E3A4"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50</w:t>
            </w:r>
          </w:p>
        </w:tc>
        <w:tc>
          <w:tcPr>
            <w:tcW w:w="1200" w:type="dxa"/>
            <w:tcBorders>
              <w:top w:val="nil"/>
              <w:left w:val="nil"/>
              <w:bottom w:val="nil"/>
              <w:right w:val="nil"/>
            </w:tcBorders>
            <w:shd w:val="clear" w:color="auto" w:fill="auto"/>
            <w:noWrap/>
            <w:vAlign w:val="bottom"/>
            <w:hideMark/>
          </w:tcPr>
          <w:p w14:paraId="4A5AFC18"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50</w:t>
            </w:r>
          </w:p>
        </w:tc>
        <w:tc>
          <w:tcPr>
            <w:tcW w:w="1200" w:type="dxa"/>
            <w:tcBorders>
              <w:top w:val="nil"/>
              <w:left w:val="nil"/>
              <w:bottom w:val="nil"/>
              <w:right w:val="nil"/>
            </w:tcBorders>
            <w:shd w:val="clear" w:color="auto" w:fill="auto"/>
            <w:noWrap/>
            <w:vAlign w:val="bottom"/>
            <w:hideMark/>
          </w:tcPr>
          <w:p w14:paraId="1F8605C1"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165.8</w:t>
            </w:r>
          </w:p>
        </w:tc>
        <w:tc>
          <w:tcPr>
            <w:tcW w:w="1280" w:type="dxa"/>
            <w:tcBorders>
              <w:top w:val="nil"/>
              <w:left w:val="nil"/>
              <w:bottom w:val="nil"/>
              <w:right w:val="nil"/>
            </w:tcBorders>
            <w:shd w:val="clear" w:color="auto" w:fill="auto"/>
            <w:noWrap/>
            <w:vAlign w:val="bottom"/>
            <w:hideMark/>
          </w:tcPr>
          <w:p w14:paraId="73977934"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0.6</w:t>
            </w:r>
          </w:p>
        </w:tc>
        <w:tc>
          <w:tcPr>
            <w:tcW w:w="1380" w:type="dxa"/>
            <w:tcBorders>
              <w:top w:val="nil"/>
              <w:left w:val="nil"/>
              <w:bottom w:val="nil"/>
              <w:right w:val="nil"/>
            </w:tcBorders>
            <w:shd w:val="clear" w:color="auto" w:fill="auto"/>
            <w:noWrap/>
            <w:vAlign w:val="bottom"/>
            <w:hideMark/>
          </w:tcPr>
          <w:p w14:paraId="1511B3A8"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153.5</w:t>
            </w:r>
          </w:p>
        </w:tc>
        <w:tc>
          <w:tcPr>
            <w:tcW w:w="1280" w:type="dxa"/>
            <w:tcBorders>
              <w:top w:val="nil"/>
              <w:left w:val="nil"/>
              <w:bottom w:val="nil"/>
              <w:right w:val="nil"/>
            </w:tcBorders>
            <w:shd w:val="clear" w:color="auto" w:fill="auto"/>
            <w:noWrap/>
            <w:vAlign w:val="bottom"/>
            <w:hideMark/>
          </w:tcPr>
          <w:p w14:paraId="6325FFEF"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41.4</w:t>
            </w:r>
          </w:p>
        </w:tc>
        <w:tc>
          <w:tcPr>
            <w:tcW w:w="1380" w:type="dxa"/>
            <w:tcBorders>
              <w:top w:val="nil"/>
              <w:left w:val="nil"/>
              <w:bottom w:val="nil"/>
              <w:right w:val="nil"/>
            </w:tcBorders>
            <w:shd w:val="clear" w:color="auto" w:fill="auto"/>
            <w:noWrap/>
            <w:vAlign w:val="bottom"/>
            <w:hideMark/>
          </w:tcPr>
          <w:p w14:paraId="43D84DBD"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361.4</w:t>
            </w:r>
          </w:p>
        </w:tc>
      </w:tr>
      <w:tr w:rsidR="00513D10" w:rsidRPr="008D2E63" w14:paraId="18E94011" w14:textId="77777777" w:rsidTr="00F85DC2">
        <w:trPr>
          <w:trHeight w:val="290"/>
        </w:trPr>
        <w:tc>
          <w:tcPr>
            <w:tcW w:w="1200" w:type="dxa"/>
            <w:tcBorders>
              <w:top w:val="nil"/>
              <w:left w:val="nil"/>
              <w:bottom w:val="nil"/>
              <w:right w:val="nil"/>
            </w:tcBorders>
            <w:shd w:val="clear" w:color="auto" w:fill="auto"/>
            <w:noWrap/>
            <w:vAlign w:val="bottom"/>
            <w:hideMark/>
          </w:tcPr>
          <w:p w14:paraId="7E1C733D"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50</w:t>
            </w:r>
          </w:p>
        </w:tc>
        <w:tc>
          <w:tcPr>
            <w:tcW w:w="1200" w:type="dxa"/>
            <w:tcBorders>
              <w:top w:val="nil"/>
              <w:left w:val="nil"/>
              <w:bottom w:val="nil"/>
              <w:right w:val="nil"/>
            </w:tcBorders>
            <w:shd w:val="clear" w:color="auto" w:fill="auto"/>
            <w:noWrap/>
            <w:vAlign w:val="bottom"/>
            <w:hideMark/>
          </w:tcPr>
          <w:p w14:paraId="247DE020"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150</w:t>
            </w:r>
          </w:p>
        </w:tc>
        <w:tc>
          <w:tcPr>
            <w:tcW w:w="1200" w:type="dxa"/>
            <w:tcBorders>
              <w:top w:val="nil"/>
              <w:left w:val="nil"/>
              <w:bottom w:val="nil"/>
              <w:right w:val="nil"/>
            </w:tcBorders>
            <w:shd w:val="clear" w:color="auto" w:fill="auto"/>
            <w:noWrap/>
            <w:vAlign w:val="bottom"/>
            <w:hideMark/>
          </w:tcPr>
          <w:p w14:paraId="0C0BF3EF"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258.7</w:t>
            </w:r>
          </w:p>
        </w:tc>
        <w:tc>
          <w:tcPr>
            <w:tcW w:w="1280" w:type="dxa"/>
            <w:tcBorders>
              <w:top w:val="nil"/>
              <w:left w:val="nil"/>
              <w:bottom w:val="nil"/>
              <w:right w:val="nil"/>
            </w:tcBorders>
            <w:shd w:val="clear" w:color="auto" w:fill="auto"/>
            <w:noWrap/>
            <w:vAlign w:val="bottom"/>
            <w:hideMark/>
          </w:tcPr>
          <w:p w14:paraId="4199D62A"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17.4</w:t>
            </w:r>
          </w:p>
        </w:tc>
        <w:tc>
          <w:tcPr>
            <w:tcW w:w="1380" w:type="dxa"/>
            <w:tcBorders>
              <w:top w:val="nil"/>
              <w:left w:val="nil"/>
              <w:bottom w:val="nil"/>
              <w:right w:val="nil"/>
            </w:tcBorders>
            <w:shd w:val="clear" w:color="auto" w:fill="auto"/>
            <w:noWrap/>
            <w:vAlign w:val="bottom"/>
            <w:hideMark/>
          </w:tcPr>
          <w:p w14:paraId="45B9E7E4"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130.8</w:t>
            </w:r>
          </w:p>
        </w:tc>
        <w:tc>
          <w:tcPr>
            <w:tcW w:w="1280" w:type="dxa"/>
            <w:tcBorders>
              <w:top w:val="nil"/>
              <w:left w:val="nil"/>
              <w:bottom w:val="nil"/>
              <w:right w:val="nil"/>
            </w:tcBorders>
            <w:shd w:val="clear" w:color="auto" w:fill="auto"/>
            <w:noWrap/>
            <w:vAlign w:val="bottom"/>
            <w:hideMark/>
          </w:tcPr>
          <w:p w14:paraId="0801FF7B"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32.3</w:t>
            </w:r>
          </w:p>
        </w:tc>
        <w:tc>
          <w:tcPr>
            <w:tcW w:w="1380" w:type="dxa"/>
            <w:tcBorders>
              <w:top w:val="nil"/>
              <w:left w:val="nil"/>
              <w:bottom w:val="nil"/>
              <w:right w:val="nil"/>
            </w:tcBorders>
            <w:shd w:val="clear" w:color="auto" w:fill="auto"/>
            <w:noWrap/>
            <w:vAlign w:val="bottom"/>
            <w:hideMark/>
          </w:tcPr>
          <w:p w14:paraId="4FB2C981"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439.2</w:t>
            </w:r>
          </w:p>
        </w:tc>
      </w:tr>
      <w:tr w:rsidR="00513D10" w:rsidRPr="008D2E63" w14:paraId="55C84545" w14:textId="77777777" w:rsidTr="00F85DC2">
        <w:trPr>
          <w:trHeight w:val="290"/>
        </w:trPr>
        <w:tc>
          <w:tcPr>
            <w:tcW w:w="1200" w:type="dxa"/>
            <w:tcBorders>
              <w:top w:val="nil"/>
              <w:left w:val="nil"/>
              <w:bottom w:val="nil"/>
              <w:right w:val="nil"/>
            </w:tcBorders>
            <w:shd w:val="clear" w:color="auto" w:fill="auto"/>
            <w:noWrap/>
            <w:vAlign w:val="bottom"/>
            <w:hideMark/>
          </w:tcPr>
          <w:p w14:paraId="474B9CB9"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50</w:t>
            </w:r>
          </w:p>
        </w:tc>
        <w:tc>
          <w:tcPr>
            <w:tcW w:w="1200" w:type="dxa"/>
            <w:tcBorders>
              <w:top w:val="nil"/>
              <w:left w:val="nil"/>
              <w:bottom w:val="nil"/>
              <w:right w:val="nil"/>
            </w:tcBorders>
            <w:shd w:val="clear" w:color="auto" w:fill="auto"/>
            <w:noWrap/>
            <w:vAlign w:val="bottom"/>
            <w:hideMark/>
          </w:tcPr>
          <w:p w14:paraId="3AC84929"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250</w:t>
            </w:r>
          </w:p>
        </w:tc>
        <w:tc>
          <w:tcPr>
            <w:tcW w:w="1200" w:type="dxa"/>
            <w:tcBorders>
              <w:top w:val="nil"/>
              <w:left w:val="nil"/>
              <w:bottom w:val="nil"/>
              <w:right w:val="nil"/>
            </w:tcBorders>
            <w:shd w:val="clear" w:color="auto" w:fill="auto"/>
            <w:noWrap/>
            <w:vAlign w:val="bottom"/>
            <w:hideMark/>
          </w:tcPr>
          <w:p w14:paraId="30AB8F93"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155.5</w:t>
            </w:r>
          </w:p>
        </w:tc>
        <w:tc>
          <w:tcPr>
            <w:tcW w:w="1280" w:type="dxa"/>
            <w:tcBorders>
              <w:top w:val="nil"/>
              <w:left w:val="nil"/>
              <w:bottom w:val="nil"/>
              <w:right w:val="nil"/>
            </w:tcBorders>
            <w:shd w:val="clear" w:color="auto" w:fill="auto"/>
            <w:noWrap/>
            <w:vAlign w:val="bottom"/>
            <w:hideMark/>
          </w:tcPr>
          <w:p w14:paraId="40AFC089"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4.4</w:t>
            </w:r>
          </w:p>
        </w:tc>
        <w:tc>
          <w:tcPr>
            <w:tcW w:w="1380" w:type="dxa"/>
            <w:tcBorders>
              <w:top w:val="nil"/>
              <w:left w:val="nil"/>
              <w:bottom w:val="nil"/>
              <w:right w:val="nil"/>
            </w:tcBorders>
            <w:shd w:val="clear" w:color="auto" w:fill="auto"/>
            <w:noWrap/>
            <w:vAlign w:val="bottom"/>
            <w:hideMark/>
          </w:tcPr>
          <w:p w14:paraId="317A2236"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139.0</w:t>
            </w:r>
          </w:p>
        </w:tc>
        <w:tc>
          <w:tcPr>
            <w:tcW w:w="1280" w:type="dxa"/>
            <w:tcBorders>
              <w:top w:val="nil"/>
              <w:left w:val="nil"/>
              <w:bottom w:val="nil"/>
              <w:right w:val="nil"/>
            </w:tcBorders>
            <w:shd w:val="clear" w:color="auto" w:fill="auto"/>
            <w:noWrap/>
            <w:vAlign w:val="bottom"/>
            <w:hideMark/>
          </w:tcPr>
          <w:p w14:paraId="357F2E4F"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35.5</w:t>
            </w:r>
          </w:p>
        </w:tc>
        <w:tc>
          <w:tcPr>
            <w:tcW w:w="1380" w:type="dxa"/>
            <w:tcBorders>
              <w:top w:val="nil"/>
              <w:left w:val="nil"/>
              <w:bottom w:val="nil"/>
              <w:right w:val="nil"/>
            </w:tcBorders>
            <w:shd w:val="clear" w:color="auto" w:fill="auto"/>
            <w:noWrap/>
            <w:vAlign w:val="bottom"/>
            <w:hideMark/>
          </w:tcPr>
          <w:p w14:paraId="6B206B7B"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334.4</w:t>
            </w:r>
          </w:p>
        </w:tc>
      </w:tr>
      <w:tr w:rsidR="00513D10" w:rsidRPr="008D2E63" w14:paraId="12B79340" w14:textId="77777777" w:rsidTr="00F85DC2">
        <w:trPr>
          <w:trHeight w:val="290"/>
        </w:trPr>
        <w:tc>
          <w:tcPr>
            <w:tcW w:w="1200" w:type="dxa"/>
            <w:tcBorders>
              <w:top w:val="nil"/>
              <w:left w:val="nil"/>
              <w:bottom w:val="nil"/>
              <w:right w:val="nil"/>
            </w:tcBorders>
            <w:shd w:val="clear" w:color="auto" w:fill="auto"/>
            <w:noWrap/>
            <w:vAlign w:val="bottom"/>
            <w:hideMark/>
          </w:tcPr>
          <w:p w14:paraId="7F163E01"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50</w:t>
            </w:r>
          </w:p>
        </w:tc>
        <w:tc>
          <w:tcPr>
            <w:tcW w:w="1200" w:type="dxa"/>
            <w:tcBorders>
              <w:top w:val="nil"/>
              <w:left w:val="nil"/>
              <w:bottom w:val="nil"/>
              <w:right w:val="nil"/>
            </w:tcBorders>
            <w:shd w:val="clear" w:color="auto" w:fill="auto"/>
            <w:noWrap/>
            <w:vAlign w:val="bottom"/>
            <w:hideMark/>
          </w:tcPr>
          <w:p w14:paraId="1355B9AE"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350</w:t>
            </w:r>
          </w:p>
        </w:tc>
        <w:tc>
          <w:tcPr>
            <w:tcW w:w="1200" w:type="dxa"/>
            <w:tcBorders>
              <w:top w:val="nil"/>
              <w:left w:val="nil"/>
              <w:bottom w:val="nil"/>
              <w:right w:val="nil"/>
            </w:tcBorders>
            <w:shd w:val="clear" w:color="auto" w:fill="auto"/>
            <w:noWrap/>
            <w:vAlign w:val="bottom"/>
            <w:hideMark/>
          </w:tcPr>
          <w:p w14:paraId="5AC111DD"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150.9</w:t>
            </w:r>
          </w:p>
        </w:tc>
        <w:tc>
          <w:tcPr>
            <w:tcW w:w="1280" w:type="dxa"/>
            <w:tcBorders>
              <w:top w:val="nil"/>
              <w:left w:val="nil"/>
              <w:bottom w:val="nil"/>
              <w:right w:val="nil"/>
            </w:tcBorders>
            <w:shd w:val="clear" w:color="auto" w:fill="auto"/>
            <w:noWrap/>
            <w:vAlign w:val="bottom"/>
            <w:hideMark/>
          </w:tcPr>
          <w:p w14:paraId="3BD73A54"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3.9</w:t>
            </w:r>
          </w:p>
        </w:tc>
        <w:tc>
          <w:tcPr>
            <w:tcW w:w="1380" w:type="dxa"/>
            <w:tcBorders>
              <w:top w:val="nil"/>
              <w:left w:val="nil"/>
              <w:bottom w:val="nil"/>
              <w:right w:val="nil"/>
            </w:tcBorders>
            <w:shd w:val="clear" w:color="auto" w:fill="auto"/>
            <w:noWrap/>
            <w:vAlign w:val="bottom"/>
            <w:hideMark/>
          </w:tcPr>
          <w:p w14:paraId="4AE589B3"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135.9</w:t>
            </w:r>
          </w:p>
        </w:tc>
        <w:tc>
          <w:tcPr>
            <w:tcW w:w="1280" w:type="dxa"/>
            <w:tcBorders>
              <w:top w:val="nil"/>
              <w:left w:val="nil"/>
              <w:bottom w:val="nil"/>
              <w:right w:val="nil"/>
            </w:tcBorders>
            <w:shd w:val="clear" w:color="auto" w:fill="auto"/>
            <w:noWrap/>
            <w:vAlign w:val="bottom"/>
            <w:hideMark/>
          </w:tcPr>
          <w:p w14:paraId="62E0620E"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34.0</w:t>
            </w:r>
          </w:p>
        </w:tc>
        <w:tc>
          <w:tcPr>
            <w:tcW w:w="1380" w:type="dxa"/>
            <w:tcBorders>
              <w:top w:val="nil"/>
              <w:left w:val="nil"/>
              <w:bottom w:val="nil"/>
              <w:right w:val="nil"/>
            </w:tcBorders>
            <w:shd w:val="clear" w:color="auto" w:fill="auto"/>
            <w:noWrap/>
            <w:vAlign w:val="bottom"/>
            <w:hideMark/>
          </w:tcPr>
          <w:p w14:paraId="551E9E9B"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324.7</w:t>
            </w:r>
          </w:p>
        </w:tc>
      </w:tr>
      <w:tr w:rsidR="00513D10" w:rsidRPr="008D2E63" w14:paraId="75455C98" w14:textId="77777777" w:rsidTr="00F85DC2">
        <w:trPr>
          <w:trHeight w:val="290"/>
        </w:trPr>
        <w:tc>
          <w:tcPr>
            <w:tcW w:w="1200" w:type="dxa"/>
            <w:tcBorders>
              <w:top w:val="nil"/>
              <w:left w:val="nil"/>
              <w:bottom w:val="nil"/>
              <w:right w:val="nil"/>
            </w:tcBorders>
            <w:shd w:val="clear" w:color="auto" w:fill="auto"/>
            <w:noWrap/>
            <w:vAlign w:val="bottom"/>
            <w:hideMark/>
          </w:tcPr>
          <w:p w14:paraId="2798CA27"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50</w:t>
            </w:r>
          </w:p>
        </w:tc>
        <w:tc>
          <w:tcPr>
            <w:tcW w:w="1200" w:type="dxa"/>
            <w:tcBorders>
              <w:top w:val="nil"/>
              <w:left w:val="nil"/>
              <w:bottom w:val="nil"/>
              <w:right w:val="nil"/>
            </w:tcBorders>
            <w:shd w:val="clear" w:color="auto" w:fill="auto"/>
            <w:noWrap/>
            <w:vAlign w:val="bottom"/>
            <w:hideMark/>
          </w:tcPr>
          <w:p w14:paraId="2B901415"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450</w:t>
            </w:r>
          </w:p>
        </w:tc>
        <w:tc>
          <w:tcPr>
            <w:tcW w:w="1200" w:type="dxa"/>
            <w:tcBorders>
              <w:top w:val="nil"/>
              <w:left w:val="nil"/>
              <w:bottom w:val="nil"/>
              <w:right w:val="nil"/>
            </w:tcBorders>
            <w:shd w:val="clear" w:color="auto" w:fill="auto"/>
            <w:noWrap/>
            <w:vAlign w:val="bottom"/>
            <w:hideMark/>
          </w:tcPr>
          <w:p w14:paraId="515F4245"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153.55</w:t>
            </w:r>
          </w:p>
        </w:tc>
        <w:tc>
          <w:tcPr>
            <w:tcW w:w="1280" w:type="dxa"/>
            <w:tcBorders>
              <w:top w:val="nil"/>
              <w:left w:val="nil"/>
              <w:bottom w:val="nil"/>
              <w:right w:val="nil"/>
            </w:tcBorders>
            <w:shd w:val="clear" w:color="auto" w:fill="auto"/>
            <w:noWrap/>
            <w:vAlign w:val="bottom"/>
            <w:hideMark/>
          </w:tcPr>
          <w:p w14:paraId="4E7E2656"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6.1</w:t>
            </w:r>
          </w:p>
        </w:tc>
        <w:tc>
          <w:tcPr>
            <w:tcW w:w="1380" w:type="dxa"/>
            <w:tcBorders>
              <w:top w:val="nil"/>
              <w:left w:val="nil"/>
              <w:bottom w:val="nil"/>
              <w:right w:val="nil"/>
            </w:tcBorders>
            <w:shd w:val="clear" w:color="auto" w:fill="auto"/>
            <w:noWrap/>
            <w:vAlign w:val="bottom"/>
            <w:hideMark/>
          </w:tcPr>
          <w:p w14:paraId="58917FD7"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117.4</w:t>
            </w:r>
          </w:p>
        </w:tc>
        <w:tc>
          <w:tcPr>
            <w:tcW w:w="1280" w:type="dxa"/>
            <w:tcBorders>
              <w:top w:val="nil"/>
              <w:left w:val="nil"/>
              <w:bottom w:val="nil"/>
              <w:right w:val="nil"/>
            </w:tcBorders>
            <w:shd w:val="clear" w:color="auto" w:fill="auto"/>
            <w:noWrap/>
            <w:vAlign w:val="bottom"/>
            <w:hideMark/>
          </w:tcPr>
          <w:p w14:paraId="60E249B3"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32.5</w:t>
            </w:r>
          </w:p>
        </w:tc>
        <w:tc>
          <w:tcPr>
            <w:tcW w:w="1380" w:type="dxa"/>
            <w:tcBorders>
              <w:top w:val="nil"/>
              <w:left w:val="nil"/>
              <w:bottom w:val="nil"/>
              <w:right w:val="nil"/>
            </w:tcBorders>
            <w:shd w:val="clear" w:color="auto" w:fill="auto"/>
            <w:noWrap/>
            <w:vAlign w:val="bottom"/>
            <w:hideMark/>
          </w:tcPr>
          <w:p w14:paraId="643235C3"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309.6</w:t>
            </w:r>
          </w:p>
        </w:tc>
      </w:tr>
      <w:tr w:rsidR="00513D10" w:rsidRPr="008D2E63" w14:paraId="63646278" w14:textId="77777777" w:rsidTr="00F85DC2">
        <w:trPr>
          <w:trHeight w:val="290"/>
        </w:trPr>
        <w:tc>
          <w:tcPr>
            <w:tcW w:w="1200" w:type="dxa"/>
            <w:tcBorders>
              <w:top w:val="nil"/>
              <w:left w:val="nil"/>
              <w:bottom w:val="nil"/>
              <w:right w:val="nil"/>
            </w:tcBorders>
            <w:shd w:val="clear" w:color="auto" w:fill="auto"/>
            <w:noWrap/>
            <w:vAlign w:val="bottom"/>
            <w:hideMark/>
          </w:tcPr>
          <w:p w14:paraId="00FE1C7F"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150</w:t>
            </w:r>
          </w:p>
        </w:tc>
        <w:tc>
          <w:tcPr>
            <w:tcW w:w="1200" w:type="dxa"/>
            <w:tcBorders>
              <w:top w:val="nil"/>
              <w:left w:val="nil"/>
              <w:bottom w:val="nil"/>
              <w:right w:val="nil"/>
            </w:tcBorders>
            <w:shd w:val="clear" w:color="auto" w:fill="auto"/>
            <w:noWrap/>
            <w:vAlign w:val="bottom"/>
            <w:hideMark/>
          </w:tcPr>
          <w:p w14:paraId="2F97EF8E"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50</w:t>
            </w:r>
          </w:p>
        </w:tc>
        <w:tc>
          <w:tcPr>
            <w:tcW w:w="1200" w:type="dxa"/>
            <w:tcBorders>
              <w:top w:val="nil"/>
              <w:left w:val="nil"/>
              <w:bottom w:val="nil"/>
              <w:right w:val="nil"/>
            </w:tcBorders>
            <w:shd w:val="clear" w:color="auto" w:fill="auto"/>
            <w:noWrap/>
            <w:vAlign w:val="bottom"/>
            <w:hideMark/>
          </w:tcPr>
          <w:p w14:paraId="72CDF5FF"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204.9</w:t>
            </w:r>
          </w:p>
        </w:tc>
        <w:tc>
          <w:tcPr>
            <w:tcW w:w="1280" w:type="dxa"/>
            <w:tcBorders>
              <w:top w:val="nil"/>
              <w:left w:val="nil"/>
              <w:bottom w:val="nil"/>
              <w:right w:val="nil"/>
            </w:tcBorders>
            <w:shd w:val="clear" w:color="auto" w:fill="auto"/>
            <w:noWrap/>
            <w:vAlign w:val="bottom"/>
            <w:hideMark/>
          </w:tcPr>
          <w:p w14:paraId="6263340E"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24.7</w:t>
            </w:r>
          </w:p>
        </w:tc>
        <w:tc>
          <w:tcPr>
            <w:tcW w:w="1380" w:type="dxa"/>
            <w:tcBorders>
              <w:top w:val="nil"/>
              <w:left w:val="nil"/>
              <w:bottom w:val="nil"/>
              <w:right w:val="nil"/>
            </w:tcBorders>
            <w:shd w:val="clear" w:color="auto" w:fill="auto"/>
            <w:noWrap/>
            <w:vAlign w:val="bottom"/>
            <w:hideMark/>
          </w:tcPr>
          <w:p w14:paraId="12D0DB6C"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129.6</w:t>
            </w:r>
          </w:p>
        </w:tc>
        <w:tc>
          <w:tcPr>
            <w:tcW w:w="1280" w:type="dxa"/>
            <w:tcBorders>
              <w:top w:val="nil"/>
              <w:left w:val="nil"/>
              <w:bottom w:val="nil"/>
              <w:right w:val="nil"/>
            </w:tcBorders>
            <w:shd w:val="clear" w:color="auto" w:fill="auto"/>
            <w:noWrap/>
            <w:vAlign w:val="bottom"/>
            <w:hideMark/>
          </w:tcPr>
          <w:p w14:paraId="717E8C02"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35.5</w:t>
            </w:r>
          </w:p>
        </w:tc>
        <w:tc>
          <w:tcPr>
            <w:tcW w:w="1380" w:type="dxa"/>
            <w:tcBorders>
              <w:top w:val="nil"/>
              <w:left w:val="nil"/>
              <w:bottom w:val="nil"/>
              <w:right w:val="nil"/>
            </w:tcBorders>
            <w:shd w:val="clear" w:color="auto" w:fill="auto"/>
            <w:noWrap/>
            <w:vAlign w:val="bottom"/>
            <w:hideMark/>
          </w:tcPr>
          <w:p w14:paraId="1ECE1766"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394.7</w:t>
            </w:r>
          </w:p>
        </w:tc>
      </w:tr>
      <w:tr w:rsidR="00513D10" w:rsidRPr="008D2E63" w14:paraId="65439F96" w14:textId="77777777" w:rsidTr="00F85DC2">
        <w:trPr>
          <w:trHeight w:val="290"/>
        </w:trPr>
        <w:tc>
          <w:tcPr>
            <w:tcW w:w="1200" w:type="dxa"/>
            <w:tcBorders>
              <w:top w:val="nil"/>
              <w:left w:val="nil"/>
              <w:bottom w:val="nil"/>
              <w:right w:val="nil"/>
            </w:tcBorders>
            <w:shd w:val="clear" w:color="auto" w:fill="auto"/>
            <w:noWrap/>
            <w:vAlign w:val="bottom"/>
            <w:hideMark/>
          </w:tcPr>
          <w:p w14:paraId="1D227B33"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150</w:t>
            </w:r>
          </w:p>
        </w:tc>
        <w:tc>
          <w:tcPr>
            <w:tcW w:w="1200" w:type="dxa"/>
            <w:tcBorders>
              <w:top w:val="nil"/>
              <w:left w:val="nil"/>
              <w:bottom w:val="nil"/>
              <w:right w:val="nil"/>
            </w:tcBorders>
            <w:shd w:val="clear" w:color="auto" w:fill="auto"/>
            <w:noWrap/>
            <w:vAlign w:val="bottom"/>
            <w:hideMark/>
          </w:tcPr>
          <w:p w14:paraId="4EDD12B1"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150</w:t>
            </w:r>
          </w:p>
        </w:tc>
        <w:tc>
          <w:tcPr>
            <w:tcW w:w="1200" w:type="dxa"/>
            <w:tcBorders>
              <w:top w:val="nil"/>
              <w:left w:val="nil"/>
              <w:bottom w:val="nil"/>
              <w:right w:val="nil"/>
            </w:tcBorders>
            <w:shd w:val="clear" w:color="auto" w:fill="auto"/>
            <w:noWrap/>
            <w:vAlign w:val="bottom"/>
            <w:hideMark/>
          </w:tcPr>
          <w:p w14:paraId="1222EEDD"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154.1</w:t>
            </w:r>
          </w:p>
        </w:tc>
        <w:tc>
          <w:tcPr>
            <w:tcW w:w="1280" w:type="dxa"/>
            <w:tcBorders>
              <w:top w:val="nil"/>
              <w:left w:val="nil"/>
              <w:bottom w:val="nil"/>
              <w:right w:val="nil"/>
            </w:tcBorders>
            <w:shd w:val="clear" w:color="auto" w:fill="auto"/>
            <w:noWrap/>
            <w:vAlign w:val="bottom"/>
            <w:hideMark/>
          </w:tcPr>
          <w:p w14:paraId="6132509A"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27.4</w:t>
            </w:r>
          </w:p>
        </w:tc>
        <w:tc>
          <w:tcPr>
            <w:tcW w:w="1380" w:type="dxa"/>
            <w:tcBorders>
              <w:top w:val="nil"/>
              <w:left w:val="nil"/>
              <w:bottom w:val="nil"/>
              <w:right w:val="nil"/>
            </w:tcBorders>
            <w:shd w:val="clear" w:color="auto" w:fill="auto"/>
            <w:noWrap/>
            <w:vAlign w:val="bottom"/>
            <w:hideMark/>
          </w:tcPr>
          <w:p w14:paraId="624B0640"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120.4</w:t>
            </w:r>
          </w:p>
        </w:tc>
        <w:tc>
          <w:tcPr>
            <w:tcW w:w="1280" w:type="dxa"/>
            <w:tcBorders>
              <w:top w:val="nil"/>
              <w:left w:val="nil"/>
              <w:bottom w:val="nil"/>
              <w:right w:val="nil"/>
            </w:tcBorders>
            <w:shd w:val="clear" w:color="auto" w:fill="auto"/>
            <w:noWrap/>
            <w:vAlign w:val="bottom"/>
            <w:hideMark/>
          </w:tcPr>
          <w:p w14:paraId="733BAB13"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31.2</w:t>
            </w:r>
          </w:p>
        </w:tc>
        <w:tc>
          <w:tcPr>
            <w:tcW w:w="1380" w:type="dxa"/>
            <w:tcBorders>
              <w:top w:val="nil"/>
              <w:left w:val="nil"/>
              <w:bottom w:val="nil"/>
              <w:right w:val="nil"/>
            </w:tcBorders>
            <w:shd w:val="clear" w:color="auto" w:fill="auto"/>
            <w:noWrap/>
            <w:vAlign w:val="bottom"/>
            <w:hideMark/>
          </w:tcPr>
          <w:p w14:paraId="531EF256"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333.2</w:t>
            </w:r>
          </w:p>
        </w:tc>
      </w:tr>
      <w:tr w:rsidR="00513D10" w:rsidRPr="008D2E63" w14:paraId="17FA0FC2" w14:textId="77777777" w:rsidTr="00F85DC2">
        <w:trPr>
          <w:trHeight w:val="290"/>
        </w:trPr>
        <w:tc>
          <w:tcPr>
            <w:tcW w:w="1200" w:type="dxa"/>
            <w:tcBorders>
              <w:top w:val="nil"/>
              <w:left w:val="nil"/>
              <w:bottom w:val="nil"/>
              <w:right w:val="nil"/>
            </w:tcBorders>
            <w:shd w:val="clear" w:color="auto" w:fill="auto"/>
            <w:noWrap/>
            <w:vAlign w:val="bottom"/>
            <w:hideMark/>
          </w:tcPr>
          <w:p w14:paraId="6E4E2F3B"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150</w:t>
            </w:r>
          </w:p>
        </w:tc>
        <w:tc>
          <w:tcPr>
            <w:tcW w:w="1200" w:type="dxa"/>
            <w:tcBorders>
              <w:top w:val="nil"/>
              <w:left w:val="nil"/>
              <w:bottom w:val="nil"/>
              <w:right w:val="nil"/>
            </w:tcBorders>
            <w:shd w:val="clear" w:color="auto" w:fill="auto"/>
            <w:noWrap/>
            <w:vAlign w:val="bottom"/>
            <w:hideMark/>
          </w:tcPr>
          <w:p w14:paraId="4876E04C"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250</w:t>
            </w:r>
          </w:p>
        </w:tc>
        <w:tc>
          <w:tcPr>
            <w:tcW w:w="1200" w:type="dxa"/>
            <w:tcBorders>
              <w:top w:val="nil"/>
              <w:left w:val="nil"/>
              <w:bottom w:val="nil"/>
              <w:right w:val="nil"/>
            </w:tcBorders>
            <w:shd w:val="clear" w:color="auto" w:fill="auto"/>
            <w:noWrap/>
            <w:vAlign w:val="bottom"/>
            <w:hideMark/>
          </w:tcPr>
          <w:p w14:paraId="138792D0"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288.3</w:t>
            </w:r>
          </w:p>
        </w:tc>
        <w:tc>
          <w:tcPr>
            <w:tcW w:w="1280" w:type="dxa"/>
            <w:tcBorders>
              <w:top w:val="nil"/>
              <w:left w:val="nil"/>
              <w:bottom w:val="nil"/>
              <w:right w:val="nil"/>
            </w:tcBorders>
            <w:shd w:val="clear" w:color="auto" w:fill="auto"/>
            <w:noWrap/>
            <w:vAlign w:val="bottom"/>
            <w:hideMark/>
          </w:tcPr>
          <w:p w14:paraId="5317E8D0"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0.9</w:t>
            </w:r>
          </w:p>
        </w:tc>
        <w:tc>
          <w:tcPr>
            <w:tcW w:w="1380" w:type="dxa"/>
            <w:tcBorders>
              <w:top w:val="nil"/>
              <w:left w:val="nil"/>
              <w:bottom w:val="nil"/>
              <w:right w:val="nil"/>
            </w:tcBorders>
            <w:shd w:val="clear" w:color="auto" w:fill="auto"/>
            <w:noWrap/>
            <w:vAlign w:val="bottom"/>
            <w:hideMark/>
          </w:tcPr>
          <w:p w14:paraId="574B56B1"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141.2</w:t>
            </w:r>
          </w:p>
        </w:tc>
        <w:tc>
          <w:tcPr>
            <w:tcW w:w="1280" w:type="dxa"/>
            <w:tcBorders>
              <w:top w:val="nil"/>
              <w:left w:val="nil"/>
              <w:bottom w:val="nil"/>
              <w:right w:val="nil"/>
            </w:tcBorders>
            <w:shd w:val="clear" w:color="auto" w:fill="auto"/>
            <w:noWrap/>
            <w:vAlign w:val="bottom"/>
            <w:hideMark/>
          </w:tcPr>
          <w:p w14:paraId="0049AA0F"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40.0</w:t>
            </w:r>
          </w:p>
        </w:tc>
        <w:tc>
          <w:tcPr>
            <w:tcW w:w="1380" w:type="dxa"/>
            <w:tcBorders>
              <w:top w:val="nil"/>
              <w:left w:val="nil"/>
              <w:bottom w:val="nil"/>
              <w:right w:val="nil"/>
            </w:tcBorders>
            <w:shd w:val="clear" w:color="auto" w:fill="auto"/>
            <w:noWrap/>
            <w:vAlign w:val="bottom"/>
            <w:hideMark/>
          </w:tcPr>
          <w:p w14:paraId="250DA830"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470.4</w:t>
            </w:r>
          </w:p>
        </w:tc>
      </w:tr>
      <w:tr w:rsidR="00513D10" w:rsidRPr="008D2E63" w14:paraId="395C7309" w14:textId="77777777" w:rsidTr="00F85DC2">
        <w:trPr>
          <w:trHeight w:val="290"/>
        </w:trPr>
        <w:tc>
          <w:tcPr>
            <w:tcW w:w="1200" w:type="dxa"/>
            <w:tcBorders>
              <w:top w:val="nil"/>
              <w:left w:val="nil"/>
              <w:bottom w:val="nil"/>
              <w:right w:val="nil"/>
            </w:tcBorders>
            <w:shd w:val="clear" w:color="auto" w:fill="auto"/>
            <w:noWrap/>
            <w:vAlign w:val="bottom"/>
            <w:hideMark/>
          </w:tcPr>
          <w:p w14:paraId="6F3B50ED"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150</w:t>
            </w:r>
          </w:p>
        </w:tc>
        <w:tc>
          <w:tcPr>
            <w:tcW w:w="1200" w:type="dxa"/>
            <w:tcBorders>
              <w:top w:val="nil"/>
              <w:left w:val="nil"/>
              <w:bottom w:val="nil"/>
              <w:right w:val="nil"/>
            </w:tcBorders>
            <w:shd w:val="clear" w:color="auto" w:fill="auto"/>
            <w:noWrap/>
            <w:vAlign w:val="bottom"/>
            <w:hideMark/>
          </w:tcPr>
          <w:p w14:paraId="519C90ED"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350</w:t>
            </w:r>
          </w:p>
        </w:tc>
        <w:tc>
          <w:tcPr>
            <w:tcW w:w="1200" w:type="dxa"/>
            <w:tcBorders>
              <w:top w:val="nil"/>
              <w:left w:val="nil"/>
              <w:bottom w:val="nil"/>
              <w:right w:val="nil"/>
            </w:tcBorders>
            <w:shd w:val="clear" w:color="auto" w:fill="auto"/>
            <w:noWrap/>
            <w:vAlign w:val="bottom"/>
            <w:hideMark/>
          </w:tcPr>
          <w:p w14:paraId="7E70C59C"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242.6</w:t>
            </w:r>
          </w:p>
        </w:tc>
        <w:tc>
          <w:tcPr>
            <w:tcW w:w="1280" w:type="dxa"/>
            <w:tcBorders>
              <w:top w:val="nil"/>
              <w:left w:val="nil"/>
              <w:bottom w:val="nil"/>
              <w:right w:val="nil"/>
            </w:tcBorders>
            <w:shd w:val="clear" w:color="auto" w:fill="auto"/>
            <w:noWrap/>
            <w:vAlign w:val="bottom"/>
            <w:hideMark/>
          </w:tcPr>
          <w:p w14:paraId="4759F8FE"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3.7</w:t>
            </w:r>
          </w:p>
        </w:tc>
        <w:tc>
          <w:tcPr>
            <w:tcW w:w="1380" w:type="dxa"/>
            <w:tcBorders>
              <w:top w:val="nil"/>
              <w:left w:val="nil"/>
              <w:bottom w:val="nil"/>
              <w:right w:val="nil"/>
            </w:tcBorders>
            <w:shd w:val="clear" w:color="auto" w:fill="auto"/>
            <w:noWrap/>
            <w:vAlign w:val="bottom"/>
            <w:hideMark/>
          </w:tcPr>
          <w:p w14:paraId="61B203E9"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116.8</w:t>
            </w:r>
          </w:p>
        </w:tc>
        <w:tc>
          <w:tcPr>
            <w:tcW w:w="1280" w:type="dxa"/>
            <w:tcBorders>
              <w:top w:val="nil"/>
              <w:left w:val="nil"/>
              <w:bottom w:val="nil"/>
              <w:right w:val="nil"/>
            </w:tcBorders>
            <w:shd w:val="clear" w:color="auto" w:fill="auto"/>
            <w:noWrap/>
            <w:vAlign w:val="bottom"/>
            <w:hideMark/>
          </w:tcPr>
          <w:p w14:paraId="054CE11B"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31.0</w:t>
            </w:r>
          </w:p>
        </w:tc>
        <w:tc>
          <w:tcPr>
            <w:tcW w:w="1380" w:type="dxa"/>
            <w:tcBorders>
              <w:top w:val="nil"/>
              <w:left w:val="nil"/>
              <w:bottom w:val="nil"/>
              <w:right w:val="nil"/>
            </w:tcBorders>
            <w:shd w:val="clear" w:color="auto" w:fill="auto"/>
            <w:noWrap/>
            <w:vAlign w:val="bottom"/>
            <w:hideMark/>
          </w:tcPr>
          <w:p w14:paraId="71648C04"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394.1</w:t>
            </w:r>
          </w:p>
        </w:tc>
      </w:tr>
      <w:tr w:rsidR="00513D10" w:rsidRPr="008D2E63" w14:paraId="6F2B1827" w14:textId="77777777" w:rsidTr="00F85DC2">
        <w:trPr>
          <w:trHeight w:val="290"/>
        </w:trPr>
        <w:tc>
          <w:tcPr>
            <w:tcW w:w="1200" w:type="dxa"/>
            <w:tcBorders>
              <w:top w:val="nil"/>
              <w:left w:val="nil"/>
              <w:bottom w:val="nil"/>
              <w:right w:val="nil"/>
            </w:tcBorders>
            <w:shd w:val="clear" w:color="auto" w:fill="auto"/>
            <w:noWrap/>
            <w:vAlign w:val="bottom"/>
            <w:hideMark/>
          </w:tcPr>
          <w:p w14:paraId="2AB5E43B"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150</w:t>
            </w:r>
          </w:p>
        </w:tc>
        <w:tc>
          <w:tcPr>
            <w:tcW w:w="1200" w:type="dxa"/>
            <w:tcBorders>
              <w:top w:val="nil"/>
              <w:left w:val="nil"/>
              <w:bottom w:val="nil"/>
              <w:right w:val="nil"/>
            </w:tcBorders>
            <w:shd w:val="clear" w:color="auto" w:fill="auto"/>
            <w:noWrap/>
            <w:vAlign w:val="bottom"/>
            <w:hideMark/>
          </w:tcPr>
          <w:p w14:paraId="1F017B9C"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450</w:t>
            </w:r>
          </w:p>
        </w:tc>
        <w:tc>
          <w:tcPr>
            <w:tcW w:w="1200" w:type="dxa"/>
            <w:tcBorders>
              <w:top w:val="nil"/>
              <w:left w:val="nil"/>
              <w:bottom w:val="nil"/>
              <w:right w:val="nil"/>
            </w:tcBorders>
            <w:shd w:val="clear" w:color="auto" w:fill="auto"/>
            <w:noWrap/>
            <w:vAlign w:val="bottom"/>
            <w:hideMark/>
          </w:tcPr>
          <w:p w14:paraId="16EFD0CA"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260.5</w:t>
            </w:r>
          </w:p>
        </w:tc>
        <w:tc>
          <w:tcPr>
            <w:tcW w:w="1280" w:type="dxa"/>
            <w:tcBorders>
              <w:top w:val="nil"/>
              <w:left w:val="nil"/>
              <w:bottom w:val="nil"/>
              <w:right w:val="nil"/>
            </w:tcBorders>
            <w:shd w:val="clear" w:color="auto" w:fill="auto"/>
            <w:noWrap/>
            <w:vAlign w:val="bottom"/>
            <w:hideMark/>
          </w:tcPr>
          <w:p w14:paraId="092982F1"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10.9</w:t>
            </w:r>
          </w:p>
        </w:tc>
        <w:tc>
          <w:tcPr>
            <w:tcW w:w="1380" w:type="dxa"/>
            <w:tcBorders>
              <w:top w:val="nil"/>
              <w:left w:val="nil"/>
              <w:bottom w:val="nil"/>
              <w:right w:val="nil"/>
            </w:tcBorders>
            <w:shd w:val="clear" w:color="auto" w:fill="auto"/>
            <w:noWrap/>
            <w:vAlign w:val="bottom"/>
            <w:hideMark/>
          </w:tcPr>
          <w:p w14:paraId="18911BD0"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129.0</w:t>
            </w:r>
          </w:p>
        </w:tc>
        <w:tc>
          <w:tcPr>
            <w:tcW w:w="1280" w:type="dxa"/>
            <w:tcBorders>
              <w:top w:val="nil"/>
              <w:left w:val="nil"/>
              <w:bottom w:val="nil"/>
              <w:right w:val="nil"/>
            </w:tcBorders>
            <w:shd w:val="clear" w:color="auto" w:fill="auto"/>
            <w:noWrap/>
            <w:vAlign w:val="bottom"/>
            <w:hideMark/>
          </w:tcPr>
          <w:p w14:paraId="11E4C040"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35.2</w:t>
            </w:r>
          </w:p>
        </w:tc>
        <w:tc>
          <w:tcPr>
            <w:tcW w:w="1380" w:type="dxa"/>
            <w:tcBorders>
              <w:top w:val="nil"/>
              <w:left w:val="nil"/>
              <w:bottom w:val="nil"/>
              <w:right w:val="nil"/>
            </w:tcBorders>
            <w:shd w:val="clear" w:color="auto" w:fill="auto"/>
            <w:noWrap/>
            <w:vAlign w:val="bottom"/>
            <w:hideMark/>
          </w:tcPr>
          <w:p w14:paraId="0FB007E2"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435.5</w:t>
            </w:r>
          </w:p>
        </w:tc>
      </w:tr>
      <w:tr w:rsidR="00513D10" w:rsidRPr="008D2E63" w14:paraId="74B0B7C9" w14:textId="77777777" w:rsidTr="00F85DC2">
        <w:trPr>
          <w:trHeight w:val="290"/>
        </w:trPr>
        <w:tc>
          <w:tcPr>
            <w:tcW w:w="1200" w:type="dxa"/>
            <w:tcBorders>
              <w:top w:val="nil"/>
              <w:left w:val="nil"/>
              <w:bottom w:val="nil"/>
              <w:right w:val="nil"/>
            </w:tcBorders>
            <w:shd w:val="clear" w:color="auto" w:fill="auto"/>
            <w:noWrap/>
            <w:vAlign w:val="bottom"/>
            <w:hideMark/>
          </w:tcPr>
          <w:p w14:paraId="634A9311"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250</w:t>
            </w:r>
          </w:p>
        </w:tc>
        <w:tc>
          <w:tcPr>
            <w:tcW w:w="1200" w:type="dxa"/>
            <w:tcBorders>
              <w:top w:val="nil"/>
              <w:left w:val="nil"/>
              <w:bottom w:val="nil"/>
              <w:right w:val="nil"/>
            </w:tcBorders>
            <w:shd w:val="clear" w:color="auto" w:fill="auto"/>
            <w:noWrap/>
            <w:vAlign w:val="bottom"/>
            <w:hideMark/>
          </w:tcPr>
          <w:p w14:paraId="3EF8D99A"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50</w:t>
            </w:r>
          </w:p>
        </w:tc>
        <w:tc>
          <w:tcPr>
            <w:tcW w:w="1200" w:type="dxa"/>
            <w:tcBorders>
              <w:top w:val="nil"/>
              <w:left w:val="nil"/>
              <w:bottom w:val="nil"/>
              <w:right w:val="nil"/>
            </w:tcBorders>
            <w:shd w:val="clear" w:color="auto" w:fill="auto"/>
            <w:noWrap/>
            <w:vAlign w:val="bottom"/>
            <w:hideMark/>
          </w:tcPr>
          <w:p w14:paraId="6BC0CE65"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139.3</w:t>
            </w:r>
          </w:p>
        </w:tc>
        <w:tc>
          <w:tcPr>
            <w:tcW w:w="1280" w:type="dxa"/>
            <w:tcBorders>
              <w:top w:val="nil"/>
              <w:left w:val="nil"/>
              <w:bottom w:val="nil"/>
              <w:right w:val="nil"/>
            </w:tcBorders>
            <w:shd w:val="clear" w:color="auto" w:fill="auto"/>
            <w:noWrap/>
            <w:vAlign w:val="bottom"/>
            <w:hideMark/>
          </w:tcPr>
          <w:p w14:paraId="5EBAF6A5"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19.1</w:t>
            </w:r>
          </w:p>
        </w:tc>
        <w:tc>
          <w:tcPr>
            <w:tcW w:w="1380" w:type="dxa"/>
            <w:tcBorders>
              <w:top w:val="nil"/>
              <w:left w:val="nil"/>
              <w:bottom w:val="nil"/>
              <w:right w:val="nil"/>
            </w:tcBorders>
            <w:shd w:val="clear" w:color="auto" w:fill="auto"/>
            <w:noWrap/>
            <w:vAlign w:val="bottom"/>
            <w:hideMark/>
          </w:tcPr>
          <w:p w14:paraId="4594FED1"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125.5</w:t>
            </w:r>
          </w:p>
        </w:tc>
        <w:tc>
          <w:tcPr>
            <w:tcW w:w="1280" w:type="dxa"/>
            <w:tcBorders>
              <w:top w:val="nil"/>
              <w:left w:val="nil"/>
              <w:bottom w:val="nil"/>
              <w:right w:val="nil"/>
            </w:tcBorders>
            <w:shd w:val="clear" w:color="auto" w:fill="auto"/>
            <w:noWrap/>
            <w:vAlign w:val="bottom"/>
            <w:hideMark/>
          </w:tcPr>
          <w:p w14:paraId="000080D4"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30.6</w:t>
            </w:r>
          </w:p>
        </w:tc>
        <w:tc>
          <w:tcPr>
            <w:tcW w:w="1380" w:type="dxa"/>
            <w:tcBorders>
              <w:top w:val="nil"/>
              <w:left w:val="nil"/>
              <w:bottom w:val="nil"/>
              <w:right w:val="nil"/>
            </w:tcBorders>
            <w:shd w:val="clear" w:color="auto" w:fill="auto"/>
            <w:noWrap/>
            <w:vAlign w:val="bottom"/>
            <w:hideMark/>
          </w:tcPr>
          <w:p w14:paraId="2E5B03E2"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314.5</w:t>
            </w:r>
          </w:p>
        </w:tc>
      </w:tr>
      <w:tr w:rsidR="00513D10" w:rsidRPr="008D2E63" w14:paraId="26DBCC57" w14:textId="77777777" w:rsidTr="00F85DC2">
        <w:trPr>
          <w:trHeight w:val="290"/>
        </w:trPr>
        <w:tc>
          <w:tcPr>
            <w:tcW w:w="1200" w:type="dxa"/>
            <w:tcBorders>
              <w:top w:val="nil"/>
              <w:left w:val="nil"/>
              <w:bottom w:val="nil"/>
              <w:right w:val="nil"/>
            </w:tcBorders>
            <w:shd w:val="clear" w:color="auto" w:fill="auto"/>
            <w:noWrap/>
            <w:vAlign w:val="bottom"/>
            <w:hideMark/>
          </w:tcPr>
          <w:p w14:paraId="3A879AF9"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250</w:t>
            </w:r>
          </w:p>
        </w:tc>
        <w:tc>
          <w:tcPr>
            <w:tcW w:w="1200" w:type="dxa"/>
            <w:tcBorders>
              <w:top w:val="nil"/>
              <w:left w:val="nil"/>
              <w:bottom w:val="nil"/>
              <w:right w:val="nil"/>
            </w:tcBorders>
            <w:shd w:val="clear" w:color="auto" w:fill="auto"/>
            <w:noWrap/>
            <w:vAlign w:val="bottom"/>
            <w:hideMark/>
          </w:tcPr>
          <w:p w14:paraId="7F510D28"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150</w:t>
            </w:r>
          </w:p>
        </w:tc>
        <w:tc>
          <w:tcPr>
            <w:tcW w:w="1200" w:type="dxa"/>
            <w:tcBorders>
              <w:top w:val="nil"/>
              <w:left w:val="nil"/>
              <w:bottom w:val="nil"/>
              <w:right w:val="nil"/>
            </w:tcBorders>
            <w:shd w:val="clear" w:color="auto" w:fill="auto"/>
            <w:noWrap/>
            <w:vAlign w:val="bottom"/>
            <w:hideMark/>
          </w:tcPr>
          <w:p w14:paraId="6372BB67"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80.8</w:t>
            </w:r>
          </w:p>
        </w:tc>
        <w:tc>
          <w:tcPr>
            <w:tcW w:w="1280" w:type="dxa"/>
            <w:tcBorders>
              <w:top w:val="nil"/>
              <w:left w:val="nil"/>
              <w:bottom w:val="nil"/>
              <w:right w:val="nil"/>
            </w:tcBorders>
            <w:shd w:val="clear" w:color="auto" w:fill="auto"/>
            <w:noWrap/>
            <w:vAlign w:val="bottom"/>
            <w:hideMark/>
          </w:tcPr>
          <w:p w14:paraId="438C52A2"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8.3</w:t>
            </w:r>
          </w:p>
        </w:tc>
        <w:tc>
          <w:tcPr>
            <w:tcW w:w="1380" w:type="dxa"/>
            <w:tcBorders>
              <w:top w:val="nil"/>
              <w:left w:val="nil"/>
              <w:bottom w:val="nil"/>
              <w:right w:val="nil"/>
            </w:tcBorders>
            <w:shd w:val="clear" w:color="auto" w:fill="auto"/>
            <w:noWrap/>
            <w:vAlign w:val="bottom"/>
            <w:hideMark/>
          </w:tcPr>
          <w:p w14:paraId="794AE01F"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123.9</w:t>
            </w:r>
          </w:p>
        </w:tc>
        <w:tc>
          <w:tcPr>
            <w:tcW w:w="1280" w:type="dxa"/>
            <w:tcBorders>
              <w:top w:val="nil"/>
              <w:left w:val="nil"/>
              <w:bottom w:val="nil"/>
              <w:right w:val="nil"/>
            </w:tcBorders>
            <w:shd w:val="clear" w:color="auto" w:fill="auto"/>
            <w:noWrap/>
            <w:vAlign w:val="bottom"/>
            <w:hideMark/>
          </w:tcPr>
          <w:p w14:paraId="48850C35"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30.8</w:t>
            </w:r>
          </w:p>
        </w:tc>
        <w:tc>
          <w:tcPr>
            <w:tcW w:w="1380" w:type="dxa"/>
            <w:tcBorders>
              <w:top w:val="nil"/>
              <w:left w:val="nil"/>
              <w:bottom w:val="nil"/>
              <w:right w:val="nil"/>
            </w:tcBorders>
            <w:shd w:val="clear" w:color="auto" w:fill="auto"/>
            <w:noWrap/>
            <w:vAlign w:val="bottom"/>
            <w:hideMark/>
          </w:tcPr>
          <w:p w14:paraId="33322C57"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243.8</w:t>
            </w:r>
          </w:p>
        </w:tc>
      </w:tr>
      <w:tr w:rsidR="00513D10" w:rsidRPr="008D2E63" w14:paraId="1AF3ABAE" w14:textId="77777777" w:rsidTr="00F85DC2">
        <w:trPr>
          <w:trHeight w:val="290"/>
        </w:trPr>
        <w:tc>
          <w:tcPr>
            <w:tcW w:w="1200" w:type="dxa"/>
            <w:tcBorders>
              <w:top w:val="nil"/>
              <w:left w:val="nil"/>
              <w:bottom w:val="nil"/>
              <w:right w:val="nil"/>
            </w:tcBorders>
            <w:shd w:val="clear" w:color="auto" w:fill="auto"/>
            <w:noWrap/>
            <w:vAlign w:val="bottom"/>
            <w:hideMark/>
          </w:tcPr>
          <w:p w14:paraId="593AEB10"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250</w:t>
            </w:r>
          </w:p>
        </w:tc>
        <w:tc>
          <w:tcPr>
            <w:tcW w:w="1200" w:type="dxa"/>
            <w:tcBorders>
              <w:top w:val="nil"/>
              <w:left w:val="nil"/>
              <w:bottom w:val="nil"/>
              <w:right w:val="nil"/>
            </w:tcBorders>
            <w:shd w:val="clear" w:color="auto" w:fill="auto"/>
            <w:noWrap/>
            <w:vAlign w:val="bottom"/>
            <w:hideMark/>
          </w:tcPr>
          <w:p w14:paraId="4458AD43"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250</w:t>
            </w:r>
          </w:p>
        </w:tc>
        <w:tc>
          <w:tcPr>
            <w:tcW w:w="1200" w:type="dxa"/>
            <w:tcBorders>
              <w:top w:val="nil"/>
              <w:left w:val="nil"/>
              <w:bottom w:val="nil"/>
              <w:right w:val="nil"/>
            </w:tcBorders>
            <w:shd w:val="clear" w:color="auto" w:fill="auto"/>
            <w:noWrap/>
            <w:vAlign w:val="bottom"/>
            <w:hideMark/>
          </w:tcPr>
          <w:p w14:paraId="18FBC520"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147.8</w:t>
            </w:r>
          </w:p>
        </w:tc>
        <w:tc>
          <w:tcPr>
            <w:tcW w:w="1280" w:type="dxa"/>
            <w:tcBorders>
              <w:top w:val="nil"/>
              <w:left w:val="nil"/>
              <w:bottom w:val="nil"/>
              <w:right w:val="nil"/>
            </w:tcBorders>
            <w:shd w:val="clear" w:color="auto" w:fill="auto"/>
            <w:noWrap/>
            <w:vAlign w:val="bottom"/>
            <w:hideMark/>
          </w:tcPr>
          <w:p w14:paraId="0DC611AD"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33.5</w:t>
            </w:r>
          </w:p>
        </w:tc>
        <w:tc>
          <w:tcPr>
            <w:tcW w:w="1380" w:type="dxa"/>
            <w:tcBorders>
              <w:top w:val="nil"/>
              <w:left w:val="nil"/>
              <w:bottom w:val="nil"/>
              <w:right w:val="nil"/>
            </w:tcBorders>
            <w:shd w:val="clear" w:color="auto" w:fill="auto"/>
            <w:noWrap/>
            <w:vAlign w:val="bottom"/>
            <w:hideMark/>
          </w:tcPr>
          <w:p w14:paraId="02A0E468"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140.2</w:t>
            </w:r>
          </w:p>
        </w:tc>
        <w:tc>
          <w:tcPr>
            <w:tcW w:w="1280" w:type="dxa"/>
            <w:tcBorders>
              <w:top w:val="nil"/>
              <w:left w:val="nil"/>
              <w:bottom w:val="nil"/>
              <w:right w:val="nil"/>
            </w:tcBorders>
            <w:shd w:val="clear" w:color="auto" w:fill="auto"/>
            <w:noWrap/>
            <w:vAlign w:val="bottom"/>
            <w:hideMark/>
          </w:tcPr>
          <w:p w14:paraId="716712FD"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38.1</w:t>
            </w:r>
          </w:p>
        </w:tc>
        <w:tc>
          <w:tcPr>
            <w:tcW w:w="1380" w:type="dxa"/>
            <w:tcBorders>
              <w:top w:val="nil"/>
              <w:left w:val="nil"/>
              <w:bottom w:val="nil"/>
              <w:right w:val="nil"/>
            </w:tcBorders>
            <w:shd w:val="clear" w:color="auto" w:fill="auto"/>
            <w:noWrap/>
            <w:vAlign w:val="bottom"/>
            <w:hideMark/>
          </w:tcPr>
          <w:p w14:paraId="1A50705F"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359.6</w:t>
            </w:r>
          </w:p>
        </w:tc>
      </w:tr>
      <w:tr w:rsidR="00513D10" w:rsidRPr="008D2E63" w14:paraId="0E1D3348" w14:textId="77777777" w:rsidTr="00F85DC2">
        <w:trPr>
          <w:trHeight w:val="290"/>
        </w:trPr>
        <w:tc>
          <w:tcPr>
            <w:tcW w:w="1200" w:type="dxa"/>
            <w:tcBorders>
              <w:top w:val="nil"/>
              <w:left w:val="nil"/>
              <w:bottom w:val="nil"/>
              <w:right w:val="nil"/>
            </w:tcBorders>
            <w:shd w:val="clear" w:color="auto" w:fill="auto"/>
            <w:noWrap/>
            <w:vAlign w:val="bottom"/>
            <w:hideMark/>
          </w:tcPr>
          <w:p w14:paraId="110DEA69"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250</w:t>
            </w:r>
          </w:p>
        </w:tc>
        <w:tc>
          <w:tcPr>
            <w:tcW w:w="1200" w:type="dxa"/>
            <w:tcBorders>
              <w:top w:val="nil"/>
              <w:left w:val="nil"/>
              <w:bottom w:val="nil"/>
              <w:right w:val="nil"/>
            </w:tcBorders>
            <w:shd w:val="clear" w:color="auto" w:fill="auto"/>
            <w:noWrap/>
            <w:vAlign w:val="bottom"/>
            <w:hideMark/>
          </w:tcPr>
          <w:p w14:paraId="5DE67A76"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350</w:t>
            </w:r>
          </w:p>
        </w:tc>
        <w:tc>
          <w:tcPr>
            <w:tcW w:w="1200" w:type="dxa"/>
            <w:tcBorders>
              <w:top w:val="nil"/>
              <w:left w:val="nil"/>
              <w:bottom w:val="nil"/>
              <w:right w:val="nil"/>
            </w:tcBorders>
            <w:shd w:val="clear" w:color="auto" w:fill="auto"/>
            <w:noWrap/>
            <w:vAlign w:val="bottom"/>
            <w:hideMark/>
          </w:tcPr>
          <w:p w14:paraId="6DF4E32C"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322.4</w:t>
            </w:r>
          </w:p>
        </w:tc>
        <w:tc>
          <w:tcPr>
            <w:tcW w:w="1280" w:type="dxa"/>
            <w:tcBorders>
              <w:top w:val="nil"/>
              <w:left w:val="nil"/>
              <w:bottom w:val="nil"/>
              <w:right w:val="nil"/>
            </w:tcBorders>
            <w:shd w:val="clear" w:color="auto" w:fill="auto"/>
            <w:noWrap/>
            <w:vAlign w:val="bottom"/>
            <w:hideMark/>
          </w:tcPr>
          <w:p w14:paraId="66BBF4CF"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2.7</w:t>
            </w:r>
          </w:p>
        </w:tc>
        <w:tc>
          <w:tcPr>
            <w:tcW w:w="1380" w:type="dxa"/>
            <w:tcBorders>
              <w:top w:val="nil"/>
              <w:left w:val="nil"/>
              <w:bottom w:val="nil"/>
              <w:right w:val="nil"/>
            </w:tcBorders>
            <w:shd w:val="clear" w:color="auto" w:fill="auto"/>
            <w:noWrap/>
            <w:vAlign w:val="bottom"/>
            <w:hideMark/>
          </w:tcPr>
          <w:p w14:paraId="53ABA3B5"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117.9</w:t>
            </w:r>
          </w:p>
        </w:tc>
        <w:tc>
          <w:tcPr>
            <w:tcW w:w="1280" w:type="dxa"/>
            <w:tcBorders>
              <w:top w:val="nil"/>
              <w:left w:val="nil"/>
              <w:bottom w:val="nil"/>
              <w:right w:val="nil"/>
            </w:tcBorders>
            <w:shd w:val="clear" w:color="auto" w:fill="auto"/>
            <w:noWrap/>
            <w:vAlign w:val="bottom"/>
            <w:hideMark/>
          </w:tcPr>
          <w:p w14:paraId="7AB42FEA"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32.4</w:t>
            </w:r>
          </w:p>
        </w:tc>
        <w:tc>
          <w:tcPr>
            <w:tcW w:w="1380" w:type="dxa"/>
            <w:tcBorders>
              <w:top w:val="nil"/>
              <w:left w:val="nil"/>
              <w:bottom w:val="nil"/>
              <w:right w:val="nil"/>
            </w:tcBorders>
            <w:shd w:val="clear" w:color="auto" w:fill="auto"/>
            <w:noWrap/>
            <w:vAlign w:val="bottom"/>
            <w:hideMark/>
          </w:tcPr>
          <w:p w14:paraId="6D9F2A0D"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475.4</w:t>
            </w:r>
          </w:p>
        </w:tc>
      </w:tr>
      <w:tr w:rsidR="00513D10" w:rsidRPr="008D2E63" w14:paraId="3F89F2D9" w14:textId="77777777" w:rsidTr="00F85DC2">
        <w:trPr>
          <w:trHeight w:val="290"/>
        </w:trPr>
        <w:tc>
          <w:tcPr>
            <w:tcW w:w="1200" w:type="dxa"/>
            <w:tcBorders>
              <w:top w:val="nil"/>
              <w:left w:val="nil"/>
              <w:bottom w:val="nil"/>
              <w:right w:val="nil"/>
            </w:tcBorders>
            <w:shd w:val="clear" w:color="auto" w:fill="auto"/>
            <w:noWrap/>
            <w:vAlign w:val="bottom"/>
            <w:hideMark/>
          </w:tcPr>
          <w:p w14:paraId="1144FCB1"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250</w:t>
            </w:r>
          </w:p>
        </w:tc>
        <w:tc>
          <w:tcPr>
            <w:tcW w:w="1200" w:type="dxa"/>
            <w:tcBorders>
              <w:top w:val="nil"/>
              <w:left w:val="nil"/>
              <w:bottom w:val="nil"/>
              <w:right w:val="nil"/>
            </w:tcBorders>
            <w:shd w:val="clear" w:color="auto" w:fill="auto"/>
            <w:noWrap/>
            <w:vAlign w:val="bottom"/>
            <w:hideMark/>
          </w:tcPr>
          <w:p w14:paraId="1E9EDA3C"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450</w:t>
            </w:r>
          </w:p>
        </w:tc>
        <w:tc>
          <w:tcPr>
            <w:tcW w:w="1200" w:type="dxa"/>
            <w:tcBorders>
              <w:top w:val="nil"/>
              <w:left w:val="nil"/>
              <w:bottom w:val="nil"/>
              <w:right w:val="nil"/>
            </w:tcBorders>
            <w:shd w:val="clear" w:color="auto" w:fill="auto"/>
            <w:noWrap/>
            <w:vAlign w:val="bottom"/>
            <w:hideMark/>
          </w:tcPr>
          <w:p w14:paraId="4F26F1A9"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129.5</w:t>
            </w:r>
          </w:p>
        </w:tc>
        <w:tc>
          <w:tcPr>
            <w:tcW w:w="1280" w:type="dxa"/>
            <w:tcBorders>
              <w:top w:val="nil"/>
              <w:left w:val="nil"/>
              <w:bottom w:val="nil"/>
              <w:right w:val="nil"/>
            </w:tcBorders>
            <w:shd w:val="clear" w:color="auto" w:fill="auto"/>
            <w:noWrap/>
            <w:vAlign w:val="bottom"/>
            <w:hideMark/>
          </w:tcPr>
          <w:p w14:paraId="2411AD46"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8.6</w:t>
            </w:r>
          </w:p>
        </w:tc>
        <w:tc>
          <w:tcPr>
            <w:tcW w:w="1380" w:type="dxa"/>
            <w:tcBorders>
              <w:top w:val="nil"/>
              <w:left w:val="nil"/>
              <w:bottom w:val="nil"/>
              <w:right w:val="nil"/>
            </w:tcBorders>
            <w:shd w:val="clear" w:color="auto" w:fill="auto"/>
            <w:noWrap/>
            <w:vAlign w:val="bottom"/>
            <w:hideMark/>
          </w:tcPr>
          <w:p w14:paraId="553117D7"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125.5</w:t>
            </w:r>
          </w:p>
        </w:tc>
        <w:tc>
          <w:tcPr>
            <w:tcW w:w="1280" w:type="dxa"/>
            <w:tcBorders>
              <w:top w:val="nil"/>
              <w:left w:val="nil"/>
              <w:bottom w:val="nil"/>
              <w:right w:val="nil"/>
            </w:tcBorders>
            <w:shd w:val="clear" w:color="auto" w:fill="auto"/>
            <w:noWrap/>
            <w:vAlign w:val="bottom"/>
            <w:hideMark/>
          </w:tcPr>
          <w:p w14:paraId="576C82E6"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33.7</w:t>
            </w:r>
          </w:p>
        </w:tc>
        <w:tc>
          <w:tcPr>
            <w:tcW w:w="1380" w:type="dxa"/>
            <w:tcBorders>
              <w:top w:val="nil"/>
              <w:left w:val="nil"/>
              <w:bottom w:val="nil"/>
              <w:right w:val="nil"/>
            </w:tcBorders>
            <w:shd w:val="clear" w:color="auto" w:fill="auto"/>
            <w:noWrap/>
            <w:vAlign w:val="bottom"/>
            <w:hideMark/>
          </w:tcPr>
          <w:p w14:paraId="78E68BB1"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297.3</w:t>
            </w:r>
          </w:p>
        </w:tc>
      </w:tr>
      <w:tr w:rsidR="00513D10" w:rsidRPr="008D2E63" w14:paraId="4BBAC042" w14:textId="77777777" w:rsidTr="00F85DC2">
        <w:trPr>
          <w:trHeight w:val="290"/>
        </w:trPr>
        <w:tc>
          <w:tcPr>
            <w:tcW w:w="1200" w:type="dxa"/>
            <w:tcBorders>
              <w:top w:val="nil"/>
              <w:left w:val="nil"/>
              <w:bottom w:val="nil"/>
              <w:right w:val="nil"/>
            </w:tcBorders>
            <w:shd w:val="clear" w:color="auto" w:fill="auto"/>
            <w:noWrap/>
            <w:vAlign w:val="bottom"/>
            <w:hideMark/>
          </w:tcPr>
          <w:p w14:paraId="2A3637E4"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350</w:t>
            </w:r>
          </w:p>
        </w:tc>
        <w:tc>
          <w:tcPr>
            <w:tcW w:w="1200" w:type="dxa"/>
            <w:tcBorders>
              <w:top w:val="nil"/>
              <w:left w:val="nil"/>
              <w:bottom w:val="nil"/>
              <w:right w:val="nil"/>
            </w:tcBorders>
            <w:shd w:val="clear" w:color="auto" w:fill="auto"/>
            <w:noWrap/>
            <w:vAlign w:val="bottom"/>
            <w:hideMark/>
          </w:tcPr>
          <w:p w14:paraId="7D0ADD1F"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50</w:t>
            </w:r>
          </w:p>
        </w:tc>
        <w:tc>
          <w:tcPr>
            <w:tcW w:w="1200" w:type="dxa"/>
            <w:tcBorders>
              <w:top w:val="nil"/>
              <w:left w:val="nil"/>
              <w:bottom w:val="nil"/>
              <w:right w:val="nil"/>
            </w:tcBorders>
            <w:shd w:val="clear" w:color="auto" w:fill="auto"/>
            <w:noWrap/>
            <w:vAlign w:val="bottom"/>
            <w:hideMark/>
          </w:tcPr>
          <w:p w14:paraId="24D1F06A"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223.3</w:t>
            </w:r>
          </w:p>
        </w:tc>
        <w:tc>
          <w:tcPr>
            <w:tcW w:w="1280" w:type="dxa"/>
            <w:tcBorders>
              <w:top w:val="nil"/>
              <w:left w:val="nil"/>
              <w:bottom w:val="nil"/>
              <w:right w:val="nil"/>
            </w:tcBorders>
            <w:shd w:val="clear" w:color="auto" w:fill="auto"/>
            <w:noWrap/>
            <w:vAlign w:val="bottom"/>
            <w:hideMark/>
          </w:tcPr>
          <w:p w14:paraId="2500D99E"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1.6</w:t>
            </w:r>
          </w:p>
        </w:tc>
        <w:tc>
          <w:tcPr>
            <w:tcW w:w="1380" w:type="dxa"/>
            <w:tcBorders>
              <w:top w:val="nil"/>
              <w:left w:val="nil"/>
              <w:bottom w:val="nil"/>
              <w:right w:val="nil"/>
            </w:tcBorders>
            <w:shd w:val="clear" w:color="auto" w:fill="auto"/>
            <w:noWrap/>
            <w:vAlign w:val="bottom"/>
            <w:hideMark/>
          </w:tcPr>
          <w:p w14:paraId="2CA94456"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125.9</w:t>
            </w:r>
          </w:p>
        </w:tc>
        <w:tc>
          <w:tcPr>
            <w:tcW w:w="1280" w:type="dxa"/>
            <w:tcBorders>
              <w:top w:val="nil"/>
              <w:left w:val="nil"/>
              <w:bottom w:val="nil"/>
              <w:right w:val="nil"/>
            </w:tcBorders>
            <w:shd w:val="clear" w:color="auto" w:fill="auto"/>
            <w:noWrap/>
            <w:vAlign w:val="bottom"/>
            <w:hideMark/>
          </w:tcPr>
          <w:p w14:paraId="74AF6B16"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30.3</w:t>
            </w:r>
          </w:p>
        </w:tc>
        <w:tc>
          <w:tcPr>
            <w:tcW w:w="1380" w:type="dxa"/>
            <w:tcBorders>
              <w:top w:val="nil"/>
              <w:left w:val="nil"/>
              <w:bottom w:val="nil"/>
              <w:right w:val="nil"/>
            </w:tcBorders>
            <w:shd w:val="clear" w:color="auto" w:fill="auto"/>
            <w:noWrap/>
            <w:vAlign w:val="bottom"/>
            <w:hideMark/>
          </w:tcPr>
          <w:p w14:paraId="08AC0EA7"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381.0</w:t>
            </w:r>
          </w:p>
        </w:tc>
      </w:tr>
      <w:tr w:rsidR="00513D10" w:rsidRPr="008D2E63" w14:paraId="5915968E" w14:textId="77777777" w:rsidTr="00F85DC2">
        <w:trPr>
          <w:trHeight w:val="290"/>
        </w:trPr>
        <w:tc>
          <w:tcPr>
            <w:tcW w:w="1200" w:type="dxa"/>
            <w:tcBorders>
              <w:top w:val="nil"/>
              <w:left w:val="nil"/>
              <w:bottom w:val="nil"/>
              <w:right w:val="nil"/>
            </w:tcBorders>
            <w:shd w:val="clear" w:color="auto" w:fill="auto"/>
            <w:noWrap/>
            <w:vAlign w:val="bottom"/>
            <w:hideMark/>
          </w:tcPr>
          <w:p w14:paraId="566E8887"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350</w:t>
            </w:r>
          </w:p>
        </w:tc>
        <w:tc>
          <w:tcPr>
            <w:tcW w:w="1200" w:type="dxa"/>
            <w:tcBorders>
              <w:top w:val="nil"/>
              <w:left w:val="nil"/>
              <w:bottom w:val="nil"/>
              <w:right w:val="nil"/>
            </w:tcBorders>
            <w:shd w:val="clear" w:color="auto" w:fill="auto"/>
            <w:noWrap/>
            <w:vAlign w:val="bottom"/>
            <w:hideMark/>
          </w:tcPr>
          <w:p w14:paraId="69789A1A"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150</w:t>
            </w:r>
          </w:p>
        </w:tc>
        <w:tc>
          <w:tcPr>
            <w:tcW w:w="1200" w:type="dxa"/>
            <w:tcBorders>
              <w:top w:val="nil"/>
              <w:left w:val="nil"/>
              <w:bottom w:val="nil"/>
              <w:right w:val="nil"/>
            </w:tcBorders>
            <w:shd w:val="clear" w:color="auto" w:fill="auto"/>
            <w:noWrap/>
            <w:vAlign w:val="bottom"/>
            <w:hideMark/>
          </w:tcPr>
          <w:p w14:paraId="52BCC956"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192.9</w:t>
            </w:r>
          </w:p>
        </w:tc>
        <w:tc>
          <w:tcPr>
            <w:tcW w:w="1280" w:type="dxa"/>
            <w:tcBorders>
              <w:top w:val="nil"/>
              <w:left w:val="nil"/>
              <w:bottom w:val="nil"/>
              <w:right w:val="nil"/>
            </w:tcBorders>
            <w:shd w:val="clear" w:color="auto" w:fill="auto"/>
            <w:noWrap/>
            <w:vAlign w:val="bottom"/>
            <w:hideMark/>
          </w:tcPr>
          <w:p w14:paraId="2F84C5AE"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4.7</w:t>
            </w:r>
          </w:p>
        </w:tc>
        <w:tc>
          <w:tcPr>
            <w:tcW w:w="1380" w:type="dxa"/>
            <w:tcBorders>
              <w:top w:val="nil"/>
              <w:left w:val="nil"/>
              <w:bottom w:val="nil"/>
              <w:right w:val="nil"/>
            </w:tcBorders>
            <w:shd w:val="clear" w:color="auto" w:fill="auto"/>
            <w:noWrap/>
            <w:vAlign w:val="bottom"/>
            <w:hideMark/>
          </w:tcPr>
          <w:p w14:paraId="13A06B19"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104.3</w:t>
            </w:r>
          </w:p>
        </w:tc>
        <w:tc>
          <w:tcPr>
            <w:tcW w:w="1280" w:type="dxa"/>
            <w:tcBorders>
              <w:top w:val="nil"/>
              <w:left w:val="nil"/>
              <w:bottom w:val="nil"/>
              <w:right w:val="nil"/>
            </w:tcBorders>
            <w:shd w:val="clear" w:color="auto" w:fill="auto"/>
            <w:noWrap/>
            <w:vAlign w:val="bottom"/>
            <w:hideMark/>
          </w:tcPr>
          <w:p w14:paraId="0C394B1E"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24.0</w:t>
            </w:r>
          </w:p>
        </w:tc>
        <w:tc>
          <w:tcPr>
            <w:tcW w:w="1380" w:type="dxa"/>
            <w:tcBorders>
              <w:top w:val="nil"/>
              <w:left w:val="nil"/>
              <w:bottom w:val="nil"/>
              <w:right w:val="nil"/>
            </w:tcBorders>
            <w:shd w:val="clear" w:color="auto" w:fill="auto"/>
            <w:noWrap/>
            <w:vAlign w:val="bottom"/>
            <w:hideMark/>
          </w:tcPr>
          <w:p w14:paraId="0D0377BF"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325.9</w:t>
            </w:r>
          </w:p>
        </w:tc>
      </w:tr>
      <w:tr w:rsidR="00513D10" w:rsidRPr="008D2E63" w14:paraId="4338AC0A" w14:textId="77777777" w:rsidTr="00F85DC2">
        <w:trPr>
          <w:trHeight w:val="290"/>
        </w:trPr>
        <w:tc>
          <w:tcPr>
            <w:tcW w:w="1200" w:type="dxa"/>
            <w:tcBorders>
              <w:top w:val="nil"/>
              <w:left w:val="nil"/>
              <w:bottom w:val="nil"/>
              <w:right w:val="nil"/>
            </w:tcBorders>
            <w:shd w:val="clear" w:color="auto" w:fill="auto"/>
            <w:noWrap/>
            <w:vAlign w:val="bottom"/>
            <w:hideMark/>
          </w:tcPr>
          <w:p w14:paraId="2C3D99F5"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350</w:t>
            </w:r>
          </w:p>
        </w:tc>
        <w:tc>
          <w:tcPr>
            <w:tcW w:w="1200" w:type="dxa"/>
            <w:tcBorders>
              <w:top w:val="nil"/>
              <w:left w:val="nil"/>
              <w:bottom w:val="nil"/>
              <w:right w:val="nil"/>
            </w:tcBorders>
            <w:shd w:val="clear" w:color="auto" w:fill="auto"/>
            <w:noWrap/>
            <w:vAlign w:val="bottom"/>
            <w:hideMark/>
          </w:tcPr>
          <w:p w14:paraId="524813B6"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250</w:t>
            </w:r>
          </w:p>
        </w:tc>
        <w:tc>
          <w:tcPr>
            <w:tcW w:w="1200" w:type="dxa"/>
            <w:tcBorders>
              <w:top w:val="nil"/>
              <w:left w:val="nil"/>
              <w:bottom w:val="nil"/>
              <w:right w:val="nil"/>
            </w:tcBorders>
            <w:shd w:val="clear" w:color="auto" w:fill="auto"/>
            <w:noWrap/>
            <w:vAlign w:val="bottom"/>
            <w:hideMark/>
          </w:tcPr>
          <w:p w14:paraId="32290070"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223.7</w:t>
            </w:r>
          </w:p>
        </w:tc>
        <w:tc>
          <w:tcPr>
            <w:tcW w:w="1280" w:type="dxa"/>
            <w:tcBorders>
              <w:top w:val="nil"/>
              <w:left w:val="nil"/>
              <w:bottom w:val="nil"/>
              <w:right w:val="nil"/>
            </w:tcBorders>
            <w:shd w:val="clear" w:color="auto" w:fill="auto"/>
            <w:noWrap/>
            <w:vAlign w:val="bottom"/>
            <w:hideMark/>
          </w:tcPr>
          <w:p w14:paraId="6A02A1ED"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23.9</w:t>
            </w:r>
          </w:p>
        </w:tc>
        <w:tc>
          <w:tcPr>
            <w:tcW w:w="1380" w:type="dxa"/>
            <w:tcBorders>
              <w:top w:val="nil"/>
              <w:left w:val="nil"/>
              <w:bottom w:val="nil"/>
              <w:right w:val="nil"/>
            </w:tcBorders>
            <w:shd w:val="clear" w:color="auto" w:fill="auto"/>
            <w:noWrap/>
            <w:vAlign w:val="bottom"/>
            <w:hideMark/>
          </w:tcPr>
          <w:p w14:paraId="020AE7C1"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123.0</w:t>
            </w:r>
          </w:p>
        </w:tc>
        <w:tc>
          <w:tcPr>
            <w:tcW w:w="1280" w:type="dxa"/>
            <w:tcBorders>
              <w:top w:val="nil"/>
              <w:left w:val="nil"/>
              <w:bottom w:val="nil"/>
              <w:right w:val="nil"/>
            </w:tcBorders>
            <w:shd w:val="clear" w:color="auto" w:fill="auto"/>
            <w:noWrap/>
            <w:vAlign w:val="bottom"/>
            <w:hideMark/>
          </w:tcPr>
          <w:p w14:paraId="776984BE"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33.2</w:t>
            </w:r>
          </w:p>
        </w:tc>
        <w:tc>
          <w:tcPr>
            <w:tcW w:w="1380" w:type="dxa"/>
            <w:tcBorders>
              <w:top w:val="nil"/>
              <w:left w:val="nil"/>
              <w:bottom w:val="nil"/>
              <w:right w:val="nil"/>
            </w:tcBorders>
            <w:shd w:val="clear" w:color="auto" w:fill="auto"/>
            <w:noWrap/>
            <w:vAlign w:val="bottom"/>
            <w:hideMark/>
          </w:tcPr>
          <w:p w14:paraId="26165E9E"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403.8</w:t>
            </w:r>
          </w:p>
        </w:tc>
      </w:tr>
      <w:tr w:rsidR="00513D10" w:rsidRPr="008D2E63" w14:paraId="5B2C442D" w14:textId="77777777" w:rsidTr="00F85DC2">
        <w:trPr>
          <w:trHeight w:val="290"/>
        </w:trPr>
        <w:tc>
          <w:tcPr>
            <w:tcW w:w="1200" w:type="dxa"/>
            <w:tcBorders>
              <w:top w:val="nil"/>
              <w:left w:val="nil"/>
              <w:bottom w:val="nil"/>
              <w:right w:val="nil"/>
            </w:tcBorders>
            <w:shd w:val="clear" w:color="auto" w:fill="auto"/>
            <w:noWrap/>
            <w:vAlign w:val="bottom"/>
            <w:hideMark/>
          </w:tcPr>
          <w:p w14:paraId="702CD0E6"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350</w:t>
            </w:r>
          </w:p>
        </w:tc>
        <w:tc>
          <w:tcPr>
            <w:tcW w:w="1200" w:type="dxa"/>
            <w:tcBorders>
              <w:top w:val="nil"/>
              <w:left w:val="nil"/>
              <w:bottom w:val="nil"/>
              <w:right w:val="nil"/>
            </w:tcBorders>
            <w:shd w:val="clear" w:color="auto" w:fill="auto"/>
            <w:noWrap/>
            <w:vAlign w:val="bottom"/>
            <w:hideMark/>
          </w:tcPr>
          <w:p w14:paraId="0256FC86"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350</w:t>
            </w:r>
          </w:p>
        </w:tc>
        <w:tc>
          <w:tcPr>
            <w:tcW w:w="1200" w:type="dxa"/>
            <w:tcBorders>
              <w:top w:val="nil"/>
              <w:left w:val="nil"/>
              <w:bottom w:val="nil"/>
              <w:right w:val="nil"/>
            </w:tcBorders>
            <w:shd w:val="clear" w:color="auto" w:fill="auto"/>
            <w:noWrap/>
            <w:vAlign w:val="bottom"/>
            <w:hideMark/>
          </w:tcPr>
          <w:p w14:paraId="5E22429F"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205.9</w:t>
            </w:r>
          </w:p>
        </w:tc>
        <w:tc>
          <w:tcPr>
            <w:tcW w:w="1280" w:type="dxa"/>
            <w:tcBorders>
              <w:top w:val="nil"/>
              <w:left w:val="nil"/>
              <w:bottom w:val="nil"/>
              <w:right w:val="nil"/>
            </w:tcBorders>
            <w:shd w:val="clear" w:color="auto" w:fill="auto"/>
            <w:noWrap/>
            <w:vAlign w:val="bottom"/>
            <w:hideMark/>
          </w:tcPr>
          <w:p w14:paraId="6362B277"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6.2</w:t>
            </w:r>
          </w:p>
        </w:tc>
        <w:tc>
          <w:tcPr>
            <w:tcW w:w="1380" w:type="dxa"/>
            <w:tcBorders>
              <w:top w:val="nil"/>
              <w:left w:val="nil"/>
              <w:bottom w:val="nil"/>
              <w:right w:val="nil"/>
            </w:tcBorders>
            <w:shd w:val="clear" w:color="auto" w:fill="auto"/>
            <w:noWrap/>
            <w:vAlign w:val="bottom"/>
            <w:hideMark/>
          </w:tcPr>
          <w:p w14:paraId="5C6574DE"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94.8</w:t>
            </w:r>
          </w:p>
        </w:tc>
        <w:tc>
          <w:tcPr>
            <w:tcW w:w="1280" w:type="dxa"/>
            <w:tcBorders>
              <w:top w:val="nil"/>
              <w:left w:val="nil"/>
              <w:bottom w:val="nil"/>
              <w:right w:val="nil"/>
            </w:tcBorders>
            <w:shd w:val="clear" w:color="auto" w:fill="auto"/>
            <w:noWrap/>
            <w:vAlign w:val="bottom"/>
            <w:hideMark/>
          </w:tcPr>
          <w:p w14:paraId="3B41493B"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23.6</w:t>
            </w:r>
          </w:p>
        </w:tc>
        <w:tc>
          <w:tcPr>
            <w:tcW w:w="1380" w:type="dxa"/>
            <w:tcBorders>
              <w:top w:val="nil"/>
              <w:left w:val="nil"/>
              <w:bottom w:val="nil"/>
              <w:right w:val="nil"/>
            </w:tcBorders>
            <w:shd w:val="clear" w:color="auto" w:fill="auto"/>
            <w:noWrap/>
            <w:vAlign w:val="bottom"/>
            <w:hideMark/>
          </w:tcPr>
          <w:p w14:paraId="52A33B71"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330.6</w:t>
            </w:r>
          </w:p>
        </w:tc>
      </w:tr>
      <w:tr w:rsidR="00513D10" w:rsidRPr="008D2E63" w14:paraId="39C98D29" w14:textId="77777777" w:rsidTr="00F85DC2">
        <w:trPr>
          <w:trHeight w:val="290"/>
        </w:trPr>
        <w:tc>
          <w:tcPr>
            <w:tcW w:w="1200" w:type="dxa"/>
            <w:tcBorders>
              <w:top w:val="nil"/>
              <w:left w:val="nil"/>
              <w:bottom w:val="nil"/>
              <w:right w:val="nil"/>
            </w:tcBorders>
            <w:shd w:val="clear" w:color="auto" w:fill="auto"/>
            <w:noWrap/>
            <w:vAlign w:val="bottom"/>
            <w:hideMark/>
          </w:tcPr>
          <w:p w14:paraId="4C40624A"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350</w:t>
            </w:r>
          </w:p>
        </w:tc>
        <w:tc>
          <w:tcPr>
            <w:tcW w:w="1200" w:type="dxa"/>
            <w:tcBorders>
              <w:top w:val="nil"/>
              <w:left w:val="nil"/>
              <w:bottom w:val="nil"/>
              <w:right w:val="nil"/>
            </w:tcBorders>
            <w:shd w:val="clear" w:color="auto" w:fill="auto"/>
            <w:noWrap/>
            <w:vAlign w:val="bottom"/>
            <w:hideMark/>
          </w:tcPr>
          <w:p w14:paraId="5D0798F5"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450</w:t>
            </w:r>
          </w:p>
        </w:tc>
        <w:tc>
          <w:tcPr>
            <w:tcW w:w="1200" w:type="dxa"/>
            <w:tcBorders>
              <w:top w:val="nil"/>
              <w:left w:val="nil"/>
              <w:bottom w:val="nil"/>
              <w:right w:val="nil"/>
            </w:tcBorders>
            <w:shd w:val="clear" w:color="auto" w:fill="auto"/>
            <w:noWrap/>
            <w:vAlign w:val="bottom"/>
            <w:hideMark/>
          </w:tcPr>
          <w:p w14:paraId="0783D450"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176.2</w:t>
            </w:r>
          </w:p>
        </w:tc>
        <w:tc>
          <w:tcPr>
            <w:tcW w:w="1280" w:type="dxa"/>
            <w:tcBorders>
              <w:top w:val="nil"/>
              <w:left w:val="nil"/>
              <w:bottom w:val="nil"/>
              <w:right w:val="nil"/>
            </w:tcBorders>
            <w:shd w:val="clear" w:color="auto" w:fill="auto"/>
            <w:noWrap/>
            <w:vAlign w:val="bottom"/>
            <w:hideMark/>
          </w:tcPr>
          <w:p w14:paraId="6774A45A"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4.3</w:t>
            </w:r>
          </w:p>
        </w:tc>
        <w:tc>
          <w:tcPr>
            <w:tcW w:w="1380" w:type="dxa"/>
            <w:tcBorders>
              <w:top w:val="nil"/>
              <w:left w:val="nil"/>
              <w:bottom w:val="nil"/>
              <w:right w:val="nil"/>
            </w:tcBorders>
            <w:shd w:val="clear" w:color="auto" w:fill="auto"/>
            <w:noWrap/>
            <w:vAlign w:val="bottom"/>
            <w:hideMark/>
          </w:tcPr>
          <w:p w14:paraId="00D1FFBE"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149.1</w:t>
            </w:r>
          </w:p>
        </w:tc>
        <w:tc>
          <w:tcPr>
            <w:tcW w:w="1280" w:type="dxa"/>
            <w:tcBorders>
              <w:top w:val="nil"/>
              <w:left w:val="nil"/>
              <w:bottom w:val="nil"/>
              <w:right w:val="nil"/>
            </w:tcBorders>
            <w:shd w:val="clear" w:color="auto" w:fill="auto"/>
            <w:noWrap/>
            <w:vAlign w:val="bottom"/>
            <w:hideMark/>
          </w:tcPr>
          <w:p w14:paraId="134CD6D8"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38.6</w:t>
            </w:r>
          </w:p>
        </w:tc>
        <w:tc>
          <w:tcPr>
            <w:tcW w:w="1380" w:type="dxa"/>
            <w:tcBorders>
              <w:top w:val="nil"/>
              <w:left w:val="nil"/>
              <w:bottom w:val="nil"/>
              <w:right w:val="nil"/>
            </w:tcBorders>
            <w:shd w:val="clear" w:color="auto" w:fill="auto"/>
            <w:noWrap/>
            <w:vAlign w:val="bottom"/>
            <w:hideMark/>
          </w:tcPr>
          <w:p w14:paraId="05DAE681"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368.2</w:t>
            </w:r>
          </w:p>
        </w:tc>
      </w:tr>
      <w:tr w:rsidR="00513D10" w:rsidRPr="008D2E63" w14:paraId="43EC62D4" w14:textId="77777777" w:rsidTr="00F85DC2">
        <w:trPr>
          <w:trHeight w:val="290"/>
        </w:trPr>
        <w:tc>
          <w:tcPr>
            <w:tcW w:w="1200" w:type="dxa"/>
            <w:tcBorders>
              <w:top w:val="nil"/>
              <w:left w:val="nil"/>
              <w:bottom w:val="nil"/>
              <w:right w:val="nil"/>
            </w:tcBorders>
            <w:shd w:val="clear" w:color="auto" w:fill="auto"/>
            <w:noWrap/>
            <w:vAlign w:val="bottom"/>
            <w:hideMark/>
          </w:tcPr>
          <w:p w14:paraId="04393920"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lastRenderedPageBreak/>
              <w:t>450</w:t>
            </w:r>
          </w:p>
        </w:tc>
        <w:tc>
          <w:tcPr>
            <w:tcW w:w="1200" w:type="dxa"/>
            <w:tcBorders>
              <w:top w:val="nil"/>
              <w:left w:val="nil"/>
              <w:bottom w:val="nil"/>
              <w:right w:val="nil"/>
            </w:tcBorders>
            <w:shd w:val="clear" w:color="auto" w:fill="auto"/>
            <w:noWrap/>
            <w:vAlign w:val="bottom"/>
            <w:hideMark/>
          </w:tcPr>
          <w:p w14:paraId="2251268A"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50</w:t>
            </w:r>
          </w:p>
        </w:tc>
        <w:tc>
          <w:tcPr>
            <w:tcW w:w="1200" w:type="dxa"/>
            <w:tcBorders>
              <w:top w:val="nil"/>
              <w:left w:val="nil"/>
              <w:bottom w:val="nil"/>
              <w:right w:val="nil"/>
            </w:tcBorders>
            <w:shd w:val="clear" w:color="auto" w:fill="auto"/>
            <w:noWrap/>
            <w:vAlign w:val="bottom"/>
            <w:hideMark/>
          </w:tcPr>
          <w:p w14:paraId="1E405287"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226.4</w:t>
            </w:r>
          </w:p>
        </w:tc>
        <w:tc>
          <w:tcPr>
            <w:tcW w:w="1280" w:type="dxa"/>
            <w:tcBorders>
              <w:top w:val="nil"/>
              <w:left w:val="nil"/>
              <w:bottom w:val="nil"/>
              <w:right w:val="nil"/>
            </w:tcBorders>
            <w:shd w:val="clear" w:color="auto" w:fill="auto"/>
            <w:noWrap/>
            <w:vAlign w:val="bottom"/>
            <w:hideMark/>
          </w:tcPr>
          <w:p w14:paraId="24AAC914"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3.3</w:t>
            </w:r>
          </w:p>
        </w:tc>
        <w:tc>
          <w:tcPr>
            <w:tcW w:w="1380" w:type="dxa"/>
            <w:tcBorders>
              <w:top w:val="nil"/>
              <w:left w:val="nil"/>
              <w:bottom w:val="nil"/>
              <w:right w:val="nil"/>
            </w:tcBorders>
            <w:shd w:val="clear" w:color="auto" w:fill="auto"/>
            <w:noWrap/>
            <w:vAlign w:val="bottom"/>
            <w:hideMark/>
          </w:tcPr>
          <w:p w14:paraId="46F0DB68"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125.9</w:t>
            </w:r>
          </w:p>
        </w:tc>
        <w:tc>
          <w:tcPr>
            <w:tcW w:w="1280" w:type="dxa"/>
            <w:tcBorders>
              <w:top w:val="nil"/>
              <w:left w:val="nil"/>
              <w:bottom w:val="nil"/>
              <w:right w:val="nil"/>
            </w:tcBorders>
            <w:shd w:val="clear" w:color="auto" w:fill="auto"/>
            <w:noWrap/>
            <w:vAlign w:val="bottom"/>
            <w:hideMark/>
          </w:tcPr>
          <w:p w14:paraId="211E0823"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31.7</w:t>
            </w:r>
          </w:p>
        </w:tc>
        <w:tc>
          <w:tcPr>
            <w:tcW w:w="1380" w:type="dxa"/>
            <w:tcBorders>
              <w:top w:val="nil"/>
              <w:left w:val="nil"/>
              <w:bottom w:val="nil"/>
              <w:right w:val="nil"/>
            </w:tcBorders>
            <w:shd w:val="clear" w:color="auto" w:fill="auto"/>
            <w:noWrap/>
            <w:vAlign w:val="bottom"/>
            <w:hideMark/>
          </w:tcPr>
          <w:p w14:paraId="182AFB03"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387.3</w:t>
            </w:r>
          </w:p>
        </w:tc>
      </w:tr>
      <w:tr w:rsidR="00513D10" w:rsidRPr="008D2E63" w14:paraId="3482CEE8" w14:textId="77777777" w:rsidTr="00F85DC2">
        <w:trPr>
          <w:trHeight w:val="290"/>
        </w:trPr>
        <w:tc>
          <w:tcPr>
            <w:tcW w:w="1200" w:type="dxa"/>
            <w:tcBorders>
              <w:top w:val="nil"/>
              <w:left w:val="nil"/>
              <w:bottom w:val="nil"/>
              <w:right w:val="nil"/>
            </w:tcBorders>
            <w:shd w:val="clear" w:color="auto" w:fill="auto"/>
            <w:noWrap/>
            <w:vAlign w:val="bottom"/>
            <w:hideMark/>
          </w:tcPr>
          <w:p w14:paraId="5E983675"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450</w:t>
            </w:r>
          </w:p>
        </w:tc>
        <w:tc>
          <w:tcPr>
            <w:tcW w:w="1200" w:type="dxa"/>
            <w:tcBorders>
              <w:top w:val="nil"/>
              <w:left w:val="nil"/>
              <w:bottom w:val="nil"/>
              <w:right w:val="nil"/>
            </w:tcBorders>
            <w:shd w:val="clear" w:color="auto" w:fill="auto"/>
            <w:noWrap/>
            <w:vAlign w:val="bottom"/>
            <w:hideMark/>
          </w:tcPr>
          <w:p w14:paraId="106DFF5F"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150</w:t>
            </w:r>
          </w:p>
        </w:tc>
        <w:tc>
          <w:tcPr>
            <w:tcW w:w="1200" w:type="dxa"/>
            <w:tcBorders>
              <w:top w:val="nil"/>
              <w:left w:val="nil"/>
              <w:bottom w:val="nil"/>
              <w:right w:val="nil"/>
            </w:tcBorders>
            <w:shd w:val="clear" w:color="auto" w:fill="auto"/>
            <w:noWrap/>
            <w:vAlign w:val="bottom"/>
            <w:hideMark/>
          </w:tcPr>
          <w:p w14:paraId="66EAA352"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189.2</w:t>
            </w:r>
          </w:p>
        </w:tc>
        <w:tc>
          <w:tcPr>
            <w:tcW w:w="1280" w:type="dxa"/>
            <w:tcBorders>
              <w:top w:val="nil"/>
              <w:left w:val="nil"/>
              <w:bottom w:val="nil"/>
              <w:right w:val="nil"/>
            </w:tcBorders>
            <w:shd w:val="clear" w:color="auto" w:fill="auto"/>
            <w:noWrap/>
            <w:vAlign w:val="bottom"/>
            <w:hideMark/>
          </w:tcPr>
          <w:p w14:paraId="52886963"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1.2</w:t>
            </w:r>
          </w:p>
        </w:tc>
        <w:tc>
          <w:tcPr>
            <w:tcW w:w="1380" w:type="dxa"/>
            <w:tcBorders>
              <w:top w:val="nil"/>
              <w:left w:val="nil"/>
              <w:bottom w:val="nil"/>
              <w:right w:val="nil"/>
            </w:tcBorders>
            <w:shd w:val="clear" w:color="auto" w:fill="auto"/>
            <w:noWrap/>
            <w:vAlign w:val="bottom"/>
            <w:hideMark/>
          </w:tcPr>
          <w:p w14:paraId="563FEAAF"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109.3</w:t>
            </w:r>
          </w:p>
        </w:tc>
        <w:tc>
          <w:tcPr>
            <w:tcW w:w="1280" w:type="dxa"/>
            <w:tcBorders>
              <w:top w:val="nil"/>
              <w:left w:val="nil"/>
              <w:bottom w:val="nil"/>
              <w:right w:val="nil"/>
            </w:tcBorders>
            <w:shd w:val="clear" w:color="auto" w:fill="auto"/>
            <w:noWrap/>
            <w:vAlign w:val="bottom"/>
            <w:hideMark/>
          </w:tcPr>
          <w:p w14:paraId="6D1B0EBE"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25.8</w:t>
            </w:r>
          </w:p>
        </w:tc>
        <w:tc>
          <w:tcPr>
            <w:tcW w:w="1380" w:type="dxa"/>
            <w:tcBorders>
              <w:top w:val="nil"/>
              <w:left w:val="nil"/>
              <w:bottom w:val="nil"/>
              <w:right w:val="nil"/>
            </w:tcBorders>
            <w:shd w:val="clear" w:color="auto" w:fill="auto"/>
            <w:noWrap/>
            <w:vAlign w:val="bottom"/>
            <w:hideMark/>
          </w:tcPr>
          <w:p w14:paraId="421180B1"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325.5</w:t>
            </w:r>
          </w:p>
        </w:tc>
      </w:tr>
      <w:tr w:rsidR="00513D10" w:rsidRPr="008D2E63" w14:paraId="4685A590" w14:textId="77777777" w:rsidTr="00F85DC2">
        <w:trPr>
          <w:trHeight w:val="290"/>
        </w:trPr>
        <w:tc>
          <w:tcPr>
            <w:tcW w:w="1200" w:type="dxa"/>
            <w:tcBorders>
              <w:top w:val="nil"/>
              <w:left w:val="nil"/>
              <w:bottom w:val="nil"/>
              <w:right w:val="nil"/>
            </w:tcBorders>
            <w:shd w:val="clear" w:color="auto" w:fill="auto"/>
            <w:noWrap/>
            <w:vAlign w:val="bottom"/>
            <w:hideMark/>
          </w:tcPr>
          <w:p w14:paraId="1948747F"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450</w:t>
            </w:r>
          </w:p>
        </w:tc>
        <w:tc>
          <w:tcPr>
            <w:tcW w:w="1200" w:type="dxa"/>
            <w:tcBorders>
              <w:top w:val="nil"/>
              <w:left w:val="nil"/>
              <w:bottom w:val="nil"/>
              <w:right w:val="nil"/>
            </w:tcBorders>
            <w:shd w:val="clear" w:color="auto" w:fill="auto"/>
            <w:noWrap/>
            <w:vAlign w:val="bottom"/>
            <w:hideMark/>
          </w:tcPr>
          <w:p w14:paraId="0BA9FA4A"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250</w:t>
            </w:r>
          </w:p>
        </w:tc>
        <w:tc>
          <w:tcPr>
            <w:tcW w:w="1200" w:type="dxa"/>
            <w:tcBorders>
              <w:top w:val="nil"/>
              <w:left w:val="nil"/>
              <w:bottom w:val="nil"/>
              <w:right w:val="nil"/>
            </w:tcBorders>
            <w:shd w:val="clear" w:color="auto" w:fill="auto"/>
            <w:noWrap/>
            <w:vAlign w:val="bottom"/>
            <w:hideMark/>
          </w:tcPr>
          <w:p w14:paraId="12F3ADAC"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172.6</w:t>
            </w:r>
          </w:p>
        </w:tc>
        <w:tc>
          <w:tcPr>
            <w:tcW w:w="1280" w:type="dxa"/>
            <w:tcBorders>
              <w:top w:val="nil"/>
              <w:left w:val="nil"/>
              <w:bottom w:val="nil"/>
              <w:right w:val="nil"/>
            </w:tcBorders>
            <w:shd w:val="clear" w:color="auto" w:fill="auto"/>
            <w:noWrap/>
            <w:vAlign w:val="bottom"/>
            <w:hideMark/>
          </w:tcPr>
          <w:p w14:paraId="295A4939"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11.2</w:t>
            </w:r>
          </w:p>
        </w:tc>
        <w:tc>
          <w:tcPr>
            <w:tcW w:w="1380" w:type="dxa"/>
            <w:tcBorders>
              <w:top w:val="nil"/>
              <w:left w:val="nil"/>
              <w:bottom w:val="nil"/>
              <w:right w:val="nil"/>
            </w:tcBorders>
            <w:shd w:val="clear" w:color="auto" w:fill="auto"/>
            <w:noWrap/>
            <w:vAlign w:val="bottom"/>
            <w:hideMark/>
          </w:tcPr>
          <w:p w14:paraId="07B7C9DB"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115.4</w:t>
            </w:r>
          </w:p>
        </w:tc>
        <w:tc>
          <w:tcPr>
            <w:tcW w:w="1280" w:type="dxa"/>
            <w:tcBorders>
              <w:top w:val="nil"/>
              <w:left w:val="nil"/>
              <w:bottom w:val="nil"/>
              <w:right w:val="nil"/>
            </w:tcBorders>
            <w:shd w:val="clear" w:color="auto" w:fill="auto"/>
            <w:noWrap/>
            <w:vAlign w:val="bottom"/>
            <w:hideMark/>
          </w:tcPr>
          <w:p w14:paraId="30C7883D"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28.0</w:t>
            </w:r>
          </w:p>
        </w:tc>
        <w:tc>
          <w:tcPr>
            <w:tcW w:w="1380" w:type="dxa"/>
            <w:tcBorders>
              <w:top w:val="nil"/>
              <w:left w:val="nil"/>
              <w:bottom w:val="nil"/>
              <w:right w:val="nil"/>
            </w:tcBorders>
            <w:shd w:val="clear" w:color="auto" w:fill="auto"/>
            <w:noWrap/>
            <w:vAlign w:val="bottom"/>
            <w:hideMark/>
          </w:tcPr>
          <w:p w14:paraId="71C2500B"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327.1</w:t>
            </w:r>
          </w:p>
        </w:tc>
      </w:tr>
      <w:tr w:rsidR="00513D10" w:rsidRPr="008D2E63" w14:paraId="375F3232" w14:textId="77777777" w:rsidTr="00F85DC2">
        <w:trPr>
          <w:trHeight w:val="290"/>
        </w:trPr>
        <w:tc>
          <w:tcPr>
            <w:tcW w:w="1200" w:type="dxa"/>
            <w:tcBorders>
              <w:top w:val="nil"/>
              <w:left w:val="nil"/>
              <w:bottom w:val="nil"/>
              <w:right w:val="nil"/>
            </w:tcBorders>
            <w:shd w:val="clear" w:color="auto" w:fill="auto"/>
            <w:noWrap/>
            <w:vAlign w:val="bottom"/>
            <w:hideMark/>
          </w:tcPr>
          <w:p w14:paraId="102D70FD"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450</w:t>
            </w:r>
          </w:p>
        </w:tc>
        <w:tc>
          <w:tcPr>
            <w:tcW w:w="1200" w:type="dxa"/>
            <w:tcBorders>
              <w:top w:val="nil"/>
              <w:left w:val="nil"/>
              <w:bottom w:val="nil"/>
              <w:right w:val="nil"/>
            </w:tcBorders>
            <w:shd w:val="clear" w:color="auto" w:fill="auto"/>
            <w:noWrap/>
            <w:vAlign w:val="bottom"/>
            <w:hideMark/>
          </w:tcPr>
          <w:p w14:paraId="3A544E10"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350</w:t>
            </w:r>
          </w:p>
        </w:tc>
        <w:tc>
          <w:tcPr>
            <w:tcW w:w="1200" w:type="dxa"/>
            <w:tcBorders>
              <w:top w:val="nil"/>
              <w:left w:val="nil"/>
              <w:bottom w:val="nil"/>
              <w:right w:val="nil"/>
            </w:tcBorders>
            <w:shd w:val="clear" w:color="auto" w:fill="auto"/>
            <w:noWrap/>
            <w:vAlign w:val="bottom"/>
            <w:hideMark/>
          </w:tcPr>
          <w:p w14:paraId="4F437F79"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185.2</w:t>
            </w:r>
          </w:p>
        </w:tc>
        <w:tc>
          <w:tcPr>
            <w:tcW w:w="1280" w:type="dxa"/>
            <w:tcBorders>
              <w:top w:val="nil"/>
              <w:left w:val="nil"/>
              <w:bottom w:val="nil"/>
              <w:right w:val="nil"/>
            </w:tcBorders>
            <w:shd w:val="clear" w:color="auto" w:fill="auto"/>
            <w:noWrap/>
            <w:vAlign w:val="bottom"/>
            <w:hideMark/>
          </w:tcPr>
          <w:p w14:paraId="6B7E1F9E"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4.3</w:t>
            </w:r>
          </w:p>
        </w:tc>
        <w:tc>
          <w:tcPr>
            <w:tcW w:w="1380" w:type="dxa"/>
            <w:tcBorders>
              <w:top w:val="nil"/>
              <w:left w:val="nil"/>
              <w:bottom w:val="nil"/>
              <w:right w:val="nil"/>
            </w:tcBorders>
            <w:shd w:val="clear" w:color="auto" w:fill="auto"/>
            <w:noWrap/>
            <w:vAlign w:val="bottom"/>
            <w:hideMark/>
          </w:tcPr>
          <w:p w14:paraId="608FE85B"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101.5</w:t>
            </w:r>
          </w:p>
        </w:tc>
        <w:tc>
          <w:tcPr>
            <w:tcW w:w="1280" w:type="dxa"/>
            <w:tcBorders>
              <w:top w:val="nil"/>
              <w:left w:val="nil"/>
              <w:bottom w:val="nil"/>
              <w:right w:val="nil"/>
            </w:tcBorders>
            <w:shd w:val="clear" w:color="auto" w:fill="auto"/>
            <w:noWrap/>
            <w:vAlign w:val="bottom"/>
            <w:hideMark/>
          </w:tcPr>
          <w:p w14:paraId="0BD1E3EC"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25.9</w:t>
            </w:r>
          </w:p>
        </w:tc>
        <w:tc>
          <w:tcPr>
            <w:tcW w:w="1380" w:type="dxa"/>
            <w:tcBorders>
              <w:top w:val="nil"/>
              <w:left w:val="nil"/>
              <w:bottom w:val="nil"/>
              <w:right w:val="nil"/>
            </w:tcBorders>
            <w:shd w:val="clear" w:color="auto" w:fill="auto"/>
            <w:noWrap/>
            <w:vAlign w:val="bottom"/>
            <w:hideMark/>
          </w:tcPr>
          <w:p w14:paraId="0E2187B0"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316.9</w:t>
            </w:r>
          </w:p>
        </w:tc>
      </w:tr>
      <w:tr w:rsidR="00513D10" w:rsidRPr="008D2E63" w14:paraId="0B2D4FB8" w14:textId="77777777" w:rsidTr="00F85DC2">
        <w:trPr>
          <w:trHeight w:val="290"/>
        </w:trPr>
        <w:tc>
          <w:tcPr>
            <w:tcW w:w="1200" w:type="dxa"/>
            <w:tcBorders>
              <w:top w:val="nil"/>
              <w:left w:val="nil"/>
              <w:bottom w:val="nil"/>
              <w:right w:val="nil"/>
            </w:tcBorders>
            <w:shd w:val="clear" w:color="auto" w:fill="auto"/>
            <w:noWrap/>
            <w:vAlign w:val="bottom"/>
            <w:hideMark/>
          </w:tcPr>
          <w:p w14:paraId="5A157809"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450</w:t>
            </w:r>
          </w:p>
        </w:tc>
        <w:tc>
          <w:tcPr>
            <w:tcW w:w="1200" w:type="dxa"/>
            <w:tcBorders>
              <w:top w:val="nil"/>
              <w:left w:val="nil"/>
              <w:bottom w:val="nil"/>
              <w:right w:val="nil"/>
            </w:tcBorders>
            <w:shd w:val="clear" w:color="auto" w:fill="auto"/>
            <w:noWrap/>
            <w:vAlign w:val="bottom"/>
            <w:hideMark/>
          </w:tcPr>
          <w:p w14:paraId="04AAE33D"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450</w:t>
            </w:r>
          </w:p>
        </w:tc>
        <w:tc>
          <w:tcPr>
            <w:tcW w:w="1200" w:type="dxa"/>
            <w:tcBorders>
              <w:top w:val="nil"/>
              <w:left w:val="nil"/>
              <w:bottom w:val="nil"/>
              <w:right w:val="nil"/>
            </w:tcBorders>
            <w:shd w:val="clear" w:color="auto" w:fill="auto"/>
            <w:noWrap/>
            <w:vAlign w:val="bottom"/>
            <w:hideMark/>
          </w:tcPr>
          <w:p w14:paraId="2ADC5934"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184.2</w:t>
            </w:r>
          </w:p>
        </w:tc>
        <w:tc>
          <w:tcPr>
            <w:tcW w:w="1280" w:type="dxa"/>
            <w:tcBorders>
              <w:top w:val="nil"/>
              <w:left w:val="nil"/>
              <w:bottom w:val="nil"/>
              <w:right w:val="nil"/>
            </w:tcBorders>
            <w:shd w:val="clear" w:color="auto" w:fill="auto"/>
            <w:noWrap/>
            <w:vAlign w:val="bottom"/>
            <w:hideMark/>
          </w:tcPr>
          <w:p w14:paraId="6256E2A6"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3.5</w:t>
            </w:r>
          </w:p>
        </w:tc>
        <w:tc>
          <w:tcPr>
            <w:tcW w:w="1380" w:type="dxa"/>
            <w:tcBorders>
              <w:top w:val="nil"/>
              <w:left w:val="nil"/>
              <w:bottom w:val="nil"/>
              <w:right w:val="nil"/>
            </w:tcBorders>
            <w:shd w:val="clear" w:color="auto" w:fill="auto"/>
            <w:noWrap/>
            <w:vAlign w:val="bottom"/>
            <w:hideMark/>
          </w:tcPr>
          <w:p w14:paraId="3A41F470"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103.8</w:t>
            </w:r>
          </w:p>
        </w:tc>
        <w:tc>
          <w:tcPr>
            <w:tcW w:w="1280" w:type="dxa"/>
            <w:tcBorders>
              <w:top w:val="nil"/>
              <w:left w:val="nil"/>
              <w:bottom w:val="nil"/>
              <w:right w:val="nil"/>
            </w:tcBorders>
            <w:shd w:val="clear" w:color="auto" w:fill="auto"/>
            <w:noWrap/>
            <w:vAlign w:val="bottom"/>
            <w:hideMark/>
          </w:tcPr>
          <w:p w14:paraId="0F4B4961"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27.1</w:t>
            </w:r>
          </w:p>
        </w:tc>
        <w:tc>
          <w:tcPr>
            <w:tcW w:w="1380" w:type="dxa"/>
            <w:tcBorders>
              <w:top w:val="nil"/>
              <w:left w:val="nil"/>
              <w:bottom w:val="nil"/>
              <w:right w:val="nil"/>
            </w:tcBorders>
            <w:shd w:val="clear" w:color="auto" w:fill="auto"/>
            <w:noWrap/>
            <w:vAlign w:val="bottom"/>
            <w:hideMark/>
          </w:tcPr>
          <w:p w14:paraId="564AB5CD" w14:textId="77777777" w:rsidR="00513D10" w:rsidRPr="008D2E63" w:rsidRDefault="00513D10" w:rsidP="00F85DC2">
            <w:pPr>
              <w:jc w:val="right"/>
              <w:rPr>
                <w:rFonts w:ascii="Calibri" w:eastAsia="Times New Roman" w:hAnsi="Calibri" w:cs="Calibri"/>
                <w:color w:val="000000"/>
                <w:sz w:val="22"/>
                <w:szCs w:val="22"/>
              </w:rPr>
            </w:pPr>
            <w:r w:rsidRPr="008D2E63">
              <w:rPr>
                <w:rFonts w:ascii="Calibri" w:eastAsia="Times New Roman" w:hAnsi="Calibri" w:cs="Calibri"/>
                <w:color w:val="000000"/>
                <w:sz w:val="22"/>
                <w:szCs w:val="22"/>
              </w:rPr>
              <w:t>318.6</w:t>
            </w:r>
          </w:p>
        </w:tc>
      </w:tr>
    </w:tbl>
    <w:p w14:paraId="6457FBF1" w14:textId="77777777" w:rsidR="00513D10" w:rsidRPr="008D2E63" w:rsidRDefault="00513D10" w:rsidP="00513D10">
      <w:pPr>
        <w:rPr>
          <w:lang w:val="es-CO"/>
        </w:rPr>
      </w:pPr>
    </w:p>
    <w:p w14:paraId="4AC5AA27" w14:textId="5D87D931" w:rsidR="00672DC0" w:rsidRDefault="00672DC0">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br w:type="page"/>
      </w:r>
    </w:p>
    <w:p w14:paraId="3FA425F6" w14:textId="77777777" w:rsidR="00BE0213" w:rsidRPr="00115EE9" w:rsidRDefault="00BE0213">
      <w:pPr>
        <w:spacing w:after="0" w:line="240" w:lineRule="auto"/>
        <w:rPr>
          <w:rFonts w:ascii="Times New Roman" w:hAnsi="Times New Roman" w:cs="Times New Roman"/>
          <w:color w:val="auto"/>
          <w:sz w:val="24"/>
          <w:szCs w:val="24"/>
        </w:rPr>
      </w:pPr>
    </w:p>
    <w:p w14:paraId="4E04D9F6" w14:textId="5115006D" w:rsidR="00BA08AD" w:rsidRPr="00115EE9" w:rsidRDefault="00BA08AD" w:rsidP="005329FD">
      <w:pPr>
        <w:spacing w:after="0" w:line="240" w:lineRule="auto"/>
        <w:rPr>
          <w:rFonts w:ascii="Times New Roman" w:hAnsi="Times New Roman" w:cs="Times New Roman"/>
          <w:b/>
          <w:bCs/>
          <w:color w:val="auto"/>
          <w:sz w:val="24"/>
          <w:szCs w:val="24"/>
        </w:rPr>
      </w:pPr>
      <w:r w:rsidRPr="00115EE9">
        <w:rPr>
          <w:rFonts w:ascii="Times New Roman" w:hAnsi="Times New Roman" w:cs="Times New Roman"/>
          <w:b/>
          <w:bCs/>
          <w:color w:val="auto"/>
          <w:sz w:val="24"/>
          <w:szCs w:val="24"/>
        </w:rPr>
        <w:t>REFERENCES</w:t>
      </w:r>
    </w:p>
    <w:p w14:paraId="291AA429" w14:textId="77777777" w:rsidR="00BA08AD" w:rsidRPr="00115EE9" w:rsidRDefault="00BA08AD" w:rsidP="005329FD">
      <w:pPr>
        <w:spacing w:after="0" w:line="240" w:lineRule="auto"/>
        <w:rPr>
          <w:rFonts w:ascii="Times New Roman" w:hAnsi="Times New Roman" w:cs="Times New Roman"/>
          <w:color w:val="auto"/>
          <w:sz w:val="24"/>
          <w:szCs w:val="24"/>
        </w:rPr>
      </w:pPr>
    </w:p>
    <w:sdt>
      <w:sdtPr>
        <w:rPr>
          <w:rFonts w:ascii="Times New Roman" w:hAnsi="Times New Roman" w:cs="Times New Roman"/>
          <w:color w:val="auto"/>
          <w:sz w:val="24"/>
          <w:szCs w:val="24"/>
        </w:rPr>
        <w:tag w:val="MENDELEY_BIBLIOGRAPHY"/>
        <w:id w:val="1927762448"/>
        <w:placeholder>
          <w:docPart w:val="DefaultPlaceholder_-1854013440"/>
        </w:placeholder>
      </w:sdtPr>
      <w:sdtEndPr/>
      <w:sdtContent>
        <w:p w14:paraId="42D3017F" w14:textId="77777777" w:rsidR="00706B80" w:rsidRPr="00115EE9" w:rsidRDefault="00706B80">
          <w:pPr>
            <w:autoSpaceDE w:val="0"/>
            <w:autoSpaceDN w:val="0"/>
            <w:ind w:hanging="480"/>
            <w:divId w:val="1417433324"/>
            <w:rPr>
              <w:rFonts w:ascii="Times New Roman" w:eastAsia="Times New Roman" w:hAnsi="Times New Roman" w:cs="Times New Roman"/>
              <w:color w:val="auto"/>
              <w:sz w:val="24"/>
              <w:szCs w:val="24"/>
            </w:rPr>
          </w:pPr>
          <w:r w:rsidRPr="00115EE9">
            <w:rPr>
              <w:rFonts w:ascii="Times New Roman" w:eastAsia="Times New Roman" w:hAnsi="Times New Roman" w:cs="Times New Roman"/>
              <w:b/>
              <w:bCs/>
              <w:color w:val="auto"/>
              <w:sz w:val="24"/>
              <w:szCs w:val="24"/>
            </w:rPr>
            <w:t xml:space="preserve">Harmon ME, Franklin JF, Swanson FJ, </w:t>
          </w:r>
          <w:proofErr w:type="spellStart"/>
          <w:r w:rsidRPr="00115EE9">
            <w:rPr>
              <w:rFonts w:ascii="Times New Roman" w:eastAsia="Times New Roman" w:hAnsi="Times New Roman" w:cs="Times New Roman"/>
              <w:b/>
              <w:bCs/>
              <w:color w:val="auto"/>
              <w:sz w:val="24"/>
              <w:szCs w:val="24"/>
            </w:rPr>
            <w:t>Sollins</w:t>
          </w:r>
          <w:proofErr w:type="spellEnd"/>
          <w:r w:rsidRPr="00115EE9">
            <w:rPr>
              <w:rFonts w:ascii="Times New Roman" w:eastAsia="Times New Roman" w:hAnsi="Times New Roman" w:cs="Times New Roman"/>
              <w:b/>
              <w:bCs/>
              <w:color w:val="auto"/>
              <w:sz w:val="24"/>
              <w:szCs w:val="24"/>
            </w:rPr>
            <w:t xml:space="preserve"> P, Gregory S V, Lattin JD, Anderson NH, Cline SP, </w:t>
          </w:r>
          <w:proofErr w:type="spellStart"/>
          <w:r w:rsidRPr="00115EE9">
            <w:rPr>
              <w:rFonts w:ascii="Times New Roman" w:eastAsia="Times New Roman" w:hAnsi="Times New Roman" w:cs="Times New Roman"/>
              <w:b/>
              <w:bCs/>
              <w:color w:val="auto"/>
              <w:sz w:val="24"/>
              <w:szCs w:val="24"/>
            </w:rPr>
            <w:t>Aumen</w:t>
          </w:r>
          <w:proofErr w:type="spellEnd"/>
          <w:r w:rsidRPr="00115EE9">
            <w:rPr>
              <w:rFonts w:ascii="Times New Roman" w:eastAsia="Times New Roman" w:hAnsi="Times New Roman" w:cs="Times New Roman"/>
              <w:b/>
              <w:bCs/>
              <w:color w:val="auto"/>
              <w:sz w:val="24"/>
              <w:szCs w:val="24"/>
            </w:rPr>
            <w:t xml:space="preserve"> NG, </w:t>
          </w:r>
          <w:proofErr w:type="spellStart"/>
          <w:r w:rsidRPr="00115EE9">
            <w:rPr>
              <w:rFonts w:ascii="Times New Roman" w:eastAsia="Times New Roman" w:hAnsi="Times New Roman" w:cs="Times New Roman"/>
              <w:b/>
              <w:bCs/>
              <w:color w:val="auto"/>
              <w:sz w:val="24"/>
              <w:szCs w:val="24"/>
            </w:rPr>
            <w:t>Sedell</w:t>
          </w:r>
          <w:proofErr w:type="spellEnd"/>
          <w:r w:rsidRPr="00115EE9">
            <w:rPr>
              <w:rFonts w:ascii="Times New Roman" w:eastAsia="Times New Roman" w:hAnsi="Times New Roman" w:cs="Times New Roman"/>
              <w:b/>
              <w:bCs/>
              <w:color w:val="auto"/>
              <w:sz w:val="24"/>
              <w:szCs w:val="24"/>
            </w:rPr>
            <w:t xml:space="preserve"> JR, </w:t>
          </w:r>
          <w:proofErr w:type="spellStart"/>
          <w:r w:rsidRPr="00115EE9">
            <w:rPr>
              <w:rFonts w:ascii="Times New Roman" w:eastAsia="Times New Roman" w:hAnsi="Times New Roman" w:cs="Times New Roman"/>
              <w:b/>
              <w:bCs/>
              <w:color w:val="auto"/>
              <w:sz w:val="24"/>
              <w:szCs w:val="24"/>
            </w:rPr>
            <w:t>Lienkaemper</w:t>
          </w:r>
          <w:proofErr w:type="spellEnd"/>
          <w:r w:rsidRPr="00115EE9">
            <w:rPr>
              <w:rFonts w:ascii="Times New Roman" w:eastAsia="Times New Roman" w:hAnsi="Times New Roman" w:cs="Times New Roman"/>
              <w:b/>
              <w:bCs/>
              <w:color w:val="auto"/>
              <w:sz w:val="24"/>
              <w:szCs w:val="24"/>
            </w:rPr>
            <w:t xml:space="preserve"> GW, </w:t>
          </w:r>
          <w:proofErr w:type="spellStart"/>
          <w:r w:rsidRPr="00115EE9">
            <w:rPr>
              <w:rFonts w:ascii="Times New Roman" w:eastAsia="Times New Roman" w:hAnsi="Times New Roman" w:cs="Times New Roman"/>
              <w:b/>
              <w:bCs/>
              <w:color w:val="auto"/>
              <w:sz w:val="24"/>
              <w:szCs w:val="24"/>
            </w:rPr>
            <w:t>Cromack</w:t>
          </w:r>
          <w:proofErr w:type="spellEnd"/>
          <w:r w:rsidRPr="00115EE9">
            <w:rPr>
              <w:rFonts w:ascii="Times New Roman" w:eastAsia="Times New Roman" w:hAnsi="Times New Roman" w:cs="Times New Roman"/>
              <w:b/>
              <w:bCs/>
              <w:color w:val="auto"/>
              <w:sz w:val="24"/>
              <w:szCs w:val="24"/>
            </w:rPr>
            <w:t xml:space="preserve"> K and Cummins KW</w:t>
          </w:r>
          <w:r w:rsidRPr="00115EE9">
            <w:rPr>
              <w:rFonts w:ascii="Times New Roman" w:eastAsia="Times New Roman" w:hAnsi="Times New Roman" w:cs="Times New Roman"/>
              <w:color w:val="auto"/>
              <w:sz w:val="24"/>
              <w:szCs w:val="24"/>
            </w:rPr>
            <w:t xml:space="preserve"> (1986) Ecology of Coarse Woody Debris in Temperate Ecosystems. In MacFadyen A and Ford ED (eds), </w:t>
          </w:r>
          <w:r w:rsidRPr="00115EE9">
            <w:rPr>
              <w:rFonts w:ascii="Times New Roman" w:eastAsia="Times New Roman" w:hAnsi="Times New Roman" w:cs="Times New Roman"/>
              <w:i/>
              <w:iCs/>
              <w:color w:val="auto"/>
              <w:sz w:val="24"/>
              <w:szCs w:val="24"/>
            </w:rPr>
            <w:t>Advances in Ecological Research</w:t>
          </w:r>
          <w:r w:rsidRPr="00115EE9">
            <w:rPr>
              <w:rFonts w:ascii="Times New Roman" w:eastAsia="Times New Roman" w:hAnsi="Times New Roman" w:cs="Times New Roman"/>
              <w:color w:val="auto"/>
              <w:sz w:val="24"/>
              <w:szCs w:val="24"/>
            </w:rPr>
            <w:t>, Vol. 15. Academic Press, 133–302. https://doi.org/https://doi.org/10.1016/S0065-2504(08)60121-X.</w:t>
          </w:r>
        </w:p>
        <w:p w14:paraId="33ED328A" w14:textId="77777777" w:rsidR="00706B80" w:rsidRPr="00115EE9" w:rsidRDefault="00706B80">
          <w:pPr>
            <w:autoSpaceDE w:val="0"/>
            <w:autoSpaceDN w:val="0"/>
            <w:ind w:hanging="480"/>
            <w:divId w:val="1158379784"/>
            <w:rPr>
              <w:rFonts w:ascii="Times New Roman" w:eastAsia="Times New Roman" w:hAnsi="Times New Roman" w:cs="Times New Roman"/>
              <w:color w:val="auto"/>
              <w:sz w:val="24"/>
              <w:szCs w:val="24"/>
            </w:rPr>
          </w:pPr>
          <w:proofErr w:type="spellStart"/>
          <w:r w:rsidRPr="00115EE9">
            <w:rPr>
              <w:rFonts w:ascii="Times New Roman" w:eastAsia="Times New Roman" w:hAnsi="Times New Roman" w:cs="Times New Roman"/>
              <w:b/>
              <w:bCs/>
              <w:color w:val="auto"/>
              <w:sz w:val="24"/>
              <w:szCs w:val="24"/>
            </w:rPr>
            <w:t>Larjavaara</w:t>
          </w:r>
          <w:proofErr w:type="spellEnd"/>
          <w:r w:rsidRPr="00115EE9">
            <w:rPr>
              <w:rFonts w:ascii="Times New Roman" w:eastAsia="Times New Roman" w:hAnsi="Times New Roman" w:cs="Times New Roman"/>
              <w:b/>
              <w:bCs/>
              <w:color w:val="auto"/>
              <w:sz w:val="24"/>
              <w:szCs w:val="24"/>
            </w:rPr>
            <w:t xml:space="preserve"> M and Muller-Landau H</w:t>
          </w:r>
          <w:r w:rsidRPr="00115EE9">
            <w:rPr>
              <w:rFonts w:ascii="Times New Roman" w:eastAsia="Times New Roman" w:hAnsi="Times New Roman" w:cs="Times New Roman"/>
              <w:color w:val="auto"/>
              <w:sz w:val="24"/>
              <w:szCs w:val="24"/>
            </w:rPr>
            <w:t xml:space="preserve"> (2011) Cross-section mass: an improved basis for woody debris </w:t>
          </w:r>
          <w:proofErr w:type="spellStart"/>
          <w:r w:rsidRPr="00115EE9">
            <w:rPr>
              <w:rFonts w:ascii="Times New Roman" w:eastAsia="Times New Roman" w:hAnsi="Times New Roman" w:cs="Times New Roman"/>
              <w:color w:val="auto"/>
              <w:sz w:val="24"/>
              <w:szCs w:val="24"/>
            </w:rPr>
            <w:t>necromass</w:t>
          </w:r>
          <w:proofErr w:type="spellEnd"/>
          <w:r w:rsidRPr="00115EE9">
            <w:rPr>
              <w:rFonts w:ascii="Times New Roman" w:eastAsia="Times New Roman" w:hAnsi="Times New Roman" w:cs="Times New Roman"/>
              <w:color w:val="auto"/>
              <w:sz w:val="24"/>
              <w:szCs w:val="24"/>
            </w:rPr>
            <w:t xml:space="preserve"> inventory. </w:t>
          </w:r>
          <w:r w:rsidRPr="00115EE9">
            <w:rPr>
              <w:rFonts w:ascii="Times New Roman" w:eastAsia="Times New Roman" w:hAnsi="Times New Roman" w:cs="Times New Roman"/>
              <w:i/>
              <w:iCs/>
              <w:color w:val="auto"/>
              <w:sz w:val="24"/>
              <w:szCs w:val="24"/>
            </w:rPr>
            <w:t xml:space="preserve">Silva </w:t>
          </w:r>
          <w:proofErr w:type="spellStart"/>
          <w:r w:rsidRPr="00115EE9">
            <w:rPr>
              <w:rFonts w:ascii="Times New Roman" w:eastAsia="Times New Roman" w:hAnsi="Times New Roman" w:cs="Times New Roman"/>
              <w:i/>
              <w:iCs/>
              <w:color w:val="auto"/>
              <w:sz w:val="24"/>
              <w:szCs w:val="24"/>
            </w:rPr>
            <w:t>Fennica</w:t>
          </w:r>
          <w:proofErr w:type="spellEnd"/>
          <w:r w:rsidRPr="00115EE9">
            <w:rPr>
              <w:rFonts w:ascii="Times New Roman" w:eastAsia="Times New Roman" w:hAnsi="Times New Roman" w:cs="Times New Roman"/>
              <w:color w:val="auto"/>
              <w:sz w:val="24"/>
              <w:szCs w:val="24"/>
            </w:rPr>
            <w:t xml:space="preserve"> </w:t>
          </w:r>
          <w:r w:rsidRPr="00115EE9">
            <w:rPr>
              <w:rFonts w:ascii="Times New Roman" w:eastAsia="Times New Roman" w:hAnsi="Times New Roman" w:cs="Times New Roman"/>
              <w:b/>
              <w:bCs/>
              <w:color w:val="auto"/>
              <w:sz w:val="24"/>
              <w:szCs w:val="24"/>
            </w:rPr>
            <w:t>45</w:t>
          </w:r>
          <w:r w:rsidRPr="00115EE9">
            <w:rPr>
              <w:rFonts w:ascii="Times New Roman" w:eastAsia="Times New Roman" w:hAnsi="Times New Roman" w:cs="Times New Roman"/>
              <w:color w:val="auto"/>
              <w:sz w:val="24"/>
              <w:szCs w:val="24"/>
            </w:rPr>
            <w:t>(2), 291–298. https://doi.org/10.14214/sf.119.</w:t>
          </w:r>
        </w:p>
        <w:p w14:paraId="2DB8A3F6" w14:textId="5F329425" w:rsidR="00706B80" w:rsidRDefault="00706B80">
          <w:pPr>
            <w:autoSpaceDE w:val="0"/>
            <w:autoSpaceDN w:val="0"/>
            <w:ind w:hanging="480"/>
            <w:divId w:val="378551507"/>
            <w:rPr>
              <w:rFonts w:ascii="Times New Roman" w:eastAsia="Times New Roman" w:hAnsi="Times New Roman" w:cs="Times New Roman"/>
              <w:color w:val="auto"/>
              <w:sz w:val="24"/>
              <w:szCs w:val="24"/>
            </w:rPr>
          </w:pPr>
          <w:r w:rsidRPr="00115EE9">
            <w:rPr>
              <w:rFonts w:ascii="Times New Roman" w:eastAsia="Times New Roman" w:hAnsi="Times New Roman" w:cs="Times New Roman"/>
              <w:b/>
              <w:bCs/>
              <w:color w:val="auto"/>
              <w:sz w:val="24"/>
              <w:szCs w:val="24"/>
            </w:rPr>
            <w:t xml:space="preserve">Martin AR, </w:t>
          </w:r>
          <w:proofErr w:type="spellStart"/>
          <w:r w:rsidRPr="00115EE9">
            <w:rPr>
              <w:rFonts w:ascii="Times New Roman" w:eastAsia="Times New Roman" w:hAnsi="Times New Roman" w:cs="Times New Roman"/>
              <w:b/>
              <w:bCs/>
              <w:color w:val="auto"/>
              <w:sz w:val="24"/>
              <w:szCs w:val="24"/>
            </w:rPr>
            <w:t>Doraisami</w:t>
          </w:r>
          <w:proofErr w:type="spellEnd"/>
          <w:r w:rsidRPr="00115EE9">
            <w:rPr>
              <w:rFonts w:ascii="Times New Roman" w:eastAsia="Times New Roman" w:hAnsi="Times New Roman" w:cs="Times New Roman"/>
              <w:b/>
              <w:bCs/>
              <w:color w:val="auto"/>
              <w:sz w:val="24"/>
              <w:szCs w:val="24"/>
            </w:rPr>
            <w:t xml:space="preserve"> M and Thomas SC</w:t>
          </w:r>
          <w:r w:rsidRPr="00115EE9">
            <w:rPr>
              <w:rFonts w:ascii="Times New Roman" w:eastAsia="Times New Roman" w:hAnsi="Times New Roman" w:cs="Times New Roman"/>
              <w:color w:val="auto"/>
              <w:sz w:val="24"/>
              <w:szCs w:val="24"/>
            </w:rPr>
            <w:t xml:space="preserve"> (2018) Global patterns in wood carbon concentration across the world’s trees and forests. </w:t>
          </w:r>
          <w:r w:rsidRPr="00115EE9">
            <w:rPr>
              <w:rFonts w:ascii="Times New Roman" w:eastAsia="Times New Roman" w:hAnsi="Times New Roman" w:cs="Times New Roman"/>
              <w:i/>
              <w:iCs/>
              <w:color w:val="auto"/>
              <w:sz w:val="24"/>
              <w:szCs w:val="24"/>
            </w:rPr>
            <w:t>Nature Geoscience</w:t>
          </w:r>
          <w:r w:rsidRPr="00115EE9">
            <w:rPr>
              <w:rFonts w:ascii="Times New Roman" w:eastAsia="Times New Roman" w:hAnsi="Times New Roman" w:cs="Times New Roman"/>
              <w:color w:val="auto"/>
              <w:sz w:val="24"/>
              <w:szCs w:val="24"/>
            </w:rPr>
            <w:t xml:space="preserve"> </w:t>
          </w:r>
          <w:r w:rsidRPr="00115EE9">
            <w:rPr>
              <w:rFonts w:ascii="Times New Roman" w:eastAsia="Times New Roman" w:hAnsi="Times New Roman" w:cs="Times New Roman"/>
              <w:b/>
              <w:bCs/>
              <w:color w:val="auto"/>
              <w:sz w:val="24"/>
              <w:szCs w:val="24"/>
            </w:rPr>
            <w:t>11</w:t>
          </w:r>
          <w:r w:rsidRPr="00115EE9">
            <w:rPr>
              <w:rFonts w:ascii="Times New Roman" w:eastAsia="Times New Roman" w:hAnsi="Times New Roman" w:cs="Times New Roman"/>
              <w:color w:val="auto"/>
              <w:sz w:val="24"/>
              <w:szCs w:val="24"/>
            </w:rPr>
            <w:t xml:space="preserve">(12), 915–920. </w:t>
          </w:r>
          <w:hyperlink r:id="rId15" w:history="1">
            <w:r w:rsidR="0053402F" w:rsidRPr="00402B2D">
              <w:rPr>
                <w:rStyle w:val="Hipervnculo"/>
                <w:rFonts w:ascii="Times New Roman" w:eastAsia="Times New Roman" w:hAnsi="Times New Roman" w:cs="Times New Roman"/>
                <w:sz w:val="24"/>
                <w:szCs w:val="24"/>
              </w:rPr>
              <w:t>https://doi.org/10.1038/s41561-018-0246-x</w:t>
            </w:r>
          </w:hyperlink>
          <w:r w:rsidRPr="00115EE9">
            <w:rPr>
              <w:rFonts w:ascii="Times New Roman" w:eastAsia="Times New Roman" w:hAnsi="Times New Roman" w:cs="Times New Roman"/>
              <w:color w:val="auto"/>
              <w:sz w:val="24"/>
              <w:szCs w:val="24"/>
            </w:rPr>
            <w:t>.</w:t>
          </w:r>
        </w:p>
        <w:p w14:paraId="326A3173" w14:textId="77777777" w:rsidR="0053402F" w:rsidRPr="0053402F" w:rsidRDefault="0053402F" w:rsidP="0053402F">
          <w:pPr>
            <w:autoSpaceDE w:val="0"/>
            <w:autoSpaceDN w:val="0"/>
            <w:ind w:hanging="480"/>
            <w:divId w:val="378551507"/>
            <w:rPr>
              <w:rFonts w:ascii="Times New Roman" w:hAnsi="Times New Roman" w:cs="Times New Roman"/>
              <w:color w:val="auto"/>
              <w:sz w:val="24"/>
              <w:szCs w:val="24"/>
            </w:rPr>
          </w:pPr>
          <w:r w:rsidRPr="0053402F">
            <w:rPr>
              <w:rFonts w:ascii="Times New Roman" w:hAnsi="Times New Roman" w:cs="Times New Roman"/>
              <w:b/>
              <w:bCs/>
              <w:color w:val="auto"/>
              <w:sz w:val="24"/>
              <w:szCs w:val="24"/>
            </w:rPr>
            <w:t>Zuleta D, Duque A, Cardenas D, Muller‐Landau HC and Davies SJ</w:t>
          </w:r>
          <w:r w:rsidRPr="0053402F">
            <w:rPr>
              <w:rFonts w:ascii="Times New Roman" w:hAnsi="Times New Roman" w:cs="Times New Roman"/>
              <w:color w:val="auto"/>
              <w:sz w:val="24"/>
              <w:szCs w:val="24"/>
            </w:rPr>
            <w:t xml:space="preserve"> (2017) Drought‐induced mortality patterns and rapid biomass recovery in a terra </w:t>
          </w:r>
          <w:proofErr w:type="spellStart"/>
          <w:r w:rsidRPr="0053402F">
            <w:rPr>
              <w:rFonts w:ascii="Times New Roman" w:hAnsi="Times New Roman" w:cs="Times New Roman"/>
              <w:color w:val="auto"/>
              <w:sz w:val="24"/>
              <w:szCs w:val="24"/>
            </w:rPr>
            <w:t>firme</w:t>
          </w:r>
          <w:proofErr w:type="spellEnd"/>
          <w:r w:rsidRPr="0053402F">
            <w:rPr>
              <w:rFonts w:ascii="Times New Roman" w:hAnsi="Times New Roman" w:cs="Times New Roman"/>
              <w:color w:val="auto"/>
              <w:sz w:val="24"/>
              <w:szCs w:val="24"/>
            </w:rPr>
            <w:t xml:space="preserve"> forest in the Colombian Amazon. </w:t>
          </w:r>
          <w:r w:rsidRPr="0053402F">
            <w:rPr>
              <w:rFonts w:ascii="Times New Roman" w:hAnsi="Times New Roman" w:cs="Times New Roman"/>
              <w:i/>
              <w:iCs/>
              <w:color w:val="auto"/>
              <w:sz w:val="24"/>
              <w:szCs w:val="24"/>
            </w:rPr>
            <w:t>Ecology</w:t>
          </w:r>
          <w:r w:rsidRPr="0053402F">
            <w:rPr>
              <w:rFonts w:ascii="Times New Roman" w:hAnsi="Times New Roman" w:cs="Times New Roman"/>
              <w:color w:val="auto"/>
              <w:sz w:val="24"/>
              <w:szCs w:val="24"/>
            </w:rPr>
            <w:t xml:space="preserve"> </w:t>
          </w:r>
          <w:r w:rsidRPr="0053402F">
            <w:rPr>
              <w:rFonts w:ascii="Times New Roman" w:hAnsi="Times New Roman" w:cs="Times New Roman"/>
              <w:b/>
              <w:bCs/>
              <w:color w:val="auto"/>
              <w:sz w:val="24"/>
              <w:szCs w:val="24"/>
            </w:rPr>
            <w:t>98</w:t>
          </w:r>
          <w:r w:rsidRPr="0053402F">
            <w:rPr>
              <w:rFonts w:ascii="Times New Roman" w:hAnsi="Times New Roman" w:cs="Times New Roman"/>
              <w:color w:val="auto"/>
              <w:sz w:val="24"/>
              <w:szCs w:val="24"/>
            </w:rPr>
            <w:t>(10), 2538–2546. https://doi.org/10.1002/ecy.1950.</w:t>
          </w:r>
        </w:p>
        <w:p w14:paraId="21A877A3" w14:textId="1F76E751" w:rsidR="002B1025" w:rsidRPr="00115EE9" w:rsidRDefault="00706B80" w:rsidP="005329FD">
          <w:pPr>
            <w:spacing w:after="0" w:line="240" w:lineRule="auto"/>
            <w:rPr>
              <w:rFonts w:ascii="Times New Roman" w:hAnsi="Times New Roman" w:cs="Times New Roman"/>
              <w:color w:val="auto"/>
              <w:sz w:val="24"/>
              <w:szCs w:val="24"/>
            </w:rPr>
          </w:pPr>
          <w:r w:rsidRPr="00115EE9">
            <w:rPr>
              <w:rFonts w:ascii="Times New Roman" w:eastAsia="Times New Roman" w:hAnsi="Times New Roman" w:cs="Times New Roman"/>
              <w:color w:val="auto"/>
              <w:sz w:val="24"/>
              <w:szCs w:val="24"/>
            </w:rPr>
            <w:t> </w:t>
          </w:r>
        </w:p>
      </w:sdtContent>
    </w:sdt>
    <w:sectPr w:rsidR="002B1025" w:rsidRPr="00115EE9" w:rsidSect="005627F8">
      <w:footerReference w:type="even"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D2745" w14:textId="77777777" w:rsidR="009E5335" w:rsidRDefault="009E5335" w:rsidP="008F7480">
      <w:pPr>
        <w:spacing w:after="0" w:line="240" w:lineRule="auto"/>
      </w:pPr>
      <w:r>
        <w:separator/>
      </w:r>
    </w:p>
  </w:endnote>
  <w:endnote w:type="continuationSeparator" w:id="0">
    <w:p w14:paraId="45C39B96" w14:textId="77777777" w:rsidR="009E5335" w:rsidRDefault="009E5335" w:rsidP="008F7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ucida Grande">
    <w:altName w:val="Segoe UI"/>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FE5BB" w14:textId="77777777" w:rsidR="008F7480" w:rsidRDefault="008F7480" w:rsidP="0079118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4C5F549" w14:textId="77777777" w:rsidR="008F7480" w:rsidRDefault="008F7480" w:rsidP="008F748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4C5AA" w14:textId="77777777" w:rsidR="008F7480" w:rsidRDefault="008F7480" w:rsidP="0079118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C63F6">
      <w:rPr>
        <w:rStyle w:val="Nmerodepgina"/>
        <w:noProof/>
      </w:rPr>
      <w:t>7</w:t>
    </w:r>
    <w:r>
      <w:rPr>
        <w:rStyle w:val="Nmerodepgina"/>
      </w:rPr>
      <w:fldChar w:fldCharType="end"/>
    </w:r>
  </w:p>
  <w:p w14:paraId="71A69D7D" w14:textId="77777777" w:rsidR="008F7480" w:rsidRDefault="008F7480" w:rsidP="008F748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2B687" w14:textId="77777777" w:rsidR="009E5335" w:rsidRDefault="009E5335" w:rsidP="008F7480">
      <w:pPr>
        <w:spacing w:after="0" w:line="240" w:lineRule="auto"/>
      </w:pPr>
      <w:r>
        <w:separator/>
      </w:r>
    </w:p>
  </w:footnote>
  <w:footnote w:type="continuationSeparator" w:id="0">
    <w:p w14:paraId="61710880" w14:textId="77777777" w:rsidR="009E5335" w:rsidRDefault="009E5335" w:rsidP="008F74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E7D"/>
    <w:rsid w:val="000121B9"/>
    <w:rsid w:val="000604CF"/>
    <w:rsid w:val="00060901"/>
    <w:rsid w:val="00067338"/>
    <w:rsid w:val="000849C3"/>
    <w:rsid w:val="00086593"/>
    <w:rsid w:val="000E79CE"/>
    <w:rsid w:val="0011563D"/>
    <w:rsid w:val="00115EE9"/>
    <w:rsid w:val="00121C41"/>
    <w:rsid w:val="00122CD9"/>
    <w:rsid w:val="0015397B"/>
    <w:rsid w:val="0015697A"/>
    <w:rsid w:val="0019460A"/>
    <w:rsid w:val="00196C0C"/>
    <w:rsid w:val="001B524B"/>
    <w:rsid w:val="001E5229"/>
    <w:rsid w:val="00222D06"/>
    <w:rsid w:val="0023446A"/>
    <w:rsid w:val="00243520"/>
    <w:rsid w:val="00245683"/>
    <w:rsid w:val="002564BA"/>
    <w:rsid w:val="0026068C"/>
    <w:rsid w:val="00281617"/>
    <w:rsid w:val="00290887"/>
    <w:rsid w:val="002944D5"/>
    <w:rsid w:val="002975BD"/>
    <w:rsid w:val="002B1025"/>
    <w:rsid w:val="002B2867"/>
    <w:rsid w:val="002C7DC6"/>
    <w:rsid w:val="002D0243"/>
    <w:rsid w:val="002F0EB4"/>
    <w:rsid w:val="002F552B"/>
    <w:rsid w:val="00305781"/>
    <w:rsid w:val="00325A0C"/>
    <w:rsid w:val="003601A0"/>
    <w:rsid w:val="00376006"/>
    <w:rsid w:val="0038262C"/>
    <w:rsid w:val="003B23F7"/>
    <w:rsid w:val="003B687F"/>
    <w:rsid w:val="003B6B9E"/>
    <w:rsid w:val="003D26D9"/>
    <w:rsid w:val="003F30A1"/>
    <w:rsid w:val="003F604C"/>
    <w:rsid w:val="00414F0D"/>
    <w:rsid w:val="00430D3F"/>
    <w:rsid w:val="004660DF"/>
    <w:rsid w:val="004A5E7D"/>
    <w:rsid w:val="004C63F6"/>
    <w:rsid w:val="004E21EB"/>
    <w:rsid w:val="00513D10"/>
    <w:rsid w:val="00522FE9"/>
    <w:rsid w:val="00524139"/>
    <w:rsid w:val="005329FD"/>
    <w:rsid w:val="0053402F"/>
    <w:rsid w:val="005627F8"/>
    <w:rsid w:val="00577F89"/>
    <w:rsid w:val="00595C3D"/>
    <w:rsid w:val="005A2890"/>
    <w:rsid w:val="005C7076"/>
    <w:rsid w:val="005E6265"/>
    <w:rsid w:val="0064073E"/>
    <w:rsid w:val="006505F8"/>
    <w:rsid w:val="0065279E"/>
    <w:rsid w:val="00666B7B"/>
    <w:rsid w:val="00672DC0"/>
    <w:rsid w:val="006765B2"/>
    <w:rsid w:val="00692C7B"/>
    <w:rsid w:val="0069767E"/>
    <w:rsid w:val="006F0204"/>
    <w:rsid w:val="00702659"/>
    <w:rsid w:val="00703C06"/>
    <w:rsid w:val="00706B80"/>
    <w:rsid w:val="00706BE1"/>
    <w:rsid w:val="00724DF3"/>
    <w:rsid w:val="0074428A"/>
    <w:rsid w:val="00745465"/>
    <w:rsid w:val="0079137B"/>
    <w:rsid w:val="00791F88"/>
    <w:rsid w:val="007C49C5"/>
    <w:rsid w:val="007D0535"/>
    <w:rsid w:val="007D5911"/>
    <w:rsid w:val="007F2196"/>
    <w:rsid w:val="00826479"/>
    <w:rsid w:val="00843A8B"/>
    <w:rsid w:val="0084650A"/>
    <w:rsid w:val="00853E40"/>
    <w:rsid w:val="00860BBC"/>
    <w:rsid w:val="00864EA6"/>
    <w:rsid w:val="008A5F15"/>
    <w:rsid w:val="008A7CA5"/>
    <w:rsid w:val="008F7480"/>
    <w:rsid w:val="0091217C"/>
    <w:rsid w:val="00947710"/>
    <w:rsid w:val="0095029D"/>
    <w:rsid w:val="00953069"/>
    <w:rsid w:val="0095517E"/>
    <w:rsid w:val="009758AF"/>
    <w:rsid w:val="009914B9"/>
    <w:rsid w:val="009A3F7E"/>
    <w:rsid w:val="009C7B3B"/>
    <w:rsid w:val="009E329E"/>
    <w:rsid w:val="009E5335"/>
    <w:rsid w:val="009F1607"/>
    <w:rsid w:val="009F67BD"/>
    <w:rsid w:val="00A52681"/>
    <w:rsid w:val="00A65999"/>
    <w:rsid w:val="00AC1566"/>
    <w:rsid w:val="00AF2D77"/>
    <w:rsid w:val="00B113E3"/>
    <w:rsid w:val="00B1467E"/>
    <w:rsid w:val="00B3042A"/>
    <w:rsid w:val="00B35FE6"/>
    <w:rsid w:val="00B36425"/>
    <w:rsid w:val="00B40FD9"/>
    <w:rsid w:val="00B60F70"/>
    <w:rsid w:val="00B63ACD"/>
    <w:rsid w:val="00B74BF0"/>
    <w:rsid w:val="00BA08AD"/>
    <w:rsid w:val="00BE0213"/>
    <w:rsid w:val="00C60EA9"/>
    <w:rsid w:val="00C727E2"/>
    <w:rsid w:val="00C769E5"/>
    <w:rsid w:val="00C76D98"/>
    <w:rsid w:val="00C978E0"/>
    <w:rsid w:val="00CD4458"/>
    <w:rsid w:val="00CE338E"/>
    <w:rsid w:val="00CE5B4C"/>
    <w:rsid w:val="00D262E3"/>
    <w:rsid w:val="00D34DCB"/>
    <w:rsid w:val="00D40C56"/>
    <w:rsid w:val="00DB2CE0"/>
    <w:rsid w:val="00DD2BF8"/>
    <w:rsid w:val="00DD3637"/>
    <w:rsid w:val="00DD72F7"/>
    <w:rsid w:val="00DF33D2"/>
    <w:rsid w:val="00DF5078"/>
    <w:rsid w:val="00E1594D"/>
    <w:rsid w:val="00E35F03"/>
    <w:rsid w:val="00E546E5"/>
    <w:rsid w:val="00E642A0"/>
    <w:rsid w:val="00E66F21"/>
    <w:rsid w:val="00E71A78"/>
    <w:rsid w:val="00E819FE"/>
    <w:rsid w:val="00E85C98"/>
    <w:rsid w:val="00E956BE"/>
    <w:rsid w:val="00ED3239"/>
    <w:rsid w:val="00ED6E16"/>
    <w:rsid w:val="00ED79FA"/>
    <w:rsid w:val="00EE365A"/>
    <w:rsid w:val="00F25CC4"/>
    <w:rsid w:val="00F26DCF"/>
    <w:rsid w:val="00F65F1B"/>
    <w:rsid w:val="00F90912"/>
    <w:rsid w:val="00F90BC4"/>
    <w:rsid w:val="00FA55F1"/>
    <w:rsid w:val="00FB78F5"/>
    <w:rsid w:val="00FE538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B68C5D"/>
  <w14:defaultImageDpi w14:val="300"/>
  <w15:docId w15:val="{0E4CA944-5AE5-734C-BBED-044DC415E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5E7D"/>
    <w:pPr>
      <w:spacing w:after="200" w:line="276" w:lineRule="auto"/>
    </w:pPr>
    <w:rPr>
      <w:rFonts w:eastAsiaTheme="minorHAnsi" w:cstheme="minorHAnsi"/>
      <w:color w:val="17365D" w:themeColor="text2" w:themeShade="BF"/>
      <w:sz w:val="20"/>
      <w:szCs w:val="20"/>
      <w:lang w:val="en-U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4A5E7D"/>
    <w:rPr>
      <w:rFonts w:asciiTheme="majorHAnsi" w:hAnsiTheme="majorHAnsi"/>
      <w:smallCaps/>
      <w:color w:val="4F81BD" w:themeColor="accent1"/>
      <w:spacing w:val="10"/>
      <w:sz w:val="48"/>
      <w:szCs w:val="48"/>
    </w:rPr>
  </w:style>
  <w:style w:type="character" w:customStyle="1" w:styleId="TtuloCar">
    <w:name w:val="Título Car"/>
    <w:basedOn w:val="Fuentedeprrafopredeter"/>
    <w:link w:val="Ttulo"/>
    <w:uiPriority w:val="10"/>
    <w:rsid w:val="004A5E7D"/>
    <w:rPr>
      <w:rFonts w:asciiTheme="majorHAnsi" w:eastAsiaTheme="minorHAnsi" w:hAnsiTheme="majorHAnsi" w:cstheme="minorHAnsi"/>
      <w:smallCaps/>
      <w:color w:val="4F81BD" w:themeColor="accent1"/>
      <w:spacing w:val="10"/>
      <w:sz w:val="48"/>
      <w:szCs w:val="48"/>
      <w:lang w:val="en-US" w:eastAsia="ja-JP"/>
    </w:rPr>
  </w:style>
  <w:style w:type="paragraph" w:styleId="Textodeglobo">
    <w:name w:val="Balloon Text"/>
    <w:basedOn w:val="Normal"/>
    <w:link w:val="TextodegloboCar"/>
    <w:uiPriority w:val="99"/>
    <w:semiHidden/>
    <w:unhideWhenUsed/>
    <w:rsid w:val="00E85C98"/>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5C98"/>
    <w:rPr>
      <w:rFonts w:ascii="Lucida Grande" w:eastAsiaTheme="minorHAnsi" w:hAnsi="Lucida Grande" w:cs="Lucida Grande"/>
      <w:color w:val="17365D" w:themeColor="text2" w:themeShade="BF"/>
      <w:sz w:val="18"/>
      <w:szCs w:val="18"/>
      <w:lang w:val="en-US" w:eastAsia="ja-JP"/>
    </w:rPr>
  </w:style>
  <w:style w:type="paragraph" w:styleId="Piedepgina">
    <w:name w:val="footer"/>
    <w:basedOn w:val="Normal"/>
    <w:link w:val="PiedepginaCar"/>
    <w:uiPriority w:val="99"/>
    <w:unhideWhenUsed/>
    <w:rsid w:val="008F74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7480"/>
    <w:rPr>
      <w:rFonts w:eastAsiaTheme="minorHAnsi" w:cstheme="minorHAnsi"/>
      <w:color w:val="17365D" w:themeColor="text2" w:themeShade="BF"/>
      <w:sz w:val="20"/>
      <w:szCs w:val="20"/>
      <w:lang w:val="en-US" w:eastAsia="ja-JP"/>
    </w:rPr>
  </w:style>
  <w:style w:type="character" w:styleId="Nmerodepgina">
    <w:name w:val="page number"/>
    <w:basedOn w:val="Fuentedeprrafopredeter"/>
    <w:uiPriority w:val="99"/>
    <w:semiHidden/>
    <w:unhideWhenUsed/>
    <w:rsid w:val="008F7480"/>
  </w:style>
  <w:style w:type="character" w:styleId="Nmerodelnea">
    <w:name w:val="line number"/>
    <w:basedOn w:val="Fuentedeprrafopredeter"/>
    <w:uiPriority w:val="99"/>
    <w:semiHidden/>
    <w:unhideWhenUsed/>
    <w:rsid w:val="00B74BF0"/>
    <w:rPr>
      <w:rFonts w:ascii="Times New Roman" w:hAnsi="Times New Roman" w:cs="Times New Roman" w:hint="default"/>
      <w:sz w:val="24"/>
    </w:rPr>
  </w:style>
  <w:style w:type="paragraph" w:styleId="Revisin">
    <w:name w:val="Revision"/>
    <w:hidden/>
    <w:uiPriority w:val="99"/>
    <w:semiHidden/>
    <w:rsid w:val="00430D3F"/>
    <w:rPr>
      <w:rFonts w:eastAsiaTheme="minorHAnsi" w:cstheme="minorHAnsi"/>
      <w:color w:val="17365D" w:themeColor="text2" w:themeShade="BF"/>
      <w:sz w:val="20"/>
      <w:szCs w:val="20"/>
      <w:lang w:val="en-US" w:eastAsia="ja-JP"/>
    </w:rPr>
  </w:style>
  <w:style w:type="character" w:styleId="Refdecomentario">
    <w:name w:val="annotation reference"/>
    <w:basedOn w:val="Fuentedeprrafopredeter"/>
    <w:uiPriority w:val="99"/>
    <w:semiHidden/>
    <w:unhideWhenUsed/>
    <w:qFormat/>
    <w:rsid w:val="00430D3F"/>
    <w:rPr>
      <w:sz w:val="16"/>
      <w:szCs w:val="16"/>
    </w:rPr>
  </w:style>
  <w:style w:type="paragraph" w:styleId="Textocomentario">
    <w:name w:val="annotation text"/>
    <w:basedOn w:val="Normal"/>
    <w:link w:val="TextocomentarioCar"/>
    <w:uiPriority w:val="99"/>
    <w:unhideWhenUsed/>
    <w:qFormat/>
    <w:rsid w:val="00430D3F"/>
    <w:pPr>
      <w:spacing w:line="240" w:lineRule="auto"/>
    </w:pPr>
  </w:style>
  <w:style w:type="character" w:customStyle="1" w:styleId="TextocomentarioCar">
    <w:name w:val="Texto comentario Car"/>
    <w:basedOn w:val="Fuentedeprrafopredeter"/>
    <w:link w:val="Textocomentario"/>
    <w:uiPriority w:val="99"/>
    <w:rsid w:val="00430D3F"/>
    <w:rPr>
      <w:rFonts w:eastAsiaTheme="minorHAnsi" w:cstheme="minorHAnsi"/>
      <w:color w:val="17365D" w:themeColor="text2" w:themeShade="BF"/>
      <w:sz w:val="20"/>
      <w:szCs w:val="20"/>
      <w:lang w:val="en-US" w:eastAsia="ja-JP"/>
    </w:rPr>
  </w:style>
  <w:style w:type="paragraph" w:styleId="Asuntodelcomentario">
    <w:name w:val="annotation subject"/>
    <w:basedOn w:val="Textocomentario"/>
    <w:next w:val="Textocomentario"/>
    <w:link w:val="AsuntodelcomentarioCar"/>
    <w:uiPriority w:val="99"/>
    <w:semiHidden/>
    <w:unhideWhenUsed/>
    <w:rsid w:val="00430D3F"/>
    <w:rPr>
      <w:b/>
      <w:bCs/>
    </w:rPr>
  </w:style>
  <w:style w:type="character" w:customStyle="1" w:styleId="AsuntodelcomentarioCar">
    <w:name w:val="Asunto del comentario Car"/>
    <w:basedOn w:val="TextocomentarioCar"/>
    <w:link w:val="Asuntodelcomentario"/>
    <w:uiPriority w:val="99"/>
    <w:semiHidden/>
    <w:rsid w:val="00430D3F"/>
    <w:rPr>
      <w:rFonts w:eastAsiaTheme="minorHAnsi" w:cstheme="minorHAnsi"/>
      <w:b/>
      <w:bCs/>
      <w:color w:val="17365D" w:themeColor="text2" w:themeShade="BF"/>
      <w:sz w:val="20"/>
      <w:szCs w:val="20"/>
      <w:lang w:val="en-US" w:eastAsia="ja-JP"/>
    </w:rPr>
  </w:style>
  <w:style w:type="character" w:styleId="Textodelmarcadordeposicin">
    <w:name w:val="Placeholder Text"/>
    <w:basedOn w:val="Fuentedeprrafopredeter"/>
    <w:uiPriority w:val="99"/>
    <w:semiHidden/>
    <w:rsid w:val="0091217C"/>
    <w:rPr>
      <w:color w:val="666666"/>
    </w:rPr>
  </w:style>
  <w:style w:type="paragraph" w:styleId="NormalWeb">
    <w:name w:val="Normal (Web)"/>
    <w:basedOn w:val="Normal"/>
    <w:uiPriority w:val="99"/>
    <w:unhideWhenUsed/>
    <w:rsid w:val="0074428A"/>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Hipervnculo">
    <w:name w:val="Hyperlink"/>
    <w:basedOn w:val="Fuentedeprrafopredeter"/>
    <w:uiPriority w:val="99"/>
    <w:unhideWhenUsed/>
    <w:rsid w:val="0074428A"/>
    <w:rPr>
      <w:color w:val="0000FF" w:themeColor="hyperlink"/>
      <w:u w:val="single"/>
    </w:rPr>
  </w:style>
  <w:style w:type="character" w:styleId="Mencinsinresolver">
    <w:name w:val="Unresolved Mention"/>
    <w:basedOn w:val="Fuentedeprrafopredeter"/>
    <w:uiPriority w:val="99"/>
    <w:semiHidden/>
    <w:unhideWhenUsed/>
    <w:rsid w:val="00534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751412">
      <w:bodyDiv w:val="1"/>
      <w:marLeft w:val="0"/>
      <w:marRight w:val="0"/>
      <w:marTop w:val="0"/>
      <w:marBottom w:val="0"/>
      <w:divBdr>
        <w:top w:val="none" w:sz="0" w:space="0" w:color="auto"/>
        <w:left w:val="none" w:sz="0" w:space="0" w:color="auto"/>
        <w:bottom w:val="none" w:sz="0" w:space="0" w:color="auto"/>
        <w:right w:val="none" w:sz="0" w:space="0" w:color="auto"/>
      </w:divBdr>
    </w:div>
    <w:div w:id="177894845">
      <w:bodyDiv w:val="1"/>
      <w:marLeft w:val="0"/>
      <w:marRight w:val="0"/>
      <w:marTop w:val="0"/>
      <w:marBottom w:val="0"/>
      <w:divBdr>
        <w:top w:val="none" w:sz="0" w:space="0" w:color="auto"/>
        <w:left w:val="none" w:sz="0" w:space="0" w:color="auto"/>
        <w:bottom w:val="none" w:sz="0" w:space="0" w:color="auto"/>
        <w:right w:val="none" w:sz="0" w:space="0" w:color="auto"/>
      </w:divBdr>
    </w:div>
    <w:div w:id="211158343">
      <w:bodyDiv w:val="1"/>
      <w:marLeft w:val="0"/>
      <w:marRight w:val="0"/>
      <w:marTop w:val="0"/>
      <w:marBottom w:val="0"/>
      <w:divBdr>
        <w:top w:val="none" w:sz="0" w:space="0" w:color="auto"/>
        <w:left w:val="none" w:sz="0" w:space="0" w:color="auto"/>
        <w:bottom w:val="none" w:sz="0" w:space="0" w:color="auto"/>
        <w:right w:val="none" w:sz="0" w:space="0" w:color="auto"/>
      </w:divBdr>
      <w:divsChild>
        <w:div w:id="1423915127">
          <w:marLeft w:val="480"/>
          <w:marRight w:val="0"/>
          <w:marTop w:val="0"/>
          <w:marBottom w:val="0"/>
          <w:divBdr>
            <w:top w:val="none" w:sz="0" w:space="0" w:color="auto"/>
            <w:left w:val="none" w:sz="0" w:space="0" w:color="auto"/>
            <w:bottom w:val="none" w:sz="0" w:space="0" w:color="auto"/>
            <w:right w:val="none" w:sz="0" w:space="0" w:color="auto"/>
          </w:divBdr>
        </w:div>
        <w:div w:id="1306276570">
          <w:marLeft w:val="480"/>
          <w:marRight w:val="0"/>
          <w:marTop w:val="0"/>
          <w:marBottom w:val="0"/>
          <w:divBdr>
            <w:top w:val="none" w:sz="0" w:space="0" w:color="auto"/>
            <w:left w:val="none" w:sz="0" w:space="0" w:color="auto"/>
            <w:bottom w:val="none" w:sz="0" w:space="0" w:color="auto"/>
            <w:right w:val="none" w:sz="0" w:space="0" w:color="auto"/>
          </w:divBdr>
        </w:div>
        <w:div w:id="1572541628">
          <w:marLeft w:val="480"/>
          <w:marRight w:val="0"/>
          <w:marTop w:val="0"/>
          <w:marBottom w:val="0"/>
          <w:divBdr>
            <w:top w:val="none" w:sz="0" w:space="0" w:color="auto"/>
            <w:left w:val="none" w:sz="0" w:space="0" w:color="auto"/>
            <w:bottom w:val="none" w:sz="0" w:space="0" w:color="auto"/>
            <w:right w:val="none" w:sz="0" w:space="0" w:color="auto"/>
          </w:divBdr>
        </w:div>
      </w:divsChild>
    </w:div>
    <w:div w:id="232930985">
      <w:bodyDiv w:val="1"/>
      <w:marLeft w:val="0"/>
      <w:marRight w:val="0"/>
      <w:marTop w:val="0"/>
      <w:marBottom w:val="0"/>
      <w:divBdr>
        <w:top w:val="none" w:sz="0" w:space="0" w:color="auto"/>
        <w:left w:val="none" w:sz="0" w:space="0" w:color="auto"/>
        <w:bottom w:val="none" w:sz="0" w:space="0" w:color="auto"/>
        <w:right w:val="none" w:sz="0" w:space="0" w:color="auto"/>
      </w:divBdr>
      <w:divsChild>
        <w:div w:id="437992091">
          <w:marLeft w:val="480"/>
          <w:marRight w:val="0"/>
          <w:marTop w:val="0"/>
          <w:marBottom w:val="0"/>
          <w:divBdr>
            <w:top w:val="none" w:sz="0" w:space="0" w:color="auto"/>
            <w:left w:val="none" w:sz="0" w:space="0" w:color="auto"/>
            <w:bottom w:val="none" w:sz="0" w:space="0" w:color="auto"/>
            <w:right w:val="none" w:sz="0" w:space="0" w:color="auto"/>
          </w:divBdr>
        </w:div>
        <w:div w:id="892355231">
          <w:marLeft w:val="480"/>
          <w:marRight w:val="0"/>
          <w:marTop w:val="0"/>
          <w:marBottom w:val="0"/>
          <w:divBdr>
            <w:top w:val="none" w:sz="0" w:space="0" w:color="auto"/>
            <w:left w:val="none" w:sz="0" w:space="0" w:color="auto"/>
            <w:bottom w:val="none" w:sz="0" w:space="0" w:color="auto"/>
            <w:right w:val="none" w:sz="0" w:space="0" w:color="auto"/>
          </w:divBdr>
        </w:div>
        <w:div w:id="2045593452">
          <w:marLeft w:val="480"/>
          <w:marRight w:val="0"/>
          <w:marTop w:val="0"/>
          <w:marBottom w:val="0"/>
          <w:divBdr>
            <w:top w:val="none" w:sz="0" w:space="0" w:color="auto"/>
            <w:left w:val="none" w:sz="0" w:space="0" w:color="auto"/>
            <w:bottom w:val="none" w:sz="0" w:space="0" w:color="auto"/>
            <w:right w:val="none" w:sz="0" w:space="0" w:color="auto"/>
          </w:divBdr>
        </w:div>
      </w:divsChild>
    </w:div>
    <w:div w:id="510293624">
      <w:bodyDiv w:val="1"/>
      <w:marLeft w:val="0"/>
      <w:marRight w:val="0"/>
      <w:marTop w:val="0"/>
      <w:marBottom w:val="0"/>
      <w:divBdr>
        <w:top w:val="none" w:sz="0" w:space="0" w:color="auto"/>
        <w:left w:val="none" w:sz="0" w:space="0" w:color="auto"/>
        <w:bottom w:val="none" w:sz="0" w:space="0" w:color="auto"/>
        <w:right w:val="none" w:sz="0" w:space="0" w:color="auto"/>
      </w:divBdr>
    </w:div>
    <w:div w:id="559248907">
      <w:bodyDiv w:val="1"/>
      <w:marLeft w:val="0"/>
      <w:marRight w:val="0"/>
      <w:marTop w:val="0"/>
      <w:marBottom w:val="0"/>
      <w:divBdr>
        <w:top w:val="none" w:sz="0" w:space="0" w:color="auto"/>
        <w:left w:val="none" w:sz="0" w:space="0" w:color="auto"/>
        <w:bottom w:val="none" w:sz="0" w:space="0" w:color="auto"/>
        <w:right w:val="none" w:sz="0" w:space="0" w:color="auto"/>
      </w:divBdr>
    </w:div>
    <w:div w:id="654142693">
      <w:bodyDiv w:val="1"/>
      <w:marLeft w:val="0"/>
      <w:marRight w:val="0"/>
      <w:marTop w:val="0"/>
      <w:marBottom w:val="0"/>
      <w:divBdr>
        <w:top w:val="none" w:sz="0" w:space="0" w:color="auto"/>
        <w:left w:val="none" w:sz="0" w:space="0" w:color="auto"/>
        <w:bottom w:val="none" w:sz="0" w:space="0" w:color="auto"/>
        <w:right w:val="none" w:sz="0" w:space="0" w:color="auto"/>
      </w:divBdr>
    </w:div>
    <w:div w:id="805969544">
      <w:bodyDiv w:val="1"/>
      <w:marLeft w:val="0"/>
      <w:marRight w:val="0"/>
      <w:marTop w:val="0"/>
      <w:marBottom w:val="0"/>
      <w:divBdr>
        <w:top w:val="none" w:sz="0" w:space="0" w:color="auto"/>
        <w:left w:val="none" w:sz="0" w:space="0" w:color="auto"/>
        <w:bottom w:val="none" w:sz="0" w:space="0" w:color="auto"/>
        <w:right w:val="none" w:sz="0" w:space="0" w:color="auto"/>
      </w:divBdr>
    </w:div>
    <w:div w:id="829830426">
      <w:bodyDiv w:val="1"/>
      <w:marLeft w:val="0"/>
      <w:marRight w:val="0"/>
      <w:marTop w:val="0"/>
      <w:marBottom w:val="0"/>
      <w:divBdr>
        <w:top w:val="none" w:sz="0" w:space="0" w:color="auto"/>
        <w:left w:val="none" w:sz="0" w:space="0" w:color="auto"/>
        <w:bottom w:val="none" w:sz="0" w:space="0" w:color="auto"/>
        <w:right w:val="none" w:sz="0" w:space="0" w:color="auto"/>
      </w:divBdr>
    </w:div>
    <w:div w:id="871071448">
      <w:bodyDiv w:val="1"/>
      <w:marLeft w:val="0"/>
      <w:marRight w:val="0"/>
      <w:marTop w:val="0"/>
      <w:marBottom w:val="0"/>
      <w:divBdr>
        <w:top w:val="none" w:sz="0" w:space="0" w:color="auto"/>
        <w:left w:val="none" w:sz="0" w:space="0" w:color="auto"/>
        <w:bottom w:val="none" w:sz="0" w:space="0" w:color="auto"/>
        <w:right w:val="none" w:sz="0" w:space="0" w:color="auto"/>
      </w:divBdr>
    </w:div>
    <w:div w:id="889458416">
      <w:bodyDiv w:val="1"/>
      <w:marLeft w:val="0"/>
      <w:marRight w:val="0"/>
      <w:marTop w:val="0"/>
      <w:marBottom w:val="0"/>
      <w:divBdr>
        <w:top w:val="none" w:sz="0" w:space="0" w:color="auto"/>
        <w:left w:val="none" w:sz="0" w:space="0" w:color="auto"/>
        <w:bottom w:val="none" w:sz="0" w:space="0" w:color="auto"/>
        <w:right w:val="none" w:sz="0" w:space="0" w:color="auto"/>
      </w:divBdr>
    </w:div>
    <w:div w:id="902133640">
      <w:bodyDiv w:val="1"/>
      <w:marLeft w:val="0"/>
      <w:marRight w:val="0"/>
      <w:marTop w:val="0"/>
      <w:marBottom w:val="0"/>
      <w:divBdr>
        <w:top w:val="none" w:sz="0" w:space="0" w:color="auto"/>
        <w:left w:val="none" w:sz="0" w:space="0" w:color="auto"/>
        <w:bottom w:val="none" w:sz="0" w:space="0" w:color="auto"/>
        <w:right w:val="none" w:sz="0" w:space="0" w:color="auto"/>
      </w:divBdr>
    </w:div>
    <w:div w:id="958299491">
      <w:bodyDiv w:val="1"/>
      <w:marLeft w:val="0"/>
      <w:marRight w:val="0"/>
      <w:marTop w:val="0"/>
      <w:marBottom w:val="0"/>
      <w:divBdr>
        <w:top w:val="none" w:sz="0" w:space="0" w:color="auto"/>
        <w:left w:val="none" w:sz="0" w:space="0" w:color="auto"/>
        <w:bottom w:val="none" w:sz="0" w:space="0" w:color="auto"/>
        <w:right w:val="none" w:sz="0" w:space="0" w:color="auto"/>
      </w:divBdr>
    </w:div>
    <w:div w:id="1047994451">
      <w:bodyDiv w:val="1"/>
      <w:marLeft w:val="0"/>
      <w:marRight w:val="0"/>
      <w:marTop w:val="0"/>
      <w:marBottom w:val="0"/>
      <w:divBdr>
        <w:top w:val="none" w:sz="0" w:space="0" w:color="auto"/>
        <w:left w:val="none" w:sz="0" w:space="0" w:color="auto"/>
        <w:bottom w:val="none" w:sz="0" w:space="0" w:color="auto"/>
        <w:right w:val="none" w:sz="0" w:space="0" w:color="auto"/>
      </w:divBdr>
    </w:div>
    <w:div w:id="1070735186">
      <w:bodyDiv w:val="1"/>
      <w:marLeft w:val="0"/>
      <w:marRight w:val="0"/>
      <w:marTop w:val="0"/>
      <w:marBottom w:val="0"/>
      <w:divBdr>
        <w:top w:val="none" w:sz="0" w:space="0" w:color="auto"/>
        <w:left w:val="none" w:sz="0" w:space="0" w:color="auto"/>
        <w:bottom w:val="none" w:sz="0" w:space="0" w:color="auto"/>
        <w:right w:val="none" w:sz="0" w:space="0" w:color="auto"/>
      </w:divBdr>
    </w:div>
    <w:div w:id="1093479518">
      <w:bodyDiv w:val="1"/>
      <w:marLeft w:val="0"/>
      <w:marRight w:val="0"/>
      <w:marTop w:val="0"/>
      <w:marBottom w:val="0"/>
      <w:divBdr>
        <w:top w:val="none" w:sz="0" w:space="0" w:color="auto"/>
        <w:left w:val="none" w:sz="0" w:space="0" w:color="auto"/>
        <w:bottom w:val="none" w:sz="0" w:space="0" w:color="auto"/>
        <w:right w:val="none" w:sz="0" w:space="0" w:color="auto"/>
      </w:divBdr>
    </w:div>
    <w:div w:id="1093746333">
      <w:bodyDiv w:val="1"/>
      <w:marLeft w:val="0"/>
      <w:marRight w:val="0"/>
      <w:marTop w:val="0"/>
      <w:marBottom w:val="0"/>
      <w:divBdr>
        <w:top w:val="none" w:sz="0" w:space="0" w:color="auto"/>
        <w:left w:val="none" w:sz="0" w:space="0" w:color="auto"/>
        <w:bottom w:val="none" w:sz="0" w:space="0" w:color="auto"/>
        <w:right w:val="none" w:sz="0" w:space="0" w:color="auto"/>
      </w:divBdr>
    </w:div>
    <w:div w:id="1477994254">
      <w:bodyDiv w:val="1"/>
      <w:marLeft w:val="0"/>
      <w:marRight w:val="0"/>
      <w:marTop w:val="0"/>
      <w:marBottom w:val="0"/>
      <w:divBdr>
        <w:top w:val="none" w:sz="0" w:space="0" w:color="auto"/>
        <w:left w:val="none" w:sz="0" w:space="0" w:color="auto"/>
        <w:bottom w:val="none" w:sz="0" w:space="0" w:color="auto"/>
        <w:right w:val="none" w:sz="0" w:space="0" w:color="auto"/>
      </w:divBdr>
      <w:divsChild>
        <w:div w:id="1417433324">
          <w:marLeft w:val="480"/>
          <w:marRight w:val="0"/>
          <w:marTop w:val="0"/>
          <w:marBottom w:val="0"/>
          <w:divBdr>
            <w:top w:val="none" w:sz="0" w:space="0" w:color="auto"/>
            <w:left w:val="none" w:sz="0" w:space="0" w:color="auto"/>
            <w:bottom w:val="none" w:sz="0" w:space="0" w:color="auto"/>
            <w:right w:val="none" w:sz="0" w:space="0" w:color="auto"/>
          </w:divBdr>
        </w:div>
        <w:div w:id="1158379784">
          <w:marLeft w:val="480"/>
          <w:marRight w:val="0"/>
          <w:marTop w:val="0"/>
          <w:marBottom w:val="0"/>
          <w:divBdr>
            <w:top w:val="none" w:sz="0" w:space="0" w:color="auto"/>
            <w:left w:val="none" w:sz="0" w:space="0" w:color="auto"/>
            <w:bottom w:val="none" w:sz="0" w:space="0" w:color="auto"/>
            <w:right w:val="none" w:sz="0" w:space="0" w:color="auto"/>
          </w:divBdr>
        </w:div>
        <w:div w:id="378551507">
          <w:marLeft w:val="480"/>
          <w:marRight w:val="0"/>
          <w:marTop w:val="0"/>
          <w:marBottom w:val="0"/>
          <w:divBdr>
            <w:top w:val="none" w:sz="0" w:space="0" w:color="auto"/>
            <w:left w:val="none" w:sz="0" w:space="0" w:color="auto"/>
            <w:bottom w:val="none" w:sz="0" w:space="0" w:color="auto"/>
            <w:right w:val="none" w:sz="0" w:space="0" w:color="auto"/>
          </w:divBdr>
        </w:div>
      </w:divsChild>
    </w:div>
    <w:div w:id="1521702777">
      <w:bodyDiv w:val="1"/>
      <w:marLeft w:val="0"/>
      <w:marRight w:val="0"/>
      <w:marTop w:val="0"/>
      <w:marBottom w:val="0"/>
      <w:divBdr>
        <w:top w:val="none" w:sz="0" w:space="0" w:color="auto"/>
        <w:left w:val="none" w:sz="0" w:space="0" w:color="auto"/>
        <w:bottom w:val="none" w:sz="0" w:space="0" w:color="auto"/>
        <w:right w:val="none" w:sz="0" w:space="0" w:color="auto"/>
      </w:divBdr>
    </w:div>
    <w:div w:id="1583948480">
      <w:bodyDiv w:val="1"/>
      <w:marLeft w:val="0"/>
      <w:marRight w:val="0"/>
      <w:marTop w:val="0"/>
      <w:marBottom w:val="0"/>
      <w:divBdr>
        <w:top w:val="none" w:sz="0" w:space="0" w:color="auto"/>
        <w:left w:val="none" w:sz="0" w:space="0" w:color="auto"/>
        <w:bottom w:val="none" w:sz="0" w:space="0" w:color="auto"/>
        <w:right w:val="none" w:sz="0" w:space="0" w:color="auto"/>
      </w:divBdr>
    </w:div>
    <w:div w:id="1619490835">
      <w:bodyDiv w:val="1"/>
      <w:marLeft w:val="0"/>
      <w:marRight w:val="0"/>
      <w:marTop w:val="0"/>
      <w:marBottom w:val="0"/>
      <w:divBdr>
        <w:top w:val="none" w:sz="0" w:space="0" w:color="auto"/>
        <w:left w:val="none" w:sz="0" w:space="0" w:color="auto"/>
        <w:bottom w:val="none" w:sz="0" w:space="0" w:color="auto"/>
        <w:right w:val="none" w:sz="0" w:space="0" w:color="auto"/>
      </w:divBdr>
      <w:divsChild>
        <w:div w:id="1001079802">
          <w:marLeft w:val="480"/>
          <w:marRight w:val="0"/>
          <w:marTop w:val="0"/>
          <w:marBottom w:val="0"/>
          <w:divBdr>
            <w:top w:val="none" w:sz="0" w:space="0" w:color="auto"/>
            <w:left w:val="none" w:sz="0" w:space="0" w:color="auto"/>
            <w:bottom w:val="none" w:sz="0" w:space="0" w:color="auto"/>
            <w:right w:val="none" w:sz="0" w:space="0" w:color="auto"/>
          </w:divBdr>
        </w:div>
        <w:div w:id="1045107716">
          <w:marLeft w:val="480"/>
          <w:marRight w:val="0"/>
          <w:marTop w:val="0"/>
          <w:marBottom w:val="0"/>
          <w:divBdr>
            <w:top w:val="none" w:sz="0" w:space="0" w:color="auto"/>
            <w:left w:val="none" w:sz="0" w:space="0" w:color="auto"/>
            <w:bottom w:val="none" w:sz="0" w:space="0" w:color="auto"/>
            <w:right w:val="none" w:sz="0" w:space="0" w:color="auto"/>
          </w:divBdr>
        </w:div>
        <w:div w:id="1269583120">
          <w:marLeft w:val="480"/>
          <w:marRight w:val="0"/>
          <w:marTop w:val="0"/>
          <w:marBottom w:val="0"/>
          <w:divBdr>
            <w:top w:val="none" w:sz="0" w:space="0" w:color="auto"/>
            <w:left w:val="none" w:sz="0" w:space="0" w:color="auto"/>
            <w:bottom w:val="none" w:sz="0" w:space="0" w:color="auto"/>
            <w:right w:val="none" w:sz="0" w:space="0" w:color="auto"/>
          </w:divBdr>
        </w:div>
      </w:divsChild>
    </w:div>
    <w:div w:id="1697194456">
      <w:bodyDiv w:val="1"/>
      <w:marLeft w:val="0"/>
      <w:marRight w:val="0"/>
      <w:marTop w:val="0"/>
      <w:marBottom w:val="0"/>
      <w:divBdr>
        <w:top w:val="none" w:sz="0" w:space="0" w:color="auto"/>
        <w:left w:val="none" w:sz="0" w:space="0" w:color="auto"/>
        <w:bottom w:val="none" w:sz="0" w:space="0" w:color="auto"/>
        <w:right w:val="none" w:sz="0" w:space="0" w:color="auto"/>
      </w:divBdr>
    </w:div>
    <w:div w:id="1744376586">
      <w:bodyDiv w:val="1"/>
      <w:marLeft w:val="0"/>
      <w:marRight w:val="0"/>
      <w:marTop w:val="0"/>
      <w:marBottom w:val="0"/>
      <w:divBdr>
        <w:top w:val="none" w:sz="0" w:space="0" w:color="auto"/>
        <w:left w:val="none" w:sz="0" w:space="0" w:color="auto"/>
        <w:bottom w:val="none" w:sz="0" w:space="0" w:color="auto"/>
        <w:right w:val="none" w:sz="0" w:space="0" w:color="auto"/>
      </w:divBdr>
    </w:div>
    <w:div w:id="1810590508">
      <w:bodyDiv w:val="1"/>
      <w:marLeft w:val="0"/>
      <w:marRight w:val="0"/>
      <w:marTop w:val="0"/>
      <w:marBottom w:val="0"/>
      <w:divBdr>
        <w:top w:val="none" w:sz="0" w:space="0" w:color="auto"/>
        <w:left w:val="none" w:sz="0" w:space="0" w:color="auto"/>
        <w:bottom w:val="none" w:sz="0" w:space="0" w:color="auto"/>
        <w:right w:val="none" w:sz="0" w:space="0" w:color="auto"/>
      </w:divBdr>
    </w:div>
    <w:div w:id="1830435615">
      <w:bodyDiv w:val="1"/>
      <w:marLeft w:val="0"/>
      <w:marRight w:val="0"/>
      <w:marTop w:val="0"/>
      <w:marBottom w:val="0"/>
      <w:divBdr>
        <w:top w:val="none" w:sz="0" w:space="0" w:color="auto"/>
        <w:left w:val="none" w:sz="0" w:space="0" w:color="auto"/>
        <w:bottom w:val="none" w:sz="0" w:space="0" w:color="auto"/>
        <w:right w:val="none" w:sz="0" w:space="0" w:color="auto"/>
      </w:divBdr>
    </w:div>
    <w:div w:id="1898203218">
      <w:bodyDiv w:val="1"/>
      <w:marLeft w:val="0"/>
      <w:marRight w:val="0"/>
      <w:marTop w:val="0"/>
      <w:marBottom w:val="0"/>
      <w:divBdr>
        <w:top w:val="none" w:sz="0" w:space="0" w:color="auto"/>
        <w:left w:val="none" w:sz="0" w:space="0" w:color="auto"/>
        <w:bottom w:val="none" w:sz="0" w:space="0" w:color="auto"/>
        <w:right w:val="none" w:sz="0" w:space="0" w:color="auto"/>
      </w:divBdr>
    </w:div>
    <w:div w:id="1958021620">
      <w:bodyDiv w:val="1"/>
      <w:marLeft w:val="0"/>
      <w:marRight w:val="0"/>
      <w:marTop w:val="0"/>
      <w:marBottom w:val="0"/>
      <w:divBdr>
        <w:top w:val="none" w:sz="0" w:space="0" w:color="auto"/>
        <w:left w:val="none" w:sz="0" w:space="0" w:color="auto"/>
        <w:bottom w:val="none" w:sz="0" w:space="0" w:color="auto"/>
        <w:right w:val="none" w:sz="0" w:space="0" w:color="auto"/>
      </w:divBdr>
    </w:div>
    <w:div w:id="1967926057">
      <w:bodyDiv w:val="1"/>
      <w:marLeft w:val="0"/>
      <w:marRight w:val="0"/>
      <w:marTop w:val="0"/>
      <w:marBottom w:val="0"/>
      <w:divBdr>
        <w:top w:val="none" w:sz="0" w:space="0" w:color="auto"/>
        <w:left w:val="none" w:sz="0" w:space="0" w:color="auto"/>
        <w:bottom w:val="none" w:sz="0" w:space="0" w:color="auto"/>
        <w:right w:val="none" w:sz="0" w:space="0" w:color="auto"/>
      </w:divBdr>
    </w:div>
    <w:div w:id="2027099672">
      <w:bodyDiv w:val="1"/>
      <w:marLeft w:val="0"/>
      <w:marRight w:val="0"/>
      <w:marTop w:val="0"/>
      <w:marBottom w:val="0"/>
      <w:divBdr>
        <w:top w:val="none" w:sz="0" w:space="0" w:color="auto"/>
        <w:left w:val="none" w:sz="0" w:space="0" w:color="auto"/>
        <w:bottom w:val="none" w:sz="0" w:space="0" w:color="auto"/>
        <w:right w:val="none" w:sz="0" w:space="0" w:color="auto"/>
      </w:divBdr>
    </w:div>
    <w:div w:id="20426303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jduque@unal.edu.co" TargetMode="External"/><Relationship Id="rId5" Type="http://schemas.openxmlformats.org/officeDocument/2006/relationships/customXml" Target="../customXml/item5.xml"/><Relationship Id="rId15" Type="http://schemas.openxmlformats.org/officeDocument/2006/relationships/hyperlink" Target="https://doi.org/10.1038/s41561-018-0246-x"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804161F4-5C19-4CB8-85A7-660F4FA33A65}"/>
      </w:docPartPr>
      <w:docPartBody>
        <w:p w:rsidR="00082DB3" w:rsidRDefault="005E2ABD">
          <w:r w:rsidRPr="00295011">
            <w:rPr>
              <w:rStyle w:val="Textodelmarcadordeposicin"/>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ucida Grande">
    <w:altName w:val="Segoe UI"/>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ABD"/>
    <w:rsid w:val="00024144"/>
    <w:rsid w:val="00082DB3"/>
    <w:rsid w:val="00281617"/>
    <w:rsid w:val="002A168D"/>
    <w:rsid w:val="00330931"/>
    <w:rsid w:val="00337F74"/>
    <w:rsid w:val="00354160"/>
    <w:rsid w:val="0036509A"/>
    <w:rsid w:val="003D023A"/>
    <w:rsid w:val="003D2511"/>
    <w:rsid w:val="004D10D9"/>
    <w:rsid w:val="005E2ABD"/>
    <w:rsid w:val="00642C68"/>
    <w:rsid w:val="00666B7B"/>
    <w:rsid w:val="0068577F"/>
    <w:rsid w:val="00694579"/>
    <w:rsid w:val="00724DF3"/>
    <w:rsid w:val="00745465"/>
    <w:rsid w:val="008040F8"/>
    <w:rsid w:val="00912314"/>
    <w:rsid w:val="00F77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E2AB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EA24009-1CCD-48E5-A31C-97FECA779A0D}">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708cba63-a3ae-4f4c-8185-197f4c18adb4&quot;,&quot;properties&quot;:{&quot;noteIndex&quot;:0},&quot;isEdited&quot;:false,&quot;manualOverride&quot;:{&quot;isManuallyOverridden&quot;:false,&quot;citeprocText&quot;:&quot;(Harmon &lt;i&gt;et al.&lt;/i&gt; 1986; Larjavaara and Muller-Landau 2011)&quot;,&quot;manualOverrideText&quot;:&quot;&quot;},&quot;citationTag&quot;:&quot;MENDELEY_CITATION_v3_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&quot;,&quot;citationItems&quot;:[{&quot;id&quot;:&quot;fa5a70e8-4ae8-385a-834e-615803da9039&quot;,&quot;itemData&quot;:{&quot;type&quot;:&quot;chapter&quot;,&quot;id&quot;:&quot;fa5a70e8-4ae8-385a-834e-615803da9039&quot;,&quot;title&quot;:&quot;Ecology of Coarse Woody Debris in Temperate Ecosystems&quot;,&quot;author&quot;:[{&quot;family&quot;:&quot;Harmon&quot;,&quot;given&quot;:&quot;M E&quot;,&quot;parse-names&quot;:false,&quot;dropping-particle&quot;:&quot;&quot;,&quot;non-dropping-particle&quot;:&quot;&quot;},{&quot;family&quot;:&quot;Franklin&quot;,&quot;given&quot;:&quot;J F&quot;,&quot;parse-names&quot;:false,&quot;dropping-particle&quot;:&quot;&quot;,&quot;non-dropping-particle&quot;:&quot;&quot;},{&quot;family&quot;:&quot;Swanson&quot;,&quot;given&quot;:&quot;F J&quot;,&quot;parse-names&quot;:false,&quot;dropping-particle&quot;:&quot;&quot;,&quot;non-dropping-particle&quot;:&quot;&quot;},{&quot;family&quot;:&quot;Sollins&quot;,&quot;given&quot;:&quot;P&quot;,&quot;parse-names&quot;:false,&quot;dropping-particle&quot;:&quot;&quot;,&quot;non-dropping-particle&quot;:&quot;&quot;},{&quot;family&quot;:&quot;Gregory&quot;,&quot;given&quot;:&quot;S&quot;,&quot;parse-names&quot;:false,&quot;dropping-particle&quot;:&quot;V&quot;,&quot;non-dropping-particle&quot;:&quot;&quot;},{&quot;family&quot;:&quot;Lattin&quot;,&quot;given&quot;:&quot;J D&quot;,&quot;parse-names&quot;:false,&quot;dropping-particle&quot;:&quot;&quot;,&quot;non-dropping-particle&quot;:&quot;&quot;},{&quot;family&quot;:&quot;Anderson&quot;,&quot;given&quot;:&quot;N H&quot;,&quot;parse-names&quot;:false,&quot;dropping-particle&quot;:&quot;&quot;,&quot;non-dropping-particle&quot;:&quot;&quot;},{&quot;family&quot;:&quot;Cline&quot;,&quot;given&quot;:&quot;S P&quot;,&quot;parse-names&quot;:false,&quot;dropping-particle&quot;:&quot;&quot;,&quot;non-dropping-particle&quot;:&quot;&quot;},{&quot;family&quot;:&quot;Aumen&quot;,&quot;given&quot;:&quot;N G&quot;,&quot;parse-names&quot;:false,&quot;dropping-particle&quot;:&quot;&quot;,&quot;non-dropping-particle&quot;:&quot;&quot;},{&quot;family&quot;:&quot;Sedell&quot;,&quot;given&quot;:&quot;J R&quot;,&quot;parse-names&quot;:false,&quot;dropping-particle&quot;:&quot;&quot;,&quot;non-dropping-particle&quot;:&quot;&quot;},{&quot;family&quot;:&quot;Lienkaemper&quot;,&quot;given&quot;:&quot;G W&quot;,&quot;parse-names&quot;:false,&quot;dropping-particle&quot;:&quot;&quot;,&quot;non-dropping-particle&quot;:&quot;&quot;},{&quot;family&quot;:&quot;Cromack&quot;,&quot;given&quot;:&quot;K&quot;,&quot;parse-names&quot;:false,&quot;dropping-particle&quot;:&quot;&quot;,&quot;non-dropping-particle&quot;:&quot;&quot;},{&quot;family&quot;:&quot;Cummins&quot;,&quot;given&quot;:&quot;K W&quot;,&quot;parse-names&quot;:false,&quot;dropping-particle&quot;:&quot;&quot;,&quot;non-dropping-particle&quot;:&quot;&quot;}],&quot;container-title&quot;:&quot;Advances in Ecological Research&quot;,&quot;container-title-short&quot;:&quot;Adv Ecol Res&quot;,&quot;editor&quot;:[{&quot;family&quot;:&quot;MacFadyen&quot;,&quot;given&quot;:&quot;A&quot;,&quot;parse-names&quot;:false,&quot;dropping-particle&quot;:&quot;&quot;,&quot;non-dropping-particle&quot;:&quot;&quot;},{&quot;family&quot;:&quot;Ford&quot;,&quot;given&quot;:&quot;E D&quot;,&quot;parse-names&quot;:false,&quot;dropping-particle&quot;:&quot;&quot;,&quot;non-dropping-particle&quot;:&quot;&quot;}],&quot;DOI&quot;:&quot;https://doi.org/10.1016/S0065-2504(08)60121-X&quot;,&quot;ISBN&quot;:&quot;0065-2504&quot;,&quot;URL&quot;:&quot;https://www.sciencedirect.com/science/article/pii/S006525040860121X&quot;,&quot;issued&quot;:{&quot;date-parts&quot;:[[1986]]},&quot;page&quot;:&quot;133-302&quot;,&quot;abstract&quot;:&quot;Publisher Summary\nCoarse woody debris (CWD) is an important component of temperate stream and forest ecosystems. This chapter reviews the rates at which CWD is added and removed from ecosystems, the biomass found in streams and forests, and many functions that CWD serves. CWD is added to ecosystems by numerous mechanisms, including wind, fire, insect attack, pathogens, competition, and geomorphic processes. Despite the many long-term studies on tree mortality, there are few published rates of CWD input on mass-area-1 time-1 basis. CWD is significantly transformed physically and chemically. Movement of CWD, especially in streams, is also an important but poorly documented mechanism whereby CWD is lost from ecosystems. Many factors control the rate at which CWD decomposes, including temperature, moisture, internal gas composition of CWD, substrate quality, size of CWD, and types of organisms involved. However, the importance of many of these factors has yet to be established in field experiments. CWD performs many functions in ecosystems, serving as autotrophic and heterotrophic habitat and strongly influencing geomorphic processes, especially in streams. It is also a major component of nutrient cycles in many ecosystems and is an important functional component of stream and forest ecosystems.&quot;,&quot;publisher&quot;:&quot;Academic Press&quot;,&quot;volume&quot;:&quot;15&quot;},&quot;isTemporary&quot;:false},{&quot;id&quot;:&quot;66935d2c-0998-37b9-87e2-40d736818e8c&quot;,&quot;itemData&quot;:{&quot;type&quot;:&quot;article-journal&quot;,&quot;id&quot;:&quot;66935d2c-0998-37b9-87e2-40d736818e8c&quot;,&quot;title&quot;:&quot;Cross-section mass: an improved basis for woody debris necromass inventory&quot;,&quot;author&quot;:[{&quot;family&quot;:&quot;Larjavaara&quot;,&quot;given&quot;:&quot;Markku&quot;,&quot;parse-names&quot;:false,&quot;dropping-particle&quot;:&quot;&quot;,&quot;non-dropping-particle&quot;:&quot;&quot;},{&quot;family&quot;:&quot;Muller-Landau&quot;,&quot;given&quot;:&quot;Helene&quot;,&quot;parse-names&quot;:false,&quot;dropping-particle&quot;:&quot;&quot;,&quot;non-dropping-particle&quot;:&quot;&quot;}],&quot;container-title&quot;:&quot;Silva Fennica&quot;,&quot;DOI&quot;:&quot;10.14214/sf.119&quot;,&quot;ISSN&quot;:&quot;22424075&quot;,&quot;URL&quot;:&quot;http://www.silvafennica.fi/article/119&quot;,&quot;issued&quot;:{&quot;date-parts&quot;:[[2011,12,31]]},&quot;page&quot;:&quot;291-298&quot;,&quot;issue&quot;:&quot;2&quot;,&quot;volume&quot;:&quot;45&quot;,&quot;container-title-short&quot;:&quot;&quot;},&quot;isTemporary&quot;:false}]},{&quot;citationID&quot;:&quot;MENDELEY_CITATION_931adb71-c28b-46fd-acba-3840ebf277e0&quot;,&quot;properties&quot;:{&quot;noteIndex&quot;:0},&quot;isEdited&quot;:false,&quot;manualOverride&quot;:{&quot;isManuallyOverridden&quot;:false,&quot;citeprocText&quot;:&quot;(Larjavaara and Muller-Landau 2011)&quot;,&quot;manualOverrideText&quot;:&quot;&quot;},&quot;citationTag&quot;:&quot;MENDELEY_CITATION_v3_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&quot;,&quot;citationItems&quot;:[{&quot;id&quot;:&quot;66935d2c-0998-37b9-87e2-40d736818e8c&quot;,&quot;itemData&quot;:{&quot;type&quot;:&quot;article-journal&quot;,&quot;id&quot;:&quot;66935d2c-0998-37b9-87e2-40d736818e8c&quot;,&quot;title&quot;:&quot;Cross-section mass: an improved basis for woody debris necromass inventory&quot;,&quot;author&quot;:[{&quot;family&quot;:&quot;Larjavaara&quot;,&quot;given&quot;:&quot;Markku&quot;,&quot;parse-names&quot;:false,&quot;dropping-particle&quot;:&quot;&quot;,&quot;non-dropping-particle&quot;:&quot;&quot;},{&quot;family&quot;:&quot;Muller-Landau&quot;,&quot;given&quot;:&quot;Helene&quot;,&quot;parse-names&quot;:false,&quot;dropping-particle&quot;:&quot;&quot;,&quot;non-dropping-particle&quot;:&quot;&quot;}],&quot;container-title&quot;:&quot;Silva Fennica&quot;,&quot;DOI&quot;:&quot;10.14214/sf.119&quot;,&quot;ISSN&quot;:&quot;22424075&quot;,&quot;URL&quot;:&quot;http://www.silvafennica.fi/article/119&quot;,&quot;issued&quot;:{&quot;date-parts&quot;:[[2011,12,31]]},&quot;page&quot;:&quot;291-298&quot;,&quot;issue&quot;:&quot;2&quot;,&quot;volume&quot;:&quot;45&quot;,&quot;container-title-short&quot;:&quot;&quot;},&quot;isTemporary&quot;:false}]},{&quot;citationID&quot;:&quot;MENDELEY_CITATION_97647dfe-ec06-4d51-820f-3b9fc39237b8&quot;,&quot;properties&quot;:{&quot;noteIndex&quot;:0},&quot;isEdited&quot;:false,&quot;manualOverride&quot;:{&quot;isManuallyOverridden&quot;:false,&quot;citeprocText&quot;:&quot;(Larjavaara and Muller-Landau 2011)&quot;,&quot;manualOverrideText&quot;:&quot;&quot;},&quot;citationTag&quot;:&quot;MENDELEY_CITATION_v3_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&quot;,&quot;citationItems&quot;:[{&quot;id&quot;:&quot;66935d2c-0998-37b9-87e2-40d736818e8c&quot;,&quot;itemData&quot;:{&quot;type&quot;:&quot;article-journal&quot;,&quot;id&quot;:&quot;66935d2c-0998-37b9-87e2-40d736818e8c&quot;,&quot;title&quot;:&quot;Cross-section mass: an improved basis for woody debris necromass inventory&quot;,&quot;author&quot;:[{&quot;family&quot;:&quot;Larjavaara&quot;,&quot;given&quot;:&quot;Markku&quot;,&quot;parse-names&quot;:false,&quot;dropping-particle&quot;:&quot;&quot;,&quot;non-dropping-particle&quot;:&quot;&quot;},{&quot;family&quot;:&quot;Muller-Landau&quot;,&quot;given&quot;:&quot;Helene&quot;,&quot;parse-names&quot;:false,&quot;dropping-particle&quot;:&quot;&quot;,&quot;non-dropping-particle&quot;:&quot;&quot;}],&quot;container-title&quot;:&quot;Silva Fennica&quot;,&quot;DOI&quot;:&quot;10.14214/sf.119&quot;,&quot;ISSN&quot;:&quot;22424075&quot;,&quot;URL&quot;:&quot;http://www.silvafennica.fi/article/119&quot;,&quot;issued&quot;:{&quot;date-parts&quot;:[[2011,12,31]]},&quot;page&quot;:&quot;291-298&quot;,&quot;issue&quot;:&quot;2&quot;,&quot;volume&quot;:&quot;45&quot;,&quot;container-title-short&quot;:&quot;&quot;},&quot;isTemporary&quot;:false}]},{&quot;citationID&quot;:&quot;MENDELEY_CITATION_74d9a304-3d28-4580-8bd0-f0d8d8f492b8&quot;,&quot;properties&quot;:{&quot;noteIndex&quot;:0},&quot;isEdited&quot;:false,&quot;manualOverride&quot;:{&quot;isManuallyOverridden&quot;:false,&quot;citeprocText&quot;:&quot;(Larjavaara and Muller-Landau 2011)&quot;,&quot;manualOverrideText&quot;:&quot;&quot;},&quot;citationTag&quot;:&quot;MENDELEY_CITATION_v3_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&quot;,&quot;citationItems&quot;:[{&quot;id&quot;:&quot;66935d2c-0998-37b9-87e2-40d736818e8c&quot;,&quot;itemData&quot;:{&quot;type&quot;:&quot;article-journal&quot;,&quot;id&quot;:&quot;66935d2c-0998-37b9-87e2-40d736818e8c&quot;,&quot;title&quot;:&quot;Cross-section mass: an improved basis for woody debris necromass inventory&quot;,&quot;author&quot;:[{&quot;family&quot;:&quot;Larjavaara&quot;,&quot;given&quot;:&quot;Markku&quot;,&quot;parse-names&quot;:false,&quot;dropping-particle&quot;:&quot;&quot;,&quot;non-dropping-particle&quot;:&quot;&quot;},{&quot;family&quot;:&quot;Muller-Landau&quot;,&quot;given&quot;:&quot;Helene&quot;,&quot;parse-names&quot;:false,&quot;dropping-particle&quot;:&quot;&quot;,&quot;non-dropping-particle&quot;:&quot;&quot;}],&quot;container-title&quot;:&quot;Silva Fennica&quot;,&quot;DOI&quot;:&quot;10.14214/sf.119&quot;,&quot;ISSN&quot;:&quot;22424075&quot;,&quot;URL&quot;:&quot;http://www.silvafennica.fi/article/119&quot;,&quot;issued&quot;:{&quot;date-parts&quot;:[[2011,12,31]]},&quot;page&quot;:&quot;291-298&quot;,&quot;issue&quot;:&quot;2&quot;,&quot;volume&quot;:&quot;45&quot;,&quot;container-title-short&quot;:&quot;&quot;},&quot;isTemporary&quot;:false}]},{&quot;citationID&quot;:&quot;MENDELEY_CITATION_82f9a865-2fb1-42d3-a9a6-09307e604d5f&quot;,&quot;properties&quot;:{&quot;noteIndex&quot;:0},&quot;isEdited&quot;:false,&quot;manualOverride&quot;:{&quot;isManuallyOverridden&quot;:false,&quot;citeprocText&quot;:&quot;(Martin &lt;i&gt;et al.&lt;/i&gt; 2018)&quot;,&quot;manualOverrideText&quot;:&quot;&quot;},&quot;citationTag&quot;:&quot;MENDELEY_CITATION_v3_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&quot;,&quot;citationItems&quot;:[{&quot;id&quot;:&quot;f8732f9d-a1e9-3cba-b63f-f9ac9abdd118&quot;,&quot;itemData&quot;:{&quot;type&quot;:&quot;article-journal&quot;,&quot;id&quot;:&quot;f8732f9d-a1e9-3cba-b63f-f9ac9abdd118&quot;,&quot;title&quot;:&quot;Global patterns in wood carbon concentration across the world’s trees and forests&quot;,&quot;author&quot;:[{&quot;family&quot;:&quot;Martin&quot;,&quot;given&quot;:&quot;Adam R&quot;,&quot;parse-names&quot;:false,&quot;dropping-particle&quot;:&quot;&quot;,&quot;non-dropping-particle&quot;:&quot;&quot;},{&quot;family&quot;:&quot;Doraisami&quot;,&quot;given&quot;:&quot;Mahendra&quot;,&quot;parse-names&quot;:false,&quot;dropping-particle&quot;:&quot;&quot;,&quot;non-dropping-particle&quot;:&quot;&quot;},{&quot;family&quot;:&quot;Thomas&quot;,&quot;given&quot;:&quot;Sean C&quot;,&quot;parse-names&quot;:false,&quot;dropping-particle&quot;:&quot;&quot;,&quot;non-dropping-particle&quot;:&quot;&quot;}],&quot;container-title&quot;:&quot;Nature Geoscience&quot;,&quot;container-title-short&quot;:&quot;Nat Geosci&quot;,&quot;DOI&quot;:&quot;10.1038/s41561-018-0246-x&quot;,&quot;ISSN&quot;:&quot;1752-0908&quot;,&quot;URL&quot;:&quot;https://doi.org/10.1038/s41561-018-0246-x&quot;,&quot;issued&quot;:{&quot;date-parts&quot;:[[2018]]},&quot;page&quot;:&quot;915-920&quot;,&quot;abstract&quot;:&quot;Wood carbon concentrations play a central role in forest carbon accounting, and are fundamentally linked to the growth strategies of woody plants. Yet there are no comprehensive assessments of wood carbon among trees globally, and coarse approximations of wood carbon (for example, 50%) are employed in virtually all benchmark models and assessments of forest carbon. We consolidated the largest database for any wood chemical trait—2,228 wood carbon observations from 636 species across all forested biomes—to derive robust wood carbon fractions for forest carbon accounting. Carbon fractions show substantial variation among forest biomes, and indicate errors in the existing forest carbon estimates of 4.8%, on average, and most extreme errors of 8.9% in tropical forests. The data also demonstrate that wood carbon concentrations show a phylogenetic signal and are co-evolved with, and negatively related to, wood density, thus representing a key plant trait that links plant functional biology to ecosystem processes worldwide.&quot;,&quot;issue&quot;:&quot;12&quot;,&quot;volume&quot;:&quot;11&quot;},&quot;isTemporary&quot;:false}]},{&quot;citationID&quot;:&quot;MENDELEY_CITATION_b9c2f856-10c1-4a53-b57f-b90a7189bcda&quot;,&quot;properties&quot;:{&quot;noteIndex&quot;:0},&quot;isEdited&quot;:false,&quot;manualOverride&quot;:{&quot;isManuallyOverridden&quot;:false,&quot;citeprocText&quot;:&quot;(Larjavaara and Muller-Landau 2011)&quot;,&quot;manualOverrideText&quot;:&quot;&quot;},&quot;citationTag&quot;:&quot;MENDELEY_CITATION_v3_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&quot;,&quot;citationItems&quot;:[{&quot;id&quot;:&quot;66935d2c-0998-37b9-87e2-40d736818e8c&quot;,&quot;itemData&quot;:{&quot;type&quot;:&quot;article-journal&quot;,&quot;id&quot;:&quot;66935d2c-0998-37b9-87e2-40d736818e8c&quot;,&quot;title&quot;:&quot;Cross-section mass: an improved basis for woody debris necromass inventory&quot;,&quot;author&quot;:[{&quot;family&quot;:&quot;Larjavaara&quot;,&quot;given&quot;:&quot;Markku&quot;,&quot;parse-names&quot;:false,&quot;dropping-particle&quot;:&quot;&quot;,&quot;non-dropping-particle&quot;:&quot;&quot;},{&quot;family&quot;:&quot;Muller-Landau&quot;,&quot;given&quot;:&quot;Helene&quot;,&quot;parse-names&quot;:false,&quot;dropping-particle&quot;:&quot;&quot;,&quot;non-dropping-particle&quot;:&quot;&quot;}],&quot;container-title&quot;:&quot;Silva Fennica&quot;,&quot;DOI&quot;:&quot;10.14214/sf.119&quot;,&quot;ISSN&quot;:&quot;22424075&quot;,&quot;URL&quot;:&quot;http://www.silvafennica.fi/article/119&quot;,&quot;issued&quot;:{&quot;date-parts&quot;:[[2011,12,31]]},&quot;page&quot;:&quot;291-298&quot;,&quot;issue&quot;:&quot;2&quot;,&quot;volume&quot;:&quot;45&quot;,&quot;container-title-short&quot;:&quot;&quot;},&quot;isTemporary&quot;:false}]},{&quot;citationID&quot;:&quot;MENDELEY_CITATION_c5339d88-fc1c-4593-8100-23cd5029d8ac&quot;,&quot;properties&quot;:{&quot;noteIndex&quot;:0},&quot;isEdited&quot;:false,&quot;manualOverride&quot;:{&quot;isManuallyOverridden&quot;:false,&quot;citeprocText&quot;:&quot;(Martin &lt;i&gt;et al.&lt;/i&gt; 2018)&quot;,&quot;manualOverrideText&quot;:&quot;&quot;},&quot;citationTag&quot;:&quot;MENDELEY_CITATION_v3_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&quot;,&quot;citationItems&quot;:[{&quot;id&quot;:&quot;f8732f9d-a1e9-3cba-b63f-f9ac9abdd118&quot;,&quot;itemData&quot;:{&quot;type&quot;:&quot;article-journal&quot;,&quot;id&quot;:&quot;f8732f9d-a1e9-3cba-b63f-f9ac9abdd118&quot;,&quot;title&quot;:&quot;Global patterns in wood carbon concentration across the world’s trees and forests&quot;,&quot;author&quot;:[{&quot;family&quot;:&quot;Martin&quot;,&quot;given&quot;:&quot;Adam R&quot;,&quot;parse-names&quot;:false,&quot;dropping-particle&quot;:&quot;&quot;,&quot;non-dropping-particle&quot;:&quot;&quot;},{&quot;family&quot;:&quot;Doraisami&quot;,&quot;given&quot;:&quot;Mahendra&quot;,&quot;parse-names&quot;:false,&quot;dropping-particle&quot;:&quot;&quot;,&quot;non-dropping-particle&quot;:&quot;&quot;},{&quot;family&quot;:&quot;Thomas&quot;,&quot;given&quot;:&quot;Sean C&quot;,&quot;parse-names&quot;:false,&quot;dropping-particle&quot;:&quot;&quot;,&quot;non-dropping-particle&quot;:&quot;&quot;}],&quot;container-title&quot;:&quot;Nature Geoscience&quot;,&quot;container-title-short&quot;:&quot;Nat Geosci&quot;,&quot;DOI&quot;:&quot;10.1038/s41561-018-0246-x&quot;,&quot;ISSN&quot;:&quot;1752-0908&quot;,&quot;URL&quot;:&quot;https://doi.org/10.1038/s41561-018-0246-x&quot;,&quot;issued&quot;:{&quot;date-parts&quot;:[[2018]]},&quot;page&quot;:&quot;915-920&quot;,&quot;abstract&quot;:&quot;Wood carbon concentrations play a central role in forest carbon accounting, and are fundamentally linked to the growth strategies of woody plants. Yet there are no comprehensive assessments of wood carbon among trees globally, and coarse approximations of wood carbon (for example, 50%) are employed in virtually all benchmark models and assessments of forest carbon. We consolidated the largest database for any wood chemical trait—2,228 wood carbon observations from 636 species across all forested biomes—to derive robust wood carbon fractions for forest carbon accounting. Carbon fractions show substantial variation among forest biomes, and indicate errors in the existing forest carbon estimates of 4.8%, on average, and most extreme errors of 8.9% in tropical forests. The data also demonstrate that wood carbon concentrations show a phylogenetic signal and are co-evolved with, and negatively related to, wood density, thus representing a key plant trait that links plant functional biology to ecosystem processes worldwide.&quot;,&quot;issue&quot;:&quot;12&quot;,&quot;volume&quot;:&quot;11&quot;},&quot;isTemporary&quot;:false}]}]"/>
    <we:property name="MENDELEY_CITATIONS_LOCALE_CODE" value="&quot;en-GB&quot;"/>
    <we:property name="MENDELEY_CITATIONS_STYLE" value="{&quot;id&quot;:&quot;https://www.zotero.org/styles/cambridge-university-press-author-date-cambridge-a&quot;,&quot;title&quot;:&quot;Cambridge University Press, CambridgeA (author-date)&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Juan Phillips, Dairon Cardenas, Juan D. Leon, Ben Turner, Helene Muller-Landau, Alvaro Duque*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2b930303-2a30-491a-ae23-ee8a7ed5f39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45492E417AE24C83A00DDD7F8DDE4E" ma:contentTypeVersion="13" ma:contentTypeDescription="Create a new document." ma:contentTypeScope="" ma:versionID="064ed3c72e63e6faad73608c80e7d2fd">
  <xsd:schema xmlns:xsd="http://www.w3.org/2001/XMLSchema" xmlns:xs="http://www.w3.org/2001/XMLSchema" xmlns:p="http://schemas.microsoft.com/office/2006/metadata/properties" xmlns:ns3="2b930303-2a30-491a-ae23-ee8a7ed5f39b" xmlns:ns4="f3262922-2415-4b23-bc3f-5622365514f0" targetNamespace="http://schemas.microsoft.com/office/2006/metadata/properties" ma:root="true" ma:fieldsID="e1f4ab9b78dd501cd5f4a2ed5086b3c1" ns3:_="" ns4:_="">
    <xsd:import namespace="2b930303-2a30-491a-ae23-ee8a7ed5f39b"/>
    <xsd:import namespace="f3262922-2415-4b23-bc3f-5622365514f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bjectDetectorVersions" minOccurs="0"/>
                <xsd:element ref="ns3:MediaServiceOCR" minOccurs="0"/>
                <xsd:element ref="ns3:MediaServiceDateTaken" minOccurs="0"/>
                <xsd:element ref="ns3:MediaServiceSystemTag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930303-2a30-491a-ae23-ee8a7ed5f3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_activity" ma:index="1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262922-2415-4b23-bc3f-5622365514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446840-E3E6-4DD9-AB55-14E70318824A}">
  <ds:schemaRefs>
    <ds:schemaRef ds:uri="http://schemas.microsoft.com/office/2006/metadata/properties"/>
    <ds:schemaRef ds:uri="http://schemas.microsoft.com/office/infopath/2007/PartnerControls"/>
    <ds:schemaRef ds:uri="2b930303-2a30-491a-ae23-ee8a7ed5f39b"/>
  </ds:schemaRefs>
</ds:datastoreItem>
</file>

<file path=customXml/itemProps3.xml><?xml version="1.0" encoding="utf-8"?>
<ds:datastoreItem xmlns:ds="http://schemas.openxmlformats.org/officeDocument/2006/customXml" ds:itemID="{C0BAB60A-A759-4BF7-A848-10D3F55695C1}">
  <ds:schemaRefs>
    <ds:schemaRef ds:uri="http://schemas.microsoft.com/sharepoint/v3/contenttype/forms"/>
  </ds:schemaRefs>
</ds:datastoreItem>
</file>

<file path=customXml/itemProps4.xml><?xml version="1.0" encoding="utf-8"?>
<ds:datastoreItem xmlns:ds="http://schemas.openxmlformats.org/officeDocument/2006/customXml" ds:itemID="{B7CC59E9-1111-4D5E-B2B9-C59267642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930303-2a30-491a-ae23-ee8a7ed5f39b"/>
    <ds:schemaRef ds:uri="f3262922-2415-4b23-bc3f-5622365514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D439C56-D1A0-4647-AE9E-366F0FEC9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1897</Words>
  <Characters>10434</Characters>
  <Application>Microsoft Office Word</Application>
  <DocSecurity>0</DocSecurity>
  <Lines>86</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dc:creator>
  <cp:keywords/>
  <dc:description/>
  <cp:lastModifiedBy>Alvaro Duque</cp:lastModifiedBy>
  <cp:revision>3</cp:revision>
  <dcterms:created xsi:type="dcterms:W3CDTF">2024-11-06T16:41:00Z</dcterms:created>
  <dcterms:modified xsi:type="dcterms:W3CDTF">2024-11-06T16:41:00Z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0x010100F945492E417AE24C83A00DDD7F8DDE4E</vt:lpwstr>
  </property>
  <property fmtid="{D5CDD505-2E9C-101B-9397-08002B2CF9AE}" pid="3" name="GrammarlyDocumentId">
    <vt:lpwstr>231f08d786e66b257da3e03a1bb831d8ee975303d22c6069fb986b144a23601d</vt:lpwstr>
  </property>
</Properties>
</file>