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05100" w14:textId="092C19FD" w:rsidR="004E3E8D" w:rsidRPr="005906CA" w:rsidRDefault="004E3E8D" w:rsidP="004E3E8D">
      <w:pPr>
        <w:spacing w:line="480" w:lineRule="auto"/>
        <w:rPr>
          <w:b/>
          <w:bCs/>
          <w:sz w:val="28"/>
          <w:szCs w:val="28"/>
        </w:rPr>
      </w:pPr>
      <w:r w:rsidRPr="005906CA">
        <w:rPr>
          <w:b/>
          <w:bCs/>
          <w:sz w:val="28"/>
          <w:szCs w:val="28"/>
        </w:rPr>
        <w:t xml:space="preserve">Theory of Change: Description of </w:t>
      </w:r>
      <w:r w:rsidR="005906CA" w:rsidRPr="005906CA">
        <w:rPr>
          <w:b/>
          <w:bCs/>
          <w:sz w:val="28"/>
          <w:szCs w:val="28"/>
        </w:rPr>
        <w:t>Logic Model</w:t>
      </w:r>
    </w:p>
    <w:p w14:paraId="7FCC6D50" w14:textId="4C0BC77A" w:rsidR="004E3E8D" w:rsidRPr="004E3E8D" w:rsidRDefault="004E3E8D" w:rsidP="00C304F5">
      <w:pPr>
        <w:pStyle w:val="NormalWeb"/>
        <w:spacing w:before="0" w:beforeAutospacing="0" w:line="480" w:lineRule="auto"/>
        <w:ind w:firstLine="720"/>
      </w:pPr>
      <w:r w:rsidRPr="004E3E8D">
        <w:t xml:space="preserve">This logic model in Figure 1 underscores the importance of integrating patient engagement into </w:t>
      </w:r>
      <w:r w:rsidR="004E4995">
        <w:t>health technology assessment (</w:t>
      </w:r>
      <w:r w:rsidRPr="004E3E8D">
        <w:t>HTA</w:t>
      </w:r>
      <w:r w:rsidR="004E4995">
        <w:t xml:space="preserve">) </w:t>
      </w:r>
      <w:r w:rsidRPr="004E3E8D">
        <w:t>processes to identify and address health equity factors. By systematically involving patients, particularly those from underrepresented groups, HTA recommendations can be better tailored to address the population's diverse needs, ultimately driving more equitable healthcare decisions</w:t>
      </w:r>
      <w:r w:rsidR="005906CA">
        <w:t xml:space="preserve"> </w:t>
      </w:r>
      <w:r w:rsidR="005906CA" w:rsidRPr="005906CA">
        <w:fldChar w:fldCharType="begin"/>
      </w:r>
      <w:r w:rsidR="005906CA">
        <w:instrText xml:space="preserve"> ADDIN ZOTERO_ITEM CSL_CITATION {"citationID":"clkwRHjq","properties":{"formattedCitation":"(1,2)","plainCitation":"(1,2)","noteIndex":0},"citationItems":[{"id":317,"uris":["http://zotero.org/users/9520068/items/2K7BBU4J"],"itemData":{"id":317,"type":"article-journal","abstract":"OBJECTIVES: Health technology assessment (HTA) can impact health inequities by informing healthcare priority-setting decisions. This paper presents a novel checklist to guide HTA practitioners looking to include equity considerations in their work: the equity checklist for HTA (ECHTA). The list is pragmatically organized according to the generic HTA phases and can be consulted at each step., METHODS: A first set of items was based on the framework for equity in HTA developed by Culyer and Bombard. After rewording and reorganizing according to five HTA phases, they were complemented by elements emerging from a literature search. Consultations with method experts, decision makers, and stakeholders further refined the items. Further feedback was sought during a presentation of the tool at an international HTA conference. Lastly, the checklist was piloted through all five stages of an HTA., RESULTS: ECHTA proposes elements to be considered at each one of the five HTA phases: Scoping, Evaluation, Recommendations and Conclusions, Knowledge Translation and Implementation, and Reassessment. More than a simple checklist, the tool provides details and examples that guide the evaluators through an analysis in each phase. A pilot test is also presented, which demonstrates the ECHTA's usability and added value., CONCLUSIONS: ECHTA provides guidance for HTA evaluators wishing to ensure that their conclusions do not contribute to inequalities in health. Several points to build upon the current checklist will be addressed by a working group of experts, and further feedback is welcome from evaluators who have used the tool.","container-title":"International journal of technology assessment in health care","DOI":"10.1017/S0266462320002275","ISSN":"1471-6348","issue":"gti, 8508113","journalAbbreviation":"Int J Technol Assess Health Care","note":"publisher-place: England\nBenkhalti, Maria. Unite d'evaluation des technologies et des modes d'intervention en sante et services sociaux (UETMISSS), CIUSSS de l'Estrie - CHUS, Sherbrooke, Quebec, Canada J1G 2E8.\nBenkhalti, Maria. Faculty of Medicine and Health Sciences, Universite de Sherbrooke, 1036 Belvedere Street, Sherbrooke, Quebec, CanadaJ1H 4C4.\nEspinoza, Manuel. Department of Public Health, Health Technology Assessment Unit, Centre for Clinical Research, Faculty of Medicine, Pontificia Universidad Catolica de Chile, Santiago, Chile.\nCookson, Richard. Centre for Health Economics, University of York, York, UK.\nWelch, Vivian. Bruyere Research Institute, Ottawa, Canada.\nWelch, Vivian. School of Epidemiology and Public Health, University of Ottawa, Ottawa, Canada.\nTugwell, Peter. Bruyere Research Institute, Ottawa, Canada.\nTugwell, Peter. Faculty of Medicine, University of Ottawa, Ottawa, Canada.\nDagenais, Pierre. Unite d'evaluation des technologies et des modes d'intervention en sante et services sociaux (UETMISSS), CIUSSS de l'Estrie - CHUS, Sherbrooke, Quebec, Canada J1G 2E8.\nDagenais, Pierre. Faculty of Medicine and Health Sciences, Universite de Sherbrooke, 1036 Belvedere Street, Sherbrooke, Quebec, CanadaJ1H 4C4.","page":"e17","title":"Development of a checklist to guide equity considerations in health technology assessment.","volume":"37","author":[{"family":"Benkhalti","given":"Maria"},{"family":"Espinoza","given":"Manuel"},{"family":"Cookson","given":"Richard"},{"family":"Welch","given":"Vivian"},{"family":"Tugwell","given":"Peter"},{"family":"Dagenais","given":"Pierre"}],"issued":{"date-parts":[["2021"]]}}},{"id":345,"uris":["http://zotero.org/users/9520068/items/BJVLIA4Q"],"itemData":{"id":345,"type":"article-journal","abstract":"Objectives To assess the utility of an acronym, place of residence, race/ethnicity/culture/language, occupation, gender/sex, religion, education, socioeconomic status, and social capital (\"PROGRESS\"), in identifying factors that stratify health opportunities and outcomes. We explored the value of PROGRESS as an equity lens to assess effects of interventions on health equity. Study Design and Setting We assessed the utility of PROGRESS by using it in 11 systematic reviews and methodological studies published between 2008 and 2013. To develop the justification for each of the PROGRESS elements, we consulted experts to identify examples of unfair differences in disease burden and an intervention that can effectively address these health inequities. Results Each PROGRESS factor can be justified on the basis of unfair differences in disease burden and the potential for interventions to reduce these differential effects. We have not provided a rationale for why the difference exists but have attempted to explain why these differences may contribute to disadvantage and argue for their consideration in new evaluations, systematic reviews, and intervention implementation. Conclusion The acronym PROGRESS is a framework and aide-memoire that is useful in ensuring that an equity lens is applied in the conduct, reporting, and use of research. ?? 2014 Elsevier Inc. All rights reserved.","container-title":"Journal of Clinical Epidemiology","DOI":"10.1016/j.jclinepi.2013.08.005","ISSN":"1878-5921 (Electronic)\\r0895-4356 (Linking)","issue":"1","note":"publisher: Elsevier Inc","page":"56-64","title":"Applying an equity lens to interventions: Using PROGRESS ensures consideration of socially stratifying factors to illuminate inequities in health","URL":"http://dx.doi.org/10.1016/j.jclinepi.2013.08.005","volume":"67","author":[{"family":"O'Neill","given":"Jennifer"},{"family":"Tabish","given":"Hilary"},{"family":"Welch","given":"Vivian"},{"family":"Petticrew","given":"Mark"},{"family":"Pottie","given":"Kevin"},{"family":"Clarke","given":"Mike"},{"family":"Evans","given":"Tim"},{"family":"Pardo Pardo","given":"Jordi"},{"family":"Waters","given":"Elizabeth"},{"family":"White","given":"Howard"},{"family":"Tugwell","given":"Peter"}],"issued":{"date-parts":[["2014"]]}}}],"schema":"https://github.com/citation-style-language/schema/raw/master/csl-citation.json"} </w:instrText>
      </w:r>
      <w:r w:rsidR="005906CA" w:rsidRPr="005906CA">
        <w:fldChar w:fldCharType="separate"/>
      </w:r>
      <w:r w:rsidR="005906CA">
        <w:rPr>
          <w:lang w:val="en-US"/>
        </w:rPr>
        <w:t>(1,2)</w:t>
      </w:r>
      <w:r w:rsidR="005906CA" w:rsidRPr="005906CA">
        <w:fldChar w:fldCharType="end"/>
      </w:r>
      <w:r w:rsidRPr="004E3E8D">
        <w:t>. It is important to note that health equity can be integrated through multiple strategies, including legal, ethical, and social determinants, patient engagement and cost-effectiveness analysis</w:t>
      </w:r>
      <w:r w:rsidR="005906CA">
        <w:t xml:space="preserve"> </w:t>
      </w:r>
      <w:r w:rsidR="005906CA">
        <w:fldChar w:fldCharType="begin"/>
      </w:r>
      <w:r w:rsidR="005906CA">
        <w:instrText xml:space="preserve"> ADDIN ZOTERO_ITEM CSL_CITATION {"citationID":"8Vd105qu","properties":{"formattedCitation":"(3,4)","plainCitation":"(3,4)","noteIndex":0},"citationItems":[{"id":1262,"uris":["http://zotero.org/users/9520068/items/4CTQBD9X"],"itemData":{"id":1262,"type":"article-journal","abstract":"This articles serves as a guide to using cost-effectiveness analysis (CEA) to address health equity concerns. We first introduce the \"equity impact plane,\" a tool for considering trade-offs between improving total health-the objective underpinning conventional CEA-and equity objectives, such as reducing social inequality in health or prioritizing the severely ill. Improving total health may clash with reducing social inequality in health, for example, when effective delivery of services to disadvantaged communities requires additional costs. Who gains and who loses from a cost-increasing health program depends on differences among people in terms of health risks, uptake, quality, adherence, capacity to benefit, and-crucially-who bears the opportunity costs of diverting scarce resources from other uses. We describe two main ways of using CEA to address health equity concerns: 1) equity impact analysis, which quantifies the distribution of costs and effects by equity-relevant variables, such as socioeconomic status, location, ethnicity, sex, and severity of illness; and 2) equity trade-off analysis, which quantifies trade-offs between improving total health and other equity objectives. One way to analyze equity trade-offs is to count the cost of fairer but less cost-effective options in terms of health forgone. Another method is to explore how much concern for equity is required to choose fairer but less cost-effective options using equity weights or parameters. We hope this article will help the health technology assessment community navigate the practical options now available for conducting equity-informative CEA that gives policymakers a better understanding of equity impacts and trade-offs.","container-title":"Value in health : the journal of the International Society for Pharmacoeconomics and Outcomes Research","DOI":"10.1016/j.jval.2016.11.027","issue":"2","page":"206-212","title":"Using Cost-Effectiveness Analysis to Address Health Equity Concerns.","volume":"20","author":[{"family":"Cookson","given":"Richard"},{"family":"Mirelman","given":"Andrew J"},{"family":"Griffin","given":"Susan"},{"family":"Asaria","given":"Miqdad"},{"family":"Dawkins","given":"Bryony"},{"family":"Norheim","given":"Ole Frithjof"},{"family":"Verguet","given":"Stephane"},{"family":"J Culyer","given":"Anthony"}],"issued":{"date-parts":[["2017",2]]}},"label":"page"},{"id":1109,"uris":["http://zotero.org/users/9520068/items/UDJ8WRZV"],"itemData":{"id":1109,"type":"article-journal","abstract":"Recently, patient engagement has been identified as a promising strategy for supporting healthcare planning. However, the context and structure of universalistic, “one-size-fits-all” approaches often used for patient engagement may not enable diverse patients to participate in decision-making about programs intended to meet their needs. Specifically, standard patient engagement approaches are gender-blind and might not facilitate the engagement of those marginalized by, for example, substance use, low income, experiences of violence, homelessness, and/or mental health challenges—highly gendered health and social experiences. The project’s purpose was to develop a heuristic model to assist planners to engage patients who are not traditionally included in healthcare planning.","container-title":"BMC Health Services Research","DOI":"10.1186/s12913-018-2969-1","issue":"1","page":"181-181","title":"Heard and valued: the development of a model to meaningfully engage marginalized populations in health services planning","volume":"18","author":[{"family":"Snow","given":"M Elizabeth"},{"family":"Tweedie","given":"Katherine"},{"family":"Pederson","given":"Ann"}],"issued":{"date-parts":[["2018"]]}},"label":"page"}],"schema":"https://github.com/citation-style-language/schema/raw/master/csl-citation.json"} </w:instrText>
      </w:r>
      <w:r w:rsidR="005906CA">
        <w:fldChar w:fldCharType="separate"/>
      </w:r>
      <w:r w:rsidR="005906CA">
        <w:rPr>
          <w:noProof/>
        </w:rPr>
        <w:t>(3,4)</w:t>
      </w:r>
      <w:r w:rsidR="005906CA">
        <w:fldChar w:fldCharType="end"/>
      </w:r>
      <w:r w:rsidRPr="004E3E8D">
        <w:t>. This logic model is action-oriented and not agent-based; it does not seek to explain causal relationships and variations between components</w:t>
      </w:r>
      <w:r w:rsidR="009333D1">
        <w:t>.</w:t>
      </w:r>
    </w:p>
    <w:p w14:paraId="587D9069" w14:textId="77777777" w:rsidR="004E3E8D" w:rsidRPr="004E3E8D" w:rsidRDefault="004E3E8D" w:rsidP="004E3E8D">
      <w:pPr>
        <w:spacing w:line="480" w:lineRule="auto"/>
      </w:pPr>
      <w:r w:rsidRPr="004E3E8D">
        <w:rPr>
          <w:noProof/>
          <w14:ligatures w14:val="standardContextual"/>
        </w:rPr>
        <w:drawing>
          <wp:inline distT="0" distB="0" distL="0" distR="0" wp14:anchorId="4EDAB9B9" wp14:editId="5F682F90">
            <wp:extent cx="5627166" cy="3478556"/>
            <wp:effectExtent l="12700" t="0" r="12065" b="0"/>
            <wp:docPr id="5312003"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C3C8F3A" w14:textId="2171CBA3" w:rsidR="00ED04C9" w:rsidRDefault="004E3E8D" w:rsidP="005906CA">
      <w:pPr>
        <w:rPr>
          <w:rStyle w:val="Strong"/>
          <w:b w:val="0"/>
          <w:bCs w:val="0"/>
        </w:rPr>
      </w:pPr>
      <w:r w:rsidRPr="004E3E8D">
        <w:t xml:space="preserve">Figure 1: </w:t>
      </w:r>
      <w:r w:rsidR="005906CA" w:rsidRPr="005906CA">
        <w:t xml:space="preserve">A Logic Model </w:t>
      </w:r>
      <w:r w:rsidR="005906CA">
        <w:t>I</w:t>
      </w:r>
      <w:r w:rsidR="005906CA" w:rsidRPr="005906CA">
        <w:t xml:space="preserve">llustrating How </w:t>
      </w:r>
      <w:r w:rsidR="005906CA">
        <w:t>P</w:t>
      </w:r>
      <w:r w:rsidR="005906CA" w:rsidRPr="005906CA">
        <w:t>atient Engagement Can Influence Equity-Focused HTA Recommendations.</w:t>
      </w:r>
    </w:p>
    <w:p w14:paraId="2E2EBF06" w14:textId="5E0CA771" w:rsidR="007C702D" w:rsidRDefault="007C702D" w:rsidP="005A6920">
      <w:pPr>
        <w:pStyle w:val="NormalWeb"/>
        <w:spacing w:line="480" w:lineRule="auto"/>
        <w:rPr>
          <w:rStyle w:val="Strong"/>
          <w:b w:val="0"/>
          <w:bCs w:val="0"/>
        </w:rPr>
      </w:pPr>
    </w:p>
    <w:p w14:paraId="4CCF61B0" w14:textId="7709F5C4" w:rsidR="005A6920" w:rsidRPr="005906CA" w:rsidRDefault="005A6920" w:rsidP="005A6920">
      <w:pPr>
        <w:pStyle w:val="NormalWeb"/>
        <w:spacing w:line="480" w:lineRule="auto"/>
      </w:pPr>
      <w:r w:rsidRPr="005906CA">
        <w:rPr>
          <w:rStyle w:val="Strong"/>
        </w:rPr>
        <w:lastRenderedPageBreak/>
        <w:t>Drivers of Patient Engagement for Health Equity in HTA:</w:t>
      </w:r>
    </w:p>
    <w:p w14:paraId="4AE380AB" w14:textId="34905A90" w:rsidR="005A6920" w:rsidRPr="004E3E8D" w:rsidRDefault="005A6920" w:rsidP="005A6920">
      <w:pPr>
        <w:numPr>
          <w:ilvl w:val="0"/>
          <w:numId w:val="13"/>
        </w:numPr>
        <w:spacing w:before="100" w:beforeAutospacing="1" w:after="100" w:afterAutospacing="1" w:line="480" w:lineRule="auto"/>
      </w:pPr>
      <w:r w:rsidRPr="004E4995">
        <w:rPr>
          <w:rStyle w:val="Strong"/>
        </w:rPr>
        <w:t>Healthcare Systems:</w:t>
      </w:r>
      <w:r w:rsidRPr="004E3E8D">
        <w:t xml:space="preserve"> The broader healthcare environment, which includes the public and private sectors, can influence patient engagement processes. Systems' emphasis on equity and patient-centred care drives HTA organizations to include patient voices in their decision-making processes</w:t>
      </w:r>
      <w:r w:rsidR="005906CA">
        <w:t xml:space="preserve"> </w:t>
      </w:r>
      <w:r w:rsidR="005906CA" w:rsidRPr="005906CA">
        <w:fldChar w:fldCharType="begin"/>
      </w:r>
      <w:r w:rsidR="005906CA">
        <w:instrText xml:space="preserve"> ADDIN ZOTERO_ITEM CSL_CITATION {"citationID":"KM08k2YC","properties":{"formattedCitation":"(6\\uc0\\u8211{}8)","plainCitation":"(6–8)","noteIndex":0},"citationItems":[{"id":3082,"uris":["http://zotero.org/users/9520068/items/E3TUIE7X"],"itemData":{"id":3082,"type":"article-journal","container-title":"Value in health : the journal of the International Society for Pharmacoeconomics and Outcomes Research","DOI":"10.1111/j.1524-4733.2009.00554.x","ISSN":"1524-4733 1098-3015","journalAbbreviation":"Value Health","language":"eng","note":"publisher-place: United States\nPMID: 19523180","page":"S14-19","title":"Health technology assessment in Canada: 20 years strong?","volume":"12 Suppl 2","author":[{"family":"Menon","given":"Devidas"},{"family":"Stafinski","given":"Tania"}],"issued":{"date-parts":[["2009",6]]}},"label":"page"},{"id":1414,"uris":["http://zotero.org/users/9520068/items/T7QUCKTX"],"itemData":{"id":1414,"type":"article-journal","abstract":"Background\nHealth technology assessment (HTA) plays an important role in reimbursement decision-making in many countries, but recommendations vary widely throughout jurisdictions, even for the same drug. This variation may be due to differences in the weighing of evidence or differences in the processes or procedures, which are known as HTA practices.\nObjective\nTo provide insight into the effects of differences in practices on interpretation of intercountry differences in HTA recommendations for conditionally approved drugs.\nMethods\nHTA recommendations for conditionally approved drugs (N = 27) up until June 2017 from England/Wales, France, Germany, the Netherlands, and Scotland were included. Recommendations and practice characteristics were extracted from these five jurisdictions and this data was validated. The effect of nonsubmissions, resubmissions, and reassessments; cost-effectiveness assessments; and price negotiations on changes in the percentage of negative recommendations and the interpretation of intercountry differences in HTA outcomes were analyzed using Fisher exact tests.\nResults\nThe inclusion of cost-effectiveness assessments led to significant increases in the proportion of negative recommendations in England/Wales (from 4% to 50%, P&lt;.01) and Scotland (from 21% to 71%, P&lt;.01). The subsequent inclusion of price negotiations led to significant reductions in the proportion of negative recommendations in England/Wales (from 50% to 14%, P&lt;.01), France (from 31% to 3%, P=.012), and Germany (from 34% to 0%, P&lt;.01). Results indicated that the inclusion of nonsubmissions and resubmissions might affect Scottish negative HTA recommendations (from 7% to 21%), but this effect was not significant. No significant effects were observed in the Netherlands, possibly owing to sample size.\nConclusion\nVariations in HTA practices between international jurisdictions can have a substantial and significant impact on conclusions about recommendations by HTA bodies, as exemplified in this cohort of conditionally approved products. Studies comparing international HTA recommendations should carefully consider possible practice variations between jurisdictions.","container-title":"Value in Health","DOI":"10.1016/j.jval.2019.07.017","ISSN":"1098-3015","issue":"1","journalAbbreviation":"Value in Health","page":"10-16","title":"Differences in Health Technology Assessment Recommendations Among European Jurisdictions: The Role of Practice Variations","URL":"https://www.sciencedirect.com/science/article/pii/S1098301519323411","volume":"23","author":[{"family":"Vreman","given":"Rick A."},{"family":"Mantel-Teeuwisse","given":"Aukje K."},{"family":"Hövels","given":"Anke M."},{"family":"Leufkens","given":"Hubert G.M."},{"family":"Goettsch","given":"Wim G."}],"issued":{"date-parts":[["2020",1,1]]}},"label":"page"},{"id":1200,"uris":["http://zotero.org/users/9520068/items/KPWAP56P"],"itemData":{"id":1200,"type":"article-journal","abstract":"Equity has been recognized as one of the driving principles of many health systems in the world. In Latin America, Chile has led the explicit inclusion of equity in their health policies, which is reflected in its recent health reform. On the other hand, Chile faces the challenge of defining and implementing a policy for health technology assessment (HTA), which should be consistent with the equity principles that underlie the Chilean national health system. This paper reviews the equity concept emphasizing the relevance of socioeconomic inequalities. Furthermore, it examines how international HTA agencies have explicitly included this element in the evaluation and decision processes. It presents the English case, which highlights the elements of procedural justice rather than adopting a normative position regarding equity. Finally, it examines the methods that have been developed aiming to make explicit consideration of equity in HTA. It concludes that the methodological development to incorporate equity elements with empirical basis is recent and limited. The consideration of equity is, in most of the cases, left to the instances of deliberative participation.","container-title":"Revista medica de Chile","DOI":"10.4067/S0034-98872014001300008","page":"S45-9","title":"[Equity in health and health technology assessment in Chile].","volume":"142 Suppl","author":[{"family":"Espinoza","given":"Manuel Antonio"},{"family":"Cabieses","given":"Baltica"}],"issued":{"date-parts":[["2014",1]]}},"label":"page"}],"schema":"https://github.com/citation-style-language/schema/raw/master/csl-citation.json"} </w:instrText>
      </w:r>
      <w:r w:rsidR="005906CA" w:rsidRPr="005906CA">
        <w:fldChar w:fldCharType="separate"/>
      </w:r>
      <w:r w:rsidR="005906CA" w:rsidRPr="005906CA">
        <w:rPr>
          <w:lang w:val="en-US"/>
        </w:rPr>
        <w:t>(6–8)</w:t>
      </w:r>
      <w:r w:rsidR="005906CA" w:rsidRPr="005906CA">
        <w:fldChar w:fldCharType="end"/>
      </w:r>
      <w:r w:rsidRPr="004E3E8D">
        <w:t>.</w:t>
      </w:r>
    </w:p>
    <w:p w14:paraId="14CBF0E6" w14:textId="77777777" w:rsidR="005A6920" w:rsidRPr="004E3E8D" w:rsidRDefault="005A6920" w:rsidP="005A6920">
      <w:pPr>
        <w:numPr>
          <w:ilvl w:val="0"/>
          <w:numId w:val="13"/>
        </w:numPr>
        <w:spacing w:before="100" w:beforeAutospacing="1" w:after="100" w:afterAutospacing="1" w:line="480" w:lineRule="auto"/>
      </w:pPr>
      <w:r w:rsidRPr="004E4995">
        <w:rPr>
          <w:rStyle w:val="Strong"/>
        </w:rPr>
        <w:t>HTA Organizations:</w:t>
      </w:r>
      <w:r w:rsidRPr="004E3E8D">
        <w:t xml:space="preserve"> Organizations are critical in setting patient engagement standards. They guide how patient input is incorporated into HTA processes, impacting the health equity analysis and the development of equity-focused HTA recommendations.</w:t>
      </w:r>
    </w:p>
    <w:p w14:paraId="6EE553AF" w14:textId="6C19C20C" w:rsidR="005A6920" w:rsidRPr="004E3E8D" w:rsidRDefault="005A6920" w:rsidP="005A6920">
      <w:pPr>
        <w:numPr>
          <w:ilvl w:val="0"/>
          <w:numId w:val="13"/>
        </w:numPr>
        <w:spacing w:before="100" w:beforeAutospacing="1" w:after="100" w:afterAutospacing="1" w:line="480" w:lineRule="auto"/>
      </w:pPr>
      <w:r w:rsidRPr="004E4995">
        <w:rPr>
          <w:rStyle w:val="Strong"/>
        </w:rPr>
        <w:t>HTA Framework:</w:t>
      </w:r>
      <w:r w:rsidRPr="004E3E8D">
        <w:t xml:space="preserve"> The frameworks used by HTA organizations impact the structure and approach for integrating equity considerations into technology assessments</w:t>
      </w:r>
      <w:r w:rsidR="005906CA">
        <w:t xml:space="preserve"> </w:t>
      </w:r>
      <w:r w:rsidR="005906CA" w:rsidRPr="005906CA">
        <w:fldChar w:fldCharType="begin"/>
      </w:r>
      <w:r w:rsidR="005906CA">
        <w:instrText xml:space="preserve"> ADDIN ZOTERO_ITEM CSL_CITATION {"citationID":"b5GCyyvq","properties":{"formattedCitation":"(9)","plainCitation":"(9)","noteIndex":0},"citationItems":[{"id":3084,"uris":["http://zotero.org/users/9520068/items/B2NHF9RL"],"itemData":{"id":3084,"type":"article-journal","abstract":"Objectives: Equity is one of the founding principles in most healthcare systems. Financial constraints entail an increased risk of exacerbating inequities and a greater need for evidence-based decisions. It is, therefore, both important and timely to enquire how equity can be addressed in health technology assessment (HTA) practice. We aimed to explore related practices from a broad range of HTA agencies, identify exemplary approaches and common concerns, and offer insights for future considerations.Methods: HTA agencies for which both methodological guides and HTA reports were publicly available were selected from an initial comprehensive pool. Information was extracted on issues ranging from a general commitment to fairness to specific measures targeting both methodological and process-related elements.Results: Methodological documents and ninety-eight reports from nineteen agencies were analyzed. Our findings indicate that equity was not a standard consideration in HTA report production. The nature of specific approaches and the amount of resources invested into including an equity perspective varied considerably. Specific measures (e.g., appropriate information sources, analytical tools, and schemes) were mentioned by almost half of the agencies analyzed. Albeit sporadic, both horizontal and vertical equity considerations were identified in included HTA reports.Conclusions: While varying legal contexts and institutional principles can lead to different interpretations of equity at the decision point, a combination of methodological and process-related practices could contribute to more equity-sensitive evaluations, especially in conjunction with enhanced dissemination of existing methodological tools. Networking initiatives on behalf of existing collaborating platforms could play an important role in this direction.","archive":"Cambridge Core","container-title":"International Journal of Technology Assessment in Health Care","DOI":"10.1017/S0266462315000549","ISSN":"0266-4623","issue":"5","note":"edition: 2015/12/29\npublisher: Cambridge University Press","page":"314-323","source":"Cambridge University Press","title":"CONSIDERING EQUITY IN HEALTH TECHNOLOGY ASSESSMENT: AN EXPLORATORY ANALYSIS OF AGENCY PRACTICES","URL":"https://www.cambridge.org/core/product/2AA3E46053202358B9CC83DC35E1042D","volume":"31","author":[{"family":"Panteli","given":"Dimitra"},{"family":"Kreis","given":"Julia"},{"family":"Busse","given":"Reinhard"}],"issued":{"date-parts":[["2015"]]}}}],"schema":"https://github.com/citation-style-language/schema/raw/master/csl-citation.json"} </w:instrText>
      </w:r>
      <w:r w:rsidR="005906CA" w:rsidRPr="005906CA">
        <w:fldChar w:fldCharType="separate"/>
      </w:r>
      <w:r w:rsidR="005906CA">
        <w:rPr>
          <w:noProof/>
        </w:rPr>
        <w:t>(9)</w:t>
      </w:r>
      <w:r w:rsidR="005906CA" w:rsidRPr="005906CA">
        <w:fldChar w:fldCharType="end"/>
      </w:r>
      <w:r w:rsidRPr="004E3E8D">
        <w:t>.</w:t>
      </w:r>
    </w:p>
    <w:p w14:paraId="6EC86040" w14:textId="77777777" w:rsidR="005A6920" w:rsidRPr="004E3E8D" w:rsidRDefault="005A6920" w:rsidP="005A6920">
      <w:pPr>
        <w:numPr>
          <w:ilvl w:val="0"/>
          <w:numId w:val="13"/>
        </w:numPr>
        <w:spacing w:before="100" w:beforeAutospacing="1" w:after="100" w:afterAutospacing="1" w:line="480" w:lineRule="auto"/>
      </w:pPr>
      <w:r w:rsidRPr="004E4995">
        <w:rPr>
          <w:rStyle w:val="Strong"/>
        </w:rPr>
        <w:t>Characteristics of Health Technologies and Patients:</w:t>
      </w:r>
      <w:r w:rsidRPr="004E3E8D">
        <w:t xml:space="preserve"> Health technologies' specific features, such as accessibility and usability, affect their relevance to different patient groups. Similarly, patients' socio-demographic characteristics influence their engagement level and input relevance.</w:t>
      </w:r>
    </w:p>
    <w:p w14:paraId="182164DF" w14:textId="513F4952" w:rsidR="005A6920" w:rsidRPr="004E3E8D" w:rsidRDefault="005A6920" w:rsidP="005A6920">
      <w:pPr>
        <w:numPr>
          <w:ilvl w:val="0"/>
          <w:numId w:val="13"/>
        </w:numPr>
        <w:spacing w:before="100" w:beforeAutospacing="1" w:after="100" w:afterAutospacing="1" w:line="480" w:lineRule="auto"/>
      </w:pPr>
      <w:r w:rsidRPr="004E4995">
        <w:rPr>
          <w:rStyle w:val="Strong"/>
        </w:rPr>
        <w:t xml:space="preserve">Underrepresented </w:t>
      </w:r>
      <w:r w:rsidR="004038CD" w:rsidRPr="004E4995">
        <w:rPr>
          <w:rStyle w:val="Strong"/>
        </w:rPr>
        <w:t xml:space="preserve">and Disadvantaged </w:t>
      </w:r>
      <w:r w:rsidRPr="004E4995">
        <w:rPr>
          <w:rStyle w:val="Strong"/>
        </w:rPr>
        <w:t>Patients:</w:t>
      </w:r>
      <w:r w:rsidRPr="004E3E8D">
        <w:t xml:space="preserve"> Ensuring the inclusion of underrepresented and disadvantaged groups in HTA processes can help develop recommendations that address diverse health needs</w:t>
      </w:r>
      <w:r w:rsidR="005906CA">
        <w:t xml:space="preserve"> </w:t>
      </w:r>
      <w:r w:rsidR="005906CA" w:rsidRPr="005906CA">
        <w:fldChar w:fldCharType="begin"/>
      </w:r>
      <w:r w:rsidR="005906CA">
        <w:instrText xml:space="preserve"> ADDIN ZOTERO_ITEM CSL_CITATION {"citationID":"yNS27Dk7","properties":{"formattedCitation":"(10,11)","plainCitation":"(10,11)","noteIndex":0},"citationItems":[{"id":1287,"uris":["http://zotero.org/users/9520068/items/LPXX7HBC"],"itemData":{"id":1287,"type":"book","abstract":"Qualitative research methods have been developed several decades ago and have been applied since then to further knowledge in many social scientific disciplines. Numerous qualitative research communities have been actively sharing their expertise and insights in fields that are closely related to HTA such as sociology of health and illness, healthcare management, health policy, and knowledge synthesis. As a result, there exists today a rich body of scholarship that deepens our understanding of the strengths, limitations, and comparative relevance of specific established qualitative data collection techniques (interviews, focus groups, observation) and explores how innovative qualitative approaches could tap on online environments and tools, including social media (Khodyakov et al. 2016; Marques 2009). Building on this diversified and mature scholarship, four chapters in Part II of this book provide readers with clear guidance on the ways in which particular qualitative methods can help HTA practitioners to elicit patients’ perspectives, experiences, and preferences. These chapters also contribute to the science of HTA by making more explicit the epistemological underpinnings of the “patient’s view.” Along these lines, the current chapter critically discusses the kinds of patient-based evidence one may generate through qualitative methods (1), summarizes key lessons from the four chapters (2), identifies methodological challenges that lie ahead (3), and formulates take-home epistemological messages for the consolidation of patient-based HTA (4).","collection-title":"Patient Involvement in Health Technology Assessment","edition":"Springer N","event-place":"Singapore","ISBN":"978-981-10-4067-2","note":"issue: 2\npage: 49\nDOI: 10.1007/978-981-10-4068-9","number-of-pages":"49","publisher":"Springer Singapore","publisher-place":"Singapore","title":"Patient Involvement in Health Technology Assessment","URL":"http://link.springer.com/10.1007/978-981-10-4068-9","volume":"32","author":[{"family":"Facey Helle","given":"Karen M"},{"family":"Hansen","given":"Ploug"},{"family":"Single","given":"Ann N V"},{"literal":"European Patients’ Forum"},{"family":"Facey Helle","given":"Karen M"},{"family":"Hansen","given":"Ploug"},{"family":"Single","given":"Ann N V"}],"issued":{"date-parts":[["2017"]]}}},{"id":221,"uris":["http://zotero.org/users/9520068/items/3DZDMFNJ"],"itemData":{"id":221,"type":"article-journal","abstract":"With the increase in patient and consumer activism through the late twentieth century and into this century, patient roles in research evolved into a new model of research engagement, with patients serving as active advisors and co-leading or leading clinical research. By requiring active engagement of patients and other stakeholders, several government research funders have advanced this model, particularly in Canada, the United States (US), United Kingdom (UK), and Australia. A consortium of individuals from these countries formed a Multi-Stakeholder Engagement (MuSE) consortium to examine critical issues in engaged research, establish consensus on definitions, and provide guidance for the field, beginning with an overview of how to involve stakeholders in health research (Concannon et al. J Gen Intern Med. 2019;34(3):458-463) and continuing here with an examination of definitions of research engagement. The political and advocacy roots of engaged research are reflected in definitions. Engagement is conceptualized with reference to research project goals, from informing specific clinical decisions to informing health-system level decisions. Political and cultural differences across countries are evident. Some of these government funders focus on empirical rather than ethical rationales. In countries with centralized health technology assessment, the link between societal values and engaged research is explicit. Ethical rationales for engagement are explicit in most of the published literature on research engagement. Harmonization of definitions is recommended so that research engagement elements, methods, and outcomes and impacts can be clearly examined and understood, and so that the field of research engagement can proceed from a clear conceptual foundation. Specific recommendations for terminology definitions are provided. Placing engaged research on a continuum from specific clinical decisions to more global public and social justice concerns clarifies the type of engaged research, supports appropriate comparisons, and improves the rigor of engaged research methods. The results help identify knowledge gaps in this growing field.","container-title":"Journal of general internal medicine","DOI":"10.1007/s11606-019-05436-2","ISSN":"1525-1497","issue":"1","journalAbbreviation":"J Gen Intern Med","note":"publisher-place: United States\nFrank, Lori. RAND Corporation, Washington, DC, USA. LFrank@RAND.org.\nMorton, Sally C. Department of Statistics, College of Science, Virginia Tech, Blacksburg, VA, USA.\nGuise, Jeanne-Marie. Departments of Obstetrics and Gynecology, Medical Informatics &amp; Clinical Epidemiology, Emergency Medicine, Oregon Health &amp; Science University School of Medicine and the OHSU-PSU School of Public Health, Portland, OR, USA.\nJull, Janet. School of Rehabilitation Therapy, Queen's University, Kingston, ON, Canada.\nConcannon, Thomas W. The RAND Corporation, Boston, MA, USA.\nTugwell, Peter. Canada Research Chair in Health Equity, University of Ottawa Centre for Global Health, Ottawa, ON, Canada.","page":"307-314","title":"Engaging Patients and Other Non-Researchers in Health Research: Defining Research Engagement.","volume":"35","author":[{"family":"Frank","given":"Lori"},{"family":"Morton","given":"Sally C"},{"family":"Guise","given":"Jeanne-Marie"},{"family":"Jull","given":"Janet"},{"family":"Concannon","given":"Thomas W"},{"family":"Tugwell","given":"Peter"},{"literal":"Multi Stakeholder Engagement (MuSE) Consortium"}],"issued":{"date-parts":[["2020"]]}}}],"schema":"https://github.com/citation-style-language/schema/raw/master/csl-citation.json"} </w:instrText>
      </w:r>
      <w:r w:rsidR="005906CA" w:rsidRPr="005906CA">
        <w:fldChar w:fldCharType="separate"/>
      </w:r>
      <w:r w:rsidR="005906CA">
        <w:rPr>
          <w:noProof/>
        </w:rPr>
        <w:t>(10,11)</w:t>
      </w:r>
      <w:r w:rsidR="005906CA" w:rsidRPr="005906CA">
        <w:fldChar w:fldCharType="end"/>
      </w:r>
      <w:r w:rsidRPr="004E3E8D">
        <w:t>.</w:t>
      </w:r>
    </w:p>
    <w:p w14:paraId="54278EF6" w14:textId="77777777" w:rsidR="005A6920" w:rsidRPr="005906CA" w:rsidRDefault="005A6920" w:rsidP="004E3E8D">
      <w:pPr>
        <w:pStyle w:val="NormalWeb"/>
        <w:spacing w:after="0" w:afterAutospacing="0" w:line="480" w:lineRule="auto"/>
      </w:pPr>
      <w:r w:rsidRPr="005906CA">
        <w:rPr>
          <w:rStyle w:val="Strong"/>
        </w:rPr>
        <w:t>Inputs and Activities:</w:t>
      </w:r>
    </w:p>
    <w:p w14:paraId="0CA445F1" w14:textId="77777777" w:rsidR="005A6920" w:rsidRPr="00B15AC2" w:rsidRDefault="005A6920" w:rsidP="005A6920">
      <w:pPr>
        <w:numPr>
          <w:ilvl w:val="0"/>
          <w:numId w:val="14"/>
        </w:numPr>
        <w:spacing w:before="100" w:beforeAutospacing="1" w:after="100" w:afterAutospacing="1" w:line="480" w:lineRule="auto"/>
      </w:pPr>
      <w:r w:rsidRPr="00B15AC2">
        <w:rPr>
          <w:rStyle w:val="Strong"/>
        </w:rPr>
        <w:t>Resources:</w:t>
      </w:r>
    </w:p>
    <w:p w14:paraId="151BE879" w14:textId="2C38F648" w:rsidR="005A6920" w:rsidRPr="004E3E8D" w:rsidRDefault="005A6920" w:rsidP="005A6920">
      <w:pPr>
        <w:numPr>
          <w:ilvl w:val="1"/>
          <w:numId w:val="14"/>
        </w:numPr>
        <w:spacing w:before="100" w:beforeAutospacing="1" w:after="100" w:afterAutospacing="1" w:line="480" w:lineRule="auto"/>
      </w:pPr>
      <w:r w:rsidRPr="00B15AC2">
        <w:rPr>
          <w:rStyle w:val="Strong"/>
        </w:rPr>
        <w:t>Staff and Patients’</w:t>
      </w:r>
      <w:r w:rsidRPr="004E3E8D">
        <w:rPr>
          <w:rStyle w:val="Strong"/>
          <w:b w:val="0"/>
          <w:bCs w:val="0"/>
        </w:rPr>
        <w:t xml:space="preserve"> Skills:</w:t>
      </w:r>
      <w:r w:rsidRPr="004E3E8D">
        <w:t xml:space="preserve"> The skills and competencies of both HTA staff and patients are crucial for effective engagement. Training in cultural competencies and digital literacy can enhance the engagement process</w:t>
      </w:r>
      <w:r w:rsidR="005906CA">
        <w:t xml:space="preserve"> </w:t>
      </w:r>
      <w:r w:rsidR="005906CA" w:rsidRPr="00611C75">
        <w:t xml:space="preserve"> </w:t>
      </w:r>
      <w:r w:rsidR="005906CA">
        <w:fldChar w:fldCharType="begin"/>
      </w:r>
      <w:r w:rsidR="005906CA">
        <w:instrText xml:space="preserve"> ADDIN ZOTERO_ITEM CSL_CITATION {"citationID":"w4NjBQxV","properties":{"formattedCitation":"(12,13)","plainCitation":"(12,13)","noteIndex":0},"citationItems":[{"id":3076,"uris":["http://zotero.org/users/9520068/items/K2P5HTIF"],"itemData":{"id":3076,"type":"article-journal","abstract":"BACKGROUND: As citizens, patients and family members are participating in numerous and expanding roles in health system organizations, attention has turned  to evaluating these efforts. The context-specific nature of engagement requires  evaluation tools to be carefully designed for optimal use. We sought to address  this need by assessing the appropriateness and feasibility of a generic tool  across a range of health system organizations, engagement activities and patient  groups. METHODS: We used a mixed-methods implementation research design to study  the implementation of an engagement evaluation tool in seven health system  organizations in Ontario, Canada focusing on two key implementation outcome  variables: appropriateness and feasibility. Data were collected through  respondent feedback questions (binary and open-ended) at the end of the tool's  three questionnaires as well as interviews and debriefing discussions with  engagement professionals and patient partners from collaborating organizations.  RESULTS: The three questionnaires comprising the evaluation tool were  collectively administered 29 times to 405 respondents yielding a 52% response  rate (90% and 53% of respondents respectively assessed the survey's  appropriateness and feasibility [quantitatively or qualitatively]). The  questionnaires' basic properties were rated highly by all respondents. Concrete  suggestions were provided for improving the appropriateness and feasibility of  the questionnaires (or components within) for different engagement activity and  organization types, and for enhancing the timing of implementation. DISCUSSION  AND CONCLUSIONS: Our study findings offer guidance for health system  organizations and evaluators to support the optimal use of engagement evaluation  tools across a variety of health system settings, engagement activities and  respondent groups.","container-title":"Health expectations : an international journal of public participation in health care and health policy","DOI":"10.1111/hex.12949","ISSN":"1369-7625 1369-6513","issue":"5","journalAbbreviation":"Health Expect","language":"eng","license":"© 2019 The Authors Health Expectations published by John Wiley &amp; Sons Ltd.","note":"publisher-place: England\nPMID: 31373754 \nPMCID: PMC6803403","page":"1132-1143","title":"Supporting the evaluation of public and patient engagement in health system organizations: Results from an implementation research study.","volume":"22","author":[{"family":"Abelson","given":"Julia"},{"family":"Tripp","given":"Laura"},{"family":"Kandasamy","given":"Sujane"},{"family":"Burrows","given":"Kristen"}],"issued":{"date-parts":[["2019",10]]}}},{"id":3073,"uris":["http://zotero.org/users/9520068/items/INVFK3CC"],"itemData":{"id":3073,"type":"article-journal","abstract":"OBJECTIVE: To summarize current evidence on patient and public involvement (PPI) in health technology assessment (HTA) in order to synthesize the barriers and  facilitators, and to propose a framework to assess its impact. METHODS: We  conducted an update of a systematic review published in 2011 considering the  recent scientific literature (qualitative, quantitative, and mixed-methods  studies). We searched papers published between March 2009 (end of the initial  search) and December 2019 in five databases using specific search strategies. We  identified other publications through citation tracking and contacting authors of  previous related studies. Reviewers independently selected relevant studies based  on prespecified inclusion and exclusion criteria. We extracted information using  a pre-established grid. RESULTS: We identified a total of 7872 publications from  the main search strategy. Ultimately, thirty-one distinct new studies met the  inclusion criteria, whereas seventeen studies were included in the previous  systematic review. PPI is realized through two main strategies: (i) patients and  public members participate directly in decision-making processes (participation)  and (ii) patients or public perspectives are solicited to inform decisions  (consultation or indirect participation). This review synthesizes the barriers  and facilitators to PPI in HTA, and a framework to assess its impact is proposed.  CONCLUSION: The number of studies on patients or public involvement in HTA has  dramatically increased in recent years. Findings from this updated systematic  review show that PPI is done mostly through consultation and that direct  involvement is less frequent. Several barriers to PPI in HTA exist, notably the  lack of information to patients and public about HTA and the lack of guidance and  policies to support PPI in HTA.","container-title":"International journal of technology assessment in health care","DOI":"10.1017/S0266462321000064","ISSN":"1471-6348 0266-4623","journalAbbreviation":"Int J Technol Assess Health Care","language":"eng","note":"publisher-place: England\nPMID: 33541449","page":"e36","title":"Patient and public involvement in health technology assessment: update of a systematic review of international experiences.","volume":"37","author":[{"family":"Gagnon","given":"Marie-Pierre"},{"family":"Tantchou Dipankui","given":"Mylène"},{"family":"Poder","given":"Thomas G."},{"family":"Payne-Gagnon","given":"Julie"},{"family":"Mbemba","given":"Gisèle"},{"family":"Beretta","given":"Valentina"}],"issued":{"date-parts":[["2021",2,5]]}}}],"schema":"https://github.com/citation-style-language/schema/raw/master/csl-citation.json"} </w:instrText>
      </w:r>
      <w:r w:rsidR="005906CA">
        <w:fldChar w:fldCharType="separate"/>
      </w:r>
      <w:r w:rsidR="005906CA">
        <w:rPr>
          <w:noProof/>
        </w:rPr>
        <w:t>(12,13)</w:t>
      </w:r>
      <w:r w:rsidR="005906CA">
        <w:fldChar w:fldCharType="end"/>
      </w:r>
      <w:r w:rsidRPr="004E3E8D">
        <w:t>.</w:t>
      </w:r>
    </w:p>
    <w:p w14:paraId="6AB22D17" w14:textId="50E805F0" w:rsidR="005A6920" w:rsidRPr="004E3E8D" w:rsidRDefault="005A6920" w:rsidP="004E3E8D">
      <w:pPr>
        <w:numPr>
          <w:ilvl w:val="0"/>
          <w:numId w:val="14"/>
        </w:numPr>
        <w:spacing w:before="100" w:beforeAutospacing="1" w:after="100" w:afterAutospacing="1" w:line="480" w:lineRule="auto"/>
      </w:pPr>
      <w:r w:rsidRPr="004E4995">
        <w:rPr>
          <w:rStyle w:val="Strong"/>
        </w:rPr>
        <w:lastRenderedPageBreak/>
        <w:t>Funding:</w:t>
      </w:r>
      <w:r w:rsidRPr="004E3E8D">
        <w:t xml:space="preserve"> Adequate funding supports diverse engagement activities, compensates participants, and ensures the sustainability of patient engagement initiatives</w:t>
      </w:r>
      <w:r w:rsidR="005906CA">
        <w:t xml:space="preserve"> </w:t>
      </w:r>
      <w:r w:rsidR="005906CA" w:rsidRPr="00611C75">
        <w:t xml:space="preserve"> </w:t>
      </w:r>
      <w:r w:rsidR="005906CA">
        <w:fldChar w:fldCharType="begin"/>
      </w:r>
      <w:r w:rsidR="005906CA">
        <w:instrText xml:space="preserve"> ADDIN ZOTERO_ITEM CSL_CITATION {"citationID":"PAOwU4vP","properties":{"formattedCitation":"(12,13)","plainCitation":"(12,13)","noteIndex":0},"citationItems":[{"id":3076,"uris":["http://zotero.org/users/9520068/items/K2P5HTIF"],"itemData":{"id":3076,"type":"article-journal","abstract":"BACKGROUND: As citizens, patients and family members are participating in numerous and expanding roles in health system organizations, attention has turned  to evaluating these efforts. The context-specific nature of engagement requires  evaluation tools to be carefully designed for optimal use. We sought to address  this need by assessing the appropriateness and feasibility of a generic tool  across a range of health system organizations, engagement activities and patient  groups. METHODS: We used a mixed-methods implementation research design to study  the implementation of an engagement evaluation tool in seven health system  organizations in Ontario, Canada focusing on two key implementation outcome  variables: appropriateness and feasibility. Data were collected through  respondent feedback questions (binary and open-ended) at the end of the tool's  three questionnaires as well as interviews and debriefing discussions with  engagement professionals and patient partners from collaborating organizations.  RESULTS: The three questionnaires comprising the evaluation tool were  collectively administered 29 times to 405 respondents yielding a 52% response  rate (90% and 53% of respondents respectively assessed the survey's  appropriateness and feasibility [quantitatively or qualitatively]). The  questionnaires' basic properties were rated highly by all respondents. Concrete  suggestions were provided for improving the appropriateness and feasibility of  the questionnaires (or components within) for different engagement activity and  organization types, and for enhancing the timing of implementation. DISCUSSION  AND CONCLUSIONS: Our study findings offer guidance for health system  organizations and evaluators to support the optimal use of engagement evaluation  tools across a variety of health system settings, engagement activities and  respondent groups.","container-title":"Health expectations : an international journal of public participation in health care and health policy","DOI":"10.1111/hex.12949","ISSN":"1369-7625 1369-6513","issue":"5","journalAbbreviation":"Health Expect","language":"eng","license":"© 2019 The Authors Health Expectations published by John Wiley &amp; Sons Ltd.","note":"publisher-place: England\nPMID: 31373754 \nPMCID: PMC6803403","page":"1132-1143","title":"Supporting the evaluation of public and patient engagement in health system organizations: Results from an implementation research study.","volume":"22","author":[{"family":"Abelson","given":"Julia"},{"family":"Tripp","given":"Laura"},{"family":"Kandasamy","given":"Sujane"},{"family":"Burrows","given":"Kristen"}],"issued":{"date-parts":[["2019",10]]}}},{"id":3073,"uris":["http://zotero.org/users/9520068/items/INVFK3CC"],"itemData":{"id":3073,"type":"article-journal","abstract":"OBJECTIVE: To summarize current evidence on patient and public involvement (PPI) in health technology assessment (HTA) in order to synthesize the barriers and  facilitators, and to propose a framework to assess its impact. METHODS: We  conducted an update of a systematic review published in 2011 considering the  recent scientific literature (qualitative, quantitative, and mixed-methods  studies). We searched papers published between March 2009 (end of the initial  search) and December 2019 in five databases using specific search strategies. We  identified other publications through citation tracking and contacting authors of  previous related studies. Reviewers independently selected relevant studies based  on prespecified inclusion and exclusion criteria. We extracted information using  a pre-established grid. RESULTS: We identified a total of 7872 publications from  the main search strategy. Ultimately, thirty-one distinct new studies met the  inclusion criteria, whereas seventeen studies were included in the previous  systematic review. PPI is realized through two main strategies: (i) patients and  public members participate directly in decision-making processes (participation)  and (ii) patients or public perspectives are solicited to inform decisions  (consultation or indirect participation). This review synthesizes the barriers  and facilitators to PPI in HTA, and a framework to assess its impact is proposed.  CONCLUSION: The number of studies on patients or public involvement in HTA has  dramatically increased in recent years. Findings from this updated systematic  review show that PPI is done mostly through consultation and that direct  involvement is less frequent. Several barriers to PPI in HTA exist, notably the  lack of information to patients and public about HTA and the lack of guidance and  policies to support PPI in HTA.","container-title":"International journal of technology assessment in health care","DOI":"10.1017/S0266462321000064","ISSN":"1471-6348 0266-4623","journalAbbreviation":"Int J Technol Assess Health Care","language":"eng","note":"publisher-place: England\nPMID: 33541449","page":"e36","title":"Patient and public involvement in health technology assessment: update of a systematic review of international experiences.","volume":"37","author":[{"family":"Gagnon","given":"Marie-Pierre"},{"family":"Tantchou Dipankui","given":"Mylène"},{"family":"Poder","given":"Thomas G."},{"family":"Payne-Gagnon","given":"Julie"},{"family":"Mbemba","given":"Gisèle"},{"family":"Beretta","given":"Valentina"}],"issued":{"date-parts":[["2021",2,5]]}}}],"schema":"https://github.com/citation-style-language/schema/raw/master/csl-citation.json"} </w:instrText>
      </w:r>
      <w:r w:rsidR="005906CA">
        <w:fldChar w:fldCharType="separate"/>
      </w:r>
      <w:r w:rsidR="005906CA">
        <w:rPr>
          <w:noProof/>
        </w:rPr>
        <w:t>(12,13)</w:t>
      </w:r>
      <w:r w:rsidR="005906CA">
        <w:fldChar w:fldCharType="end"/>
      </w:r>
      <w:r w:rsidRPr="004E3E8D">
        <w:t>.</w:t>
      </w:r>
    </w:p>
    <w:p w14:paraId="50E3C6C8" w14:textId="591225BC" w:rsidR="004E3E8D" w:rsidRPr="004E3E8D" w:rsidRDefault="004E3E8D" w:rsidP="004E3E8D">
      <w:pPr>
        <w:pStyle w:val="ListParagraph"/>
        <w:numPr>
          <w:ilvl w:val="0"/>
          <w:numId w:val="14"/>
        </w:numPr>
        <w:spacing w:line="480" w:lineRule="auto"/>
        <w:textAlignment w:val="baseline"/>
      </w:pPr>
      <w:r w:rsidRPr="004E4995">
        <w:rPr>
          <w:b/>
          <w:bCs/>
        </w:rPr>
        <w:t>Types of Engagement</w:t>
      </w:r>
      <w:r w:rsidRPr="004E3E8D">
        <w:t>: This defines how HTA organizations collect patient input.</w:t>
      </w:r>
    </w:p>
    <w:p w14:paraId="4D4DC990" w14:textId="4A0E5EBF" w:rsidR="004E3E8D" w:rsidRPr="004E3E8D" w:rsidRDefault="004E3E8D" w:rsidP="004E3E8D">
      <w:pPr>
        <w:numPr>
          <w:ilvl w:val="0"/>
          <w:numId w:val="17"/>
        </w:numPr>
        <w:spacing w:line="480" w:lineRule="auto"/>
        <w:textAlignment w:val="baseline"/>
      </w:pPr>
      <w:r w:rsidRPr="004E3E8D">
        <w:t>Direct Engagement: Involves HTA organizations in collecting patient input from individual patients through interviews, surveys, or focus groups</w:t>
      </w:r>
      <w:r w:rsidR="005906CA">
        <w:t xml:space="preserve"> </w:t>
      </w:r>
      <w:r w:rsidR="005906CA">
        <w:fldChar w:fldCharType="begin"/>
      </w:r>
      <w:r w:rsidR="005906CA">
        <w:instrText xml:space="preserve"> ADDIN ZOTERO_ITEM CSL_CITATION {"citationID":"ljaCnWRl","properties":{"formattedCitation":"(10,13,14)","plainCitation":"(10,13,14)","noteIndex":0},"citationItems":[{"id":1287,"uris":["http://zotero.org/users/9520068/items/LPXX7HBC"],"itemData":{"id":1287,"type":"book","abstract":"Qualitative research methods have been developed several decades ago and have been applied since then to further knowledge in many social scientific disciplines. Numerous qualitative research communities have been actively sharing their expertise and insights in fields that are closely related to HTA such as sociology of health and illness, healthcare management, health policy, and knowledge synthesis. As a result, there exists today a rich body of scholarship that deepens our understanding of the strengths, limitations, and comparative relevance of specific established qualitative data collection techniques (interviews, focus groups, observation) and explores how innovative qualitative approaches could tap on online environments and tools, including social media (Khodyakov et al. 2016; Marques 2009). Building on this diversified and mature scholarship, four chapters in Part II of this book provide readers with clear guidance on the ways in which particular qualitative methods can help HTA practitioners to elicit patients’ perspectives, experiences, and preferences. These chapters also contribute to the science of HTA by making more explicit the epistemological underpinnings of the “patient’s view.” Along these lines, the current chapter critically discusses the kinds of patient-based evidence one may generate through qualitative methods (1), summarizes key lessons from the four chapters (2), identifies methodological challenges that lie ahead (3), and formulates take-home epistemological messages for the consolidation of patient-based HTA (4).","collection-title":"Patient Involvement in Health Technology Assessment","edition":"Springer N","event-place":"Singapore","ISBN":"978-981-10-4067-2","note":"issue: 2\npage: 49\nDOI: 10.1007/978-981-10-4068-9","number-of-pages":"49","publisher":"Springer Singapore","publisher-place":"Singapore","title":"Patient Involvement in Health Technology Assessment","URL":"http://link.springer.com/10.1007/978-981-10-4068-9","volume":"32","author":[{"family":"Facey Helle","given":"Karen M"},{"family":"Hansen","given":"Ploug"},{"family":"Single","given":"Ann N V"},{"literal":"European Patients’ Forum"},{"family":"Facey Helle","given":"Karen M"},{"family":"Hansen","given":"Ploug"},{"family":"Single","given":"Ann N V"}],"issued":{"date-parts":[["2017"]]}}},{"id":3073,"uris":["http://zotero.org/users/9520068/items/INVFK3CC"],"itemData":{"id":3073,"type":"article-journal","abstract":"OBJECTIVE: To summarize current evidence on patient and public involvement (PPI) in health technology assessment (HTA) in order to synthesize the barriers and  facilitators, and to propose a framework to assess its impact. METHODS: We  conducted an update of a systematic review published in 2011 considering the  recent scientific literature (qualitative, quantitative, and mixed-methods  studies). We searched papers published between March 2009 (end of the initial  search) and December 2019 in five databases using specific search strategies. We  identified other publications through citation tracking and contacting authors of  previous related studies. Reviewers independently selected relevant studies based  on prespecified inclusion and exclusion criteria. We extracted information using  a pre-established grid. RESULTS: We identified a total of 7872 publications from  the main search strategy. Ultimately, thirty-one distinct new studies met the  inclusion criteria, whereas seventeen studies were included in the previous  systematic review. PPI is realized through two main strategies: (i) patients and  public members participate directly in decision-making processes (participation)  and (ii) patients or public perspectives are solicited to inform decisions  (consultation or indirect participation). This review synthesizes the barriers  and facilitators to PPI in HTA, and a framework to assess its impact is proposed.  CONCLUSION: The number of studies on patients or public involvement in HTA has  dramatically increased in recent years. Findings from this updated systematic  review show that PPI is done mostly through consultation and that direct  involvement is less frequent. Several barriers to PPI in HTA exist, notably the  lack of information to patients and public about HTA and the lack of guidance and  policies to support PPI in HTA.","container-title":"International journal of technology assessment in health care","DOI":"10.1017/S0266462321000064","ISSN":"1471-6348 0266-4623","journalAbbreviation":"Int J Technol Assess Health Care","language":"eng","note":"publisher-place: England\nPMID: 33541449","page":"e36","title":"Patient and public involvement in health technology assessment: update of a systematic review of international experiences.","volume":"37","author":[{"family":"Gagnon","given":"Marie-Pierre"},{"family":"Tantchou Dipankui","given":"Mylène"},{"family":"Poder","given":"Thomas G."},{"family":"Payne-Gagnon","given":"Julie"},{"family":"Mbemba","given":"Gisèle"},{"family":"Beretta","given":"Valentina"}],"issued":{"date-parts":[["2021",2,5]]}}},{"id":213,"uris":["http://zotero.org/users/9520068/items/VVVERT6W"],"itemData":{"id":213,"type":"article-journal","abstract":"OBJECTIVES: Despite wide support for patient involvement in health technology assessments (HTA), determining meaningful engagement is complex. This article explores experiences and perceptions among patient groups participating in the Canadian Agency for Drugs and Technologies in Health (CADTH)'s pan-Canadian Oncology Drug Review (pCODR) process., METHODS: We created a qualitative interview study comprising 22 semi-structured telephone interviews with individuals representing 21 different patient groups registered with the pCODR process. The analysis used a qualitative descriptive approach employing techniques from grounded theory., RESULTS: Patient groups view the ability to make submissions to the pCODR process as a meaningful activity closely aligned with organizational priorities. Concurrently, they face substantial resource challenges to prepare submissions, including high opportunity costs and difficulty accessing needed literature and finding relevant patients. Although patient groups felt that CADTH is committed to transparency, they expressed considerable uncertainty around the direct impact of their submissions and desired additional avenues for engagement., CONCLUSIONS: This study suggests a strong commitment by patient groups to participate in the pCODR process despite uncertainty about how their submissions are used to inform HTA recommendations. Identifying opportunities to provide both financial and nonfinancial resources to patient groups is crucial to encouraging and supporting their meaningful participation in HTA processes. Copyright © 2020 ISPOR-The Professional Society for Health Economics and Outcomes Research. Published by Elsevier Inc. All rights reserved.","container-title":"Value in health : the journal of the International Society for Pharmacoeconomics and Outcomes Research","DOI":"10.1016/j.jval.2020.06.003","ISSN":"1524-4733","issue":"9","journalAbbreviation":"Value Health","note":"publisher-place: United States\nMercer, Rebecca E. Canadian Centre for Applied Research in Cancer Control, Ontario Health (Cancer Care Ontario), Toronto, Ontario, Canada.\nChambers, Alexandra. pan-Canadian Oncology Drug Review, Canadian Agency for Drugs and Technologies in Health, Toronto, Ontario, Canada.\nMai, Helen. pan-Canadian Oncology Drug Review, Canadian Agency for Drugs and Technologies in Health, Toronto, Ontario, Canada.\nMcDonald, Valerie. pan-Canadian Oncology Drug Review, Canadian Agency for Drugs and Technologies in Health, Toronto, Ontario, Canada.\nMcMahon, Carole. pan-Canadian Oncology Drug Review, Canadian Agency for Drugs and Technologies in Health, Toronto, Ontario, Canada.\nChan, Kelvin K W. Canadian Centre for Applied Research in Cancer Control, Ontario Health (Cancer Care Ontario), Toronto, Ontario, Canada; Sunnybrook Health Sciences Centre, Toronto, Ontario, Canada. Electronic address: kelvin.chan@sunnybrook.ca.","page":"1157-1162","title":"Are We Making a Difference? A Qualitative Study of Patient Engagement at the pan-Canadian Oncology Drug Review: Perspectives of Patient Groups.","volume":"23","author":[{"family":"Mercer","given":"Rebecca E"},{"family":"Chambers","given":"Alexandra"},{"family":"Mai","given":"Helen"},{"family":"McDonald","given":"Valerie"},{"family":"McMahon","given":"Carole"},{"family":"Chan","given":"Kelvin K W"}],"issued":{"date-parts":[["2020"]]}}}],"schema":"https://github.com/citation-style-language/schema/raw/master/csl-citation.json"} </w:instrText>
      </w:r>
      <w:r w:rsidR="005906CA">
        <w:fldChar w:fldCharType="separate"/>
      </w:r>
      <w:r w:rsidR="005906CA">
        <w:rPr>
          <w:noProof/>
        </w:rPr>
        <w:t>(10,13,14)</w:t>
      </w:r>
      <w:r w:rsidR="005906CA">
        <w:fldChar w:fldCharType="end"/>
      </w:r>
      <w:r w:rsidRPr="004E3E8D">
        <w:t>.</w:t>
      </w:r>
    </w:p>
    <w:p w14:paraId="03B63896" w14:textId="52CBBB41" w:rsidR="004E3E8D" w:rsidRDefault="004E3E8D" w:rsidP="004E3E8D">
      <w:pPr>
        <w:numPr>
          <w:ilvl w:val="0"/>
          <w:numId w:val="17"/>
        </w:numPr>
        <w:spacing w:line="480" w:lineRule="auto"/>
        <w:textAlignment w:val="baseline"/>
      </w:pPr>
      <w:r w:rsidRPr="004E3E8D">
        <w:t xml:space="preserve">Indirect Engagement: </w:t>
      </w:r>
      <w:r w:rsidR="005906CA">
        <w:t>This i</w:t>
      </w:r>
      <w:r w:rsidRPr="004E3E8D">
        <w:t>nvolves HTA collecting patient input through patient organizations, which conduct var</w:t>
      </w:r>
      <w:r w:rsidR="00B15AC2">
        <w:t xml:space="preserve">ious </w:t>
      </w:r>
      <w:r w:rsidRPr="004E3E8D">
        <w:t xml:space="preserve">engagement activities (e.g., interviews, surveys, </w:t>
      </w:r>
      <w:r w:rsidR="005906CA">
        <w:t xml:space="preserve">and </w:t>
      </w:r>
      <w:r w:rsidRPr="004E3E8D">
        <w:t>focus groups) with their members to gather feedback to submit to HTA organizations</w:t>
      </w:r>
      <w:r w:rsidR="005906CA">
        <w:t xml:space="preserve"> </w:t>
      </w:r>
      <w:r w:rsidR="005906CA">
        <w:fldChar w:fldCharType="begin"/>
      </w:r>
      <w:r w:rsidR="005906CA">
        <w:instrText xml:space="preserve"> ADDIN ZOTERO_ITEM CSL_CITATION {"citationID":"dK0JVUX1","properties":{"formattedCitation":"(10,13,14)","plainCitation":"(10,13,14)","noteIndex":0},"citationItems":[{"id":1287,"uris":["http://zotero.org/users/9520068/items/LPXX7HBC"],"itemData":{"id":1287,"type":"book","abstract":"Qualitative research methods have been developed several decades ago and have been applied since then to further knowledge in many social scientific disciplines. Numerous qualitative research communities have been actively sharing their expertise and insights in fields that are closely related to HTA such as sociology of health and illness, healthcare management, health policy, and knowledge synthesis. As a result, there exists today a rich body of scholarship that deepens our understanding of the strengths, limitations, and comparative relevance of specific established qualitative data collection techniques (interviews, focus groups, observation) and explores how innovative qualitative approaches could tap on online environments and tools, including social media (Khodyakov et al. 2016; Marques 2009). Building on this diversified and mature scholarship, four chapters in Part II of this book provide readers with clear guidance on the ways in which particular qualitative methods can help HTA practitioners to elicit patients’ perspectives, experiences, and preferences. These chapters also contribute to the science of HTA by making more explicit the epistemological underpinnings of the “patient’s view.” Along these lines, the current chapter critically discusses the kinds of patient-based evidence one may generate through qualitative methods (1), summarizes key lessons from the four chapters (2), identifies methodological challenges that lie ahead (3), and formulates take-home epistemological messages for the consolidation of patient-based HTA (4).","collection-title":"Patient Involvement in Health Technology Assessment","edition":"Springer N","event-place":"Singapore","ISBN":"978-981-10-4067-2","note":"issue: 2\npage: 49\nDOI: 10.1007/978-981-10-4068-9","number-of-pages":"49","publisher":"Springer Singapore","publisher-place":"Singapore","title":"Patient Involvement in Health Technology Assessment","URL":"http://link.springer.com/10.1007/978-981-10-4068-9","volume":"32","author":[{"family":"Facey Helle","given":"Karen M"},{"family":"Hansen","given":"Ploug"},{"family":"Single","given":"Ann N V"},{"literal":"European Patients’ Forum"},{"family":"Facey Helle","given":"Karen M"},{"family":"Hansen","given":"Ploug"},{"family":"Single","given":"Ann N V"}],"issued":{"date-parts":[["2017"]]}}},{"id":3073,"uris":["http://zotero.org/users/9520068/items/INVFK3CC"],"itemData":{"id":3073,"type":"article-journal","abstract":"OBJECTIVE: To summarize current evidence on patient and public involvement (PPI) in health technology assessment (HTA) in order to synthesize the barriers and  facilitators, and to propose a framework to assess its impact. METHODS: We  conducted an update of a systematic review published in 2011 considering the  recent scientific literature (qualitative, quantitative, and mixed-methods  studies). We searched papers published between March 2009 (end of the initial  search) and December 2019 in five databases using specific search strategies. We  identified other publications through citation tracking and contacting authors of  previous related studies. Reviewers independently selected relevant studies based  on prespecified inclusion and exclusion criteria. We extracted information using  a pre-established grid. RESULTS: We identified a total of 7872 publications from  the main search strategy. Ultimately, thirty-one distinct new studies met the  inclusion criteria, whereas seventeen studies were included in the previous  systematic review. PPI is realized through two main strategies: (i) patients and  public members participate directly in decision-making processes (participation)  and (ii) patients or public perspectives are solicited to inform decisions  (consultation or indirect participation). This review synthesizes the barriers  and facilitators to PPI in HTA, and a framework to assess its impact is proposed.  CONCLUSION: The number of studies on patients or public involvement in HTA has  dramatically increased in recent years. Findings from this updated systematic  review show that PPI is done mostly through consultation and that direct  involvement is less frequent. Several barriers to PPI in HTA exist, notably the  lack of information to patients and public about HTA and the lack of guidance and  policies to support PPI in HTA.","container-title":"International journal of technology assessment in health care","DOI":"10.1017/S0266462321000064","ISSN":"1471-6348 0266-4623","journalAbbreviation":"Int J Technol Assess Health Care","language":"eng","note":"publisher-place: England\nPMID: 33541449","page":"e36","title":"Patient and public involvement in health technology assessment: update of a systematic review of international experiences.","volume":"37","author":[{"family":"Gagnon","given":"Marie-Pierre"},{"family":"Tantchou Dipankui","given":"Mylène"},{"family":"Poder","given":"Thomas G."},{"family":"Payne-Gagnon","given":"Julie"},{"family":"Mbemba","given":"Gisèle"},{"family":"Beretta","given":"Valentina"}],"issued":{"date-parts":[["2021",2,5]]}}},{"id":213,"uris":["http://zotero.org/users/9520068/items/VVVERT6W"],"itemData":{"id":213,"type":"article-journal","abstract":"OBJECTIVES: Despite wide support for patient involvement in health technology assessments (HTA), determining meaningful engagement is complex. This article explores experiences and perceptions among patient groups participating in the Canadian Agency for Drugs and Technologies in Health (CADTH)'s pan-Canadian Oncology Drug Review (pCODR) process., METHODS: We created a qualitative interview study comprising 22 semi-structured telephone interviews with individuals representing 21 different patient groups registered with the pCODR process. The analysis used a qualitative descriptive approach employing techniques from grounded theory., RESULTS: Patient groups view the ability to make submissions to the pCODR process as a meaningful activity closely aligned with organizational priorities. Concurrently, they face substantial resource challenges to prepare submissions, including high opportunity costs and difficulty accessing needed literature and finding relevant patients. Although patient groups felt that CADTH is committed to transparency, they expressed considerable uncertainty around the direct impact of their submissions and desired additional avenues for engagement., CONCLUSIONS: This study suggests a strong commitment by patient groups to participate in the pCODR process despite uncertainty about how their submissions are used to inform HTA recommendations. Identifying opportunities to provide both financial and nonfinancial resources to patient groups is crucial to encouraging and supporting their meaningful participation in HTA processes. Copyright © 2020 ISPOR-The Professional Society for Health Economics and Outcomes Research. Published by Elsevier Inc. All rights reserved.","container-title":"Value in health : the journal of the International Society for Pharmacoeconomics and Outcomes Research","DOI":"10.1016/j.jval.2020.06.003","ISSN":"1524-4733","issue":"9","journalAbbreviation":"Value Health","note":"publisher-place: United States\nMercer, Rebecca E. Canadian Centre for Applied Research in Cancer Control, Ontario Health (Cancer Care Ontario), Toronto, Ontario, Canada.\nChambers, Alexandra. pan-Canadian Oncology Drug Review, Canadian Agency for Drugs and Technologies in Health, Toronto, Ontario, Canada.\nMai, Helen. pan-Canadian Oncology Drug Review, Canadian Agency for Drugs and Technologies in Health, Toronto, Ontario, Canada.\nMcDonald, Valerie. pan-Canadian Oncology Drug Review, Canadian Agency for Drugs and Technologies in Health, Toronto, Ontario, Canada.\nMcMahon, Carole. pan-Canadian Oncology Drug Review, Canadian Agency for Drugs and Technologies in Health, Toronto, Ontario, Canada.\nChan, Kelvin K W. Canadian Centre for Applied Research in Cancer Control, Ontario Health (Cancer Care Ontario), Toronto, Ontario, Canada; Sunnybrook Health Sciences Centre, Toronto, Ontario, Canada. Electronic address: kelvin.chan@sunnybrook.ca.","page":"1157-1162","title":"Are We Making a Difference? A Qualitative Study of Patient Engagement at the pan-Canadian Oncology Drug Review: Perspectives of Patient Groups.","volume":"23","author":[{"family":"Mercer","given":"Rebecca E"},{"family":"Chambers","given":"Alexandra"},{"family":"Mai","given":"Helen"},{"family":"McDonald","given":"Valerie"},{"family":"McMahon","given":"Carole"},{"family":"Chan","given":"Kelvin K W"}],"issued":{"date-parts":[["2020"]]}}}],"schema":"https://github.com/citation-style-language/schema/raw/master/csl-citation.json"} </w:instrText>
      </w:r>
      <w:r w:rsidR="005906CA">
        <w:fldChar w:fldCharType="separate"/>
      </w:r>
      <w:r w:rsidR="005906CA">
        <w:rPr>
          <w:noProof/>
        </w:rPr>
        <w:t>(10,13,14)</w:t>
      </w:r>
      <w:r w:rsidR="005906CA">
        <w:fldChar w:fldCharType="end"/>
      </w:r>
      <w:r w:rsidRPr="004E3E8D">
        <w:t xml:space="preserve">. </w:t>
      </w:r>
    </w:p>
    <w:p w14:paraId="42D41E9E" w14:textId="5098808D" w:rsidR="004E3E8D" w:rsidRPr="004E3E8D" w:rsidRDefault="004E3E8D" w:rsidP="004E3E8D">
      <w:pPr>
        <w:pStyle w:val="ListParagraph"/>
        <w:numPr>
          <w:ilvl w:val="0"/>
          <w:numId w:val="20"/>
        </w:numPr>
        <w:spacing w:line="480" w:lineRule="auto"/>
        <w:textAlignment w:val="baseline"/>
      </w:pPr>
      <w:r w:rsidRPr="004E4995">
        <w:rPr>
          <w:b/>
          <w:bCs/>
        </w:rPr>
        <w:t>Modalities of Engagement:</w:t>
      </w:r>
      <w:r w:rsidRPr="004E3E8D">
        <w:t xml:space="preserve"> Refers to the means used to facilitate engagement, such as digital platforms, telephones, or in-person </w:t>
      </w:r>
      <w:r w:rsidR="003E2E75" w:rsidRPr="004E3E8D">
        <w:t>meetings.</w:t>
      </w:r>
      <w:r w:rsidR="00C304F5">
        <w:t xml:space="preserve"> Different mod</w:t>
      </w:r>
      <w:r w:rsidR="00B15AC2">
        <w:t xml:space="preserve">alities </w:t>
      </w:r>
      <w:r w:rsidR="00C304F5">
        <w:t xml:space="preserve">of engagement can affect patients’ participation and the quality of feedback provided, which may influence the incorporation of patients’ concerns in HTA recommendations </w:t>
      </w:r>
      <w:r w:rsidR="00C304F5">
        <w:fldChar w:fldCharType="begin"/>
      </w:r>
      <w:r w:rsidR="00C304F5">
        <w:instrText xml:space="preserve"> ADDIN ZOTERO_ITEM CSL_CITATION {"citationID":"3yajCqDS","properties":{"formattedCitation":"(11,15)","plainCitation":"(11,15)","noteIndex":0},"citationItems":[{"id":221,"uris":["http://zotero.org/users/9520068/items/3DZDMFNJ"],"itemData":{"id":221,"type":"article-journal","abstract":"With the increase in patient and consumer activism through the late twentieth century and into this century, patient roles in research evolved into a new model of research engagement, with patients serving as active advisors and co-leading or leading clinical research. By requiring active engagement of patients and other stakeholders, several government research funders have advanced this model, particularly in Canada, the United States (US), United Kingdom (UK), and Australia. A consortium of individuals from these countries formed a Multi-Stakeholder Engagement (MuSE) consortium to examine critical issues in engaged research, establish consensus on definitions, and provide guidance for the field, beginning with an overview of how to involve stakeholders in health research (Concannon et al. J Gen Intern Med. 2019;34(3):458-463) and continuing here with an examination of definitions of research engagement. The political and advocacy roots of engaged research are reflected in definitions. Engagement is conceptualized with reference to research project goals, from informing specific clinical decisions to informing health-system level decisions. Political and cultural differences across countries are evident. Some of these government funders focus on empirical rather than ethical rationales. In countries with centralized health technology assessment, the link between societal values and engaged research is explicit. Ethical rationales for engagement are explicit in most of the published literature on research engagement. Harmonization of definitions is recommended so that research engagement elements, methods, and outcomes and impacts can be clearly examined and understood, and so that the field of research engagement can proceed from a clear conceptual foundation. Specific recommendations for terminology definitions are provided. Placing engaged research on a continuum from specific clinical decisions to more global public and social justice concerns clarifies the type of engaged research, supports appropriate comparisons, and improves the rigor of engaged research methods. The results help identify knowledge gaps in this growing field.","container-title":"Journal of general internal medicine","DOI":"10.1007/s11606-019-05436-2","ISSN":"1525-1497","issue":"1","journalAbbreviation":"J Gen Intern Med","note":"publisher-place: United States\nFrank, Lori. RAND Corporation, Washington, DC, USA. LFrank@RAND.org.\nMorton, Sally C. Department of Statistics, College of Science, Virginia Tech, Blacksburg, VA, USA.\nGuise, Jeanne-Marie. Departments of Obstetrics and Gynecology, Medical Informatics &amp; Clinical Epidemiology, Emergency Medicine, Oregon Health &amp; Science University School of Medicine and the OHSU-PSU School of Public Health, Portland, OR, USA.\nJull, Janet. School of Rehabilitation Therapy, Queen's University, Kingston, ON, Canada.\nConcannon, Thomas W. The RAND Corporation, Boston, MA, USA.\nTugwell, Peter. Canada Research Chair in Health Equity, University of Ottawa Centre for Global Health, Ottawa, ON, Canada.","page":"307-314","title":"Engaging Patients and Other Non-Researchers in Health Research: Defining Research Engagement.","volume":"35","author":[{"family":"Frank","given":"Lori"},{"family":"Morton","given":"Sally C"},{"family":"Guise","given":"Jeanne-Marie"},{"family":"Jull","given":"Janet"},{"family":"Concannon","given":"Thomas W"},{"family":"Tugwell","given":"Peter"},{"literal":"Multi Stakeholder Engagement (MuSE) Consortium"}],"issued":{"date-parts":[["2020"]]}}},{"id":328,"uris":["http://zotero.org/users/9520068/items/58HUP6ZL"],"itemData":{"id":328,"type":"article-journal","abstract":"Stakeholder engagement is increasingly common in health research, with protocols for engaging multiple stakeholder groups becoming normative in patient-centered outcomes research. Previous work has focused on identifying relevant stakeholder groups with whom to work and on working with stakeholders in evidence implementation. This paper draws on the expertise of a team from four countries—Canada, Australia, the UK, and the USA—to provide researchers with practical guidance for carrying out multi-stakeholder–engaged projects: we present a list of questions to assist in selecting appropriate roles and modes of engagement; we introduce a matrix to help summarize engagement activities; and we provide a list of online resources. This guidance, matrix, and list of resources can assist researchers to consider more systematically which stakeholder groups to involve, in what study roles, and by what modes of engagement. By documenting how stakeholders are paired up with specific roles, the matrix also provides a potential structure for evaluating the impact of stakeholder engagement.","container-title":"Journal of General Internal Medicine","DOI":"10.1007/s11606-018-4738-6","ISSN":"1525-1497","issue":"3","journalAbbreviation":"Journal of General Internal Medicine","page":"458-463","title":"Practical Guidance for Involving Stakeholders in Health Research","URL":"https://doi.org/10.1007/s11606-018-4738-6","volume":"34","author":[{"family":"Concannon","given":"Thomas W."},{"family":"Grant","given":"Sean"},{"family":"Welch","given":"Vivian"},{"family":"Petkovic","given":"Jennifer"},{"family":"Selby","given":"Joseph"},{"family":"Crowe","given":"Sally"},{"family":"Synnot","given":"Anneliese"},{"family":"Greer-Smith","given":"Regina"},{"family":"Mayo-Wilson","given":"Evan"},{"family":"Tambor","given":"Ellen"},{"family":"Tugwell","given":"Peter"},{"literal":"for the Multi Stakeholder Engagement (MuSE) Consortium"}],"issued":{"date-parts":[["2019",3,1]]}}}],"schema":"https://github.com/citation-style-language/schema/raw/master/csl-citation.json"} </w:instrText>
      </w:r>
      <w:r w:rsidR="00C304F5">
        <w:fldChar w:fldCharType="separate"/>
      </w:r>
      <w:r w:rsidR="00C304F5">
        <w:rPr>
          <w:noProof/>
        </w:rPr>
        <w:t>(11,15)</w:t>
      </w:r>
      <w:r w:rsidR="00C304F5">
        <w:fldChar w:fldCharType="end"/>
      </w:r>
      <w:r w:rsidR="00C304F5">
        <w:t xml:space="preserve">. </w:t>
      </w:r>
    </w:p>
    <w:p w14:paraId="3D6E29C0" w14:textId="3E235095" w:rsidR="003E2E75" w:rsidRDefault="004E3E8D" w:rsidP="005A6920">
      <w:pPr>
        <w:pStyle w:val="ListParagraph"/>
        <w:numPr>
          <w:ilvl w:val="0"/>
          <w:numId w:val="20"/>
        </w:numPr>
        <w:spacing w:line="480" w:lineRule="auto"/>
        <w:textAlignment w:val="baseline"/>
      </w:pPr>
      <w:r w:rsidRPr="004E4995">
        <w:rPr>
          <w:b/>
          <w:bCs/>
        </w:rPr>
        <w:t>Decision-Making Models:</w:t>
      </w:r>
      <w:r w:rsidRPr="004E3E8D">
        <w:t xml:space="preserve"> </w:t>
      </w:r>
      <w:r w:rsidR="00C304F5">
        <w:t>Thi</w:t>
      </w:r>
      <w:r w:rsidRPr="004E3E8D">
        <w:t xml:space="preserve">s </w:t>
      </w:r>
      <w:r w:rsidR="00C304F5">
        <w:t>section outlines</w:t>
      </w:r>
      <w:r w:rsidRPr="004E3E8D">
        <w:t xml:space="preserve"> </w:t>
      </w:r>
      <w:r w:rsidR="00C304F5">
        <w:t>how</w:t>
      </w:r>
      <w:r w:rsidRPr="004E3E8D">
        <w:t xml:space="preserve"> HTA organizations </w:t>
      </w:r>
      <w:r w:rsidR="00C304F5">
        <w:t>integ</w:t>
      </w:r>
      <w:r w:rsidRPr="004E3E8D">
        <w:t xml:space="preserve">rate patient input into HTA recommendations. </w:t>
      </w:r>
      <w:r w:rsidR="00C304F5">
        <w:t xml:space="preserve">The decision-making approaches illustrate the extent </w:t>
      </w:r>
      <w:r w:rsidR="003B53D8">
        <w:t>to which patients influence the shaping of</w:t>
      </w:r>
      <w:r w:rsidR="00C304F5">
        <w:t xml:space="preserve"> HTA recommendations. Generally, consensus offers more opportunities for impacting decision-making </w:t>
      </w:r>
      <w:r w:rsidR="003B53D8">
        <w:t>than</w:t>
      </w:r>
      <w:r w:rsidR="00C304F5">
        <w:t xml:space="preserve"> voting</w:t>
      </w:r>
      <w:r w:rsidR="00C304F5">
        <w:fldChar w:fldCharType="begin"/>
      </w:r>
      <w:r w:rsidR="00C304F5">
        <w:instrText xml:space="preserve"> ADDIN ZOTERO_ITEM CSL_CITATION {"citationID":"3yajCqDS","properties":{"formattedCitation":"(11,15)","plainCitation":"(11,15)","noteIndex":0},"citationItems":[{"id":221,"uris":["http://zotero.org/users/9520068/items/3DZDMFNJ"],"itemData":{"id":221,"type":"article-journal","abstract":"With the increase in patient and consumer activism through the late twentieth century and into this century, patient roles in research evolved into a new model of research engagement, with patients serving as active advisors and co-leading or leading clinical research. By requiring active engagement of patients and other stakeholders, several government research funders have advanced this model, particularly in Canada, the United States (US), United Kingdom (UK), and Australia. A consortium of individuals from these countries formed a Multi-Stakeholder Engagement (MuSE) consortium to examine critical issues in engaged research, establish consensus on definitions, and provide guidance for the field, beginning with an overview of how to involve stakeholders in health research (Concannon et al. J Gen Intern Med. 2019;34(3):458-463) and continuing here with an examination of definitions of research engagement. The political and advocacy roots of engaged research are reflected in definitions. Engagement is conceptualized with reference to research project goals, from informing specific clinical decisions to informing health-system level decisions. Political and cultural differences across countries are evident. Some of these government funders focus on empirical rather than ethical rationales. In countries with centralized health technology assessment, the link between societal values and engaged research is explicit. Ethical rationales for engagement are explicit in most of the published literature on research engagement. Harmonization of definitions is recommended so that research engagement elements, methods, and outcomes and impacts can be clearly examined and understood, and so that the field of research engagement can proceed from a clear conceptual foundation. Specific recommendations for terminology definitions are provided. Placing engaged research on a continuum from specific clinical decisions to more global public and social justice concerns clarifies the type of engaged research, supports appropriate comparisons, and improves the rigor of engaged research methods. The results help identify knowledge gaps in this growing field.","container-title":"Journal of general internal medicine","DOI":"10.1007/s11606-019-05436-2","ISSN":"1525-1497","issue":"1","journalAbbreviation":"J Gen Intern Med","note":"publisher-place: United States\nFrank, Lori. RAND Corporation, Washington, DC, USA. LFrank@RAND.org.\nMorton, Sally C. Department of Statistics, College of Science, Virginia Tech, Blacksburg, VA, USA.\nGuise, Jeanne-Marie. Departments of Obstetrics and Gynecology, Medical Informatics &amp; Clinical Epidemiology, Emergency Medicine, Oregon Health &amp; Science University School of Medicine and the OHSU-PSU School of Public Health, Portland, OR, USA.\nJull, Janet. School of Rehabilitation Therapy, Queen's University, Kingston, ON, Canada.\nConcannon, Thomas W. The RAND Corporation, Boston, MA, USA.\nTugwell, Peter. Canada Research Chair in Health Equity, University of Ottawa Centre for Global Health, Ottawa, ON, Canada.","page":"307-314","title":"Engaging Patients and Other Non-Researchers in Health Research: Defining Research Engagement.","volume":"35","author":[{"family":"Frank","given":"Lori"},{"family":"Morton","given":"Sally C"},{"family":"Guise","given":"Jeanne-Marie"},{"family":"Jull","given":"Janet"},{"family":"Concannon","given":"Thomas W"},{"family":"Tugwell","given":"Peter"},{"literal":"Multi Stakeholder Engagement (MuSE) Consortium"}],"issued":{"date-parts":[["2020"]]}}},{"id":328,"uris":["http://zotero.org/users/9520068/items/58HUP6ZL"],"itemData":{"id":328,"type":"article-journal","abstract":"Stakeholder engagement is increasingly common in health research, with protocols for engaging multiple stakeholder groups becoming normative in patient-centered outcomes research. Previous work has focused on identifying relevant stakeholder groups with whom to work and on working with stakeholders in evidence implementation. This paper draws on the expertise of a team from four countries—Canada, Australia, the UK, and the USA—to provide researchers with practical guidance for carrying out multi-stakeholder–engaged projects: we present a list of questions to assist in selecting appropriate roles and modes of engagement; we introduce a matrix to help summarize engagement activities; and we provide a list of online resources. This guidance, matrix, and list of resources can assist researchers to consider more systematically which stakeholder groups to involve, in what study roles, and by what modes of engagement. By documenting how stakeholders are paired up with specific roles, the matrix also provides a potential structure for evaluating the impact of stakeholder engagement.","container-title":"Journal of General Internal Medicine","DOI":"10.1007/s11606-018-4738-6","ISSN":"1525-1497","issue":"3","journalAbbreviation":"Journal of General Internal Medicine","page":"458-463","title":"Practical Guidance for Involving Stakeholders in Health Research","URL":"https://doi.org/10.1007/s11606-018-4738-6","volume":"34","author":[{"family":"Concannon","given":"Thomas W."},{"family":"Grant","given":"Sean"},{"family":"Welch","given":"Vivian"},{"family":"Petkovic","given":"Jennifer"},{"family":"Selby","given":"Joseph"},{"family":"Crowe","given":"Sally"},{"family":"Synnot","given":"Anneliese"},{"family":"Greer-Smith","given":"Regina"},{"family":"Mayo-Wilson","given":"Evan"},{"family":"Tambor","given":"Ellen"},{"family":"Tugwell","given":"Peter"},{"literal":"for the Multi Stakeholder Engagement (MuSE) Consortium"}],"issued":{"date-parts":[["2019",3,1]]}}}],"schema":"https://github.com/citation-style-language/schema/raw/master/csl-citation.json"} </w:instrText>
      </w:r>
      <w:r w:rsidR="00C304F5">
        <w:fldChar w:fldCharType="separate"/>
      </w:r>
      <w:r w:rsidR="00C304F5">
        <w:rPr>
          <w:noProof/>
        </w:rPr>
        <w:t>(11,15)</w:t>
      </w:r>
      <w:r w:rsidR="00C304F5">
        <w:fldChar w:fldCharType="end"/>
      </w:r>
      <w:r w:rsidR="00C304F5">
        <w:t xml:space="preserve">.  </w:t>
      </w:r>
    </w:p>
    <w:p w14:paraId="057564A7" w14:textId="58AB4475" w:rsidR="005A6920" w:rsidRPr="005906CA" w:rsidRDefault="005A6920" w:rsidP="003E2E75">
      <w:pPr>
        <w:spacing w:line="480" w:lineRule="auto"/>
        <w:ind w:left="360"/>
        <w:textAlignment w:val="baseline"/>
      </w:pPr>
      <w:r w:rsidRPr="005906CA">
        <w:rPr>
          <w:rStyle w:val="Strong"/>
        </w:rPr>
        <w:t>Outputs:</w:t>
      </w:r>
    </w:p>
    <w:p w14:paraId="08E79FFC" w14:textId="77777777" w:rsidR="009333D1" w:rsidRDefault="005A6920" w:rsidP="009333D1">
      <w:pPr>
        <w:pStyle w:val="ListParagraph"/>
        <w:numPr>
          <w:ilvl w:val="0"/>
          <w:numId w:val="15"/>
        </w:numPr>
        <w:spacing w:before="100" w:beforeAutospacing="1" w:after="100" w:afterAutospacing="1" w:line="480" w:lineRule="auto"/>
      </w:pPr>
      <w:r w:rsidRPr="004E4995">
        <w:rPr>
          <w:rStyle w:val="Strong"/>
        </w:rPr>
        <w:t>Diverse and Inclusive Patient Engagement</w:t>
      </w:r>
      <w:r w:rsidRPr="009333D1">
        <w:rPr>
          <w:rStyle w:val="Strong"/>
          <w:b w:val="0"/>
          <w:bCs w:val="0"/>
        </w:rPr>
        <w:t>:</w:t>
      </w:r>
      <w:r w:rsidRPr="004E3E8D">
        <w:t xml:space="preserve"> Engaging a broad range of patients ensures that HTA processes are inclusive and consider various health equity factors</w:t>
      </w:r>
      <w:r w:rsidR="005906CA">
        <w:t xml:space="preserve"> </w:t>
      </w:r>
      <w:r w:rsidR="005906CA" w:rsidRPr="005906CA">
        <w:fldChar w:fldCharType="begin"/>
      </w:r>
      <w:r w:rsidR="00C304F5">
        <w:instrText xml:space="preserve"> ADDIN ZOTERO_ITEM CSL_CITATION {"citationID":"B6KxOaz3","properties":{"formattedCitation":"(16\\uc0\\u8211{}18)","plainCitation":"(16–18)","noteIndex":0},"citationItems":[{"id":89,"uris":["http://zotero.org/users/9520068/items/RDNA72LS"],"itemData":{"id":89,"type":"article-journal","abstract":"Orphan drugs (ODs) are intended for the diagnosis, prevention, or treatment of rare diseases. Many cancer subtypes, including all childhood cancers, are defined as rare diseases, and over one-third of ODs are now intended to treat oncology indications. However, market access for oncology ODs is becoming increasingly challenging; ODs are prone to significant uncertainty around their cost-effectiveness, while payers must balance the need for these vital innovations with growing sensitivity to rising costs. The objective of this review was to evaluate different mechanisms that have been introduced to facilitate patient access to oncology ODs in five different countries (Australia, Canada, England, France, and Sweden), using eight oncology ODs and non-orphan oncology drugs as examples of their application. A targeted literature review of health technology assessment (HTA) agency websites was undertaken to identify country-specific guidance and HTA documentation for recently evaluated oncology ODs and non-orphan oncology drugs. None of these countries were found to have explicit HTA criteria for the assessment of ODs, and therefore, oncology ODs are assessed through the usual HTA process. However, distinct and additional processes are adopted to facilitate access to oncology ODs. Review of eight case-study drugs showed that these additional assessment processes were rarely used, and decisions were largely driven by proving cost-effectiveness using standard incremental cost-effectiveness ratio (ICER) thresholds. The predominant implication arising from this study is that application of standard HTA criteria to oncology ODs in many countries fails to take into account any uncertainties around their clinical- and cost-effectiveness, resulting in disparities in HTA reimbursement decisions based on differences in addressing or accepting uncertainty. In order to address this issue, HTA agencies should adopt a more flexible approach to cost-effectiveness, as typified by the Tandvards-och Lakemedelsformansverket in Sweden, which takes into account the small patient numbers involved, limited budget impact, and high unmet medical needs.","container-title":"ClinicoEconomics and outcomes research : CEOR","DOI":"10.2147/CEOR.S134230","note":"publisher-place: New Zealand","page":"327-342","title":"Oncology drugs for orphan indications: how are HTA processes evolving for this specific drug category?.","URL":"http://ovidsp.ovid.com/ovidweb.cgi?T=JS&amp;PAGE=reference&amp;D=prem&amp;NEWS=N&amp;AN=28652787","volume":"9","author":[{"family":"Adkins","given":"Elizabeth M"},{"family":"Nicholson","given":"Lindsay"},{"family":"Floyd","given":"David"},{"family":"Ratcliffe","given":"Mark"},{"family":"Chevrou-Severac","given":"Helene"}],"issued":{"date-parts":[["2017"]]}}},{"id":249,"uris":["http://zotero.org/users/9520068/items/NKDMI5HU"],"itemData":{"id":249,"type":"article-journal","container-title":"Journal of comparative effectiveness research","DOI":"10.2217/cer-2019-0039","ISSN":"2042-6313","issue":"8","journalAbbreviation":"J. comp. eff. res.","note":"publisher-place: England\nFacey, Karen M. Usher Institute of Population Health Sciences &amp; Informatics, The University of Edinburgh, 9 The Bioquarter, 9 Little France Road, Edinburgh, EH16 4UX, UK.","page":"549-554","title":"As health technology assessment evolves so must its approach to patient involvement.","volume":"8","author":[{"family":"Facey","given":"Karen M"}],"issued":{"date-parts":[["2019"]]}},"label":"page"},{"id":1256,"uris":["http://zotero.org/users/9520068/items/3C4XBN8P"],"itemData":{"id":1256,"type":"article-journal","abstract":"The importance and merits of greater patient involvement in medicines research and development (R&amp;D) are commonly acknowledged and is thought to offer benefits for all involved parties. It improves discovery, development, and evaluation of new effective medicines, based, among others, on the collaborative identification and understanding of unmet needs, research priorities, optimization of clinical study design, as well as incorporating patient views in regulatory activities. It fosters increased transparency, trust and mutual respect between patients and other stakeholders and applies to all stages of medicines R&amp;D, inclusive of regulation and licensing of medicines and appraisal by health technology assessment (HTA) bodies. In order to be effective and beneficial for all stakeholders, patient engagement as an integral part of medicines R&amp;D needs clear and mutually agreed rules. Existing codes of practice for patient involvement do not comprehensively cover the full scope of patient engagement in all processes related to R&amp;D. One specific aim of the European Patients' Academy on Therapeutic Innovation (EUPATI) was to close this gap through the development of guidance documents for pharmaceutical industry-led medicines R&amp;D, ethics committees, regulatory authorities and health technology assessment (HTA). The guidance in this article covers patient involvement in the regulatory field and draws on the mature \"Framework for interaction between the European Medicines Agency and patients and consumers and their organizations.\" It expands on the EMA framework, specifically including National Competent Authorities (NCAs). It sets out objectives for patient involvement in medicines regulation and recommends concrete suggested working practices. It is primarily aimed at regulatory authorities wishing to interact with patients or their organizations in their activities but should also be considered by patients/patient organizations planning to collaborate with regulatory authorities.","container-title":"Frontiers in medicine","DOI":"10.3389/fmed.2018.00230","note":"publisher-place: Switzerland","page":"230-230","title":"EUPATI and Patients in Medicines Research and Development: Guidance for Patient Involvement in Regulatory Processes.","URL":"http://ovidsp.ovid.com/ovidweb.cgi?T=JS&amp;PAGE=reference&amp;D=prem2&amp;NEWS=N&amp;AN=30175100","volume":"5","author":[{"family":"Haerry","given":"David"},{"family":"Landgraf","given":"Cordula"},{"family":"Warner","given":"Kay"},{"family":"Hunter","given":"Amy"},{"family":"Klingmann","given":"Ingrid"},{"family":"May","given":"Matthew"},{"family":"See","given":"Wolf"}],"issued":{"date-parts":[["2018"]]}},"label":"page"}],"schema":"https://github.com/citation-style-language/schema/raw/master/csl-citation.json"} </w:instrText>
      </w:r>
      <w:r w:rsidR="005906CA" w:rsidRPr="005906CA">
        <w:fldChar w:fldCharType="separate"/>
      </w:r>
      <w:r w:rsidR="00C304F5" w:rsidRPr="009333D1">
        <w:rPr>
          <w:lang w:val="en-US"/>
        </w:rPr>
        <w:t>(16–18)</w:t>
      </w:r>
      <w:r w:rsidR="005906CA" w:rsidRPr="005906CA">
        <w:fldChar w:fldCharType="end"/>
      </w:r>
      <w:r w:rsidRPr="004E3E8D">
        <w:t>.</w:t>
      </w:r>
    </w:p>
    <w:p w14:paraId="1FF84369" w14:textId="18BF95EF" w:rsidR="005A6920" w:rsidRPr="004E3E8D" w:rsidRDefault="009333D1" w:rsidP="009333D1">
      <w:pPr>
        <w:pStyle w:val="ListParagraph"/>
        <w:numPr>
          <w:ilvl w:val="0"/>
          <w:numId w:val="15"/>
        </w:numPr>
        <w:spacing w:before="100" w:beforeAutospacing="1" w:after="100" w:afterAutospacing="1" w:line="480" w:lineRule="auto"/>
      </w:pPr>
      <w:r w:rsidRPr="009333D1">
        <w:rPr>
          <w:b/>
          <w:bCs/>
        </w:rPr>
        <w:t>Patient input:</w:t>
      </w:r>
      <w:r>
        <w:t xml:space="preserve"> </w:t>
      </w:r>
      <w:r w:rsidR="005A6920" w:rsidRPr="004E3E8D">
        <w:t xml:space="preserve">Patient input provides valuable insights into the lived experiences of those affected by health technologies, </w:t>
      </w:r>
      <w:r w:rsidR="005906CA">
        <w:t>which informs</w:t>
      </w:r>
      <w:r w:rsidR="005A6920" w:rsidRPr="004E3E8D">
        <w:t xml:space="preserve"> equity considerations in HTA</w:t>
      </w:r>
      <w:r w:rsidR="005906CA">
        <w:t xml:space="preserve"> </w:t>
      </w:r>
      <w:r w:rsidR="005906CA" w:rsidRPr="005906CA">
        <w:fldChar w:fldCharType="begin"/>
      </w:r>
      <w:r w:rsidR="00C304F5">
        <w:instrText xml:space="preserve"> ADDIN ZOTERO_ITEM CSL_CITATION {"citationID":"tBRdzsb6","properties":{"formattedCitation":"(16\\uc0\\u8211{}18)","plainCitation":"(16–18)","noteIndex":0},"citationItems":[{"id":89,"uris":["http://zotero.org/users/9520068/items/RDNA72LS"],"itemData":{"id":89,"type":"article-journal","abstract":"Orphan drugs (ODs) are intended for the diagnosis, prevention, or treatment of rare diseases. Many cancer subtypes, including all childhood cancers, are defined as rare diseases, and over one-third of ODs are now intended to treat oncology indications. However, market access for oncology ODs is becoming increasingly challenging; ODs are prone to significant uncertainty around their cost-effectiveness, while payers must balance the need for these vital innovations with growing sensitivity to rising costs. The objective of this review was to evaluate different mechanisms that have been introduced to facilitate patient access to oncology ODs in five different countries (Australia, Canada, England, France, and Sweden), using eight oncology ODs and non-orphan oncology drugs as examples of their application. A targeted literature review of health technology assessment (HTA) agency websites was undertaken to identify country-specific guidance and HTA documentation for recently evaluated oncology ODs and non-orphan oncology drugs. None of these countries were found to have explicit HTA criteria for the assessment of ODs, and therefore, oncology ODs are assessed through the usual HTA process. However, distinct and additional processes are adopted to facilitate access to oncology ODs. Review of eight case-study drugs showed that these additional assessment processes were rarely used, and decisions were largely driven by proving cost-effectiveness using standard incremental cost-effectiveness ratio (ICER) thresholds. The predominant implication arising from this study is that application of standard HTA criteria to oncology ODs in many countries fails to take into account any uncertainties around their clinical- and cost-effectiveness, resulting in disparities in HTA reimbursement decisions based on differences in addressing or accepting uncertainty. In order to address this issue, HTA agencies should adopt a more flexible approach to cost-effectiveness, as typified by the Tandvards-och Lakemedelsformansverket in Sweden, which takes into account the small patient numbers involved, limited budget impact, and high unmet medical needs.","container-title":"ClinicoEconomics and outcomes research : CEOR","DOI":"10.2147/CEOR.S134230","note":"publisher-place: New Zealand","page":"327-342","title":"Oncology drugs for orphan indications: how are HTA processes evolving for this specific drug category?.","URL":"http://ovidsp.ovid.com/ovidweb.cgi?T=JS&amp;PAGE=reference&amp;D=prem&amp;NEWS=N&amp;AN=28652787","volume":"9","author":[{"family":"Adkins","given":"Elizabeth M"},{"family":"Nicholson","given":"Lindsay"},{"family":"Floyd","given":"David"},{"family":"Ratcliffe","given":"Mark"},{"family":"Chevrou-Severac","given":"Helene"}],"issued":{"date-parts":[["2017"]]}}},{"id":249,"uris":["http://zotero.org/users/9520068/items/NKDMI5HU"],"itemData":{"id":249,"type":"article-journal","container-title":"Journal of comparative effectiveness research","DOI":"10.2217/cer-2019-0039","ISSN":"2042-6313","issue":"8","journalAbbreviation":"J. comp. eff. res.","note":"publisher-place: England\nFacey, Karen M. Usher Institute of Population Health Sciences &amp; Informatics, The University of Edinburgh, 9 The Bioquarter, 9 Little France Road, Edinburgh, EH16 4UX, UK.","page":"549-554","title":"As health technology assessment evolves so must its approach to patient involvement.","volume":"8","author":[{"family":"Facey","given":"Karen M"}],"issued":{"date-parts":[["2019"]]}},"label":"page"},{"id":1256,"uris":["http://zotero.org/users/9520068/items/3C4XBN8P"],"itemData":{"id":1256,"type":"article-journal","abstract":"The importance and merits of greater patient involvement in medicines research and development (R&amp;D) are commonly acknowledged and is thought to offer benefits for all involved parties. It improves discovery, development, and evaluation of new effective medicines, based, among others, on the collaborative identification and understanding of unmet needs, research priorities, optimization of clinical study design, as well as incorporating patient views in regulatory activities. It fosters increased transparency, trust and mutual respect between patients and other stakeholders and applies to all stages of medicines R&amp;D, inclusive of regulation and licensing of medicines and appraisal by health technology assessment (HTA) bodies. In order to be effective and beneficial for all stakeholders, patient engagement as an integral part of medicines R&amp;D needs clear and mutually agreed rules. Existing codes of practice for patient involvement do not comprehensively cover the full scope of patient engagement in all processes related to R&amp;D. One specific aim of the European Patients' Academy on Therapeutic Innovation (EUPATI) was to close this gap through the development of guidance documents for pharmaceutical industry-led medicines R&amp;D, ethics committees, regulatory authorities and health technology assessment (HTA). The guidance in this article covers patient involvement in the regulatory field and draws on the mature \"Framework for interaction between the European Medicines Agency and patients and consumers and their organizations.\" It expands on the EMA framework, specifically including National Competent Authorities (NCAs). It sets out objectives for patient involvement in medicines regulation and recommends concrete suggested working practices. It is primarily aimed at regulatory authorities wishing to interact with patients or their organizations in their activities but should also be considered by patients/patient organizations planning to collaborate with regulatory authorities.","container-title":"Frontiers in medicine","DOI":"10.3389/fmed.2018.00230","note":"publisher-place: Switzerland","page":"230-230","title":"EUPATI and Patients in Medicines Research and Development: Guidance for Patient Involvement in Regulatory Processes.","URL":"http://ovidsp.ovid.com/ovidweb.cgi?T=JS&amp;PAGE=reference&amp;D=prem2&amp;NEWS=N&amp;AN=30175100","volume":"5","author":[{"family":"Haerry","given":"David"},{"family":"Landgraf","given":"Cordula"},{"family":"Warner","given":"Kay"},{"family":"Hunter","given":"Amy"},{"family":"Klingmann","given":"Ingrid"},{"family":"May","given":"Matthew"},{"family":"See","given":"Wolf"}],"issued":{"date-parts":[["2018"]]}},"label":"page"}],"schema":"https://github.com/citation-style-language/schema/raw/master/csl-citation.json"} </w:instrText>
      </w:r>
      <w:r w:rsidR="005906CA" w:rsidRPr="005906CA">
        <w:fldChar w:fldCharType="separate"/>
      </w:r>
      <w:r w:rsidR="00C304F5" w:rsidRPr="009333D1">
        <w:rPr>
          <w:lang w:val="en-US"/>
        </w:rPr>
        <w:t>(16–18)</w:t>
      </w:r>
      <w:r w:rsidR="005906CA" w:rsidRPr="005906CA">
        <w:fldChar w:fldCharType="end"/>
      </w:r>
      <w:r w:rsidR="005A6920" w:rsidRPr="004E3E8D">
        <w:t>.</w:t>
      </w:r>
    </w:p>
    <w:p w14:paraId="123EDAB4" w14:textId="79BA7E73" w:rsidR="005A6920" w:rsidRPr="004E3E8D" w:rsidRDefault="005A6920" w:rsidP="005A6920">
      <w:pPr>
        <w:numPr>
          <w:ilvl w:val="0"/>
          <w:numId w:val="15"/>
        </w:numPr>
        <w:spacing w:before="100" w:beforeAutospacing="1" w:after="100" w:afterAutospacing="1" w:line="480" w:lineRule="auto"/>
      </w:pPr>
      <w:r w:rsidRPr="004E4995">
        <w:rPr>
          <w:rStyle w:val="Strong"/>
        </w:rPr>
        <w:lastRenderedPageBreak/>
        <w:t>Health Equity Factors through Patient Input</w:t>
      </w:r>
      <w:r w:rsidRPr="004E3E8D">
        <w:rPr>
          <w:rStyle w:val="Strong"/>
          <w:b w:val="0"/>
          <w:bCs w:val="0"/>
        </w:rPr>
        <w:t>:</w:t>
      </w:r>
      <w:r w:rsidRPr="004E3E8D">
        <w:t xml:space="preserve"> Systematic patient engagement helps identify equity-related issues, such as access barriers and differential health outcomes anchored in social determinants of health</w:t>
      </w:r>
      <w:r w:rsidR="005906CA">
        <w:t xml:space="preserve"> </w:t>
      </w:r>
      <w:r w:rsidR="005906CA" w:rsidRPr="005906CA">
        <w:fldChar w:fldCharType="begin"/>
      </w:r>
      <w:r w:rsidR="00C304F5">
        <w:instrText xml:space="preserve"> ADDIN ZOTERO_ITEM CSL_CITATION {"citationID":"ndcTyxPV","properties":{"formattedCitation":"(16\\uc0\\u8211{}18)","plainCitation":"(16–18)","noteIndex":0},"citationItems":[{"id":89,"uris":["http://zotero.org/users/9520068/items/RDNA72LS"],"itemData":{"id":89,"type":"article-journal","abstract":"Orphan drugs (ODs) are intended for the diagnosis, prevention, or treatment of rare diseases. Many cancer subtypes, including all childhood cancers, are defined as rare diseases, and over one-third of ODs are now intended to treat oncology indications. However, market access for oncology ODs is becoming increasingly challenging; ODs are prone to significant uncertainty around their cost-effectiveness, while payers must balance the need for these vital innovations with growing sensitivity to rising costs. The objective of this review was to evaluate different mechanisms that have been introduced to facilitate patient access to oncology ODs in five different countries (Australia, Canada, England, France, and Sweden), using eight oncology ODs and non-orphan oncology drugs as examples of their application. A targeted literature review of health technology assessment (HTA) agency websites was undertaken to identify country-specific guidance and HTA documentation for recently evaluated oncology ODs and non-orphan oncology drugs. None of these countries were found to have explicit HTA criteria for the assessment of ODs, and therefore, oncology ODs are assessed through the usual HTA process. However, distinct and additional processes are adopted to facilitate access to oncology ODs. Review of eight case-study drugs showed that these additional assessment processes were rarely used, and decisions were largely driven by proving cost-effectiveness using standard incremental cost-effectiveness ratio (ICER) thresholds. The predominant implication arising from this study is that application of standard HTA criteria to oncology ODs in many countries fails to take into account any uncertainties around their clinical- and cost-effectiveness, resulting in disparities in HTA reimbursement decisions based on differences in addressing or accepting uncertainty. In order to address this issue, HTA agencies should adopt a more flexible approach to cost-effectiveness, as typified by the Tandvards-och Lakemedelsformansverket in Sweden, which takes into account the small patient numbers involved, limited budget impact, and high unmet medical needs.","container-title":"ClinicoEconomics and outcomes research : CEOR","DOI":"10.2147/CEOR.S134230","note":"publisher-place: New Zealand","page":"327-342","title":"Oncology drugs for orphan indications: how are HTA processes evolving for this specific drug category?.","URL":"http://ovidsp.ovid.com/ovidweb.cgi?T=JS&amp;PAGE=reference&amp;D=prem&amp;NEWS=N&amp;AN=28652787","volume":"9","author":[{"family":"Adkins","given":"Elizabeth M"},{"family":"Nicholson","given":"Lindsay"},{"family":"Floyd","given":"David"},{"family":"Ratcliffe","given":"Mark"},{"family":"Chevrou-Severac","given":"Helene"}],"issued":{"date-parts":[["2017"]]}}},{"id":249,"uris":["http://zotero.org/users/9520068/items/NKDMI5HU"],"itemData":{"id":249,"type":"article-journal","container-title":"Journal of comparative effectiveness research","DOI":"10.2217/cer-2019-0039","ISSN":"2042-6313","issue":"8","journalAbbreviation":"J. comp. eff. res.","note":"publisher-place: England\nFacey, Karen M. Usher Institute of Population Health Sciences &amp; Informatics, The University of Edinburgh, 9 The Bioquarter, 9 Little France Road, Edinburgh, EH16 4UX, UK.","page":"549-554","title":"As health technology assessment evolves so must its approach to patient involvement.","volume":"8","author":[{"family":"Facey","given":"Karen M"}],"issued":{"date-parts":[["2019"]]}},"label":"page"},{"id":1256,"uris":["http://zotero.org/users/9520068/items/3C4XBN8P"],"itemData":{"id":1256,"type":"article-journal","abstract":"The importance and merits of greater patient involvement in medicines research and development (R&amp;D) are commonly acknowledged and is thought to offer benefits for all involved parties. It improves discovery, development, and evaluation of new effective medicines, based, among others, on the collaborative identification and understanding of unmet needs, research priorities, optimization of clinical study design, as well as incorporating patient views in regulatory activities. It fosters increased transparency, trust and mutual respect between patients and other stakeholders and applies to all stages of medicines R&amp;D, inclusive of regulation and licensing of medicines and appraisal by health technology assessment (HTA) bodies. In order to be effective and beneficial for all stakeholders, patient engagement as an integral part of medicines R&amp;D needs clear and mutually agreed rules. Existing codes of practice for patient involvement do not comprehensively cover the full scope of patient engagement in all processes related to R&amp;D. One specific aim of the European Patients' Academy on Therapeutic Innovation (EUPATI) was to close this gap through the development of guidance documents for pharmaceutical industry-led medicines R&amp;D, ethics committees, regulatory authorities and health technology assessment (HTA). The guidance in this article covers patient involvement in the regulatory field and draws on the mature \"Framework for interaction between the European Medicines Agency and patients and consumers and their organizations.\" It expands on the EMA framework, specifically including National Competent Authorities (NCAs). It sets out objectives for patient involvement in medicines regulation and recommends concrete suggested working practices. It is primarily aimed at regulatory authorities wishing to interact with patients or their organizations in their activities but should also be considered by patients/patient organizations planning to collaborate with regulatory authorities.","container-title":"Frontiers in medicine","DOI":"10.3389/fmed.2018.00230","note":"publisher-place: Switzerland","page":"230-230","title":"EUPATI and Patients in Medicines Research and Development: Guidance for Patient Involvement in Regulatory Processes.","URL":"http://ovidsp.ovid.com/ovidweb.cgi?T=JS&amp;PAGE=reference&amp;D=prem2&amp;NEWS=N&amp;AN=30175100","volume":"5","author":[{"family":"Haerry","given":"David"},{"family":"Landgraf","given":"Cordula"},{"family":"Warner","given":"Kay"},{"family":"Hunter","given":"Amy"},{"family":"Klingmann","given":"Ingrid"},{"family":"May","given":"Matthew"},{"family":"See","given":"Wolf"}],"issued":{"date-parts":[["2018"]]}},"label":"page"}],"schema":"https://github.com/citation-style-language/schema/raw/master/csl-citation.json"} </w:instrText>
      </w:r>
      <w:r w:rsidR="005906CA" w:rsidRPr="005906CA">
        <w:fldChar w:fldCharType="separate"/>
      </w:r>
      <w:r w:rsidR="00C304F5" w:rsidRPr="00C304F5">
        <w:rPr>
          <w:lang w:val="en-US"/>
        </w:rPr>
        <w:t>(16–18)</w:t>
      </w:r>
      <w:r w:rsidR="005906CA" w:rsidRPr="005906CA">
        <w:fldChar w:fldCharType="end"/>
      </w:r>
      <w:r w:rsidRPr="004E3E8D">
        <w:t xml:space="preserve">. </w:t>
      </w:r>
    </w:p>
    <w:p w14:paraId="1058F0C7" w14:textId="77777777" w:rsidR="005A6920" w:rsidRPr="005906CA" w:rsidRDefault="005A6920" w:rsidP="005A6920">
      <w:pPr>
        <w:pStyle w:val="NormalWeb"/>
        <w:spacing w:line="480" w:lineRule="auto"/>
      </w:pPr>
      <w:r w:rsidRPr="005906CA">
        <w:rPr>
          <w:rStyle w:val="Strong"/>
        </w:rPr>
        <w:t xml:space="preserve">Outcomes and Impact: </w:t>
      </w:r>
    </w:p>
    <w:p w14:paraId="3F19BD69" w14:textId="50BA902E" w:rsidR="005A6920" w:rsidRPr="004E3E8D" w:rsidRDefault="005A6920" w:rsidP="005A6920">
      <w:pPr>
        <w:numPr>
          <w:ilvl w:val="0"/>
          <w:numId w:val="16"/>
        </w:numPr>
        <w:spacing w:before="100" w:beforeAutospacing="1" w:after="100" w:afterAutospacing="1" w:line="480" w:lineRule="auto"/>
      </w:pPr>
      <w:r w:rsidRPr="004E4995">
        <w:rPr>
          <w:rStyle w:val="Strong"/>
        </w:rPr>
        <w:t>Short-Term:</w:t>
      </w:r>
      <w:r w:rsidRPr="004E3E8D">
        <w:t xml:space="preserve"> Increased focus on health equity in HTA, resulting in more recommendations that explicitly address the needs of disadvantaged populations</w:t>
      </w:r>
      <w:r w:rsidR="005906CA">
        <w:t xml:space="preserve"> </w:t>
      </w:r>
      <w:r w:rsidR="005906CA" w:rsidRPr="005906CA">
        <w:fldChar w:fldCharType="begin"/>
      </w:r>
      <w:r w:rsidR="00C304F5">
        <w:instrText xml:space="preserve"> ADDIN ZOTERO_ITEM CSL_CITATION {"citationID":"F943ukFt","properties":{"formattedCitation":"(16\\uc0\\u8211{}18)","plainCitation":"(16–18)","noteIndex":0},"citationItems":[{"id":89,"uris":["http://zotero.org/users/9520068/items/RDNA72LS"],"itemData":{"id":89,"type":"article-journal","abstract":"Orphan drugs (ODs) are intended for the diagnosis, prevention, or treatment of rare diseases. Many cancer subtypes, including all childhood cancers, are defined as rare diseases, and over one-third of ODs are now intended to treat oncology indications. However, market access for oncology ODs is becoming increasingly challenging; ODs are prone to significant uncertainty around their cost-effectiveness, while payers must balance the need for these vital innovations with growing sensitivity to rising costs. The objective of this review was to evaluate different mechanisms that have been introduced to facilitate patient access to oncology ODs in five different countries (Australia, Canada, England, France, and Sweden), using eight oncology ODs and non-orphan oncology drugs as examples of their application. A targeted literature review of health technology assessment (HTA) agency websites was undertaken to identify country-specific guidance and HTA documentation for recently evaluated oncology ODs and non-orphan oncology drugs. None of these countries were found to have explicit HTA criteria for the assessment of ODs, and therefore, oncology ODs are assessed through the usual HTA process. However, distinct and additional processes are adopted to facilitate access to oncology ODs. Review of eight case-study drugs showed that these additional assessment processes were rarely used, and decisions were largely driven by proving cost-effectiveness using standard incremental cost-effectiveness ratio (ICER) thresholds. The predominant implication arising from this study is that application of standard HTA criteria to oncology ODs in many countries fails to take into account any uncertainties around their clinical- and cost-effectiveness, resulting in disparities in HTA reimbursement decisions based on differences in addressing or accepting uncertainty. In order to address this issue, HTA agencies should adopt a more flexible approach to cost-effectiveness, as typified by the Tandvards-och Lakemedelsformansverket in Sweden, which takes into account the small patient numbers involved, limited budget impact, and high unmet medical needs.","container-title":"ClinicoEconomics and outcomes research : CEOR","DOI":"10.2147/CEOR.S134230","note":"publisher-place: New Zealand","page":"327-342","title":"Oncology drugs for orphan indications: how are HTA processes evolving for this specific drug category?.","URL":"http://ovidsp.ovid.com/ovidweb.cgi?T=JS&amp;PAGE=reference&amp;D=prem&amp;NEWS=N&amp;AN=28652787","volume":"9","author":[{"family":"Adkins","given":"Elizabeth M"},{"family":"Nicholson","given":"Lindsay"},{"family":"Floyd","given":"David"},{"family":"Ratcliffe","given":"Mark"},{"family":"Chevrou-Severac","given":"Helene"}],"issued":{"date-parts":[["2017"]]}}},{"id":249,"uris":["http://zotero.org/users/9520068/items/NKDMI5HU"],"itemData":{"id":249,"type":"article-journal","container-title":"Journal of comparative effectiveness research","DOI":"10.2217/cer-2019-0039","ISSN":"2042-6313","issue":"8","journalAbbreviation":"J. comp. eff. res.","note":"publisher-place: England\nFacey, Karen M. Usher Institute of Population Health Sciences &amp; Informatics, The University of Edinburgh, 9 The Bioquarter, 9 Little France Road, Edinburgh, EH16 4UX, UK.","page":"549-554","title":"As health technology assessment evolves so must its approach to patient involvement.","volume":"8","author":[{"family":"Facey","given":"Karen M"}],"issued":{"date-parts":[["2019"]]}},"label":"page"},{"id":1256,"uris":["http://zotero.org/users/9520068/items/3C4XBN8P"],"itemData":{"id":1256,"type":"article-journal","abstract":"The importance and merits of greater patient involvement in medicines research and development (R&amp;D) are commonly acknowledged and is thought to offer benefits for all involved parties. It improves discovery, development, and evaluation of new effective medicines, based, among others, on the collaborative identification and understanding of unmet needs, research priorities, optimization of clinical study design, as well as incorporating patient views in regulatory activities. It fosters increased transparency, trust and mutual respect between patients and other stakeholders and applies to all stages of medicines R&amp;D, inclusive of regulation and licensing of medicines and appraisal by health technology assessment (HTA) bodies. In order to be effective and beneficial for all stakeholders, patient engagement as an integral part of medicines R&amp;D needs clear and mutually agreed rules. Existing codes of practice for patient involvement do not comprehensively cover the full scope of patient engagement in all processes related to R&amp;D. One specific aim of the European Patients' Academy on Therapeutic Innovation (EUPATI) was to close this gap through the development of guidance documents for pharmaceutical industry-led medicines R&amp;D, ethics committees, regulatory authorities and health technology assessment (HTA). The guidance in this article covers patient involvement in the regulatory field and draws on the mature \"Framework for interaction between the European Medicines Agency and patients and consumers and their organizations.\" It expands on the EMA framework, specifically including National Competent Authorities (NCAs). It sets out objectives for patient involvement in medicines regulation and recommends concrete suggested working practices. It is primarily aimed at regulatory authorities wishing to interact with patients or their organizations in their activities but should also be considered by patients/patient organizations planning to collaborate with regulatory authorities.","container-title":"Frontiers in medicine","DOI":"10.3389/fmed.2018.00230","note":"publisher-place: Switzerland","page":"230-230","title":"EUPATI and Patients in Medicines Research and Development: Guidance for Patient Involvement in Regulatory Processes.","URL":"http://ovidsp.ovid.com/ovidweb.cgi?T=JS&amp;PAGE=reference&amp;D=prem2&amp;NEWS=N&amp;AN=30175100","volume":"5","author":[{"family":"Haerry","given":"David"},{"family":"Landgraf","given":"Cordula"},{"family":"Warner","given":"Kay"},{"family":"Hunter","given":"Amy"},{"family":"Klingmann","given":"Ingrid"},{"family":"May","given":"Matthew"},{"family":"See","given":"Wolf"}],"issued":{"date-parts":[["2018"]]}},"label":"page"}],"schema":"https://github.com/citation-style-language/schema/raw/master/csl-citation.json"} </w:instrText>
      </w:r>
      <w:r w:rsidR="005906CA" w:rsidRPr="005906CA">
        <w:fldChar w:fldCharType="separate"/>
      </w:r>
      <w:r w:rsidR="00C304F5" w:rsidRPr="00C304F5">
        <w:rPr>
          <w:lang w:val="en-US"/>
        </w:rPr>
        <w:t>(16–18)</w:t>
      </w:r>
      <w:r w:rsidR="005906CA" w:rsidRPr="005906CA">
        <w:fldChar w:fldCharType="end"/>
      </w:r>
      <w:r w:rsidRPr="004E3E8D">
        <w:t>.</w:t>
      </w:r>
    </w:p>
    <w:p w14:paraId="59844B0C" w14:textId="20D72292" w:rsidR="005A6920" w:rsidRPr="004E3E8D" w:rsidRDefault="005A6920" w:rsidP="005A6920">
      <w:pPr>
        <w:numPr>
          <w:ilvl w:val="0"/>
          <w:numId w:val="16"/>
        </w:numPr>
        <w:spacing w:before="100" w:beforeAutospacing="1" w:after="100" w:afterAutospacing="1" w:line="480" w:lineRule="auto"/>
      </w:pPr>
      <w:r w:rsidRPr="004E4995">
        <w:rPr>
          <w:rStyle w:val="Strong"/>
        </w:rPr>
        <w:t>Medium-Term:</w:t>
      </w:r>
      <w:r w:rsidRPr="004E3E8D">
        <w:t xml:space="preserve"> Establishing systematic health equity analysis and reporting practices within HTA organizations, leading to more consistent inclusion of health equity considerations</w:t>
      </w:r>
      <w:r w:rsidR="005906CA">
        <w:t xml:space="preserve"> </w:t>
      </w:r>
      <w:r w:rsidR="005906CA" w:rsidRPr="005906CA">
        <w:fldChar w:fldCharType="begin"/>
      </w:r>
      <w:r w:rsidR="00C304F5">
        <w:instrText xml:space="preserve"> ADDIN ZOTERO_ITEM CSL_CITATION {"citationID":"YUVAEKVq","properties":{"formattedCitation":"(16\\uc0\\u8211{}18)","plainCitation":"(16–18)","noteIndex":0},"citationItems":[{"id":89,"uris":["http://zotero.org/users/9520068/items/RDNA72LS"],"itemData":{"id":89,"type":"article-journal","abstract":"Orphan drugs (ODs) are intended for the diagnosis, prevention, or treatment of rare diseases. Many cancer subtypes, including all childhood cancers, are defined as rare diseases, and over one-third of ODs are now intended to treat oncology indications. However, market access for oncology ODs is becoming increasingly challenging; ODs are prone to significant uncertainty around their cost-effectiveness, while payers must balance the need for these vital innovations with growing sensitivity to rising costs. The objective of this review was to evaluate different mechanisms that have been introduced to facilitate patient access to oncology ODs in five different countries (Australia, Canada, England, France, and Sweden), using eight oncology ODs and non-orphan oncology drugs as examples of their application. A targeted literature review of health technology assessment (HTA) agency websites was undertaken to identify country-specific guidance and HTA documentation for recently evaluated oncology ODs and non-orphan oncology drugs. None of these countries were found to have explicit HTA criteria for the assessment of ODs, and therefore, oncology ODs are assessed through the usual HTA process. However, distinct and additional processes are adopted to facilitate access to oncology ODs. Review of eight case-study drugs showed that these additional assessment processes were rarely used, and decisions were largely driven by proving cost-effectiveness using standard incremental cost-effectiveness ratio (ICER) thresholds. The predominant implication arising from this study is that application of standard HTA criteria to oncology ODs in many countries fails to take into account any uncertainties around their clinical- and cost-effectiveness, resulting in disparities in HTA reimbursement decisions based on differences in addressing or accepting uncertainty. In order to address this issue, HTA agencies should adopt a more flexible approach to cost-effectiveness, as typified by the Tandvards-och Lakemedelsformansverket in Sweden, which takes into account the small patient numbers involved, limited budget impact, and high unmet medical needs.","container-title":"ClinicoEconomics and outcomes research : CEOR","DOI":"10.2147/CEOR.S134230","note":"publisher-place: New Zealand","page":"327-342","title":"Oncology drugs for orphan indications: how are HTA processes evolving for this specific drug category?.","URL":"http://ovidsp.ovid.com/ovidweb.cgi?T=JS&amp;PAGE=reference&amp;D=prem&amp;NEWS=N&amp;AN=28652787","volume":"9","author":[{"family":"Adkins","given":"Elizabeth M"},{"family":"Nicholson","given":"Lindsay"},{"family":"Floyd","given":"David"},{"family":"Ratcliffe","given":"Mark"},{"family":"Chevrou-Severac","given":"Helene"}],"issued":{"date-parts":[["2017"]]}}},{"id":249,"uris":["http://zotero.org/users/9520068/items/NKDMI5HU"],"itemData":{"id":249,"type":"article-journal","container-title":"Journal of comparative effectiveness research","DOI":"10.2217/cer-2019-0039","ISSN":"2042-6313","issue":"8","journalAbbreviation":"J. comp. eff. res.","note":"publisher-place: England\nFacey, Karen M. Usher Institute of Population Health Sciences &amp; Informatics, The University of Edinburgh, 9 The Bioquarter, 9 Little France Road, Edinburgh, EH16 4UX, UK.","page":"549-554","title":"As health technology assessment evolves so must its approach to patient involvement.","volume":"8","author":[{"family":"Facey","given":"Karen M"}],"issued":{"date-parts":[["2019"]]}},"label":"page"},{"id":1256,"uris":["http://zotero.org/users/9520068/items/3C4XBN8P"],"itemData":{"id":1256,"type":"article-journal","abstract":"The importance and merits of greater patient involvement in medicines research and development (R&amp;D) are commonly acknowledged and is thought to offer benefits for all involved parties. It improves discovery, development, and evaluation of new effective medicines, based, among others, on the collaborative identification and understanding of unmet needs, research priorities, optimization of clinical study design, as well as incorporating patient views in regulatory activities. It fosters increased transparency, trust and mutual respect between patients and other stakeholders and applies to all stages of medicines R&amp;D, inclusive of regulation and licensing of medicines and appraisal by health technology assessment (HTA) bodies. In order to be effective and beneficial for all stakeholders, patient engagement as an integral part of medicines R&amp;D needs clear and mutually agreed rules. Existing codes of practice for patient involvement do not comprehensively cover the full scope of patient engagement in all processes related to R&amp;D. One specific aim of the European Patients' Academy on Therapeutic Innovation (EUPATI) was to close this gap through the development of guidance documents for pharmaceutical industry-led medicines R&amp;D, ethics committees, regulatory authorities and health technology assessment (HTA). The guidance in this article covers patient involvement in the regulatory field and draws on the mature \"Framework for interaction between the European Medicines Agency and patients and consumers and their organizations.\" It expands on the EMA framework, specifically including National Competent Authorities (NCAs). It sets out objectives for patient involvement in medicines regulation and recommends concrete suggested working practices. It is primarily aimed at regulatory authorities wishing to interact with patients or their organizations in their activities but should also be considered by patients/patient organizations planning to collaborate with regulatory authorities.","container-title":"Frontiers in medicine","DOI":"10.3389/fmed.2018.00230","note":"publisher-place: Switzerland","page":"230-230","title":"EUPATI and Patients in Medicines Research and Development: Guidance for Patient Involvement in Regulatory Processes.","URL":"http://ovidsp.ovid.com/ovidweb.cgi?T=JS&amp;PAGE=reference&amp;D=prem2&amp;NEWS=N&amp;AN=30175100","volume":"5","author":[{"family":"Haerry","given":"David"},{"family":"Landgraf","given":"Cordula"},{"family":"Warner","given":"Kay"},{"family":"Hunter","given":"Amy"},{"family":"Klingmann","given":"Ingrid"},{"family":"May","given":"Matthew"},{"family":"See","given":"Wolf"}],"issued":{"date-parts":[["2018"]]}},"label":"page"}],"schema":"https://github.com/citation-style-language/schema/raw/master/csl-citation.json"} </w:instrText>
      </w:r>
      <w:r w:rsidR="005906CA" w:rsidRPr="005906CA">
        <w:fldChar w:fldCharType="separate"/>
      </w:r>
      <w:r w:rsidR="00C304F5" w:rsidRPr="00C304F5">
        <w:rPr>
          <w:lang w:val="en-US"/>
        </w:rPr>
        <w:t>(16–18)</w:t>
      </w:r>
      <w:r w:rsidR="005906CA" w:rsidRPr="005906CA">
        <w:fldChar w:fldCharType="end"/>
      </w:r>
      <w:r w:rsidRPr="004E3E8D">
        <w:t>.</w:t>
      </w:r>
    </w:p>
    <w:p w14:paraId="433FE666" w14:textId="32520DF1" w:rsidR="005A6920" w:rsidRDefault="005A6920" w:rsidP="005A6920">
      <w:pPr>
        <w:numPr>
          <w:ilvl w:val="0"/>
          <w:numId w:val="16"/>
        </w:numPr>
        <w:spacing w:before="100" w:beforeAutospacing="1" w:after="100" w:afterAutospacing="1" w:line="480" w:lineRule="auto"/>
      </w:pPr>
      <w:r w:rsidRPr="004E4995">
        <w:rPr>
          <w:rStyle w:val="Strong"/>
        </w:rPr>
        <w:t>Long-</w:t>
      </w:r>
      <w:r w:rsidR="004E3E8D" w:rsidRPr="004E4995">
        <w:rPr>
          <w:rStyle w:val="Strong"/>
        </w:rPr>
        <w:t xml:space="preserve">Term Outcomes </w:t>
      </w:r>
      <w:r w:rsidRPr="004E4995">
        <w:rPr>
          <w:rStyle w:val="Strong"/>
        </w:rPr>
        <w:t>and Impact:</w:t>
      </w:r>
      <w:r w:rsidRPr="004E3E8D">
        <w:t xml:space="preserve"> Achieving systemic change in healthcare delivery that prioritizes health equity, ultimately leading to reduced health disparities and more equitable health outcomes for all</w:t>
      </w:r>
      <w:r w:rsidR="005906CA">
        <w:t xml:space="preserve"> </w:t>
      </w:r>
      <w:r w:rsidR="005906CA" w:rsidRPr="005906CA">
        <w:fldChar w:fldCharType="begin"/>
      </w:r>
      <w:r w:rsidR="00C304F5">
        <w:instrText xml:space="preserve"> ADDIN ZOTERO_ITEM CSL_CITATION {"citationID":"IfAI62U3","properties":{"formattedCitation":"(16\\uc0\\u8211{}18)","plainCitation":"(16–18)","noteIndex":0},"citationItems":[{"id":89,"uris":["http://zotero.org/users/9520068/items/RDNA72LS"],"itemData":{"id":89,"type":"article-journal","abstract":"Orphan drugs (ODs) are intended for the diagnosis, prevention, or treatment of rare diseases. Many cancer subtypes, including all childhood cancers, are defined as rare diseases, and over one-third of ODs are now intended to treat oncology indications. However, market access for oncology ODs is becoming increasingly challenging; ODs are prone to significant uncertainty around their cost-effectiveness, while payers must balance the need for these vital innovations with growing sensitivity to rising costs. The objective of this review was to evaluate different mechanisms that have been introduced to facilitate patient access to oncology ODs in five different countries (Australia, Canada, England, France, and Sweden), using eight oncology ODs and non-orphan oncology drugs as examples of their application. A targeted literature review of health technology assessment (HTA) agency websites was undertaken to identify country-specific guidance and HTA documentation for recently evaluated oncology ODs and non-orphan oncology drugs. None of these countries were found to have explicit HTA criteria for the assessment of ODs, and therefore, oncology ODs are assessed through the usual HTA process. However, distinct and additional processes are adopted to facilitate access to oncology ODs. Review of eight case-study drugs showed that these additional assessment processes were rarely used, and decisions were largely driven by proving cost-effectiveness using standard incremental cost-effectiveness ratio (ICER) thresholds. The predominant implication arising from this study is that application of standard HTA criteria to oncology ODs in many countries fails to take into account any uncertainties around their clinical- and cost-effectiveness, resulting in disparities in HTA reimbursement decisions based on differences in addressing or accepting uncertainty. In order to address this issue, HTA agencies should adopt a more flexible approach to cost-effectiveness, as typified by the Tandvards-och Lakemedelsformansverket in Sweden, which takes into account the small patient numbers involved, limited budget impact, and high unmet medical needs.","container-title":"ClinicoEconomics and outcomes research : CEOR","DOI":"10.2147/CEOR.S134230","note":"publisher-place: New Zealand","page":"327-342","title":"Oncology drugs for orphan indications: how are HTA processes evolving for this specific drug category?.","URL":"http://ovidsp.ovid.com/ovidweb.cgi?T=JS&amp;PAGE=reference&amp;D=prem&amp;NEWS=N&amp;AN=28652787","volume":"9","author":[{"family":"Adkins","given":"Elizabeth M"},{"family":"Nicholson","given":"Lindsay"},{"family":"Floyd","given":"David"},{"family":"Ratcliffe","given":"Mark"},{"family":"Chevrou-Severac","given":"Helene"}],"issued":{"date-parts":[["2017"]]}}},{"id":249,"uris":["http://zotero.org/users/9520068/items/NKDMI5HU"],"itemData":{"id":249,"type":"article-journal","container-title":"Journal of comparative effectiveness research","DOI":"10.2217/cer-2019-0039","ISSN":"2042-6313","issue":"8","journalAbbreviation":"J. comp. eff. res.","note":"publisher-place: England\nFacey, Karen M. Usher Institute of Population Health Sciences &amp; Informatics, The University of Edinburgh, 9 The Bioquarter, 9 Little France Road, Edinburgh, EH16 4UX, UK.","page":"549-554","title":"As health technology assessment evolves so must its approach to patient involvement.","volume":"8","author":[{"family":"Facey","given":"Karen M"}],"issued":{"date-parts":[["2019"]]}},"label":"page"},{"id":1256,"uris":["http://zotero.org/users/9520068/items/3C4XBN8P"],"itemData":{"id":1256,"type":"article-journal","abstract":"The importance and merits of greater patient involvement in medicines research and development (R&amp;D) are commonly acknowledged and is thought to offer benefits for all involved parties. It improves discovery, development, and evaluation of new effective medicines, based, among others, on the collaborative identification and understanding of unmet needs, research priorities, optimization of clinical study design, as well as incorporating patient views in regulatory activities. It fosters increased transparency, trust and mutual respect between patients and other stakeholders and applies to all stages of medicines R&amp;D, inclusive of regulation and licensing of medicines and appraisal by health technology assessment (HTA) bodies. In order to be effective and beneficial for all stakeholders, patient engagement as an integral part of medicines R&amp;D needs clear and mutually agreed rules. Existing codes of practice for patient involvement do not comprehensively cover the full scope of patient engagement in all processes related to R&amp;D. One specific aim of the European Patients' Academy on Therapeutic Innovation (EUPATI) was to close this gap through the development of guidance documents for pharmaceutical industry-led medicines R&amp;D, ethics committees, regulatory authorities and health technology assessment (HTA). The guidance in this article covers patient involvement in the regulatory field and draws on the mature \"Framework for interaction between the European Medicines Agency and patients and consumers and their organizations.\" It expands on the EMA framework, specifically including National Competent Authorities (NCAs). It sets out objectives for patient involvement in medicines regulation and recommends concrete suggested working practices. It is primarily aimed at regulatory authorities wishing to interact with patients or their organizations in their activities but should also be considered by patients/patient organizations planning to collaborate with regulatory authorities.","container-title":"Frontiers in medicine","DOI":"10.3389/fmed.2018.00230","note":"publisher-place: Switzerland","page":"230-230","title":"EUPATI and Patients in Medicines Research and Development: Guidance for Patient Involvement in Regulatory Processes.","URL":"http://ovidsp.ovid.com/ovidweb.cgi?T=JS&amp;PAGE=reference&amp;D=prem2&amp;NEWS=N&amp;AN=30175100","volume":"5","author":[{"family":"Haerry","given":"David"},{"family":"Landgraf","given":"Cordula"},{"family":"Warner","given":"Kay"},{"family":"Hunter","given":"Amy"},{"family":"Klingmann","given":"Ingrid"},{"family":"May","given":"Matthew"},{"family":"See","given":"Wolf"}],"issued":{"date-parts":[["2018"]]}},"label":"page"}],"schema":"https://github.com/citation-style-language/schema/raw/master/csl-citation.json"} </w:instrText>
      </w:r>
      <w:r w:rsidR="005906CA" w:rsidRPr="005906CA">
        <w:fldChar w:fldCharType="separate"/>
      </w:r>
      <w:r w:rsidR="00C304F5" w:rsidRPr="00C304F5">
        <w:rPr>
          <w:lang w:val="en-US"/>
        </w:rPr>
        <w:t>(16–18)</w:t>
      </w:r>
      <w:r w:rsidR="005906CA" w:rsidRPr="005906CA">
        <w:fldChar w:fldCharType="end"/>
      </w:r>
      <w:r w:rsidRPr="004E3E8D">
        <w:t xml:space="preserve">. </w:t>
      </w:r>
    </w:p>
    <w:p w14:paraId="3B92DA17" w14:textId="183A532D" w:rsidR="005906CA" w:rsidRPr="005906CA" w:rsidRDefault="005906CA" w:rsidP="005906CA">
      <w:pPr>
        <w:spacing w:before="100" w:beforeAutospacing="1" w:after="100" w:afterAutospacing="1" w:line="480" w:lineRule="auto"/>
        <w:rPr>
          <w:b/>
          <w:bCs/>
          <w:sz w:val="28"/>
          <w:szCs w:val="28"/>
        </w:rPr>
      </w:pPr>
      <w:r w:rsidRPr="005906CA">
        <w:rPr>
          <w:b/>
          <w:bCs/>
          <w:sz w:val="28"/>
          <w:szCs w:val="28"/>
        </w:rPr>
        <w:t>References</w:t>
      </w:r>
    </w:p>
    <w:p w14:paraId="27F658C8" w14:textId="77777777" w:rsidR="00C304F5" w:rsidRPr="00C304F5" w:rsidRDefault="005906CA" w:rsidP="00C304F5">
      <w:pPr>
        <w:pStyle w:val="Bibliography"/>
        <w:rPr>
          <w:lang w:val="en-US"/>
        </w:rPr>
      </w:pPr>
      <w:r>
        <w:fldChar w:fldCharType="begin"/>
      </w:r>
      <w:r>
        <w:instrText xml:space="preserve"> ADDIN ZOTERO_BIBL {"uncited":[],"omitted":[],"custom":[]} CSL_BIBLIOGRAPHY </w:instrText>
      </w:r>
      <w:r>
        <w:fldChar w:fldCharType="separate"/>
      </w:r>
      <w:r w:rsidR="00C304F5" w:rsidRPr="00C304F5">
        <w:rPr>
          <w:lang w:val="en-US"/>
        </w:rPr>
        <w:t>1.</w:t>
      </w:r>
      <w:r w:rsidR="00C304F5" w:rsidRPr="00C304F5">
        <w:rPr>
          <w:lang w:val="en-US"/>
        </w:rPr>
        <w:tab/>
        <w:t>Benkhalti M, Espinoza M, Cookson R, Welch V, Tugwell P, Dagenais P. Development of a checklist to guide equity considerations in health technology assessment. I</w:t>
      </w:r>
      <w:r w:rsidR="00C304F5" w:rsidRPr="005D1F76">
        <w:rPr>
          <w:i/>
          <w:iCs/>
          <w:lang w:val="en-US"/>
        </w:rPr>
        <w:t>nt J Technol Assess Health Care</w:t>
      </w:r>
      <w:r w:rsidR="00C304F5" w:rsidRPr="00C304F5">
        <w:rPr>
          <w:lang w:val="en-US"/>
        </w:rPr>
        <w:t xml:space="preserve">. 2021;37(gti, 8508113):e17. </w:t>
      </w:r>
    </w:p>
    <w:p w14:paraId="30B8C28E" w14:textId="77777777" w:rsidR="00C304F5" w:rsidRPr="00C304F5" w:rsidRDefault="00C304F5" w:rsidP="00C304F5">
      <w:pPr>
        <w:pStyle w:val="Bibliography"/>
        <w:rPr>
          <w:lang w:val="en-US"/>
        </w:rPr>
      </w:pPr>
      <w:r w:rsidRPr="00C304F5">
        <w:rPr>
          <w:lang w:val="en-US"/>
        </w:rPr>
        <w:t>2.</w:t>
      </w:r>
      <w:r w:rsidRPr="00C304F5">
        <w:rPr>
          <w:lang w:val="en-US"/>
        </w:rPr>
        <w:tab/>
        <w:t xml:space="preserve">O’Neill J, Tabish H, Welch V, Petticrew M, Pottie K, Clarke M, et al. Applying an equity lens to interventions: Using PROGRESS ensures consideration of socially stratifying factors to illuminate inequities in health. </w:t>
      </w:r>
      <w:r w:rsidRPr="005D1F76">
        <w:rPr>
          <w:i/>
          <w:iCs/>
          <w:lang w:val="en-US"/>
        </w:rPr>
        <w:t xml:space="preserve">J Clin Epidemiol </w:t>
      </w:r>
      <w:r w:rsidRPr="00C304F5">
        <w:rPr>
          <w:lang w:val="en-US"/>
        </w:rPr>
        <w:t>[Internet]. 2014;67(1):56–64. Available from: http://dx.doi.org/10.1016/j.jclinepi.2013.08.005</w:t>
      </w:r>
    </w:p>
    <w:p w14:paraId="3B0C8985" w14:textId="77777777" w:rsidR="00C304F5" w:rsidRPr="00C304F5" w:rsidRDefault="00C304F5" w:rsidP="00C304F5">
      <w:pPr>
        <w:pStyle w:val="Bibliography"/>
        <w:rPr>
          <w:lang w:val="en-US"/>
        </w:rPr>
      </w:pPr>
      <w:r w:rsidRPr="00C304F5">
        <w:rPr>
          <w:lang w:val="en-US"/>
        </w:rPr>
        <w:t>3.</w:t>
      </w:r>
      <w:r w:rsidRPr="00C304F5">
        <w:rPr>
          <w:lang w:val="en-US"/>
        </w:rPr>
        <w:tab/>
        <w:t xml:space="preserve">Cookson R, Mirelman AJ, Griffin S, Asaria M, Dawkins B, Norheim OF, et al. Using Cost-Effectiveness Analysis to Address Health Equity Concerns. </w:t>
      </w:r>
      <w:r w:rsidRPr="005D1F76">
        <w:rPr>
          <w:i/>
          <w:iCs/>
          <w:lang w:val="en-US"/>
        </w:rPr>
        <w:t>Value Health J Int Soc Pharmacoeconomics Outcomes Res</w:t>
      </w:r>
      <w:r w:rsidRPr="00C304F5">
        <w:rPr>
          <w:lang w:val="en-US"/>
        </w:rPr>
        <w:t xml:space="preserve">. 2017 Feb;20(2):206–12. </w:t>
      </w:r>
    </w:p>
    <w:p w14:paraId="6B04752D" w14:textId="77777777" w:rsidR="00C304F5" w:rsidRPr="00C304F5" w:rsidRDefault="00C304F5" w:rsidP="00C304F5">
      <w:pPr>
        <w:pStyle w:val="Bibliography"/>
        <w:rPr>
          <w:lang w:val="en-US"/>
        </w:rPr>
      </w:pPr>
      <w:r w:rsidRPr="00C304F5">
        <w:rPr>
          <w:lang w:val="en-US"/>
        </w:rPr>
        <w:t>4.</w:t>
      </w:r>
      <w:r w:rsidRPr="00C304F5">
        <w:rPr>
          <w:lang w:val="en-US"/>
        </w:rPr>
        <w:tab/>
        <w:t>Snow ME, Tweedie K, Pederson A. Heard and valued: the development of a model to meaningfully engage marginalized populations in health services planning.</w:t>
      </w:r>
      <w:r w:rsidRPr="005D1F76">
        <w:rPr>
          <w:i/>
          <w:iCs/>
          <w:lang w:val="en-US"/>
        </w:rPr>
        <w:t xml:space="preserve"> BMC Health Serv Res</w:t>
      </w:r>
      <w:r w:rsidRPr="00C304F5">
        <w:rPr>
          <w:lang w:val="en-US"/>
        </w:rPr>
        <w:t xml:space="preserve">. 2018;18(1):181–181. </w:t>
      </w:r>
    </w:p>
    <w:p w14:paraId="25103297" w14:textId="77777777" w:rsidR="00C304F5" w:rsidRPr="00C304F5" w:rsidRDefault="00C304F5" w:rsidP="00C304F5">
      <w:pPr>
        <w:pStyle w:val="Bibliography"/>
        <w:rPr>
          <w:lang w:val="en-US"/>
        </w:rPr>
      </w:pPr>
      <w:r w:rsidRPr="00C304F5">
        <w:rPr>
          <w:lang w:val="en-US"/>
        </w:rPr>
        <w:lastRenderedPageBreak/>
        <w:t>5.</w:t>
      </w:r>
      <w:r w:rsidRPr="00C304F5">
        <w:rPr>
          <w:lang w:val="en-US"/>
        </w:rPr>
        <w:tab/>
        <w:t xml:space="preserve">Anderson LM, Petticrew M, Rehfuess E, Armstrong R, Ueffing E, Baker P, et al. Using logic models to capture complexity in systematic reviews. </w:t>
      </w:r>
      <w:r w:rsidRPr="005D1F76">
        <w:rPr>
          <w:i/>
          <w:iCs/>
          <w:lang w:val="en-US"/>
        </w:rPr>
        <w:t xml:space="preserve">Res Synth Methods </w:t>
      </w:r>
      <w:r w:rsidRPr="00C304F5">
        <w:rPr>
          <w:lang w:val="en-US"/>
        </w:rPr>
        <w:t>[Internet]. 2011;2(1):33–42. Available from: http://dx.doi.org/10.1002/jrsm.32</w:t>
      </w:r>
    </w:p>
    <w:p w14:paraId="79718C44" w14:textId="77777777" w:rsidR="00C304F5" w:rsidRPr="00C304F5" w:rsidRDefault="00C304F5" w:rsidP="00C304F5">
      <w:pPr>
        <w:pStyle w:val="Bibliography"/>
        <w:rPr>
          <w:lang w:val="en-US"/>
        </w:rPr>
      </w:pPr>
      <w:r w:rsidRPr="00C304F5">
        <w:rPr>
          <w:lang w:val="en-US"/>
        </w:rPr>
        <w:t>6.</w:t>
      </w:r>
      <w:r w:rsidRPr="00C304F5">
        <w:rPr>
          <w:lang w:val="en-US"/>
        </w:rPr>
        <w:tab/>
        <w:t xml:space="preserve">Menon D, Stafinski T. Health technology assessment in Canada: 20 years strong? </w:t>
      </w:r>
      <w:r w:rsidRPr="005D1F76">
        <w:rPr>
          <w:i/>
          <w:iCs/>
          <w:lang w:val="en-US"/>
        </w:rPr>
        <w:t>Value Health J Int Soc Pharmacoeconomics Outcomes Res</w:t>
      </w:r>
      <w:r w:rsidRPr="00C304F5">
        <w:rPr>
          <w:lang w:val="en-US"/>
        </w:rPr>
        <w:t xml:space="preserve">. 2009 Jun;12 Suppl </w:t>
      </w:r>
      <w:proofErr w:type="gramStart"/>
      <w:r w:rsidRPr="00C304F5">
        <w:rPr>
          <w:lang w:val="en-US"/>
        </w:rPr>
        <w:t>2:S</w:t>
      </w:r>
      <w:proofErr w:type="gramEnd"/>
      <w:r w:rsidRPr="00C304F5">
        <w:rPr>
          <w:lang w:val="en-US"/>
        </w:rPr>
        <w:t xml:space="preserve">14-19. </w:t>
      </w:r>
    </w:p>
    <w:p w14:paraId="141EFC80" w14:textId="77777777" w:rsidR="00C304F5" w:rsidRPr="00C304F5" w:rsidRDefault="00C304F5" w:rsidP="00C304F5">
      <w:pPr>
        <w:pStyle w:val="Bibliography"/>
        <w:rPr>
          <w:lang w:val="en-US"/>
        </w:rPr>
      </w:pPr>
      <w:r w:rsidRPr="00C304F5">
        <w:rPr>
          <w:lang w:val="en-US"/>
        </w:rPr>
        <w:t>7.</w:t>
      </w:r>
      <w:r w:rsidRPr="00C304F5">
        <w:rPr>
          <w:lang w:val="en-US"/>
        </w:rPr>
        <w:tab/>
        <w:t>Vreman RA, Mantel-Teeuwisse AK, Hövels AM, Leufkens HGM, Goettsch WG. Differences in Health Technology Assessment Recommendations Among European Jurisdictions: The Role of Practice Variations. Value Health [Internet]. 2020 Jan 1;23(1):10–6. Available from: https://www.sciencedirect.com/science/article/pii/S1098301519323411</w:t>
      </w:r>
    </w:p>
    <w:p w14:paraId="03C96E48" w14:textId="77777777" w:rsidR="00C304F5" w:rsidRPr="00C304F5" w:rsidRDefault="00C304F5" w:rsidP="00C304F5">
      <w:pPr>
        <w:pStyle w:val="Bibliography"/>
        <w:rPr>
          <w:lang w:val="en-US"/>
        </w:rPr>
      </w:pPr>
      <w:r w:rsidRPr="00C304F5">
        <w:rPr>
          <w:lang w:val="en-US"/>
        </w:rPr>
        <w:t>8.</w:t>
      </w:r>
      <w:r w:rsidRPr="00C304F5">
        <w:rPr>
          <w:lang w:val="en-US"/>
        </w:rPr>
        <w:tab/>
        <w:t>Espinoza MA, Cabieses B. [Equity in health and health technology assessment in Chile].</w:t>
      </w:r>
      <w:r w:rsidRPr="005D1F76">
        <w:rPr>
          <w:i/>
          <w:iCs/>
          <w:lang w:val="en-US"/>
        </w:rPr>
        <w:t xml:space="preserve"> Rev Med Chil.</w:t>
      </w:r>
      <w:r w:rsidRPr="00C304F5">
        <w:rPr>
          <w:lang w:val="en-US"/>
        </w:rPr>
        <w:t xml:space="preserve"> 2014 Jan;142 Suppl:S45-9. </w:t>
      </w:r>
    </w:p>
    <w:p w14:paraId="619860F9" w14:textId="77777777" w:rsidR="00C304F5" w:rsidRPr="00C304F5" w:rsidRDefault="00C304F5" w:rsidP="00C304F5">
      <w:pPr>
        <w:pStyle w:val="Bibliography"/>
        <w:rPr>
          <w:lang w:val="en-US"/>
        </w:rPr>
      </w:pPr>
      <w:r w:rsidRPr="00C304F5">
        <w:rPr>
          <w:lang w:val="en-US"/>
        </w:rPr>
        <w:t>9.</w:t>
      </w:r>
      <w:r w:rsidRPr="00C304F5">
        <w:rPr>
          <w:lang w:val="en-US"/>
        </w:rPr>
        <w:tab/>
        <w:t xml:space="preserve">Panteli D, Kreis J, Busse R. CONSIDERING EQUITY IN HEALTH TECHNOLOGY ASSESSMENT: AN EXPLORATORY ANALYSIS OF AGENCY PRACTICES. </w:t>
      </w:r>
      <w:r w:rsidRPr="005D1F76">
        <w:rPr>
          <w:i/>
          <w:iCs/>
          <w:lang w:val="en-US"/>
        </w:rPr>
        <w:t xml:space="preserve">Int J Technol Assess Health Care </w:t>
      </w:r>
      <w:r w:rsidRPr="00C304F5">
        <w:rPr>
          <w:lang w:val="en-US"/>
        </w:rPr>
        <w:t>[Internet]. 2015/12/29 ed. 2015;31(5):314–23. Available from: https://www.cambridge.org/core/product/2AA3E46053202358B9CC83DC35E1042D</w:t>
      </w:r>
    </w:p>
    <w:p w14:paraId="2DCD1FBA" w14:textId="77777777" w:rsidR="00C304F5" w:rsidRPr="00C304F5" w:rsidRDefault="00C304F5" w:rsidP="00C304F5">
      <w:pPr>
        <w:pStyle w:val="Bibliography"/>
        <w:rPr>
          <w:lang w:val="en-US"/>
        </w:rPr>
      </w:pPr>
      <w:r w:rsidRPr="00C304F5">
        <w:rPr>
          <w:lang w:val="en-US"/>
        </w:rPr>
        <w:t>10.</w:t>
      </w:r>
      <w:r w:rsidRPr="00C304F5">
        <w:rPr>
          <w:lang w:val="en-US"/>
        </w:rPr>
        <w:tab/>
        <w:t>Facey Helle KM, Hansen P, Single ANV, European Patients’ Forum, Facey Helle KM, Hansen P, et al. Patient Involvement in Health Technology Assessment [Internet]. Springer N. Singapore: Springer Singapore; 2017. 49 p. (Patient Involvement in Health Technology Assessment; vol. 32). Available from: http://link.springer.com/10.1007/978-981-10-4068-9</w:t>
      </w:r>
    </w:p>
    <w:p w14:paraId="3146F24C" w14:textId="77777777" w:rsidR="00C304F5" w:rsidRPr="00C304F5" w:rsidRDefault="00C304F5" w:rsidP="00C304F5">
      <w:pPr>
        <w:pStyle w:val="Bibliography"/>
        <w:rPr>
          <w:lang w:val="en-US"/>
        </w:rPr>
      </w:pPr>
      <w:r w:rsidRPr="00C304F5">
        <w:rPr>
          <w:lang w:val="en-US"/>
        </w:rPr>
        <w:t>11.</w:t>
      </w:r>
      <w:r w:rsidRPr="00C304F5">
        <w:rPr>
          <w:lang w:val="en-US"/>
        </w:rPr>
        <w:tab/>
        <w:t xml:space="preserve">Frank L, Morton SC, Guise JM, Jull J, Concannon TW, Tugwell P, et al. Engaging Patients and Other Non-Researchers in Health Research: Defining Research Engagement. </w:t>
      </w:r>
      <w:r w:rsidRPr="005D1F76">
        <w:rPr>
          <w:i/>
          <w:iCs/>
          <w:lang w:val="en-US"/>
        </w:rPr>
        <w:t>J Gen Intern Med.</w:t>
      </w:r>
      <w:r w:rsidRPr="00C304F5">
        <w:rPr>
          <w:lang w:val="en-US"/>
        </w:rPr>
        <w:t xml:space="preserve"> 2020;35(1):307–14. </w:t>
      </w:r>
    </w:p>
    <w:p w14:paraId="09CA0B47" w14:textId="77777777" w:rsidR="00C304F5" w:rsidRPr="005D1F76" w:rsidRDefault="00C304F5" w:rsidP="00C304F5">
      <w:pPr>
        <w:pStyle w:val="Bibliography"/>
        <w:rPr>
          <w:lang w:val="en-US"/>
        </w:rPr>
      </w:pPr>
      <w:r w:rsidRPr="00C304F5">
        <w:rPr>
          <w:lang w:val="en-US"/>
        </w:rPr>
        <w:t>12.</w:t>
      </w:r>
      <w:r w:rsidRPr="00C304F5">
        <w:rPr>
          <w:lang w:val="en-US"/>
        </w:rPr>
        <w:tab/>
        <w:t xml:space="preserve">Abelson J, Tripp L, Kandasamy S, Burrows K. Supporting the evaluation of public and patient engagement in health system organizations: Results from an implementation research study. </w:t>
      </w:r>
      <w:r w:rsidRPr="005D1F76">
        <w:rPr>
          <w:i/>
          <w:iCs/>
          <w:lang w:val="en-US"/>
        </w:rPr>
        <w:t xml:space="preserve">Health Expect Int J Public Particip Health Care Health Policy. </w:t>
      </w:r>
      <w:r w:rsidRPr="005D1F76">
        <w:rPr>
          <w:lang w:val="en-US"/>
        </w:rPr>
        <w:t xml:space="preserve">2019 Oct;22(5):1132–43. </w:t>
      </w:r>
    </w:p>
    <w:p w14:paraId="271F6914" w14:textId="77777777" w:rsidR="00C304F5" w:rsidRPr="00C304F5" w:rsidRDefault="00C304F5" w:rsidP="00C304F5">
      <w:pPr>
        <w:pStyle w:val="Bibliography"/>
        <w:rPr>
          <w:lang w:val="en-US"/>
        </w:rPr>
      </w:pPr>
      <w:r w:rsidRPr="00C304F5">
        <w:rPr>
          <w:lang w:val="en-US"/>
        </w:rPr>
        <w:t>13.</w:t>
      </w:r>
      <w:r w:rsidRPr="00C304F5">
        <w:rPr>
          <w:lang w:val="en-US"/>
        </w:rPr>
        <w:tab/>
        <w:t xml:space="preserve">Gagnon MP, Tantchou Dipankui M, Poder TG, Payne-Gagnon J, Mbemba G, Beretta V. Patient and public involvement in health technology assessment: update of a systematic review of international experiences. </w:t>
      </w:r>
      <w:r w:rsidRPr="005D1F76">
        <w:rPr>
          <w:i/>
          <w:iCs/>
          <w:lang w:val="en-US"/>
        </w:rPr>
        <w:t xml:space="preserve">Int J Technol Assess Health Care. </w:t>
      </w:r>
      <w:r w:rsidRPr="00C304F5">
        <w:rPr>
          <w:lang w:val="en-US"/>
        </w:rPr>
        <w:t xml:space="preserve">2021 Feb 5;37:e36. </w:t>
      </w:r>
    </w:p>
    <w:p w14:paraId="7B0EE646" w14:textId="77777777" w:rsidR="00C304F5" w:rsidRPr="00C304F5" w:rsidRDefault="00C304F5" w:rsidP="00C304F5">
      <w:pPr>
        <w:pStyle w:val="Bibliography"/>
        <w:rPr>
          <w:lang w:val="en-US"/>
        </w:rPr>
      </w:pPr>
      <w:r w:rsidRPr="00C304F5">
        <w:rPr>
          <w:lang w:val="en-US"/>
        </w:rPr>
        <w:t>14.</w:t>
      </w:r>
      <w:r w:rsidRPr="00C304F5">
        <w:rPr>
          <w:lang w:val="en-US"/>
        </w:rPr>
        <w:tab/>
        <w:t xml:space="preserve">Mercer RE, Chambers A, Mai H, McDonald V, McMahon C, Chan KKW. Are We Making a Difference? A Qualitative Study of Patient Engagement at the pan-Canadian Oncology Drug Review: Perspectives of Patient Groups. </w:t>
      </w:r>
      <w:r w:rsidRPr="005D1F76">
        <w:rPr>
          <w:i/>
          <w:iCs/>
          <w:lang w:val="en-US"/>
        </w:rPr>
        <w:t>Value Health J Int Soc Pharmacoeconomics Outcomes Res</w:t>
      </w:r>
      <w:r w:rsidRPr="00C304F5">
        <w:rPr>
          <w:lang w:val="en-US"/>
        </w:rPr>
        <w:t xml:space="preserve">. 2020;23(9):1157–62. </w:t>
      </w:r>
    </w:p>
    <w:p w14:paraId="05A50C9C" w14:textId="77777777" w:rsidR="00C304F5" w:rsidRPr="00C304F5" w:rsidRDefault="00C304F5" w:rsidP="00C304F5">
      <w:pPr>
        <w:pStyle w:val="Bibliography"/>
        <w:rPr>
          <w:lang w:val="en-US"/>
        </w:rPr>
      </w:pPr>
      <w:r w:rsidRPr="00C304F5">
        <w:rPr>
          <w:lang w:val="en-US"/>
        </w:rPr>
        <w:t>15.</w:t>
      </w:r>
      <w:r w:rsidRPr="00C304F5">
        <w:rPr>
          <w:lang w:val="en-US"/>
        </w:rPr>
        <w:tab/>
        <w:t xml:space="preserve">Concannon TW, Grant S, Welch V, Petkovic J, Selby J, Crowe S, et al. Practical Guidance for Involving Stakeholders in Health Research. </w:t>
      </w:r>
      <w:r w:rsidRPr="005D1F76">
        <w:rPr>
          <w:i/>
          <w:iCs/>
          <w:lang w:val="en-US"/>
        </w:rPr>
        <w:t>J Gen Intern Med</w:t>
      </w:r>
      <w:r w:rsidRPr="00C304F5">
        <w:rPr>
          <w:lang w:val="en-US"/>
        </w:rPr>
        <w:t xml:space="preserve"> [Internet]. 2019 Mar 1;34(3):458–63. Available from: https://doi.org/10.1007/s11606-018-4738-6</w:t>
      </w:r>
    </w:p>
    <w:p w14:paraId="27E175D8" w14:textId="77777777" w:rsidR="00C304F5" w:rsidRPr="00C304F5" w:rsidRDefault="00C304F5" w:rsidP="00C304F5">
      <w:pPr>
        <w:pStyle w:val="Bibliography"/>
        <w:rPr>
          <w:lang w:val="en-US"/>
        </w:rPr>
      </w:pPr>
      <w:r w:rsidRPr="00C304F5">
        <w:rPr>
          <w:lang w:val="en-US"/>
        </w:rPr>
        <w:lastRenderedPageBreak/>
        <w:t>16.</w:t>
      </w:r>
      <w:r w:rsidRPr="00C304F5">
        <w:rPr>
          <w:lang w:val="en-US"/>
        </w:rPr>
        <w:tab/>
        <w:t xml:space="preserve">Adkins EM, Nicholson L, Floyd D, Ratcliffe M, Chevrou-Severac H. Oncology drugs for orphan indications: how are HTA processes evolving for this specific drug category?. </w:t>
      </w:r>
      <w:r w:rsidRPr="005D1F76">
        <w:rPr>
          <w:i/>
          <w:iCs/>
          <w:lang w:val="en-US"/>
        </w:rPr>
        <w:t>Clin Outcomes Res CEOR</w:t>
      </w:r>
      <w:r w:rsidRPr="00C304F5">
        <w:rPr>
          <w:lang w:val="en-US"/>
        </w:rPr>
        <w:t xml:space="preserve"> [Internet]. 2017;9:327–42. Available from: http://ovidsp.ovid.com/ovidweb.cgi?T=JS&amp;PAGE=reference&amp;D=prem&amp;NEWS=N&amp;AN=28652787</w:t>
      </w:r>
    </w:p>
    <w:p w14:paraId="0F72A9A7" w14:textId="77777777" w:rsidR="00C304F5" w:rsidRPr="00C304F5" w:rsidRDefault="00C304F5" w:rsidP="00C304F5">
      <w:pPr>
        <w:pStyle w:val="Bibliography"/>
        <w:rPr>
          <w:lang w:val="en-US"/>
        </w:rPr>
      </w:pPr>
      <w:r w:rsidRPr="00C304F5">
        <w:rPr>
          <w:lang w:val="en-US"/>
        </w:rPr>
        <w:t>17.</w:t>
      </w:r>
      <w:r w:rsidRPr="00C304F5">
        <w:rPr>
          <w:lang w:val="en-US"/>
        </w:rPr>
        <w:tab/>
        <w:t xml:space="preserve">Facey KM. As health technology assessment evolves so must its approach to patient involvement. </w:t>
      </w:r>
      <w:r w:rsidRPr="005D1F76">
        <w:rPr>
          <w:i/>
          <w:iCs/>
          <w:lang w:val="en-US"/>
        </w:rPr>
        <w:t xml:space="preserve">J Comp Eff Res. </w:t>
      </w:r>
      <w:r w:rsidRPr="00C304F5">
        <w:rPr>
          <w:lang w:val="en-US"/>
        </w:rPr>
        <w:t xml:space="preserve">2019;8(8):549–54. </w:t>
      </w:r>
    </w:p>
    <w:p w14:paraId="3CE31867" w14:textId="77777777" w:rsidR="00C304F5" w:rsidRPr="00C304F5" w:rsidRDefault="00C304F5" w:rsidP="00C304F5">
      <w:pPr>
        <w:pStyle w:val="Bibliography"/>
        <w:rPr>
          <w:lang w:val="en-US"/>
        </w:rPr>
      </w:pPr>
      <w:r w:rsidRPr="00C304F5">
        <w:rPr>
          <w:lang w:val="en-US"/>
        </w:rPr>
        <w:t>18.</w:t>
      </w:r>
      <w:r w:rsidRPr="00C304F5">
        <w:rPr>
          <w:lang w:val="en-US"/>
        </w:rPr>
        <w:tab/>
        <w:t>Haerry D, Landgraf C, Warner K, Hunter A, Klingmann I, May M, et al. EUPATI and Patients in Medicines Research and Development: Guidance for Patient Involvement in Regulatory Processes. Front Med [Internet]. 2018;5:230–230. Available from: http://ovidsp.ovid.com/ovidweb.cgi?T=JS&amp;PAGE=reference&amp;D=prem2&amp;NEWS=N&amp;AN=30175100</w:t>
      </w:r>
    </w:p>
    <w:p w14:paraId="31DCC8A1" w14:textId="030017C5" w:rsidR="00830345" w:rsidRPr="004E3E8D" w:rsidRDefault="005906CA">
      <w:r>
        <w:fldChar w:fldCharType="end"/>
      </w:r>
    </w:p>
    <w:sectPr w:rsidR="00830345" w:rsidRPr="004E3E8D">
      <w:footerReference w:type="even" r:id="rId13"/>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CA246" w14:textId="77777777" w:rsidR="00AD2D44" w:rsidRDefault="00AD2D44" w:rsidP="004E3E8D">
      <w:r>
        <w:separator/>
      </w:r>
    </w:p>
  </w:endnote>
  <w:endnote w:type="continuationSeparator" w:id="0">
    <w:p w14:paraId="06CCED5B" w14:textId="77777777" w:rsidR="00AD2D44" w:rsidRDefault="00AD2D44" w:rsidP="004E3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08057167"/>
      <w:docPartObj>
        <w:docPartGallery w:val="Page Numbers (Bottom of Page)"/>
        <w:docPartUnique/>
      </w:docPartObj>
    </w:sdtPr>
    <w:sdtContent>
      <w:p w14:paraId="30F7F2C6" w14:textId="5364BBC5" w:rsidR="004E3E8D" w:rsidRDefault="004E3E8D" w:rsidP="009C5A5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2B04FF3" w14:textId="77777777" w:rsidR="004E3E8D" w:rsidRDefault="004E3E8D" w:rsidP="004E3E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13300532"/>
      <w:docPartObj>
        <w:docPartGallery w:val="Page Numbers (Bottom of Page)"/>
        <w:docPartUnique/>
      </w:docPartObj>
    </w:sdtPr>
    <w:sdtContent>
      <w:p w14:paraId="7903CF19" w14:textId="6ACCD5C8" w:rsidR="004E3E8D" w:rsidRDefault="004E3E8D" w:rsidP="009C5A5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6B35656" w14:textId="77777777" w:rsidR="004E3E8D" w:rsidRDefault="004E3E8D" w:rsidP="004E3E8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66BC9" w14:textId="77777777" w:rsidR="00AD2D44" w:rsidRDefault="00AD2D44" w:rsidP="004E3E8D">
      <w:r>
        <w:separator/>
      </w:r>
    </w:p>
  </w:footnote>
  <w:footnote w:type="continuationSeparator" w:id="0">
    <w:p w14:paraId="30472F33" w14:textId="77777777" w:rsidR="00AD2D44" w:rsidRDefault="00AD2D44" w:rsidP="004E3E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7318"/>
    <w:multiLevelType w:val="multilevel"/>
    <w:tmpl w:val="74E85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706C74"/>
    <w:multiLevelType w:val="multilevel"/>
    <w:tmpl w:val="FF8E8F48"/>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15F332E4"/>
    <w:multiLevelType w:val="multilevel"/>
    <w:tmpl w:val="E7BA5B6C"/>
    <w:lvl w:ilvl="0">
      <w:start w:val="1"/>
      <w:numFmt w:val="decimal"/>
      <w:lvlText w:val="%1"/>
      <w:lvlJc w:val="left"/>
      <w:pPr>
        <w:ind w:left="432" w:hanging="432"/>
      </w:pPr>
      <w:rPr>
        <w:rFonts w:hint="default"/>
      </w:rPr>
    </w:lvl>
    <w:lvl w:ilvl="1">
      <w:start w:val="1"/>
      <w:numFmt w:val="decimal"/>
      <w:pStyle w:val="Chapterlevel2"/>
      <w:suff w:val="space"/>
      <w:lvlText w:val="%1.%2."/>
      <w:lvlJc w:val="left"/>
      <w:pPr>
        <w:ind w:left="227" w:firstLine="3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FB92C5F"/>
    <w:multiLevelType w:val="multilevel"/>
    <w:tmpl w:val="E9DAEE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7E7AFA"/>
    <w:multiLevelType w:val="multilevel"/>
    <w:tmpl w:val="1A664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DE21A9"/>
    <w:multiLevelType w:val="multilevel"/>
    <w:tmpl w:val="23643674"/>
    <w:lvl w:ilvl="0">
      <w:start w:val="1"/>
      <w:numFmt w:val="decimal"/>
      <w:lvlText w:val="%1."/>
      <w:lvlJc w:val="left"/>
      <w:pPr>
        <w:tabs>
          <w:tab w:val="num" w:pos="720"/>
        </w:tabs>
        <w:ind w:left="720" w:hanging="720"/>
      </w:pPr>
    </w:lvl>
    <w:lvl w:ilvl="1">
      <w:start w:val="1"/>
      <w:numFmt w:val="decimal"/>
      <w:pStyle w:val="Subtitle"/>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B417E05"/>
    <w:multiLevelType w:val="multilevel"/>
    <w:tmpl w:val="C7442A0C"/>
    <w:lvl w:ilvl="0">
      <w:start w:val="1"/>
      <w:numFmt w:val="decimal"/>
      <w:lvlText w:val="%1."/>
      <w:lvlJc w:val="left"/>
      <w:pPr>
        <w:ind w:left="108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46100BDF"/>
    <w:multiLevelType w:val="hybridMultilevel"/>
    <w:tmpl w:val="31E6CF2E"/>
    <w:lvl w:ilvl="0" w:tplc="6B5AB6DC">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B66F67"/>
    <w:multiLevelType w:val="hybridMultilevel"/>
    <w:tmpl w:val="551A280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B344C44"/>
    <w:multiLevelType w:val="multilevel"/>
    <w:tmpl w:val="8ED042F8"/>
    <w:styleLink w:val="Chapter"/>
    <w:lvl w:ilvl="0">
      <w:start w:val="1"/>
      <w:numFmt w:val="decimal"/>
      <w:suff w:val="space"/>
      <w:lvlText w:val="Chapter %1"/>
      <w:lvlJc w:val="left"/>
      <w:pPr>
        <w:ind w:left="0" w:firstLine="0"/>
      </w:pPr>
      <w:rPr>
        <w:rFonts w:ascii="Times New Roman" w:hAnsi="Times New Roman" w:hint="default"/>
        <w:b w:val="0"/>
        <w:i w:val="0"/>
        <w:color w:val="auto"/>
        <w:sz w:val="24"/>
        <w:szCs w:val="32"/>
      </w:rPr>
    </w:lvl>
    <w:lvl w:ilvl="1">
      <w:start w:val="1"/>
      <w:numFmt w:val="none"/>
      <w:suff w:val="nothing"/>
      <w:lvlText w:val=""/>
      <w:lvlJc w:val="left"/>
      <w:pPr>
        <w:ind w:left="0" w:firstLine="0"/>
      </w:pPr>
      <w:rPr>
        <w:rFonts w:hint="default"/>
        <w:color w:val="000000" w:themeColor="text1"/>
        <w:sz w:val="26"/>
        <w:szCs w:val="26"/>
      </w:rPr>
    </w:lvl>
    <w:lvl w:ilvl="2">
      <w:start w:val="1"/>
      <w:numFmt w:val="none"/>
      <w:suff w:val="nothing"/>
      <w:lvlText w:val=""/>
      <w:lvlJc w:val="left"/>
      <w:pPr>
        <w:ind w:left="0" w:firstLine="0"/>
      </w:pPr>
      <w:rPr>
        <w:rFonts w:hint="default"/>
        <w:color w:val="000000" w:themeColor="text1"/>
        <w:sz w:val="24"/>
        <w:szCs w:val="24"/>
      </w:rPr>
    </w:lvl>
    <w:lvl w:ilvl="3">
      <w:start w:val="1"/>
      <w:numFmt w:val="none"/>
      <w:suff w:val="nothing"/>
      <w:lvlText w:val=""/>
      <w:lvlJc w:val="left"/>
      <w:pPr>
        <w:ind w:left="0" w:firstLine="0"/>
      </w:pPr>
      <w:rPr>
        <w:rFonts w:hint="default"/>
        <w:sz w:val="24"/>
        <w:szCs w:val="24"/>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4F3E489C"/>
    <w:multiLevelType w:val="multilevel"/>
    <w:tmpl w:val="05084780"/>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5F0D3FCD"/>
    <w:multiLevelType w:val="multilevel"/>
    <w:tmpl w:val="515CA952"/>
    <w:lvl w:ilvl="0">
      <w:start w:val="1"/>
      <w:numFmt w:val="bullet"/>
      <w:lvlText w:val="o"/>
      <w:lvlJc w:val="left"/>
      <w:pPr>
        <w:ind w:left="1800" w:hanging="360"/>
      </w:pPr>
      <w:rPr>
        <w:rFonts w:ascii="Courier New" w:hAnsi="Courier New" w:hint="default"/>
      </w:rPr>
    </w:lvl>
    <w:lvl w:ilvl="1">
      <w:start w:val="1"/>
      <w:numFmt w:val="bullet"/>
      <w:lvlText w:val="o"/>
      <w:lvlJc w:val="left"/>
      <w:pPr>
        <w:tabs>
          <w:tab w:val="num" w:pos="2520"/>
        </w:tabs>
        <w:ind w:left="2520" w:hanging="360"/>
      </w:pPr>
      <w:rPr>
        <w:rFonts w:ascii="Courier New" w:hAnsi="Courier New" w:hint="default"/>
        <w:sz w:val="20"/>
      </w:r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12" w15:restartNumberingAfterBreak="0">
    <w:nsid w:val="65DC62D3"/>
    <w:multiLevelType w:val="multilevel"/>
    <w:tmpl w:val="021C4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8B70792"/>
    <w:multiLevelType w:val="multilevel"/>
    <w:tmpl w:val="1C985B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71539952">
    <w:abstractNumId w:val="6"/>
  </w:num>
  <w:num w:numId="2" w16cid:durableId="1700206829">
    <w:abstractNumId w:val="9"/>
  </w:num>
  <w:num w:numId="3" w16cid:durableId="895167972">
    <w:abstractNumId w:val="5"/>
  </w:num>
  <w:num w:numId="4" w16cid:durableId="1011759564">
    <w:abstractNumId w:val="2"/>
  </w:num>
  <w:num w:numId="5" w16cid:durableId="489059889">
    <w:abstractNumId w:val="10"/>
  </w:num>
  <w:num w:numId="6" w16cid:durableId="1701126935">
    <w:abstractNumId w:val="2"/>
  </w:num>
  <w:num w:numId="7" w16cid:durableId="419986843">
    <w:abstractNumId w:val="2"/>
  </w:num>
  <w:num w:numId="8" w16cid:durableId="1427532695">
    <w:abstractNumId w:val="2"/>
  </w:num>
  <w:num w:numId="9" w16cid:durableId="948315411">
    <w:abstractNumId w:val="2"/>
  </w:num>
  <w:num w:numId="10" w16cid:durableId="2010908290">
    <w:abstractNumId w:val="2"/>
  </w:num>
  <w:num w:numId="11" w16cid:durableId="716471788">
    <w:abstractNumId w:val="10"/>
  </w:num>
  <w:num w:numId="12" w16cid:durableId="594440341">
    <w:abstractNumId w:val="13"/>
  </w:num>
  <w:num w:numId="13" w16cid:durableId="1614365574">
    <w:abstractNumId w:val="4"/>
  </w:num>
  <w:num w:numId="14" w16cid:durableId="822820596">
    <w:abstractNumId w:val="3"/>
  </w:num>
  <w:num w:numId="15" w16cid:durableId="76095856">
    <w:abstractNumId w:val="12"/>
  </w:num>
  <w:num w:numId="16" w16cid:durableId="39257141">
    <w:abstractNumId w:val="0"/>
  </w:num>
  <w:num w:numId="17" w16cid:durableId="1625304080">
    <w:abstractNumId w:val="11"/>
  </w:num>
  <w:num w:numId="18" w16cid:durableId="264582959">
    <w:abstractNumId w:val="1"/>
  </w:num>
  <w:num w:numId="19" w16cid:durableId="1384526325">
    <w:abstractNumId w:val="7"/>
  </w:num>
  <w:num w:numId="20" w16cid:durableId="637218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920"/>
    <w:rsid w:val="00076B17"/>
    <w:rsid w:val="001123A1"/>
    <w:rsid w:val="0030066D"/>
    <w:rsid w:val="00320267"/>
    <w:rsid w:val="003B53D8"/>
    <w:rsid w:val="003E2E75"/>
    <w:rsid w:val="003E48B8"/>
    <w:rsid w:val="004038CD"/>
    <w:rsid w:val="0041560A"/>
    <w:rsid w:val="004715D6"/>
    <w:rsid w:val="004E3E8D"/>
    <w:rsid w:val="004E4995"/>
    <w:rsid w:val="00525468"/>
    <w:rsid w:val="005906CA"/>
    <w:rsid w:val="005A07F8"/>
    <w:rsid w:val="005A6920"/>
    <w:rsid w:val="005D1F76"/>
    <w:rsid w:val="00633932"/>
    <w:rsid w:val="006E771D"/>
    <w:rsid w:val="0076388C"/>
    <w:rsid w:val="007C702D"/>
    <w:rsid w:val="00830345"/>
    <w:rsid w:val="008A37A3"/>
    <w:rsid w:val="00913FF1"/>
    <w:rsid w:val="009333D1"/>
    <w:rsid w:val="00A52116"/>
    <w:rsid w:val="00A7036B"/>
    <w:rsid w:val="00AD2D44"/>
    <w:rsid w:val="00B15AC2"/>
    <w:rsid w:val="00B55054"/>
    <w:rsid w:val="00B72D0F"/>
    <w:rsid w:val="00C304F5"/>
    <w:rsid w:val="00CC72D6"/>
    <w:rsid w:val="00DA33EE"/>
    <w:rsid w:val="00DB74E6"/>
    <w:rsid w:val="00DC569C"/>
    <w:rsid w:val="00DE0E2F"/>
    <w:rsid w:val="00ED04C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3490976D"/>
  <w15:chartTrackingRefBased/>
  <w15:docId w15:val="{9A832420-2D5E-B549-820A-8D40A8C02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920"/>
    <w:rPr>
      <w:rFonts w:ascii="Times New Roman" w:eastAsia="Times New Roman" w:hAnsi="Times New Roman" w:cs="Times New Roman"/>
      <w:kern w:val="0"/>
      <w14:ligatures w14:val="none"/>
    </w:rPr>
  </w:style>
  <w:style w:type="paragraph" w:styleId="Heading1">
    <w:name w:val="heading 1"/>
    <w:basedOn w:val="Normal"/>
    <w:next w:val="Normal"/>
    <w:link w:val="Heading1Char"/>
    <w:rsid w:val="00B72D0F"/>
    <w:pPr>
      <w:keepNext/>
      <w:keepLines/>
      <w:numPr>
        <w:numId w:val="11"/>
      </w:numPr>
      <w:spacing w:before="400" w:after="120" w:line="276" w:lineRule="auto"/>
      <w:outlineLvl w:val="0"/>
    </w:pPr>
    <w:rPr>
      <w:rFonts w:eastAsia="Arial" w:cs="Arial"/>
      <w:szCs w:val="40"/>
      <w:lang w:val="en" w:eastAsia="en-CA"/>
    </w:rPr>
  </w:style>
  <w:style w:type="paragraph" w:styleId="Heading2">
    <w:name w:val="heading 2"/>
    <w:aliases w:val="1.1. Heading 2"/>
    <w:basedOn w:val="Normal"/>
    <w:next w:val="Normal"/>
    <w:link w:val="Heading2Char"/>
    <w:autoRedefine/>
    <w:uiPriority w:val="9"/>
    <w:unhideWhenUsed/>
    <w:qFormat/>
    <w:rsid w:val="0030066D"/>
    <w:pPr>
      <w:keepNext/>
      <w:keepLines/>
      <w:numPr>
        <w:ilvl w:val="1"/>
        <w:numId w:val="11"/>
      </w:numPr>
      <w:spacing w:before="40"/>
      <w:outlineLvl w:val="1"/>
    </w:pPr>
    <w:rPr>
      <w:rFonts w:eastAsiaTheme="majorEastAsia" w:cstheme="majorBidi"/>
      <w:color w:val="000000" w:themeColor="text1"/>
      <w:szCs w:val="26"/>
    </w:rPr>
  </w:style>
  <w:style w:type="paragraph" w:styleId="Heading3">
    <w:name w:val="heading 3"/>
    <w:aliases w:val="1.6.1. Heading 3"/>
    <w:basedOn w:val="Chapterlevel2"/>
    <w:next w:val="Normal"/>
    <w:link w:val="Heading3Char"/>
    <w:uiPriority w:val="9"/>
    <w:unhideWhenUsed/>
    <w:qFormat/>
    <w:rsid w:val="00B72D0F"/>
    <w:pPr>
      <w:numPr>
        <w:ilvl w:val="2"/>
        <w:numId w:val="12"/>
      </w:numPr>
      <w:spacing w:before="280" w:after="240"/>
      <w:ind w:left="0" w:firstLine="0"/>
      <w:outlineLvl w:val="2"/>
    </w:pPr>
    <w:rPr>
      <w:i/>
      <w:kern w:val="2"/>
      <w14:ligatures w14:val="standardContextual"/>
    </w:rPr>
  </w:style>
  <w:style w:type="paragraph" w:styleId="Heading4">
    <w:name w:val="heading 4"/>
    <w:basedOn w:val="Normal"/>
    <w:next w:val="Normal"/>
    <w:link w:val="Heading4Char"/>
    <w:uiPriority w:val="9"/>
    <w:semiHidden/>
    <w:unhideWhenUsed/>
    <w:qFormat/>
    <w:rsid w:val="005A692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A692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A692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692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692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692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3-Accent3">
    <w:name w:val="List Table 3 Accent 3"/>
    <w:basedOn w:val="TableNormal"/>
    <w:uiPriority w:val="48"/>
    <w:rsid w:val="00DE0E2F"/>
    <w:tblPr>
      <w:tblStyleRowBandSize w:val="1"/>
      <w:tblStyleColBandSize w:val="1"/>
      <w:tblBorders>
        <w:top w:val="single" w:sz="4" w:space="0" w:color="196B24" w:themeColor="accent3"/>
        <w:left w:val="single" w:sz="4" w:space="0" w:color="196B24" w:themeColor="accent3"/>
        <w:bottom w:val="single" w:sz="4" w:space="0" w:color="196B24" w:themeColor="accent3"/>
        <w:right w:val="single" w:sz="4" w:space="0" w:color="196B24" w:themeColor="accent3"/>
      </w:tblBorders>
    </w:tblPr>
    <w:tblStylePr w:type="firstRow">
      <w:rPr>
        <w:b/>
        <w:bCs/>
        <w:color w:val="FFFFFF" w:themeColor="background1"/>
      </w:rPr>
      <w:tblPr/>
      <w:tcPr>
        <w:shd w:val="clear" w:color="auto" w:fill="196B24" w:themeFill="accent3"/>
      </w:tcPr>
    </w:tblStylePr>
    <w:tblStylePr w:type="lastRow">
      <w:rPr>
        <w:b/>
        <w:bCs/>
      </w:rPr>
      <w:tblPr/>
      <w:tcPr>
        <w:tcBorders>
          <w:top w:val="double" w:sz="4" w:space="0" w:color="196B2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96B24" w:themeColor="accent3"/>
          <w:right w:val="single" w:sz="4" w:space="0" w:color="196B24" w:themeColor="accent3"/>
        </w:tcBorders>
      </w:tcPr>
    </w:tblStylePr>
    <w:tblStylePr w:type="band1Horz">
      <w:tblPr/>
      <w:tcPr>
        <w:tcBorders>
          <w:top w:val="single" w:sz="4" w:space="0" w:color="196B24" w:themeColor="accent3"/>
          <w:bottom w:val="single" w:sz="4" w:space="0" w:color="196B2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96B24" w:themeColor="accent3"/>
          <w:left w:val="nil"/>
        </w:tcBorders>
      </w:tcPr>
    </w:tblStylePr>
    <w:tblStylePr w:type="swCell">
      <w:tblPr/>
      <w:tcPr>
        <w:tcBorders>
          <w:top w:val="double" w:sz="4" w:space="0" w:color="196B24" w:themeColor="accent3"/>
          <w:right w:val="nil"/>
        </w:tcBorders>
      </w:tcPr>
    </w:tblStylePr>
  </w:style>
  <w:style w:type="character" w:customStyle="1" w:styleId="Heading1Char">
    <w:name w:val="Heading 1 Char"/>
    <w:link w:val="Heading1"/>
    <w:rsid w:val="00CC72D6"/>
    <w:rPr>
      <w:rFonts w:ascii="Times New Roman" w:eastAsia="Arial" w:hAnsi="Times New Roman" w:cs="Arial"/>
      <w:szCs w:val="40"/>
      <w:lang w:val="en" w:eastAsia="en-CA"/>
    </w:rPr>
  </w:style>
  <w:style w:type="paragraph" w:customStyle="1" w:styleId="Style3">
    <w:name w:val="Style3"/>
    <w:basedOn w:val="Normal"/>
    <w:autoRedefine/>
    <w:qFormat/>
    <w:rsid w:val="00CC72D6"/>
  </w:style>
  <w:style w:type="paragraph" w:styleId="Subtitle">
    <w:name w:val="Subtitle"/>
    <w:basedOn w:val="Normal"/>
    <w:next w:val="Normal"/>
    <w:link w:val="SubtitleChar"/>
    <w:autoRedefine/>
    <w:qFormat/>
    <w:rsid w:val="005A07F8"/>
    <w:pPr>
      <w:numPr>
        <w:ilvl w:val="1"/>
        <w:numId w:val="3"/>
      </w:numPr>
      <w:spacing w:after="160" w:line="259" w:lineRule="auto"/>
      <w:ind w:left="1146"/>
    </w:pPr>
    <w:rPr>
      <w:rFonts w:eastAsiaTheme="minorEastAsia"/>
      <w:spacing w:val="15"/>
      <w:szCs w:val="22"/>
    </w:rPr>
  </w:style>
  <w:style w:type="character" w:customStyle="1" w:styleId="SubtitleChar">
    <w:name w:val="Subtitle Char"/>
    <w:basedOn w:val="DefaultParagraphFont"/>
    <w:link w:val="Subtitle"/>
    <w:rsid w:val="005A07F8"/>
    <w:rPr>
      <w:rFonts w:ascii="Times New Roman" w:eastAsiaTheme="minorEastAsia" w:hAnsi="Times New Roman"/>
      <w:spacing w:val="15"/>
      <w:szCs w:val="22"/>
    </w:rPr>
  </w:style>
  <w:style w:type="numbering" w:customStyle="1" w:styleId="Chapter">
    <w:name w:val="Chapter"/>
    <w:uiPriority w:val="99"/>
    <w:rsid w:val="005A07F8"/>
    <w:pPr>
      <w:numPr>
        <w:numId w:val="2"/>
      </w:numPr>
    </w:pPr>
  </w:style>
  <w:style w:type="character" w:customStyle="1" w:styleId="ChapterChar">
    <w:name w:val="Chapter Char"/>
    <w:basedOn w:val="Heading1Char"/>
    <w:rsid w:val="0030066D"/>
    <w:rPr>
      <w:rFonts w:ascii="Times New Roman" w:eastAsiaTheme="majorEastAsia" w:hAnsi="Times New Roman" w:cstheme="majorBidi"/>
      <w:b/>
      <w:color w:val="000000" w:themeColor="text1"/>
      <w:sz w:val="32"/>
      <w:szCs w:val="32"/>
      <w:lang w:val="en" w:eastAsia="en-CA"/>
    </w:rPr>
  </w:style>
  <w:style w:type="paragraph" w:customStyle="1" w:styleId="Chapterlevel2">
    <w:name w:val="Chapter level 2"/>
    <w:basedOn w:val="Heading2"/>
    <w:next w:val="Heading2"/>
    <w:autoRedefine/>
    <w:qFormat/>
    <w:rsid w:val="00B72D0F"/>
    <w:pPr>
      <w:numPr>
        <w:numId w:val="10"/>
      </w:numPr>
      <w:tabs>
        <w:tab w:val="decimal" w:pos="1701"/>
      </w:tabs>
      <w:spacing w:before="120" w:after="120"/>
    </w:pPr>
  </w:style>
  <w:style w:type="character" w:customStyle="1" w:styleId="Heading2Char">
    <w:name w:val="Heading 2 Char"/>
    <w:aliases w:val="1.1. Heading 2 Char"/>
    <w:basedOn w:val="DefaultParagraphFont"/>
    <w:link w:val="Heading2"/>
    <w:uiPriority w:val="9"/>
    <w:rsid w:val="0030066D"/>
    <w:rPr>
      <w:rFonts w:ascii="Times New Roman" w:eastAsiaTheme="majorEastAsia" w:hAnsi="Times New Roman" w:cstheme="majorBidi"/>
      <w:color w:val="000000" w:themeColor="text1"/>
      <w:szCs w:val="26"/>
    </w:rPr>
  </w:style>
  <w:style w:type="character" w:customStyle="1" w:styleId="Heading3Char">
    <w:name w:val="Heading 3 Char"/>
    <w:aliases w:val="1.6.1. Heading 3 Char"/>
    <w:basedOn w:val="DefaultParagraphFont"/>
    <w:link w:val="Heading3"/>
    <w:uiPriority w:val="9"/>
    <w:rsid w:val="00B72D0F"/>
    <w:rPr>
      <w:rFonts w:ascii="Times New Roman" w:eastAsiaTheme="majorEastAsia" w:hAnsi="Times New Roman" w:cstheme="majorBidi"/>
      <w:i/>
      <w:color w:val="000000" w:themeColor="text1"/>
      <w:szCs w:val="26"/>
    </w:rPr>
  </w:style>
  <w:style w:type="character" w:customStyle="1" w:styleId="Heading4Char">
    <w:name w:val="Heading 4 Char"/>
    <w:basedOn w:val="DefaultParagraphFont"/>
    <w:link w:val="Heading4"/>
    <w:uiPriority w:val="9"/>
    <w:semiHidden/>
    <w:rsid w:val="005A692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A692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A69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69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69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6920"/>
    <w:rPr>
      <w:rFonts w:eastAsiaTheme="majorEastAsia" w:cstheme="majorBidi"/>
      <w:color w:val="272727" w:themeColor="text1" w:themeTint="D8"/>
    </w:rPr>
  </w:style>
  <w:style w:type="paragraph" w:styleId="Title">
    <w:name w:val="Title"/>
    <w:basedOn w:val="Normal"/>
    <w:next w:val="Normal"/>
    <w:link w:val="TitleChar"/>
    <w:uiPriority w:val="10"/>
    <w:qFormat/>
    <w:rsid w:val="005A692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6920"/>
    <w:rPr>
      <w:rFonts w:asciiTheme="majorHAnsi" w:eastAsiaTheme="majorEastAsia" w:hAnsiTheme="majorHAnsi" w:cstheme="majorBidi"/>
      <w:spacing w:val="-10"/>
      <w:kern w:val="28"/>
      <w:sz w:val="56"/>
      <w:szCs w:val="56"/>
    </w:rPr>
  </w:style>
  <w:style w:type="paragraph" w:styleId="Quote">
    <w:name w:val="Quote"/>
    <w:basedOn w:val="Normal"/>
    <w:next w:val="Normal"/>
    <w:link w:val="QuoteChar"/>
    <w:uiPriority w:val="29"/>
    <w:qFormat/>
    <w:rsid w:val="005A692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A6920"/>
    <w:rPr>
      <w:i/>
      <w:iCs/>
      <w:color w:val="404040" w:themeColor="text1" w:themeTint="BF"/>
    </w:rPr>
  </w:style>
  <w:style w:type="paragraph" w:styleId="ListParagraph">
    <w:name w:val="List Paragraph"/>
    <w:basedOn w:val="Normal"/>
    <w:uiPriority w:val="34"/>
    <w:qFormat/>
    <w:rsid w:val="005A6920"/>
    <w:pPr>
      <w:ind w:left="720"/>
      <w:contextualSpacing/>
    </w:pPr>
  </w:style>
  <w:style w:type="character" w:styleId="IntenseEmphasis">
    <w:name w:val="Intense Emphasis"/>
    <w:basedOn w:val="DefaultParagraphFont"/>
    <w:uiPriority w:val="21"/>
    <w:qFormat/>
    <w:rsid w:val="005A6920"/>
    <w:rPr>
      <w:i/>
      <w:iCs/>
      <w:color w:val="0F4761" w:themeColor="accent1" w:themeShade="BF"/>
    </w:rPr>
  </w:style>
  <w:style w:type="paragraph" w:styleId="IntenseQuote">
    <w:name w:val="Intense Quote"/>
    <w:basedOn w:val="Normal"/>
    <w:next w:val="Normal"/>
    <w:link w:val="IntenseQuoteChar"/>
    <w:uiPriority w:val="30"/>
    <w:qFormat/>
    <w:rsid w:val="005A69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A6920"/>
    <w:rPr>
      <w:i/>
      <w:iCs/>
      <w:color w:val="0F4761" w:themeColor="accent1" w:themeShade="BF"/>
    </w:rPr>
  </w:style>
  <w:style w:type="character" w:styleId="IntenseReference">
    <w:name w:val="Intense Reference"/>
    <w:basedOn w:val="DefaultParagraphFont"/>
    <w:uiPriority w:val="32"/>
    <w:qFormat/>
    <w:rsid w:val="005A6920"/>
    <w:rPr>
      <w:b/>
      <w:bCs/>
      <w:smallCaps/>
      <w:color w:val="0F4761" w:themeColor="accent1" w:themeShade="BF"/>
      <w:spacing w:val="5"/>
    </w:rPr>
  </w:style>
  <w:style w:type="paragraph" w:styleId="NormalWeb">
    <w:name w:val="Normal (Web)"/>
    <w:basedOn w:val="Normal"/>
    <w:uiPriority w:val="99"/>
    <w:unhideWhenUsed/>
    <w:rsid w:val="005A6920"/>
    <w:pPr>
      <w:spacing w:before="100" w:beforeAutospacing="1" w:after="100" w:afterAutospacing="1"/>
    </w:pPr>
  </w:style>
  <w:style w:type="character" w:styleId="Strong">
    <w:name w:val="Strong"/>
    <w:basedOn w:val="DefaultParagraphFont"/>
    <w:uiPriority w:val="22"/>
    <w:qFormat/>
    <w:rsid w:val="005A6920"/>
    <w:rPr>
      <w:b/>
      <w:bCs/>
    </w:rPr>
  </w:style>
  <w:style w:type="paragraph" w:styleId="Footer">
    <w:name w:val="footer"/>
    <w:basedOn w:val="Normal"/>
    <w:link w:val="FooterChar"/>
    <w:uiPriority w:val="99"/>
    <w:unhideWhenUsed/>
    <w:rsid w:val="004E3E8D"/>
    <w:pPr>
      <w:tabs>
        <w:tab w:val="center" w:pos="4680"/>
        <w:tab w:val="right" w:pos="9360"/>
      </w:tabs>
    </w:pPr>
  </w:style>
  <w:style w:type="character" w:customStyle="1" w:styleId="FooterChar">
    <w:name w:val="Footer Char"/>
    <w:basedOn w:val="DefaultParagraphFont"/>
    <w:link w:val="Footer"/>
    <w:uiPriority w:val="99"/>
    <w:rsid w:val="004E3E8D"/>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4E3E8D"/>
  </w:style>
  <w:style w:type="paragraph" w:styleId="Bibliography">
    <w:name w:val="Bibliography"/>
    <w:basedOn w:val="Normal"/>
    <w:next w:val="Normal"/>
    <w:uiPriority w:val="37"/>
    <w:unhideWhenUsed/>
    <w:rsid w:val="005906CA"/>
    <w:pPr>
      <w:tabs>
        <w:tab w:val="left" w:pos="260"/>
      </w:tabs>
      <w:spacing w:after="240"/>
      <w:ind w:left="264" w:hanging="26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13DAF5A-11CB-AE48-B976-29E0C665A18A}" type="doc">
      <dgm:prSet loTypeId="urn:microsoft.com/office/officeart/2005/8/layout/process1" loCatId="" qsTypeId="urn:microsoft.com/office/officeart/2005/8/quickstyle/simple1" qsCatId="simple" csTypeId="urn:microsoft.com/office/officeart/2005/8/colors/accent0_1" csCatId="mainScheme" phldr="1"/>
      <dgm:spPr/>
      <dgm:t>
        <a:bodyPr/>
        <a:lstStyle/>
        <a:p>
          <a:endParaRPr lang="en-US"/>
        </a:p>
      </dgm:t>
    </dgm:pt>
    <dgm:pt modelId="{A775E7B0-49F9-B54C-9940-6173B942E963}">
      <dgm:prSet phldrT="[Text]" custT="1"/>
      <dgm:spPr/>
      <dgm:t>
        <a:bodyPr/>
        <a:lstStyle/>
        <a:p>
          <a:r>
            <a:rPr lang="en-CA" sz="900" b="1"/>
            <a:t>Drivers of patient engagement </a:t>
          </a:r>
          <a:endParaRPr lang="en-US" sz="900" b="1"/>
        </a:p>
      </dgm:t>
    </dgm:pt>
    <dgm:pt modelId="{26315CC3-81AB-B344-B497-8473C48D8C8F}" type="parTrans" cxnId="{7D095ADF-00F5-4840-95A5-4DE4154854D1}">
      <dgm:prSet/>
      <dgm:spPr/>
      <dgm:t>
        <a:bodyPr/>
        <a:lstStyle/>
        <a:p>
          <a:endParaRPr lang="en-US" sz="900"/>
        </a:p>
      </dgm:t>
    </dgm:pt>
    <dgm:pt modelId="{719A33FA-A9BB-9340-B458-23FA8D551849}" type="sibTrans" cxnId="{7D095ADF-00F5-4840-95A5-4DE4154854D1}">
      <dgm:prSet custT="1"/>
      <dgm:spPr/>
      <dgm:t>
        <a:bodyPr/>
        <a:lstStyle/>
        <a:p>
          <a:endParaRPr lang="en-US" sz="900"/>
        </a:p>
      </dgm:t>
    </dgm:pt>
    <dgm:pt modelId="{92C772F4-0C42-434D-A449-66669152AE26}">
      <dgm:prSet phldrT="[Text]" custT="1"/>
      <dgm:spPr/>
      <dgm:t>
        <a:bodyPr/>
        <a:lstStyle/>
        <a:p>
          <a:r>
            <a:rPr lang="en-CA" sz="900" b="1"/>
            <a:t>Inputs and Activities </a:t>
          </a:r>
          <a:endParaRPr lang="en-US" sz="900" b="1"/>
        </a:p>
      </dgm:t>
    </dgm:pt>
    <dgm:pt modelId="{FD932A0A-463B-3048-A07B-98847DD7EDB4}" type="parTrans" cxnId="{2B4342EC-9D04-5348-9AB2-2097D2F25D96}">
      <dgm:prSet/>
      <dgm:spPr/>
      <dgm:t>
        <a:bodyPr/>
        <a:lstStyle/>
        <a:p>
          <a:endParaRPr lang="en-US" sz="900"/>
        </a:p>
      </dgm:t>
    </dgm:pt>
    <dgm:pt modelId="{AB1BE747-27D5-B04F-8936-DC3F1C9D3764}" type="sibTrans" cxnId="{2B4342EC-9D04-5348-9AB2-2097D2F25D96}">
      <dgm:prSet custT="1"/>
      <dgm:spPr/>
      <dgm:t>
        <a:bodyPr/>
        <a:lstStyle/>
        <a:p>
          <a:endParaRPr lang="en-US" sz="900"/>
        </a:p>
      </dgm:t>
    </dgm:pt>
    <dgm:pt modelId="{84C14D13-C9F6-9D4A-884C-0539E78458F2}">
      <dgm:prSet phldrT="[Text]" custT="1"/>
      <dgm:spPr/>
      <dgm:t>
        <a:bodyPr/>
        <a:lstStyle/>
        <a:p>
          <a:r>
            <a:rPr lang="en-CA" sz="900" b="1"/>
            <a:t>Outputs</a:t>
          </a:r>
          <a:r>
            <a:rPr lang="en-CA" sz="900"/>
            <a:t> </a:t>
          </a:r>
          <a:endParaRPr lang="en-US" sz="900"/>
        </a:p>
      </dgm:t>
    </dgm:pt>
    <dgm:pt modelId="{FE331878-AA73-2941-B85D-831062C9E7D6}" type="parTrans" cxnId="{1D503D11-7DF8-464E-B373-5D02339F57E4}">
      <dgm:prSet/>
      <dgm:spPr/>
      <dgm:t>
        <a:bodyPr/>
        <a:lstStyle/>
        <a:p>
          <a:endParaRPr lang="en-US" sz="900"/>
        </a:p>
      </dgm:t>
    </dgm:pt>
    <dgm:pt modelId="{9F2AE901-5476-9A46-9E6B-331C3F3F9D04}" type="sibTrans" cxnId="{1D503D11-7DF8-464E-B373-5D02339F57E4}">
      <dgm:prSet custT="1"/>
      <dgm:spPr/>
      <dgm:t>
        <a:bodyPr/>
        <a:lstStyle/>
        <a:p>
          <a:endParaRPr lang="en-US" sz="900"/>
        </a:p>
      </dgm:t>
    </dgm:pt>
    <dgm:pt modelId="{D873770D-B98E-EA40-8396-7F823F7DC9E5}">
      <dgm:prSet custT="1"/>
      <dgm:spPr/>
      <dgm:t>
        <a:bodyPr/>
        <a:lstStyle/>
        <a:p>
          <a:pPr>
            <a:buFont typeface="Symbol" pitchFamily="2" charset="2"/>
            <a:buChar char=""/>
          </a:pPr>
          <a:r>
            <a:rPr lang="en-CA" sz="900"/>
            <a:t>Healthcare systems</a:t>
          </a:r>
          <a:endParaRPr lang="en-US" sz="900"/>
        </a:p>
      </dgm:t>
    </dgm:pt>
    <dgm:pt modelId="{3D1A1634-51E4-1E43-A4F1-91FA1F14348D}" type="parTrans" cxnId="{BB076068-4B63-774C-A4E9-DECE23D19E02}">
      <dgm:prSet/>
      <dgm:spPr/>
      <dgm:t>
        <a:bodyPr/>
        <a:lstStyle/>
        <a:p>
          <a:endParaRPr lang="en-US" sz="900"/>
        </a:p>
      </dgm:t>
    </dgm:pt>
    <dgm:pt modelId="{664C6977-F56E-E74F-8324-BA5026586C96}" type="sibTrans" cxnId="{BB076068-4B63-774C-A4E9-DECE23D19E02}">
      <dgm:prSet/>
      <dgm:spPr/>
      <dgm:t>
        <a:bodyPr/>
        <a:lstStyle/>
        <a:p>
          <a:endParaRPr lang="en-US" sz="900"/>
        </a:p>
      </dgm:t>
    </dgm:pt>
    <dgm:pt modelId="{D72D14BE-470F-2646-B166-182E05E17C5A}">
      <dgm:prSet custT="1"/>
      <dgm:spPr/>
      <dgm:t>
        <a:bodyPr/>
        <a:lstStyle/>
        <a:p>
          <a:pPr>
            <a:buFont typeface="Symbol" pitchFamily="2" charset="2"/>
            <a:buChar char=""/>
          </a:pPr>
          <a:r>
            <a:rPr lang="en-CA" sz="900"/>
            <a:t>HTA organizations </a:t>
          </a:r>
        </a:p>
      </dgm:t>
    </dgm:pt>
    <dgm:pt modelId="{2009A33F-2224-6B4C-87B7-A54DF0B36139}" type="parTrans" cxnId="{E15E25D0-6A22-1D47-8765-BF17DC134F73}">
      <dgm:prSet/>
      <dgm:spPr/>
      <dgm:t>
        <a:bodyPr/>
        <a:lstStyle/>
        <a:p>
          <a:endParaRPr lang="en-US" sz="900"/>
        </a:p>
      </dgm:t>
    </dgm:pt>
    <dgm:pt modelId="{A09911FA-9AFC-CC4A-813C-AC77F0AFC484}" type="sibTrans" cxnId="{E15E25D0-6A22-1D47-8765-BF17DC134F73}">
      <dgm:prSet/>
      <dgm:spPr/>
      <dgm:t>
        <a:bodyPr/>
        <a:lstStyle/>
        <a:p>
          <a:endParaRPr lang="en-US" sz="900"/>
        </a:p>
      </dgm:t>
    </dgm:pt>
    <dgm:pt modelId="{DD034B0D-C7DE-4749-A71C-6FFD334EB306}">
      <dgm:prSet custT="1"/>
      <dgm:spPr/>
      <dgm:t>
        <a:bodyPr/>
        <a:lstStyle/>
        <a:p>
          <a:pPr>
            <a:buFont typeface="Symbol" pitchFamily="2" charset="2"/>
            <a:buChar char=""/>
          </a:pPr>
          <a:r>
            <a:rPr lang="en-CA" sz="900"/>
            <a:t>HTA framework ( safety, cost-effectiveness, ethical and legal considerations) </a:t>
          </a:r>
        </a:p>
      </dgm:t>
    </dgm:pt>
    <dgm:pt modelId="{9CA0F82F-DC9C-4240-BCB4-4B6AF67F0EBE}" type="parTrans" cxnId="{B8240A7D-16EE-554A-A4D2-63A8E04D07A8}">
      <dgm:prSet/>
      <dgm:spPr/>
      <dgm:t>
        <a:bodyPr/>
        <a:lstStyle/>
        <a:p>
          <a:endParaRPr lang="en-US" sz="900"/>
        </a:p>
      </dgm:t>
    </dgm:pt>
    <dgm:pt modelId="{B95E27D9-ABC4-1148-A6D9-B34A12F33544}" type="sibTrans" cxnId="{B8240A7D-16EE-554A-A4D2-63A8E04D07A8}">
      <dgm:prSet/>
      <dgm:spPr/>
      <dgm:t>
        <a:bodyPr/>
        <a:lstStyle/>
        <a:p>
          <a:endParaRPr lang="en-US" sz="900"/>
        </a:p>
      </dgm:t>
    </dgm:pt>
    <dgm:pt modelId="{432BE327-3483-F643-A0F6-8C60D1E4AE83}">
      <dgm:prSet custT="1"/>
      <dgm:spPr/>
      <dgm:t>
        <a:bodyPr/>
        <a:lstStyle/>
        <a:p>
          <a:pPr>
            <a:buFont typeface="Symbol" pitchFamily="2" charset="2"/>
            <a:buChar char=""/>
          </a:pPr>
          <a:r>
            <a:rPr lang="en-CA" sz="900"/>
            <a:t>Characteristics of health technologies and patients </a:t>
          </a:r>
        </a:p>
      </dgm:t>
    </dgm:pt>
    <dgm:pt modelId="{DD039BCB-A6F4-3844-8FBE-6D6B45F9AD0B}" type="parTrans" cxnId="{3CEBB1A9-8A3B-F54D-A516-3B4AA7B1E89C}">
      <dgm:prSet/>
      <dgm:spPr/>
      <dgm:t>
        <a:bodyPr/>
        <a:lstStyle/>
        <a:p>
          <a:endParaRPr lang="en-US" sz="900"/>
        </a:p>
      </dgm:t>
    </dgm:pt>
    <dgm:pt modelId="{7A6D57D0-B4C6-E94B-A327-D09BF6A768E3}" type="sibTrans" cxnId="{3CEBB1A9-8A3B-F54D-A516-3B4AA7B1E89C}">
      <dgm:prSet/>
      <dgm:spPr/>
      <dgm:t>
        <a:bodyPr/>
        <a:lstStyle/>
        <a:p>
          <a:endParaRPr lang="en-US" sz="900"/>
        </a:p>
      </dgm:t>
    </dgm:pt>
    <dgm:pt modelId="{5BB342E7-2BA5-AB47-B671-6AD6D753D0E7}">
      <dgm:prSet custT="1"/>
      <dgm:spPr/>
      <dgm:t>
        <a:bodyPr/>
        <a:lstStyle/>
        <a:p>
          <a:pPr>
            <a:buFont typeface="Symbol" pitchFamily="2" charset="2"/>
            <a:buChar char=""/>
          </a:pPr>
          <a:r>
            <a:rPr lang="en-US" sz="900"/>
            <a:t>Underrepresented patients: </a:t>
          </a:r>
          <a:endParaRPr lang="en-CA" sz="900"/>
        </a:p>
      </dgm:t>
    </dgm:pt>
    <dgm:pt modelId="{580DD1BB-9941-DB44-A1C7-1132C6F853DA}" type="parTrans" cxnId="{68D6D1EE-3CC5-D341-B69A-495998B0B0AA}">
      <dgm:prSet/>
      <dgm:spPr/>
      <dgm:t>
        <a:bodyPr/>
        <a:lstStyle/>
        <a:p>
          <a:endParaRPr lang="en-US" sz="900"/>
        </a:p>
      </dgm:t>
    </dgm:pt>
    <dgm:pt modelId="{07D5A421-E6B4-8C46-A21D-F80DAF523AB6}" type="sibTrans" cxnId="{68D6D1EE-3CC5-D341-B69A-495998B0B0AA}">
      <dgm:prSet/>
      <dgm:spPr/>
      <dgm:t>
        <a:bodyPr/>
        <a:lstStyle/>
        <a:p>
          <a:endParaRPr lang="en-US" sz="900"/>
        </a:p>
      </dgm:t>
    </dgm:pt>
    <dgm:pt modelId="{FE239908-297B-2B4E-A085-21CFDECFC84C}">
      <dgm:prSet custT="1"/>
      <dgm:spPr/>
      <dgm:t>
        <a:bodyPr/>
        <a:lstStyle/>
        <a:p>
          <a:r>
            <a:rPr lang="en-US" sz="900"/>
            <a:t>disadvantaged groups </a:t>
          </a:r>
        </a:p>
      </dgm:t>
    </dgm:pt>
    <dgm:pt modelId="{E6D34B3B-8251-0C46-9D50-5FB8F32E86EC}" type="parTrans" cxnId="{798F36D0-E121-CE48-95AC-3DC8603A1CA2}">
      <dgm:prSet/>
      <dgm:spPr/>
      <dgm:t>
        <a:bodyPr/>
        <a:lstStyle/>
        <a:p>
          <a:endParaRPr lang="en-US" sz="900"/>
        </a:p>
      </dgm:t>
    </dgm:pt>
    <dgm:pt modelId="{0250F5DC-7B39-C940-879B-C78D2D14C03E}" type="sibTrans" cxnId="{798F36D0-E121-CE48-95AC-3DC8603A1CA2}">
      <dgm:prSet/>
      <dgm:spPr/>
      <dgm:t>
        <a:bodyPr/>
        <a:lstStyle/>
        <a:p>
          <a:endParaRPr lang="en-US" sz="900"/>
        </a:p>
      </dgm:t>
    </dgm:pt>
    <dgm:pt modelId="{B2E96655-8985-564F-B9F9-C79ECCE0E161}">
      <dgm:prSet custT="1"/>
      <dgm:spPr/>
      <dgm:t>
        <a:bodyPr/>
        <a:lstStyle/>
        <a:p>
          <a:pPr>
            <a:buFont typeface="Symbol" pitchFamily="2" charset="2"/>
            <a:buChar char=""/>
          </a:pPr>
          <a:r>
            <a:rPr lang="en-CA" sz="900"/>
            <a:t>Resources</a:t>
          </a:r>
          <a:endParaRPr lang="en-US" sz="900"/>
        </a:p>
      </dgm:t>
    </dgm:pt>
    <dgm:pt modelId="{B1C1D2A2-D2C6-144A-B600-8779AE950E65}" type="parTrans" cxnId="{59BADF35-3C3C-1444-8453-BE0F5180AC94}">
      <dgm:prSet/>
      <dgm:spPr/>
      <dgm:t>
        <a:bodyPr/>
        <a:lstStyle/>
        <a:p>
          <a:endParaRPr lang="en-US" sz="900"/>
        </a:p>
      </dgm:t>
    </dgm:pt>
    <dgm:pt modelId="{661B1C4F-F3AA-4348-9EED-8A632C948A6B}" type="sibTrans" cxnId="{59BADF35-3C3C-1444-8453-BE0F5180AC94}">
      <dgm:prSet/>
      <dgm:spPr/>
      <dgm:t>
        <a:bodyPr/>
        <a:lstStyle/>
        <a:p>
          <a:endParaRPr lang="en-US" sz="900"/>
        </a:p>
      </dgm:t>
    </dgm:pt>
    <dgm:pt modelId="{36D51504-FA89-5C4E-80FC-F84EDE0B9075}">
      <dgm:prSet custT="1"/>
      <dgm:spPr/>
      <dgm:t>
        <a:bodyPr/>
        <a:lstStyle/>
        <a:p>
          <a:pPr>
            <a:buFont typeface="Courier New" panose="02070309020205020404" pitchFamily="49" charset="0"/>
            <a:buChar char="o"/>
          </a:pPr>
          <a:r>
            <a:rPr lang="en-CA" sz="900"/>
            <a:t>Staff and patients’ skills </a:t>
          </a:r>
        </a:p>
      </dgm:t>
    </dgm:pt>
    <dgm:pt modelId="{BC50FC04-FCDC-EE4B-86A4-25539487F938}" type="parTrans" cxnId="{827F371E-F4FF-AA4C-A41C-F374752B4BF7}">
      <dgm:prSet/>
      <dgm:spPr/>
      <dgm:t>
        <a:bodyPr/>
        <a:lstStyle/>
        <a:p>
          <a:endParaRPr lang="en-US" sz="900"/>
        </a:p>
      </dgm:t>
    </dgm:pt>
    <dgm:pt modelId="{66C02BC4-25D3-3547-AD5E-BD40E31EC1D2}" type="sibTrans" cxnId="{827F371E-F4FF-AA4C-A41C-F374752B4BF7}">
      <dgm:prSet/>
      <dgm:spPr/>
      <dgm:t>
        <a:bodyPr/>
        <a:lstStyle/>
        <a:p>
          <a:endParaRPr lang="en-US" sz="900"/>
        </a:p>
      </dgm:t>
    </dgm:pt>
    <dgm:pt modelId="{8786B352-20B2-A74D-80C4-F21B7E2CAC8D}">
      <dgm:prSet custT="1"/>
      <dgm:spPr/>
      <dgm:t>
        <a:bodyPr/>
        <a:lstStyle/>
        <a:p>
          <a:pPr>
            <a:buFont typeface="Courier New" panose="02070309020205020404" pitchFamily="49" charset="0"/>
            <a:buChar char="o"/>
          </a:pPr>
          <a:r>
            <a:rPr lang="en-CA" sz="900"/>
            <a:t>Funding </a:t>
          </a:r>
        </a:p>
      </dgm:t>
    </dgm:pt>
    <dgm:pt modelId="{BBE49813-7B58-174C-B737-29ECA93103A5}" type="parTrans" cxnId="{DD1092E1-D765-F447-AD88-D47D5A7774A1}">
      <dgm:prSet/>
      <dgm:spPr/>
      <dgm:t>
        <a:bodyPr/>
        <a:lstStyle/>
        <a:p>
          <a:endParaRPr lang="en-US" sz="900"/>
        </a:p>
      </dgm:t>
    </dgm:pt>
    <dgm:pt modelId="{FCB75B2D-843F-FF48-BF40-712C88FD859D}" type="sibTrans" cxnId="{DD1092E1-D765-F447-AD88-D47D5A7774A1}">
      <dgm:prSet/>
      <dgm:spPr/>
      <dgm:t>
        <a:bodyPr/>
        <a:lstStyle/>
        <a:p>
          <a:endParaRPr lang="en-US" sz="900"/>
        </a:p>
      </dgm:t>
    </dgm:pt>
    <dgm:pt modelId="{8627572A-6549-1448-83BB-23F3935B1626}">
      <dgm:prSet custT="1"/>
      <dgm:spPr/>
      <dgm:t>
        <a:bodyPr/>
        <a:lstStyle/>
        <a:p>
          <a:pPr>
            <a:buFont typeface="Courier New" panose="02070309020205020404" pitchFamily="49" charset="0"/>
            <a:buChar char="o"/>
          </a:pPr>
          <a:r>
            <a:rPr lang="en-CA" sz="900"/>
            <a:t>Modalities of engagement: </a:t>
          </a:r>
        </a:p>
      </dgm:t>
    </dgm:pt>
    <dgm:pt modelId="{C749D1F2-E0DA-D54C-82F8-22CFCF027C50}" type="parTrans" cxnId="{31B356B6-4E49-6F4F-95A3-2F27DDB35FA3}">
      <dgm:prSet/>
      <dgm:spPr/>
      <dgm:t>
        <a:bodyPr/>
        <a:lstStyle/>
        <a:p>
          <a:endParaRPr lang="en-US" sz="900"/>
        </a:p>
      </dgm:t>
    </dgm:pt>
    <dgm:pt modelId="{5D5E97AA-310F-EF4A-A313-D52B54EFEE55}" type="sibTrans" cxnId="{31B356B6-4E49-6F4F-95A3-2F27DDB35FA3}">
      <dgm:prSet/>
      <dgm:spPr/>
      <dgm:t>
        <a:bodyPr/>
        <a:lstStyle/>
        <a:p>
          <a:endParaRPr lang="en-US" sz="900"/>
        </a:p>
      </dgm:t>
    </dgm:pt>
    <dgm:pt modelId="{28F10E0E-3605-E849-94D1-126DC37E9DA5}">
      <dgm:prSet custT="1"/>
      <dgm:spPr/>
      <dgm:t>
        <a:bodyPr/>
        <a:lstStyle/>
        <a:p>
          <a:pPr>
            <a:buFont typeface="Wingdings" pitchFamily="2" charset="2"/>
            <a:buChar char=""/>
          </a:pPr>
          <a:r>
            <a:rPr lang="en-CA" sz="900"/>
            <a:t>Digital tools</a:t>
          </a:r>
        </a:p>
      </dgm:t>
    </dgm:pt>
    <dgm:pt modelId="{47AFACE9-F36E-EB42-B23F-3686BF60D2E0}" type="parTrans" cxnId="{9F0A730D-BC13-8748-A2FA-82D541268A94}">
      <dgm:prSet/>
      <dgm:spPr/>
      <dgm:t>
        <a:bodyPr/>
        <a:lstStyle/>
        <a:p>
          <a:endParaRPr lang="en-US" sz="900"/>
        </a:p>
      </dgm:t>
    </dgm:pt>
    <dgm:pt modelId="{9635CF3D-868D-C443-A0F1-EDD1D24728E7}" type="sibTrans" cxnId="{9F0A730D-BC13-8748-A2FA-82D541268A94}">
      <dgm:prSet/>
      <dgm:spPr/>
      <dgm:t>
        <a:bodyPr/>
        <a:lstStyle/>
        <a:p>
          <a:endParaRPr lang="en-US" sz="900"/>
        </a:p>
      </dgm:t>
    </dgm:pt>
    <dgm:pt modelId="{E348AB1E-8592-CA44-A823-D0017759F1A3}">
      <dgm:prSet custT="1"/>
      <dgm:spPr/>
      <dgm:t>
        <a:bodyPr/>
        <a:lstStyle/>
        <a:p>
          <a:pPr>
            <a:buFont typeface="Wingdings" pitchFamily="2" charset="2"/>
            <a:buChar char=""/>
          </a:pPr>
          <a:r>
            <a:rPr lang="en-CA" sz="900"/>
            <a:t>In-person meetings</a:t>
          </a:r>
        </a:p>
      </dgm:t>
    </dgm:pt>
    <dgm:pt modelId="{14481944-96E5-464D-BCF8-947017EC69F1}" type="parTrans" cxnId="{9D790EF8-90E8-1541-93B4-A4D188762448}">
      <dgm:prSet/>
      <dgm:spPr/>
      <dgm:t>
        <a:bodyPr/>
        <a:lstStyle/>
        <a:p>
          <a:endParaRPr lang="en-US" sz="900"/>
        </a:p>
      </dgm:t>
    </dgm:pt>
    <dgm:pt modelId="{0765E400-3CD4-C444-8AD6-A1D9BBDC9B1C}" type="sibTrans" cxnId="{9D790EF8-90E8-1541-93B4-A4D188762448}">
      <dgm:prSet/>
      <dgm:spPr/>
      <dgm:t>
        <a:bodyPr/>
        <a:lstStyle/>
        <a:p>
          <a:endParaRPr lang="en-US" sz="900"/>
        </a:p>
      </dgm:t>
    </dgm:pt>
    <dgm:pt modelId="{EA4F5AB1-BBF1-F146-85AD-350989E00594}">
      <dgm:prSet custT="1"/>
      <dgm:spPr/>
      <dgm:t>
        <a:bodyPr/>
        <a:lstStyle/>
        <a:p>
          <a:pPr>
            <a:buFont typeface="Symbol" pitchFamily="2" charset="2"/>
            <a:buChar char=""/>
          </a:pPr>
          <a:r>
            <a:rPr lang="en-CA" sz="900"/>
            <a:t>Types of engagement: </a:t>
          </a:r>
        </a:p>
      </dgm:t>
    </dgm:pt>
    <dgm:pt modelId="{FDF418E0-FED3-4848-B331-113914207E3A}" type="parTrans" cxnId="{0E501C6C-81F3-1048-96E5-A1C0FA436006}">
      <dgm:prSet/>
      <dgm:spPr/>
      <dgm:t>
        <a:bodyPr/>
        <a:lstStyle/>
        <a:p>
          <a:endParaRPr lang="en-US" sz="900"/>
        </a:p>
      </dgm:t>
    </dgm:pt>
    <dgm:pt modelId="{8280EF09-4CC3-4347-B425-D1FC2F33E753}" type="sibTrans" cxnId="{0E501C6C-81F3-1048-96E5-A1C0FA436006}">
      <dgm:prSet/>
      <dgm:spPr/>
      <dgm:t>
        <a:bodyPr/>
        <a:lstStyle/>
        <a:p>
          <a:endParaRPr lang="en-US" sz="900"/>
        </a:p>
      </dgm:t>
    </dgm:pt>
    <dgm:pt modelId="{4F0D2066-1F8D-2C4A-B910-508C18F9A5F8}">
      <dgm:prSet custT="1"/>
      <dgm:spPr/>
      <dgm:t>
        <a:bodyPr/>
        <a:lstStyle/>
        <a:p>
          <a:pPr>
            <a:buFont typeface="Courier New" panose="02070309020205020404" pitchFamily="49" charset="0"/>
            <a:buChar char="o"/>
          </a:pPr>
          <a:r>
            <a:rPr lang="en-CA" sz="900"/>
            <a:t>Direct </a:t>
          </a:r>
        </a:p>
      </dgm:t>
    </dgm:pt>
    <dgm:pt modelId="{3CB23C48-529D-994F-98AC-8FC859A64C8F}" type="parTrans" cxnId="{8773D60D-DDE6-AA48-9CDB-58B1D88700F4}">
      <dgm:prSet/>
      <dgm:spPr/>
      <dgm:t>
        <a:bodyPr/>
        <a:lstStyle/>
        <a:p>
          <a:endParaRPr lang="en-US" sz="900"/>
        </a:p>
      </dgm:t>
    </dgm:pt>
    <dgm:pt modelId="{220C973F-694F-1B4A-B534-C7EC9D473110}" type="sibTrans" cxnId="{8773D60D-DDE6-AA48-9CDB-58B1D88700F4}">
      <dgm:prSet/>
      <dgm:spPr/>
      <dgm:t>
        <a:bodyPr/>
        <a:lstStyle/>
        <a:p>
          <a:endParaRPr lang="en-US" sz="900"/>
        </a:p>
      </dgm:t>
    </dgm:pt>
    <dgm:pt modelId="{D647C969-5013-834D-89CD-B67506465636}">
      <dgm:prSet custT="1"/>
      <dgm:spPr/>
      <dgm:t>
        <a:bodyPr/>
        <a:lstStyle/>
        <a:p>
          <a:pPr>
            <a:buFont typeface="Courier New" panose="02070309020205020404" pitchFamily="49" charset="0"/>
            <a:buChar char="o"/>
          </a:pPr>
          <a:r>
            <a:rPr lang="en-CA" sz="900"/>
            <a:t>Indirect </a:t>
          </a:r>
        </a:p>
      </dgm:t>
    </dgm:pt>
    <dgm:pt modelId="{0AE476ED-A639-EB4C-8AF8-90EC151086BB}" type="parTrans" cxnId="{10804FDA-34D0-984B-9378-A0ADA9EDFAAD}">
      <dgm:prSet/>
      <dgm:spPr/>
      <dgm:t>
        <a:bodyPr/>
        <a:lstStyle/>
        <a:p>
          <a:endParaRPr lang="en-US" sz="900"/>
        </a:p>
      </dgm:t>
    </dgm:pt>
    <dgm:pt modelId="{B74C8EAF-8FF7-9348-95FF-7284411CBB08}" type="sibTrans" cxnId="{10804FDA-34D0-984B-9378-A0ADA9EDFAAD}">
      <dgm:prSet/>
      <dgm:spPr/>
      <dgm:t>
        <a:bodyPr/>
        <a:lstStyle/>
        <a:p>
          <a:endParaRPr lang="en-US" sz="900"/>
        </a:p>
      </dgm:t>
    </dgm:pt>
    <dgm:pt modelId="{BA8C5C4E-D4A4-A042-9713-E527C373E3ED}">
      <dgm:prSet custT="1"/>
      <dgm:spPr/>
      <dgm:t>
        <a:bodyPr/>
        <a:lstStyle/>
        <a:p>
          <a:pPr>
            <a:buFont typeface="Symbol" pitchFamily="2" charset="2"/>
            <a:buChar char=""/>
          </a:pPr>
          <a:r>
            <a:rPr lang="en-CA" sz="900"/>
            <a:t>Decision-making: </a:t>
          </a:r>
        </a:p>
      </dgm:t>
    </dgm:pt>
    <dgm:pt modelId="{3799240F-5280-D84F-95AF-56DCC6B4CA33}" type="parTrans" cxnId="{4DF9E7AC-9B7D-DB4A-994C-16422995BD7F}">
      <dgm:prSet/>
      <dgm:spPr/>
      <dgm:t>
        <a:bodyPr/>
        <a:lstStyle/>
        <a:p>
          <a:endParaRPr lang="en-US" sz="900"/>
        </a:p>
      </dgm:t>
    </dgm:pt>
    <dgm:pt modelId="{2D5633CF-41B1-E243-A977-E2F35E52E947}" type="sibTrans" cxnId="{4DF9E7AC-9B7D-DB4A-994C-16422995BD7F}">
      <dgm:prSet/>
      <dgm:spPr/>
      <dgm:t>
        <a:bodyPr/>
        <a:lstStyle/>
        <a:p>
          <a:endParaRPr lang="en-US" sz="900"/>
        </a:p>
      </dgm:t>
    </dgm:pt>
    <dgm:pt modelId="{991AE405-B288-194A-850A-D9C968CF4FE7}">
      <dgm:prSet custT="1"/>
      <dgm:spPr/>
      <dgm:t>
        <a:bodyPr/>
        <a:lstStyle/>
        <a:p>
          <a:pPr>
            <a:buFont typeface="Courier New" panose="02070309020205020404" pitchFamily="49" charset="0"/>
            <a:buChar char="o"/>
          </a:pPr>
          <a:r>
            <a:rPr lang="en-CA" sz="900"/>
            <a:t>Vote </a:t>
          </a:r>
        </a:p>
      </dgm:t>
    </dgm:pt>
    <dgm:pt modelId="{8E3DA6CE-A08D-F244-9BBE-CBD64E826025}" type="parTrans" cxnId="{4B6AB161-F0E3-C742-8BE2-D4AFC7AED531}">
      <dgm:prSet/>
      <dgm:spPr/>
      <dgm:t>
        <a:bodyPr/>
        <a:lstStyle/>
        <a:p>
          <a:endParaRPr lang="en-US" sz="900"/>
        </a:p>
      </dgm:t>
    </dgm:pt>
    <dgm:pt modelId="{8C064F17-10CE-FD4E-8A42-48373FF459BD}" type="sibTrans" cxnId="{4B6AB161-F0E3-C742-8BE2-D4AFC7AED531}">
      <dgm:prSet/>
      <dgm:spPr/>
      <dgm:t>
        <a:bodyPr/>
        <a:lstStyle/>
        <a:p>
          <a:endParaRPr lang="en-US" sz="900"/>
        </a:p>
      </dgm:t>
    </dgm:pt>
    <dgm:pt modelId="{D27B647B-275B-3E48-9064-ED834A22B31F}">
      <dgm:prSet custT="1"/>
      <dgm:spPr/>
      <dgm:t>
        <a:bodyPr/>
        <a:lstStyle/>
        <a:p>
          <a:r>
            <a:rPr lang="en-CA" sz="900"/>
            <a:t>Consensus</a:t>
          </a:r>
          <a:endParaRPr lang="en-US" sz="900"/>
        </a:p>
      </dgm:t>
    </dgm:pt>
    <dgm:pt modelId="{DF78A872-53C3-0E48-B09E-024A2D10616A}" type="parTrans" cxnId="{98CEDE9E-53AB-A84E-9F08-19DDEB9A8D93}">
      <dgm:prSet/>
      <dgm:spPr/>
      <dgm:t>
        <a:bodyPr/>
        <a:lstStyle/>
        <a:p>
          <a:endParaRPr lang="en-US" sz="900"/>
        </a:p>
      </dgm:t>
    </dgm:pt>
    <dgm:pt modelId="{E1463A46-9B78-9444-A5B3-730031D79EE4}" type="sibTrans" cxnId="{98CEDE9E-53AB-A84E-9F08-19DDEB9A8D93}">
      <dgm:prSet/>
      <dgm:spPr/>
      <dgm:t>
        <a:bodyPr/>
        <a:lstStyle/>
        <a:p>
          <a:endParaRPr lang="en-US" sz="900"/>
        </a:p>
      </dgm:t>
    </dgm:pt>
    <dgm:pt modelId="{379FFB80-8CEF-2346-8D99-1C5E72EC16B3}">
      <dgm:prSet custT="1"/>
      <dgm:spPr/>
      <dgm:t>
        <a:bodyPr/>
        <a:lstStyle/>
        <a:p>
          <a:pPr>
            <a:buFont typeface="Symbol" pitchFamily="2" charset="2"/>
            <a:buChar char=""/>
          </a:pPr>
          <a:r>
            <a:rPr lang="en-CA" sz="900"/>
            <a:t>Diverse and inclusive patient engagement </a:t>
          </a:r>
          <a:endParaRPr lang="en-US" sz="900"/>
        </a:p>
      </dgm:t>
    </dgm:pt>
    <dgm:pt modelId="{85FCFEE6-3174-9A40-A01E-E86DBD0148F7}" type="parTrans" cxnId="{62D1761B-8174-C144-9BB9-345DD84C45F5}">
      <dgm:prSet/>
      <dgm:spPr/>
      <dgm:t>
        <a:bodyPr/>
        <a:lstStyle/>
        <a:p>
          <a:endParaRPr lang="en-US" sz="900"/>
        </a:p>
      </dgm:t>
    </dgm:pt>
    <dgm:pt modelId="{906E0DCC-B5B3-8543-A0F8-ABB8BE806661}" type="sibTrans" cxnId="{62D1761B-8174-C144-9BB9-345DD84C45F5}">
      <dgm:prSet/>
      <dgm:spPr/>
      <dgm:t>
        <a:bodyPr/>
        <a:lstStyle/>
        <a:p>
          <a:endParaRPr lang="en-US" sz="900"/>
        </a:p>
      </dgm:t>
    </dgm:pt>
    <dgm:pt modelId="{74581E50-82B6-6140-87BA-9AD9676C71EA}">
      <dgm:prSet custT="1"/>
      <dgm:spPr/>
      <dgm:t>
        <a:bodyPr/>
        <a:lstStyle/>
        <a:p>
          <a:pPr>
            <a:buFont typeface="Symbol" pitchFamily="2" charset="2"/>
            <a:buChar char=""/>
          </a:pPr>
          <a:r>
            <a:rPr lang="en-CA" sz="900"/>
            <a:t>Patient input</a:t>
          </a:r>
        </a:p>
      </dgm:t>
    </dgm:pt>
    <dgm:pt modelId="{40E40FA8-36F5-BB4E-BD61-EC0D0941ADA8}" type="parTrans" cxnId="{EF438092-A2C7-C04F-99E2-DF9D59AB8227}">
      <dgm:prSet/>
      <dgm:spPr/>
      <dgm:t>
        <a:bodyPr/>
        <a:lstStyle/>
        <a:p>
          <a:endParaRPr lang="en-US" sz="900"/>
        </a:p>
      </dgm:t>
    </dgm:pt>
    <dgm:pt modelId="{C882BF0F-6A3C-7948-9A2D-2746FF808206}" type="sibTrans" cxnId="{EF438092-A2C7-C04F-99E2-DF9D59AB8227}">
      <dgm:prSet/>
      <dgm:spPr/>
      <dgm:t>
        <a:bodyPr/>
        <a:lstStyle/>
        <a:p>
          <a:endParaRPr lang="en-US" sz="900"/>
        </a:p>
      </dgm:t>
    </dgm:pt>
    <dgm:pt modelId="{00076835-C8B7-B349-B287-7AB1E5E1D25E}">
      <dgm:prSet custT="1"/>
      <dgm:spPr/>
      <dgm:t>
        <a:bodyPr/>
        <a:lstStyle/>
        <a:p>
          <a:pPr>
            <a:buFont typeface="Symbol" pitchFamily="2" charset="2"/>
            <a:buChar char=""/>
          </a:pPr>
          <a:r>
            <a:rPr lang="en-CA" sz="900"/>
            <a:t>Identification of health equity factors through patient input </a:t>
          </a:r>
        </a:p>
      </dgm:t>
    </dgm:pt>
    <dgm:pt modelId="{BCFC686F-7DC0-8642-9612-6801FF2F57FC}" type="parTrans" cxnId="{909E662B-9467-8C45-BF73-AB42F06CF779}">
      <dgm:prSet/>
      <dgm:spPr/>
      <dgm:t>
        <a:bodyPr/>
        <a:lstStyle/>
        <a:p>
          <a:endParaRPr lang="en-US" sz="900"/>
        </a:p>
      </dgm:t>
    </dgm:pt>
    <dgm:pt modelId="{647E5E6E-50E9-634F-8FB6-2A05EEA7EF9E}" type="sibTrans" cxnId="{909E662B-9467-8C45-BF73-AB42F06CF779}">
      <dgm:prSet/>
      <dgm:spPr/>
      <dgm:t>
        <a:bodyPr/>
        <a:lstStyle/>
        <a:p>
          <a:endParaRPr lang="en-US" sz="900"/>
        </a:p>
      </dgm:t>
    </dgm:pt>
    <dgm:pt modelId="{E1B98710-5D47-8D4C-9C3D-38DB1F9E96B5}">
      <dgm:prSet custT="1"/>
      <dgm:spPr/>
      <dgm:t>
        <a:bodyPr/>
        <a:lstStyle/>
        <a:p>
          <a:r>
            <a:rPr lang="en-CA" sz="900" b="1"/>
            <a:t>Outcomes</a:t>
          </a:r>
          <a:r>
            <a:rPr lang="en-CA" sz="900"/>
            <a:t> </a:t>
          </a:r>
          <a:endParaRPr lang="en-US" sz="900"/>
        </a:p>
      </dgm:t>
    </dgm:pt>
    <dgm:pt modelId="{25A0AC27-7B19-1649-B5D7-BA3E1654CDAA}" type="parTrans" cxnId="{D530DBF0-53C9-AC46-8FC6-46D395A90836}">
      <dgm:prSet/>
      <dgm:spPr/>
      <dgm:t>
        <a:bodyPr/>
        <a:lstStyle/>
        <a:p>
          <a:endParaRPr lang="en-US" sz="900"/>
        </a:p>
      </dgm:t>
    </dgm:pt>
    <dgm:pt modelId="{17ADC544-DF31-AE4E-972C-78F80CEE8C45}" type="sibTrans" cxnId="{D530DBF0-53C9-AC46-8FC6-46D395A90836}">
      <dgm:prSet custT="1"/>
      <dgm:spPr/>
      <dgm:t>
        <a:bodyPr/>
        <a:lstStyle/>
        <a:p>
          <a:endParaRPr lang="en-US" sz="900"/>
        </a:p>
      </dgm:t>
    </dgm:pt>
    <dgm:pt modelId="{4B1F0BBB-AAF2-5C48-98F8-23CE6AC52904}">
      <dgm:prSet custT="1"/>
      <dgm:spPr/>
      <dgm:t>
        <a:bodyPr/>
        <a:lstStyle/>
        <a:p>
          <a:r>
            <a:rPr lang="en-CA" sz="900"/>
            <a:t>Short-term:  Increased equity-focused HTA recommendations   </a:t>
          </a:r>
          <a:endParaRPr lang="en-US" sz="900"/>
        </a:p>
      </dgm:t>
    </dgm:pt>
    <dgm:pt modelId="{CAE0B0D1-9D45-1345-9850-54C4CCBC9A67}" type="parTrans" cxnId="{3DFEFA5C-5411-8346-840C-801F0709988A}">
      <dgm:prSet/>
      <dgm:spPr/>
      <dgm:t>
        <a:bodyPr/>
        <a:lstStyle/>
        <a:p>
          <a:endParaRPr lang="en-US" sz="900"/>
        </a:p>
      </dgm:t>
    </dgm:pt>
    <dgm:pt modelId="{A90A9286-8879-7545-A3E1-017764333EE9}" type="sibTrans" cxnId="{3DFEFA5C-5411-8346-840C-801F0709988A}">
      <dgm:prSet/>
      <dgm:spPr/>
      <dgm:t>
        <a:bodyPr/>
        <a:lstStyle/>
        <a:p>
          <a:endParaRPr lang="en-US" sz="900"/>
        </a:p>
      </dgm:t>
    </dgm:pt>
    <dgm:pt modelId="{5840E1BF-FEF6-004A-BAF2-7847DC305802}">
      <dgm:prSet custT="1"/>
      <dgm:spPr/>
      <dgm:t>
        <a:bodyPr/>
        <a:lstStyle/>
        <a:p>
          <a:r>
            <a:rPr lang="en-CA" sz="900"/>
            <a:t>Medium-term: Systematic health equity analysis and reporting   </a:t>
          </a:r>
        </a:p>
      </dgm:t>
    </dgm:pt>
    <dgm:pt modelId="{91011F37-25C7-FD44-B15A-479E189FF511}" type="parTrans" cxnId="{FA86D3CC-07E4-C042-9898-7824DDD8CF94}">
      <dgm:prSet/>
      <dgm:spPr/>
      <dgm:t>
        <a:bodyPr/>
        <a:lstStyle/>
        <a:p>
          <a:endParaRPr lang="en-US" sz="900"/>
        </a:p>
      </dgm:t>
    </dgm:pt>
    <dgm:pt modelId="{626DCF09-7254-554A-8787-9858616FE35C}" type="sibTrans" cxnId="{FA86D3CC-07E4-C042-9898-7824DDD8CF94}">
      <dgm:prSet/>
      <dgm:spPr/>
      <dgm:t>
        <a:bodyPr/>
        <a:lstStyle/>
        <a:p>
          <a:endParaRPr lang="en-US" sz="900"/>
        </a:p>
      </dgm:t>
    </dgm:pt>
    <dgm:pt modelId="{78E3575F-1F98-3B41-9E25-E85F0EBB5D14}">
      <dgm:prSet custT="1"/>
      <dgm:spPr/>
      <dgm:t>
        <a:bodyPr/>
        <a:lstStyle/>
        <a:p>
          <a:r>
            <a:rPr lang="en-CA" sz="900"/>
            <a:t>Long-term: systemic change in healthcare delivery </a:t>
          </a:r>
          <a:endParaRPr lang="en-US" sz="900"/>
        </a:p>
      </dgm:t>
    </dgm:pt>
    <dgm:pt modelId="{306CBE0B-8486-F140-8C7D-B2064DB97C84}" type="parTrans" cxnId="{8EC72E59-AE7E-C042-881A-C9758077C3D8}">
      <dgm:prSet/>
      <dgm:spPr/>
      <dgm:t>
        <a:bodyPr/>
        <a:lstStyle/>
        <a:p>
          <a:endParaRPr lang="en-US" sz="900"/>
        </a:p>
      </dgm:t>
    </dgm:pt>
    <dgm:pt modelId="{0319E42E-64B4-1D44-98B3-FB5BFF101EDE}" type="sibTrans" cxnId="{8EC72E59-AE7E-C042-881A-C9758077C3D8}">
      <dgm:prSet/>
      <dgm:spPr/>
      <dgm:t>
        <a:bodyPr/>
        <a:lstStyle/>
        <a:p>
          <a:endParaRPr lang="en-US" sz="900"/>
        </a:p>
      </dgm:t>
    </dgm:pt>
    <dgm:pt modelId="{2738A9EF-0889-8A41-9B77-7FCC5DF5A09C}">
      <dgm:prSet custT="1"/>
      <dgm:spPr/>
      <dgm:t>
        <a:bodyPr/>
        <a:lstStyle/>
        <a:p>
          <a:pPr algn="l"/>
          <a:r>
            <a:rPr lang="en-US" sz="900" b="1"/>
            <a:t>Impact</a:t>
          </a:r>
          <a:r>
            <a:rPr lang="en-US" sz="900"/>
            <a:t> </a:t>
          </a:r>
        </a:p>
        <a:p>
          <a:pPr algn="l"/>
          <a:r>
            <a:rPr lang="en-US" sz="900"/>
            <a:t>Improved health equity </a:t>
          </a:r>
        </a:p>
      </dgm:t>
    </dgm:pt>
    <dgm:pt modelId="{689FDFEB-04DF-5B4E-A7D6-F9B7C52B6DCE}" type="parTrans" cxnId="{CC1DA90F-3EF0-2A49-8889-32125520C257}">
      <dgm:prSet/>
      <dgm:spPr/>
      <dgm:t>
        <a:bodyPr/>
        <a:lstStyle/>
        <a:p>
          <a:endParaRPr lang="en-US" sz="900"/>
        </a:p>
      </dgm:t>
    </dgm:pt>
    <dgm:pt modelId="{AF085B47-B9A2-C047-AA71-C7C3F9015FF1}" type="sibTrans" cxnId="{CC1DA90F-3EF0-2A49-8889-32125520C257}">
      <dgm:prSet/>
      <dgm:spPr/>
      <dgm:t>
        <a:bodyPr/>
        <a:lstStyle/>
        <a:p>
          <a:endParaRPr lang="en-US" sz="900"/>
        </a:p>
      </dgm:t>
    </dgm:pt>
    <dgm:pt modelId="{57635B8E-E144-614A-BDC0-13A001F213B8}" type="pres">
      <dgm:prSet presAssocID="{C13DAF5A-11CB-AE48-B976-29E0C665A18A}" presName="Name0" presStyleCnt="0">
        <dgm:presLayoutVars>
          <dgm:dir/>
          <dgm:resizeHandles val="exact"/>
        </dgm:presLayoutVars>
      </dgm:prSet>
      <dgm:spPr/>
    </dgm:pt>
    <dgm:pt modelId="{DF4529B9-C864-DD4C-8F9C-9144B81C5675}" type="pres">
      <dgm:prSet presAssocID="{A775E7B0-49F9-B54C-9940-6173B942E963}" presName="node" presStyleLbl="node1" presStyleIdx="0" presStyleCnt="5">
        <dgm:presLayoutVars>
          <dgm:bulletEnabled val="1"/>
        </dgm:presLayoutVars>
      </dgm:prSet>
      <dgm:spPr/>
    </dgm:pt>
    <dgm:pt modelId="{D4EB22FF-8854-704E-8CB0-E7ACB5A4FF56}" type="pres">
      <dgm:prSet presAssocID="{719A33FA-A9BB-9340-B458-23FA8D551849}" presName="sibTrans" presStyleLbl="sibTrans2D1" presStyleIdx="0" presStyleCnt="4"/>
      <dgm:spPr/>
    </dgm:pt>
    <dgm:pt modelId="{68F00ADD-69CD-AE48-9B26-3C70D6923A27}" type="pres">
      <dgm:prSet presAssocID="{719A33FA-A9BB-9340-B458-23FA8D551849}" presName="connectorText" presStyleLbl="sibTrans2D1" presStyleIdx="0" presStyleCnt="4"/>
      <dgm:spPr/>
    </dgm:pt>
    <dgm:pt modelId="{D6FDDF58-F7AD-EF48-B188-D54D5DFF2A0F}" type="pres">
      <dgm:prSet presAssocID="{92C772F4-0C42-434D-A449-66669152AE26}" presName="node" presStyleLbl="node1" presStyleIdx="1" presStyleCnt="5">
        <dgm:presLayoutVars>
          <dgm:bulletEnabled val="1"/>
        </dgm:presLayoutVars>
      </dgm:prSet>
      <dgm:spPr/>
    </dgm:pt>
    <dgm:pt modelId="{B7F42954-840E-A942-8FD7-DC2BBC64D131}" type="pres">
      <dgm:prSet presAssocID="{AB1BE747-27D5-B04F-8936-DC3F1C9D3764}" presName="sibTrans" presStyleLbl="sibTrans2D1" presStyleIdx="1" presStyleCnt="4"/>
      <dgm:spPr/>
    </dgm:pt>
    <dgm:pt modelId="{09027619-BE72-754A-BC4E-6E7C5B572571}" type="pres">
      <dgm:prSet presAssocID="{AB1BE747-27D5-B04F-8936-DC3F1C9D3764}" presName="connectorText" presStyleLbl="sibTrans2D1" presStyleIdx="1" presStyleCnt="4"/>
      <dgm:spPr/>
    </dgm:pt>
    <dgm:pt modelId="{E729A0CB-F3C8-6E42-BEFA-42649BB803A2}" type="pres">
      <dgm:prSet presAssocID="{84C14D13-C9F6-9D4A-884C-0539E78458F2}" presName="node" presStyleLbl="node1" presStyleIdx="2" presStyleCnt="5">
        <dgm:presLayoutVars>
          <dgm:bulletEnabled val="1"/>
        </dgm:presLayoutVars>
      </dgm:prSet>
      <dgm:spPr/>
    </dgm:pt>
    <dgm:pt modelId="{57551D98-FA7B-434D-AAA6-9F39575E0157}" type="pres">
      <dgm:prSet presAssocID="{9F2AE901-5476-9A46-9E6B-331C3F3F9D04}" presName="sibTrans" presStyleLbl="sibTrans2D1" presStyleIdx="2" presStyleCnt="4"/>
      <dgm:spPr/>
    </dgm:pt>
    <dgm:pt modelId="{D0DE6E2B-5620-B346-BC6B-8E202E9D4AE3}" type="pres">
      <dgm:prSet presAssocID="{9F2AE901-5476-9A46-9E6B-331C3F3F9D04}" presName="connectorText" presStyleLbl="sibTrans2D1" presStyleIdx="2" presStyleCnt="4"/>
      <dgm:spPr/>
    </dgm:pt>
    <dgm:pt modelId="{06EBD26E-7C15-4446-93E2-E99D0BFD67FF}" type="pres">
      <dgm:prSet presAssocID="{E1B98710-5D47-8D4C-9C3D-38DB1F9E96B5}" presName="node" presStyleLbl="node1" presStyleIdx="3" presStyleCnt="5">
        <dgm:presLayoutVars>
          <dgm:bulletEnabled val="1"/>
        </dgm:presLayoutVars>
      </dgm:prSet>
      <dgm:spPr/>
    </dgm:pt>
    <dgm:pt modelId="{6FD2C3BB-03CC-F940-8324-1B38C36D53D7}" type="pres">
      <dgm:prSet presAssocID="{17ADC544-DF31-AE4E-972C-78F80CEE8C45}" presName="sibTrans" presStyleLbl="sibTrans2D1" presStyleIdx="3" presStyleCnt="4"/>
      <dgm:spPr/>
    </dgm:pt>
    <dgm:pt modelId="{8EEC30FC-DB51-7C44-B2FD-FCF74314044C}" type="pres">
      <dgm:prSet presAssocID="{17ADC544-DF31-AE4E-972C-78F80CEE8C45}" presName="connectorText" presStyleLbl="sibTrans2D1" presStyleIdx="3" presStyleCnt="4"/>
      <dgm:spPr/>
    </dgm:pt>
    <dgm:pt modelId="{C2A7ACB0-A23D-5242-885E-4C8693B3C95B}" type="pres">
      <dgm:prSet presAssocID="{2738A9EF-0889-8A41-9B77-7FCC5DF5A09C}" presName="node" presStyleLbl="node1" presStyleIdx="4" presStyleCnt="5">
        <dgm:presLayoutVars>
          <dgm:bulletEnabled val="1"/>
        </dgm:presLayoutVars>
      </dgm:prSet>
      <dgm:spPr/>
    </dgm:pt>
  </dgm:ptLst>
  <dgm:cxnLst>
    <dgm:cxn modelId="{9F0A730D-BC13-8748-A2FA-82D541268A94}" srcId="{8627572A-6549-1448-83BB-23F3935B1626}" destId="{28F10E0E-3605-E849-94D1-126DC37E9DA5}" srcOrd="0" destOrd="0" parTransId="{47AFACE9-F36E-EB42-B23F-3686BF60D2E0}" sibTransId="{9635CF3D-868D-C443-A0F1-EDD1D24728E7}"/>
    <dgm:cxn modelId="{8773D60D-DDE6-AA48-9CDB-58B1D88700F4}" srcId="{EA4F5AB1-BBF1-F146-85AD-350989E00594}" destId="{4F0D2066-1F8D-2C4A-B910-508C18F9A5F8}" srcOrd="0" destOrd="0" parTransId="{3CB23C48-529D-994F-98AC-8FC859A64C8F}" sibTransId="{220C973F-694F-1B4A-B534-C7EC9D473110}"/>
    <dgm:cxn modelId="{410EAD0E-AD43-E441-A0EF-253A200837A2}" type="presOf" srcId="{D873770D-B98E-EA40-8396-7F823F7DC9E5}" destId="{DF4529B9-C864-DD4C-8F9C-9144B81C5675}" srcOrd="0" destOrd="1" presId="urn:microsoft.com/office/officeart/2005/8/layout/process1"/>
    <dgm:cxn modelId="{CC1DA90F-3EF0-2A49-8889-32125520C257}" srcId="{C13DAF5A-11CB-AE48-B976-29E0C665A18A}" destId="{2738A9EF-0889-8A41-9B77-7FCC5DF5A09C}" srcOrd="4" destOrd="0" parTransId="{689FDFEB-04DF-5B4E-A7D6-F9B7C52B6DCE}" sibTransId="{AF085B47-B9A2-C047-AA71-C7C3F9015FF1}"/>
    <dgm:cxn modelId="{1D503D11-7DF8-464E-B373-5D02339F57E4}" srcId="{C13DAF5A-11CB-AE48-B976-29E0C665A18A}" destId="{84C14D13-C9F6-9D4A-884C-0539E78458F2}" srcOrd="2" destOrd="0" parTransId="{FE331878-AA73-2941-B85D-831062C9E7D6}" sibTransId="{9F2AE901-5476-9A46-9E6B-331C3F3F9D04}"/>
    <dgm:cxn modelId="{62D1761B-8174-C144-9BB9-345DD84C45F5}" srcId="{84C14D13-C9F6-9D4A-884C-0539E78458F2}" destId="{379FFB80-8CEF-2346-8D99-1C5E72EC16B3}" srcOrd="0" destOrd="0" parTransId="{85FCFEE6-3174-9A40-A01E-E86DBD0148F7}" sibTransId="{906E0DCC-B5B3-8543-A0F8-ABB8BE806661}"/>
    <dgm:cxn modelId="{41C7031E-7CA7-4541-8DAE-2BBD85B9A616}" type="presOf" srcId="{8627572A-6549-1448-83BB-23F3935B1626}" destId="{D6FDDF58-F7AD-EF48-B188-D54D5DFF2A0F}" srcOrd="0" destOrd="4" presId="urn:microsoft.com/office/officeart/2005/8/layout/process1"/>
    <dgm:cxn modelId="{827F371E-F4FF-AA4C-A41C-F374752B4BF7}" srcId="{B2E96655-8985-564F-B9F9-C79ECCE0E161}" destId="{36D51504-FA89-5C4E-80FC-F84EDE0B9075}" srcOrd="0" destOrd="0" parTransId="{BC50FC04-FCDC-EE4B-86A4-25539487F938}" sibTransId="{66C02BC4-25D3-3547-AD5E-BD40E31EC1D2}"/>
    <dgm:cxn modelId="{DBCA2421-4703-A747-8C5F-B44C9BB3D674}" type="presOf" srcId="{AB1BE747-27D5-B04F-8936-DC3F1C9D3764}" destId="{09027619-BE72-754A-BC4E-6E7C5B572571}" srcOrd="1" destOrd="0" presId="urn:microsoft.com/office/officeart/2005/8/layout/process1"/>
    <dgm:cxn modelId="{86783122-FA64-1048-A1CF-BFA32A99DD62}" type="presOf" srcId="{9F2AE901-5476-9A46-9E6B-331C3F3F9D04}" destId="{57551D98-FA7B-434D-AAA6-9F39575E0157}" srcOrd="0" destOrd="0" presId="urn:microsoft.com/office/officeart/2005/8/layout/process1"/>
    <dgm:cxn modelId="{D87F9A24-6A39-884F-84E4-9C21C17DC1EC}" type="presOf" srcId="{FE239908-297B-2B4E-A085-21CFDECFC84C}" destId="{DF4529B9-C864-DD4C-8F9C-9144B81C5675}" srcOrd="0" destOrd="6" presId="urn:microsoft.com/office/officeart/2005/8/layout/process1"/>
    <dgm:cxn modelId="{27BF5A2B-B295-6949-B830-A99A4C4C0C17}" type="presOf" srcId="{BA8C5C4E-D4A4-A042-9713-E527C373E3ED}" destId="{D6FDDF58-F7AD-EF48-B188-D54D5DFF2A0F}" srcOrd="0" destOrd="10" presId="urn:microsoft.com/office/officeart/2005/8/layout/process1"/>
    <dgm:cxn modelId="{909E662B-9467-8C45-BF73-AB42F06CF779}" srcId="{84C14D13-C9F6-9D4A-884C-0539E78458F2}" destId="{00076835-C8B7-B349-B287-7AB1E5E1D25E}" srcOrd="2" destOrd="0" parTransId="{BCFC686F-7DC0-8642-9612-6801FF2F57FC}" sibTransId="{647E5E6E-50E9-634F-8FB6-2A05EEA7EF9E}"/>
    <dgm:cxn modelId="{35EC4D30-0CE5-734E-8704-DFA89C8B254E}" type="presOf" srcId="{C13DAF5A-11CB-AE48-B976-29E0C665A18A}" destId="{57635B8E-E144-614A-BDC0-13A001F213B8}" srcOrd="0" destOrd="0" presId="urn:microsoft.com/office/officeart/2005/8/layout/process1"/>
    <dgm:cxn modelId="{928AD132-D856-EC47-842C-A1F7A9D91EF5}" type="presOf" srcId="{991AE405-B288-194A-850A-D9C968CF4FE7}" destId="{D6FDDF58-F7AD-EF48-B188-D54D5DFF2A0F}" srcOrd="0" destOrd="11" presId="urn:microsoft.com/office/officeart/2005/8/layout/process1"/>
    <dgm:cxn modelId="{820FD233-E2D4-EA44-8F13-33D7D9D9659D}" type="presOf" srcId="{5BB342E7-2BA5-AB47-B671-6AD6D753D0E7}" destId="{DF4529B9-C864-DD4C-8F9C-9144B81C5675}" srcOrd="0" destOrd="5" presId="urn:microsoft.com/office/officeart/2005/8/layout/process1"/>
    <dgm:cxn modelId="{59BADF35-3C3C-1444-8453-BE0F5180AC94}" srcId="{92C772F4-0C42-434D-A449-66669152AE26}" destId="{B2E96655-8985-564F-B9F9-C79ECCE0E161}" srcOrd="0" destOrd="0" parTransId="{B1C1D2A2-D2C6-144A-B600-8779AE950E65}" sibTransId="{661B1C4F-F3AA-4348-9EED-8A632C948A6B}"/>
    <dgm:cxn modelId="{24CC8D40-4B78-5D46-BC89-FEE22799E202}" type="presOf" srcId="{4B1F0BBB-AAF2-5C48-98F8-23CE6AC52904}" destId="{06EBD26E-7C15-4446-93E2-E99D0BFD67FF}" srcOrd="0" destOrd="1" presId="urn:microsoft.com/office/officeart/2005/8/layout/process1"/>
    <dgm:cxn modelId="{D3DE2642-1818-9C4C-A615-6167CD1CD3A1}" type="presOf" srcId="{EA4F5AB1-BBF1-F146-85AD-350989E00594}" destId="{D6FDDF58-F7AD-EF48-B188-D54D5DFF2A0F}" srcOrd="0" destOrd="7" presId="urn:microsoft.com/office/officeart/2005/8/layout/process1"/>
    <dgm:cxn modelId="{BA1ACF45-8BE8-CB4F-8128-B50CE85D6F28}" type="presOf" srcId="{D647C969-5013-834D-89CD-B67506465636}" destId="{D6FDDF58-F7AD-EF48-B188-D54D5DFF2A0F}" srcOrd="0" destOrd="9" presId="urn:microsoft.com/office/officeart/2005/8/layout/process1"/>
    <dgm:cxn modelId="{3F6FE546-29D8-EE45-9F99-A0D7316BAF0A}" type="presOf" srcId="{78E3575F-1F98-3B41-9E25-E85F0EBB5D14}" destId="{06EBD26E-7C15-4446-93E2-E99D0BFD67FF}" srcOrd="0" destOrd="3" presId="urn:microsoft.com/office/officeart/2005/8/layout/process1"/>
    <dgm:cxn modelId="{A37A2248-ADE9-1C41-A857-9C8AA6AF75F0}" type="presOf" srcId="{5840E1BF-FEF6-004A-BAF2-7847DC305802}" destId="{06EBD26E-7C15-4446-93E2-E99D0BFD67FF}" srcOrd="0" destOrd="2" presId="urn:microsoft.com/office/officeart/2005/8/layout/process1"/>
    <dgm:cxn modelId="{105FC448-86A0-3B46-977C-BDBAE68D94FC}" type="presOf" srcId="{719A33FA-A9BB-9340-B458-23FA8D551849}" destId="{D4EB22FF-8854-704E-8CB0-E7ACB5A4FF56}" srcOrd="0" destOrd="0" presId="urn:microsoft.com/office/officeart/2005/8/layout/process1"/>
    <dgm:cxn modelId="{53B1B849-C122-394A-98A2-BB36CD1124E2}" type="presOf" srcId="{4F0D2066-1F8D-2C4A-B910-508C18F9A5F8}" destId="{D6FDDF58-F7AD-EF48-B188-D54D5DFF2A0F}" srcOrd="0" destOrd="8" presId="urn:microsoft.com/office/officeart/2005/8/layout/process1"/>
    <dgm:cxn modelId="{A683D44B-005C-BA4C-B633-04CC1B9065F5}" type="presOf" srcId="{92C772F4-0C42-434D-A449-66669152AE26}" destId="{D6FDDF58-F7AD-EF48-B188-D54D5DFF2A0F}" srcOrd="0" destOrd="0" presId="urn:microsoft.com/office/officeart/2005/8/layout/process1"/>
    <dgm:cxn modelId="{8EC72E59-AE7E-C042-881A-C9758077C3D8}" srcId="{E1B98710-5D47-8D4C-9C3D-38DB1F9E96B5}" destId="{78E3575F-1F98-3B41-9E25-E85F0EBB5D14}" srcOrd="2" destOrd="0" parTransId="{306CBE0B-8486-F140-8C7D-B2064DB97C84}" sibTransId="{0319E42E-64B4-1D44-98B3-FB5BFF101EDE}"/>
    <dgm:cxn modelId="{6F174059-0EE8-AF4F-8A2C-EAAD63B554EA}" type="presOf" srcId="{36D51504-FA89-5C4E-80FC-F84EDE0B9075}" destId="{D6FDDF58-F7AD-EF48-B188-D54D5DFF2A0F}" srcOrd="0" destOrd="2" presId="urn:microsoft.com/office/officeart/2005/8/layout/process1"/>
    <dgm:cxn modelId="{3DFEFA5C-5411-8346-840C-801F0709988A}" srcId="{E1B98710-5D47-8D4C-9C3D-38DB1F9E96B5}" destId="{4B1F0BBB-AAF2-5C48-98F8-23CE6AC52904}" srcOrd="0" destOrd="0" parTransId="{CAE0B0D1-9D45-1345-9850-54C4CCBC9A67}" sibTransId="{A90A9286-8879-7545-A3E1-017764333EE9}"/>
    <dgm:cxn modelId="{86BC2B5F-29B7-3B4B-A204-4E93A455F9E9}" type="presOf" srcId="{E348AB1E-8592-CA44-A823-D0017759F1A3}" destId="{D6FDDF58-F7AD-EF48-B188-D54D5DFF2A0F}" srcOrd="0" destOrd="6" presId="urn:microsoft.com/office/officeart/2005/8/layout/process1"/>
    <dgm:cxn modelId="{4B6AB161-F0E3-C742-8BE2-D4AFC7AED531}" srcId="{BA8C5C4E-D4A4-A042-9713-E527C373E3ED}" destId="{991AE405-B288-194A-850A-D9C968CF4FE7}" srcOrd="0" destOrd="0" parTransId="{8E3DA6CE-A08D-F244-9BBE-CBD64E826025}" sibTransId="{8C064F17-10CE-FD4E-8A42-48373FF459BD}"/>
    <dgm:cxn modelId="{BB076068-4B63-774C-A4E9-DECE23D19E02}" srcId="{A775E7B0-49F9-B54C-9940-6173B942E963}" destId="{D873770D-B98E-EA40-8396-7F823F7DC9E5}" srcOrd="0" destOrd="0" parTransId="{3D1A1634-51E4-1E43-A4F1-91FA1F14348D}" sibTransId="{664C6977-F56E-E74F-8324-BA5026586C96}"/>
    <dgm:cxn modelId="{0E501C6C-81F3-1048-96E5-A1C0FA436006}" srcId="{92C772F4-0C42-434D-A449-66669152AE26}" destId="{EA4F5AB1-BBF1-F146-85AD-350989E00594}" srcOrd="1" destOrd="0" parTransId="{FDF418E0-FED3-4848-B331-113914207E3A}" sibTransId="{8280EF09-4CC3-4347-B425-D1FC2F33E753}"/>
    <dgm:cxn modelId="{715EE871-86BE-A04B-87A3-79B55DBEB325}" type="presOf" srcId="{8786B352-20B2-A74D-80C4-F21B7E2CAC8D}" destId="{D6FDDF58-F7AD-EF48-B188-D54D5DFF2A0F}" srcOrd="0" destOrd="3" presId="urn:microsoft.com/office/officeart/2005/8/layout/process1"/>
    <dgm:cxn modelId="{A5764D73-4F39-7148-AFFC-C3621D2786D3}" type="presOf" srcId="{74581E50-82B6-6140-87BA-9AD9676C71EA}" destId="{E729A0CB-F3C8-6E42-BEFA-42649BB803A2}" srcOrd="0" destOrd="2" presId="urn:microsoft.com/office/officeart/2005/8/layout/process1"/>
    <dgm:cxn modelId="{FE37A374-47E8-294D-8196-DD6DB72C7258}" type="presOf" srcId="{D72D14BE-470F-2646-B166-182E05E17C5A}" destId="{DF4529B9-C864-DD4C-8F9C-9144B81C5675}" srcOrd="0" destOrd="2" presId="urn:microsoft.com/office/officeart/2005/8/layout/process1"/>
    <dgm:cxn modelId="{5C42B574-B5A3-4F47-8142-1B7655935DD2}" type="presOf" srcId="{17ADC544-DF31-AE4E-972C-78F80CEE8C45}" destId="{6FD2C3BB-03CC-F940-8324-1B38C36D53D7}" srcOrd="0" destOrd="0" presId="urn:microsoft.com/office/officeart/2005/8/layout/process1"/>
    <dgm:cxn modelId="{3725657A-B1B2-F945-A509-232147000C1F}" type="presOf" srcId="{2738A9EF-0889-8A41-9B77-7FCC5DF5A09C}" destId="{C2A7ACB0-A23D-5242-885E-4C8693B3C95B}" srcOrd="0" destOrd="0" presId="urn:microsoft.com/office/officeart/2005/8/layout/process1"/>
    <dgm:cxn modelId="{B8240A7D-16EE-554A-A4D2-63A8E04D07A8}" srcId="{A775E7B0-49F9-B54C-9940-6173B942E963}" destId="{DD034B0D-C7DE-4749-A71C-6FFD334EB306}" srcOrd="2" destOrd="0" parTransId="{9CA0F82F-DC9C-4240-BCB4-4B6AF67F0EBE}" sibTransId="{B95E27D9-ABC4-1148-A6D9-B34A12F33544}"/>
    <dgm:cxn modelId="{6C2CD483-0D4A-D74F-B742-4BBE7E0F699D}" type="presOf" srcId="{D27B647B-275B-3E48-9064-ED834A22B31F}" destId="{D6FDDF58-F7AD-EF48-B188-D54D5DFF2A0F}" srcOrd="0" destOrd="12" presId="urn:microsoft.com/office/officeart/2005/8/layout/process1"/>
    <dgm:cxn modelId="{8AC3D48C-0796-FB4F-B85F-2FF28D4529A6}" type="presOf" srcId="{E1B98710-5D47-8D4C-9C3D-38DB1F9E96B5}" destId="{06EBD26E-7C15-4446-93E2-E99D0BFD67FF}" srcOrd="0" destOrd="0" presId="urn:microsoft.com/office/officeart/2005/8/layout/process1"/>
    <dgm:cxn modelId="{CC2A148F-EAF9-9645-A0B9-793DD9F837FD}" type="presOf" srcId="{84C14D13-C9F6-9D4A-884C-0539E78458F2}" destId="{E729A0CB-F3C8-6E42-BEFA-42649BB803A2}" srcOrd="0" destOrd="0" presId="urn:microsoft.com/office/officeart/2005/8/layout/process1"/>
    <dgm:cxn modelId="{EF438092-A2C7-C04F-99E2-DF9D59AB8227}" srcId="{84C14D13-C9F6-9D4A-884C-0539E78458F2}" destId="{74581E50-82B6-6140-87BA-9AD9676C71EA}" srcOrd="1" destOrd="0" parTransId="{40E40FA8-36F5-BB4E-BD61-EC0D0941ADA8}" sibTransId="{C882BF0F-6A3C-7948-9A2D-2746FF808206}"/>
    <dgm:cxn modelId="{9061F298-1097-BE44-99EF-AF93AD24AB50}" type="presOf" srcId="{28F10E0E-3605-E849-94D1-126DC37E9DA5}" destId="{D6FDDF58-F7AD-EF48-B188-D54D5DFF2A0F}" srcOrd="0" destOrd="5" presId="urn:microsoft.com/office/officeart/2005/8/layout/process1"/>
    <dgm:cxn modelId="{98CEDE9E-53AB-A84E-9F08-19DDEB9A8D93}" srcId="{92C772F4-0C42-434D-A449-66669152AE26}" destId="{D27B647B-275B-3E48-9064-ED834A22B31F}" srcOrd="3" destOrd="0" parTransId="{DF78A872-53C3-0E48-B09E-024A2D10616A}" sibTransId="{E1463A46-9B78-9444-A5B3-730031D79EE4}"/>
    <dgm:cxn modelId="{977FB9A0-890E-9C47-937F-736DBD8C5F8B}" type="presOf" srcId="{B2E96655-8985-564F-B9F9-C79ECCE0E161}" destId="{D6FDDF58-F7AD-EF48-B188-D54D5DFF2A0F}" srcOrd="0" destOrd="1" presId="urn:microsoft.com/office/officeart/2005/8/layout/process1"/>
    <dgm:cxn modelId="{211E80A1-EDD0-484D-8773-970CC743095F}" type="presOf" srcId="{432BE327-3483-F643-A0F6-8C60D1E4AE83}" destId="{DF4529B9-C864-DD4C-8F9C-9144B81C5675}" srcOrd="0" destOrd="4" presId="urn:microsoft.com/office/officeart/2005/8/layout/process1"/>
    <dgm:cxn modelId="{77FD8AA6-80C5-444C-B9A4-B512C0B344B0}" type="presOf" srcId="{A775E7B0-49F9-B54C-9940-6173B942E963}" destId="{DF4529B9-C864-DD4C-8F9C-9144B81C5675}" srcOrd="0" destOrd="0" presId="urn:microsoft.com/office/officeart/2005/8/layout/process1"/>
    <dgm:cxn modelId="{3CEBB1A9-8A3B-F54D-A516-3B4AA7B1E89C}" srcId="{A775E7B0-49F9-B54C-9940-6173B942E963}" destId="{432BE327-3483-F643-A0F6-8C60D1E4AE83}" srcOrd="3" destOrd="0" parTransId="{DD039BCB-A6F4-3844-8FBE-6D6B45F9AD0B}" sibTransId="{7A6D57D0-B4C6-E94B-A327-D09BF6A768E3}"/>
    <dgm:cxn modelId="{4DF9E7AC-9B7D-DB4A-994C-16422995BD7F}" srcId="{92C772F4-0C42-434D-A449-66669152AE26}" destId="{BA8C5C4E-D4A4-A042-9713-E527C373E3ED}" srcOrd="2" destOrd="0" parTransId="{3799240F-5280-D84F-95AF-56DCC6B4CA33}" sibTransId="{2D5633CF-41B1-E243-A977-E2F35E52E947}"/>
    <dgm:cxn modelId="{E41927AD-4568-2748-B2A3-EE60390F9FAB}" type="presOf" srcId="{719A33FA-A9BB-9340-B458-23FA8D551849}" destId="{68F00ADD-69CD-AE48-9B26-3C70D6923A27}" srcOrd="1" destOrd="0" presId="urn:microsoft.com/office/officeart/2005/8/layout/process1"/>
    <dgm:cxn modelId="{31B356B6-4E49-6F4F-95A3-2F27DDB35FA3}" srcId="{B2E96655-8985-564F-B9F9-C79ECCE0E161}" destId="{8627572A-6549-1448-83BB-23F3935B1626}" srcOrd="2" destOrd="0" parTransId="{C749D1F2-E0DA-D54C-82F8-22CFCF027C50}" sibTransId="{5D5E97AA-310F-EF4A-A313-D52B54EFEE55}"/>
    <dgm:cxn modelId="{ACAE71BA-0EE8-AD4A-AB0D-AFC6BA5FE3B3}" type="presOf" srcId="{9F2AE901-5476-9A46-9E6B-331C3F3F9D04}" destId="{D0DE6E2B-5620-B346-BC6B-8E202E9D4AE3}" srcOrd="1" destOrd="0" presId="urn:microsoft.com/office/officeart/2005/8/layout/process1"/>
    <dgm:cxn modelId="{21297CBA-95CC-6748-A6A5-A5B6855DE16B}" type="presOf" srcId="{00076835-C8B7-B349-B287-7AB1E5E1D25E}" destId="{E729A0CB-F3C8-6E42-BEFA-42649BB803A2}" srcOrd="0" destOrd="3" presId="urn:microsoft.com/office/officeart/2005/8/layout/process1"/>
    <dgm:cxn modelId="{CD0431BF-A1A6-904E-AC0F-60D02468344A}" type="presOf" srcId="{AB1BE747-27D5-B04F-8936-DC3F1C9D3764}" destId="{B7F42954-840E-A942-8FD7-DC2BBC64D131}" srcOrd="0" destOrd="0" presId="urn:microsoft.com/office/officeart/2005/8/layout/process1"/>
    <dgm:cxn modelId="{92130EC0-D706-8D4A-9B6D-730C22235A9E}" type="presOf" srcId="{DD034B0D-C7DE-4749-A71C-6FFD334EB306}" destId="{DF4529B9-C864-DD4C-8F9C-9144B81C5675}" srcOrd="0" destOrd="3" presId="urn:microsoft.com/office/officeart/2005/8/layout/process1"/>
    <dgm:cxn modelId="{FA86D3CC-07E4-C042-9898-7824DDD8CF94}" srcId="{E1B98710-5D47-8D4C-9C3D-38DB1F9E96B5}" destId="{5840E1BF-FEF6-004A-BAF2-7847DC305802}" srcOrd="1" destOrd="0" parTransId="{91011F37-25C7-FD44-B15A-479E189FF511}" sibTransId="{626DCF09-7254-554A-8787-9858616FE35C}"/>
    <dgm:cxn modelId="{E15E25D0-6A22-1D47-8765-BF17DC134F73}" srcId="{A775E7B0-49F9-B54C-9940-6173B942E963}" destId="{D72D14BE-470F-2646-B166-182E05E17C5A}" srcOrd="1" destOrd="0" parTransId="{2009A33F-2224-6B4C-87B7-A54DF0B36139}" sibTransId="{A09911FA-9AFC-CC4A-813C-AC77F0AFC484}"/>
    <dgm:cxn modelId="{798F36D0-E121-CE48-95AC-3DC8603A1CA2}" srcId="{5BB342E7-2BA5-AB47-B671-6AD6D753D0E7}" destId="{FE239908-297B-2B4E-A085-21CFDECFC84C}" srcOrd="0" destOrd="0" parTransId="{E6D34B3B-8251-0C46-9D50-5FB8F32E86EC}" sibTransId="{0250F5DC-7B39-C940-879B-C78D2D14C03E}"/>
    <dgm:cxn modelId="{FF882ED8-161A-6944-8382-4A6703E3F9E4}" type="presOf" srcId="{379FFB80-8CEF-2346-8D99-1C5E72EC16B3}" destId="{E729A0CB-F3C8-6E42-BEFA-42649BB803A2}" srcOrd="0" destOrd="1" presId="urn:microsoft.com/office/officeart/2005/8/layout/process1"/>
    <dgm:cxn modelId="{10804FDA-34D0-984B-9378-A0ADA9EDFAAD}" srcId="{EA4F5AB1-BBF1-F146-85AD-350989E00594}" destId="{D647C969-5013-834D-89CD-B67506465636}" srcOrd="1" destOrd="0" parTransId="{0AE476ED-A639-EB4C-8AF8-90EC151086BB}" sibTransId="{B74C8EAF-8FF7-9348-95FF-7284411CBB08}"/>
    <dgm:cxn modelId="{7D095ADF-00F5-4840-95A5-4DE4154854D1}" srcId="{C13DAF5A-11CB-AE48-B976-29E0C665A18A}" destId="{A775E7B0-49F9-B54C-9940-6173B942E963}" srcOrd="0" destOrd="0" parTransId="{26315CC3-81AB-B344-B497-8473C48D8C8F}" sibTransId="{719A33FA-A9BB-9340-B458-23FA8D551849}"/>
    <dgm:cxn modelId="{DD1092E1-D765-F447-AD88-D47D5A7774A1}" srcId="{B2E96655-8985-564F-B9F9-C79ECCE0E161}" destId="{8786B352-20B2-A74D-80C4-F21B7E2CAC8D}" srcOrd="1" destOrd="0" parTransId="{BBE49813-7B58-174C-B737-29ECA93103A5}" sibTransId="{FCB75B2D-843F-FF48-BF40-712C88FD859D}"/>
    <dgm:cxn modelId="{2B4342EC-9D04-5348-9AB2-2097D2F25D96}" srcId="{C13DAF5A-11CB-AE48-B976-29E0C665A18A}" destId="{92C772F4-0C42-434D-A449-66669152AE26}" srcOrd="1" destOrd="0" parTransId="{FD932A0A-463B-3048-A07B-98847DD7EDB4}" sibTransId="{AB1BE747-27D5-B04F-8936-DC3F1C9D3764}"/>
    <dgm:cxn modelId="{8EDCE6ED-BBE5-1249-968F-2684A07670D4}" type="presOf" srcId="{17ADC544-DF31-AE4E-972C-78F80CEE8C45}" destId="{8EEC30FC-DB51-7C44-B2FD-FCF74314044C}" srcOrd="1" destOrd="0" presId="urn:microsoft.com/office/officeart/2005/8/layout/process1"/>
    <dgm:cxn modelId="{68D6D1EE-3CC5-D341-B69A-495998B0B0AA}" srcId="{A775E7B0-49F9-B54C-9940-6173B942E963}" destId="{5BB342E7-2BA5-AB47-B671-6AD6D753D0E7}" srcOrd="4" destOrd="0" parTransId="{580DD1BB-9941-DB44-A1C7-1132C6F853DA}" sibTransId="{07D5A421-E6B4-8C46-A21D-F80DAF523AB6}"/>
    <dgm:cxn modelId="{D530DBF0-53C9-AC46-8FC6-46D395A90836}" srcId="{C13DAF5A-11CB-AE48-B976-29E0C665A18A}" destId="{E1B98710-5D47-8D4C-9C3D-38DB1F9E96B5}" srcOrd="3" destOrd="0" parTransId="{25A0AC27-7B19-1649-B5D7-BA3E1654CDAA}" sibTransId="{17ADC544-DF31-AE4E-972C-78F80CEE8C45}"/>
    <dgm:cxn modelId="{9D790EF8-90E8-1541-93B4-A4D188762448}" srcId="{8627572A-6549-1448-83BB-23F3935B1626}" destId="{E348AB1E-8592-CA44-A823-D0017759F1A3}" srcOrd="1" destOrd="0" parTransId="{14481944-96E5-464D-BCF8-947017EC69F1}" sibTransId="{0765E400-3CD4-C444-8AD6-A1D9BBDC9B1C}"/>
    <dgm:cxn modelId="{91362CCA-C34A-D44F-B242-E09BA42915BA}" type="presParOf" srcId="{57635B8E-E144-614A-BDC0-13A001F213B8}" destId="{DF4529B9-C864-DD4C-8F9C-9144B81C5675}" srcOrd="0" destOrd="0" presId="urn:microsoft.com/office/officeart/2005/8/layout/process1"/>
    <dgm:cxn modelId="{F7385E29-0DB4-504D-BC17-899997FD08C2}" type="presParOf" srcId="{57635B8E-E144-614A-BDC0-13A001F213B8}" destId="{D4EB22FF-8854-704E-8CB0-E7ACB5A4FF56}" srcOrd="1" destOrd="0" presId="urn:microsoft.com/office/officeart/2005/8/layout/process1"/>
    <dgm:cxn modelId="{2385E82C-B12A-4E48-ADF0-B04E1ECC98C3}" type="presParOf" srcId="{D4EB22FF-8854-704E-8CB0-E7ACB5A4FF56}" destId="{68F00ADD-69CD-AE48-9B26-3C70D6923A27}" srcOrd="0" destOrd="0" presId="urn:microsoft.com/office/officeart/2005/8/layout/process1"/>
    <dgm:cxn modelId="{F209E1D0-9257-CF4B-8A8A-7308836D17C8}" type="presParOf" srcId="{57635B8E-E144-614A-BDC0-13A001F213B8}" destId="{D6FDDF58-F7AD-EF48-B188-D54D5DFF2A0F}" srcOrd="2" destOrd="0" presId="urn:microsoft.com/office/officeart/2005/8/layout/process1"/>
    <dgm:cxn modelId="{CE278DB3-95A2-6049-885E-E90320F0811A}" type="presParOf" srcId="{57635B8E-E144-614A-BDC0-13A001F213B8}" destId="{B7F42954-840E-A942-8FD7-DC2BBC64D131}" srcOrd="3" destOrd="0" presId="urn:microsoft.com/office/officeart/2005/8/layout/process1"/>
    <dgm:cxn modelId="{DC96B83D-9CDD-DE49-AFD9-E3F33F24A419}" type="presParOf" srcId="{B7F42954-840E-A942-8FD7-DC2BBC64D131}" destId="{09027619-BE72-754A-BC4E-6E7C5B572571}" srcOrd="0" destOrd="0" presId="urn:microsoft.com/office/officeart/2005/8/layout/process1"/>
    <dgm:cxn modelId="{103E39B2-A1F0-5F4A-AC39-971D9CD60E70}" type="presParOf" srcId="{57635B8E-E144-614A-BDC0-13A001F213B8}" destId="{E729A0CB-F3C8-6E42-BEFA-42649BB803A2}" srcOrd="4" destOrd="0" presId="urn:microsoft.com/office/officeart/2005/8/layout/process1"/>
    <dgm:cxn modelId="{FFCFDD97-7247-E64F-93D2-3536DB8631C6}" type="presParOf" srcId="{57635B8E-E144-614A-BDC0-13A001F213B8}" destId="{57551D98-FA7B-434D-AAA6-9F39575E0157}" srcOrd="5" destOrd="0" presId="urn:microsoft.com/office/officeart/2005/8/layout/process1"/>
    <dgm:cxn modelId="{78996DD1-0E42-C847-B330-38F295F110F9}" type="presParOf" srcId="{57551D98-FA7B-434D-AAA6-9F39575E0157}" destId="{D0DE6E2B-5620-B346-BC6B-8E202E9D4AE3}" srcOrd="0" destOrd="0" presId="urn:microsoft.com/office/officeart/2005/8/layout/process1"/>
    <dgm:cxn modelId="{40DBB8B3-6303-B44F-9FF9-63A0E25E4074}" type="presParOf" srcId="{57635B8E-E144-614A-BDC0-13A001F213B8}" destId="{06EBD26E-7C15-4446-93E2-E99D0BFD67FF}" srcOrd="6" destOrd="0" presId="urn:microsoft.com/office/officeart/2005/8/layout/process1"/>
    <dgm:cxn modelId="{8A24CF57-F523-354D-8C8D-3B2B7602E5A5}" type="presParOf" srcId="{57635B8E-E144-614A-BDC0-13A001F213B8}" destId="{6FD2C3BB-03CC-F940-8324-1B38C36D53D7}" srcOrd="7" destOrd="0" presId="urn:microsoft.com/office/officeart/2005/8/layout/process1"/>
    <dgm:cxn modelId="{91B6F3B0-1092-414C-B9D0-38B7DBA15722}" type="presParOf" srcId="{6FD2C3BB-03CC-F940-8324-1B38C36D53D7}" destId="{8EEC30FC-DB51-7C44-B2FD-FCF74314044C}" srcOrd="0" destOrd="0" presId="urn:microsoft.com/office/officeart/2005/8/layout/process1"/>
    <dgm:cxn modelId="{EE8DF989-59B5-4446-AE2E-AFDC815C33FD}" type="presParOf" srcId="{57635B8E-E144-614A-BDC0-13A001F213B8}" destId="{C2A7ACB0-A23D-5242-885E-4C8693B3C95B}" srcOrd="8" destOrd="0" presId="urn:microsoft.com/office/officeart/2005/8/layout/process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4529B9-C864-DD4C-8F9C-9144B81C5675}">
      <dsp:nvSpPr>
        <dsp:cNvPr id="0" name=""/>
        <dsp:cNvSpPr/>
      </dsp:nvSpPr>
      <dsp:spPr>
        <a:xfrm>
          <a:off x="5492" y="68778"/>
          <a:ext cx="850936" cy="3340999"/>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t" anchorCtr="0">
          <a:noAutofit/>
        </a:bodyPr>
        <a:lstStyle/>
        <a:p>
          <a:pPr marL="0" lvl="0" indent="0" algn="l" defTabSz="400050">
            <a:lnSpc>
              <a:spcPct val="90000"/>
            </a:lnSpc>
            <a:spcBef>
              <a:spcPct val="0"/>
            </a:spcBef>
            <a:spcAft>
              <a:spcPct val="35000"/>
            </a:spcAft>
            <a:buNone/>
          </a:pPr>
          <a:r>
            <a:rPr lang="en-CA" sz="900" b="1" kern="1200"/>
            <a:t>Drivers of patient engagement </a:t>
          </a:r>
          <a:endParaRPr lang="en-US" sz="900" b="1" kern="1200"/>
        </a:p>
        <a:p>
          <a:pPr marL="57150" lvl="1" indent="-57150" algn="l" defTabSz="400050">
            <a:lnSpc>
              <a:spcPct val="90000"/>
            </a:lnSpc>
            <a:spcBef>
              <a:spcPct val="0"/>
            </a:spcBef>
            <a:spcAft>
              <a:spcPct val="15000"/>
            </a:spcAft>
            <a:buFont typeface="Symbol" pitchFamily="2" charset="2"/>
            <a:buChar char=""/>
          </a:pPr>
          <a:r>
            <a:rPr lang="en-CA" sz="900" kern="1200"/>
            <a:t>Healthcare systems</a:t>
          </a:r>
          <a:endParaRPr lang="en-US" sz="900" kern="1200"/>
        </a:p>
        <a:p>
          <a:pPr marL="57150" lvl="1" indent="-57150" algn="l" defTabSz="400050">
            <a:lnSpc>
              <a:spcPct val="90000"/>
            </a:lnSpc>
            <a:spcBef>
              <a:spcPct val="0"/>
            </a:spcBef>
            <a:spcAft>
              <a:spcPct val="15000"/>
            </a:spcAft>
            <a:buFont typeface="Symbol" pitchFamily="2" charset="2"/>
            <a:buChar char=""/>
          </a:pPr>
          <a:r>
            <a:rPr lang="en-CA" sz="900" kern="1200"/>
            <a:t>HTA organizations </a:t>
          </a:r>
        </a:p>
        <a:p>
          <a:pPr marL="57150" lvl="1" indent="-57150" algn="l" defTabSz="400050">
            <a:lnSpc>
              <a:spcPct val="90000"/>
            </a:lnSpc>
            <a:spcBef>
              <a:spcPct val="0"/>
            </a:spcBef>
            <a:spcAft>
              <a:spcPct val="15000"/>
            </a:spcAft>
            <a:buFont typeface="Symbol" pitchFamily="2" charset="2"/>
            <a:buChar char=""/>
          </a:pPr>
          <a:r>
            <a:rPr lang="en-CA" sz="900" kern="1200"/>
            <a:t>HTA framework ( safety, cost-effectiveness, ethical and legal considerations) </a:t>
          </a:r>
        </a:p>
        <a:p>
          <a:pPr marL="57150" lvl="1" indent="-57150" algn="l" defTabSz="400050">
            <a:lnSpc>
              <a:spcPct val="90000"/>
            </a:lnSpc>
            <a:spcBef>
              <a:spcPct val="0"/>
            </a:spcBef>
            <a:spcAft>
              <a:spcPct val="15000"/>
            </a:spcAft>
            <a:buFont typeface="Symbol" pitchFamily="2" charset="2"/>
            <a:buChar char=""/>
          </a:pPr>
          <a:r>
            <a:rPr lang="en-CA" sz="900" kern="1200"/>
            <a:t>Characteristics of health technologies and patients </a:t>
          </a:r>
        </a:p>
        <a:p>
          <a:pPr marL="57150" lvl="1" indent="-57150" algn="l" defTabSz="400050">
            <a:lnSpc>
              <a:spcPct val="90000"/>
            </a:lnSpc>
            <a:spcBef>
              <a:spcPct val="0"/>
            </a:spcBef>
            <a:spcAft>
              <a:spcPct val="15000"/>
            </a:spcAft>
            <a:buFont typeface="Symbol" pitchFamily="2" charset="2"/>
            <a:buChar char=""/>
          </a:pPr>
          <a:r>
            <a:rPr lang="en-US" sz="900" kern="1200"/>
            <a:t>Underrepresented patients: </a:t>
          </a:r>
          <a:endParaRPr lang="en-CA" sz="900" kern="1200"/>
        </a:p>
        <a:p>
          <a:pPr marL="114300" lvl="2" indent="-57150" algn="l" defTabSz="400050">
            <a:lnSpc>
              <a:spcPct val="90000"/>
            </a:lnSpc>
            <a:spcBef>
              <a:spcPct val="0"/>
            </a:spcBef>
            <a:spcAft>
              <a:spcPct val="15000"/>
            </a:spcAft>
            <a:buChar char="•"/>
          </a:pPr>
          <a:r>
            <a:rPr lang="en-US" sz="900" kern="1200"/>
            <a:t>disadvantaged groups </a:t>
          </a:r>
        </a:p>
      </dsp:txBody>
      <dsp:txXfrm>
        <a:off x="30415" y="93701"/>
        <a:ext cx="801090" cy="3291153"/>
      </dsp:txXfrm>
    </dsp:sp>
    <dsp:sp modelId="{D4EB22FF-8854-704E-8CB0-E7ACB5A4FF56}">
      <dsp:nvSpPr>
        <dsp:cNvPr id="0" name=""/>
        <dsp:cNvSpPr/>
      </dsp:nvSpPr>
      <dsp:spPr>
        <a:xfrm>
          <a:off x="941522" y="1633761"/>
          <a:ext cx="180398" cy="21103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p>
      </dsp:txBody>
      <dsp:txXfrm>
        <a:off x="941522" y="1675967"/>
        <a:ext cx="126279" cy="126620"/>
      </dsp:txXfrm>
    </dsp:sp>
    <dsp:sp modelId="{D6FDDF58-F7AD-EF48-B188-D54D5DFF2A0F}">
      <dsp:nvSpPr>
        <dsp:cNvPr id="0" name=""/>
        <dsp:cNvSpPr/>
      </dsp:nvSpPr>
      <dsp:spPr>
        <a:xfrm>
          <a:off x="1196803" y="68778"/>
          <a:ext cx="850936" cy="3340999"/>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t" anchorCtr="0">
          <a:noAutofit/>
        </a:bodyPr>
        <a:lstStyle/>
        <a:p>
          <a:pPr marL="0" lvl="0" indent="0" algn="l" defTabSz="400050">
            <a:lnSpc>
              <a:spcPct val="90000"/>
            </a:lnSpc>
            <a:spcBef>
              <a:spcPct val="0"/>
            </a:spcBef>
            <a:spcAft>
              <a:spcPct val="35000"/>
            </a:spcAft>
            <a:buNone/>
          </a:pPr>
          <a:r>
            <a:rPr lang="en-CA" sz="900" b="1" kern="1200"/>
            <a:t>Inputs and Activities </a:t>
          </a:r>
          <a:endParaRPr lang="en-US" sz="900" b="1" kern="1200"/>
        </a:p>
        <a:p>
          <a:pPr marL="57150" lvl="1" indent="-57150" algn="l" defTabSz="400050">
            <a:lnSpc>
              <a:spcPct val="90000"/>
            </a:lnSpc>
            <a:spcBef>
              <a:spcPct val="0"/>
            </a:spcBef>
            <a:spcAft>
              <a:spcPct val="15000"/>
            </a:spcAft>
            <a:buFont typeface="Symbol" pitchFamily="2" charset="2"/>
            <a:buChar char=""/>
          </a:pPr>
          <a:r>
            <a:rPr lang="en-CA" sz="900" kern="1200"/>
            <a:t>Resources</a:t>
          </a:r>
          <a:endParaRPr lang="en-US" sz="900" kern="1200"/>
        </a:p>
        <a:p>
          <a:pPr marL="114300" lvl="2" indent="-57150" algn="l" defTabSz="400050">
            <a:lnSpc>
              <a:spcPct val="90000"/>
            </a:lnSpc>
            <a:spcBef>
              <a:spcPct val="0"/>
            </a:spcBef>
            <a:spcAft>
              <a:spcPct val="15000"/>
            </a:spcAft>
            <a:buFont typeface="Courier New" panose="02070309020205020404" pitchFamily="49" charset="0"/>
            <a:buChar char="o"/>
          </a:pPr>
          <a:r>
            <a:rPr lang="en-CA" sz="900" kern="1200"/>
            <a:t>Staff and patients’ skills </a:t>
          </a:r>
        </a:p>
        <a:p>
          <a:pPr marL="114300" lvl="2" indent="-57150" algn="l" defTabSz="400050">
            <a:lnSpc>
              <a:spcPct val="90000"/>
            </a:lnSpc>
            <a:spcBef>
              <a:spcPct val="0"/>
            </a:spcBef>
            <a:spcAft>
              <a:spcPct val="15000"/>
            </a:spcAft>
            <a:buFont typeface="Courier New" panose="02070309020205020404" pitchFamily="49" charset="0"/>
            <a:buChar char="o"/>
          </a:pPr>
          <a:r>
            <a:rPr lang="en-CA" sz="900" kern="1200"/>
            <a:t>Funding </a:t>
          </a:r>
        </a:p>
        <a:p>
          <a:pPr marL="114300" lvl="2" indent="-57150" algn="l" defTabSz="400050">
            <a:lnSpc>
              <a:spcPct val="90000"/>
            </a:lnSpc>
            <a:spcBef>
              <a:spcPct val="0"/>
            </a:spcBef>
            <a:spcAft>
              <a:spcPct val="15000"/>
            </a:spcAft>
            <a:buFont typeface="Courier New" panose="02070309020205020404" pitchFamily="49" charset="0"/>
            <a:buChar char="o"/>
          </a:pPr>
          <a:r>
            <a:rPr lang="en-CA" sz="900" kern="1200"/>
            <a:t>Modalities of engagement: </a:t>
          </a:r>
        </a:p>
        <a:p>
          <a:pPr marL="171450" lvl="3" indent="-57150" algn="l" defTabSz="400050">
            <a:lnSpc>
              <a:spcPct val="90000"/>
            </a:lnSpc>
            <a:spcBef>
              <a:spcPct val="0"/>
            </a:spcBef>
            <a:spcAft>
              <a:spcPct val="15000"/>
            </a:spcAft>
            <a:buFont typeface="Wingdings" pitchFamily="2" charset="2"/>
            <a:buChar char=""/>
          </a:pPr>
          <a:r>
            <a:rPr lang="en-CA" sz="900" kern="1200"/>
            <a:t>Digital tools</a:t>
          </a:r>
        </a:p>
        <a:p>
          <a:pPr marL="171450" lvl="3" indent="-57150" algn="l" defTabSz="400050">
            <a:lnSpc>
              <a:spcPct val="90000"/>
            </a:lnSpc>
            <a:spcBef>
              <a:spcPct val="0"/>
            </a:spcBef>
            <a:spcAft>
              <a:spcPct val="15000"/>
            </a:spcAft>
            <a:buFont typeface="Wingdings" pitchFamily="2" charset="2"/>
            <a:buChar char=""/>
          </a:pPr>
          <a:r>
            <a:rPr lang="en-CA" sz="900" kern="1200"/>
            <a:t>In-person meetings</a:t>
          </a:r>
        </a:p>
        <a:p>
          <a:pPr marL="57150" lvl="1" indent="-57150" algn="l" defTabSz="400050">
            <a:lnSpc>
              <a:spcPct val="90000"/>
            </a:lnSpc>
            <a:spcBef>
              <a:spcPct val="0"/>
            </a:spcBef>
            <a:spcAft>
              <a:spcPct val="15000"/>
            </a:spcAft>
            <a:buFont typeface="Symbol" pitchFamily="2" charset="2"/>
            <a:buChar char=""/>
          </a:pPr>
          <a:r>
            <a:rPr lang="en-CA" sz="900" kern="1200"/>
            <a:t>Types of engagement: </a:t>
          </a:r>
        </a:p>
        <a:p>
          <a:pPr marL="114300" lvl="2" indent="-57150" algn="l" defTabSz="400050">
            <a:lnSpc>
              <a:spcPct val="90000"/>
            </a:lnSpc>
            <a:spcBef>
              <a:spcPct val="0"/>
            </a:spcBef>
            <a:spcAft>
              <a:spcPct val="15000"/>
            </a:spcAft>
            <a:buFont typeface="Courier New" panose="02070309020205020404" pitchFamily="49" charset="0"/>
            <a:buChar char="o"/>
          </a:pPr>
          <a:r>
            <a:rPr lang="en-CA" sz="900" kern="1200"/>
            <a:t>Direct </a:t>
          </a:r>
        </a:p>
        <a:p>
          <a:pPr marL="114300" lvl="2" indent="-57150" algn="l" defTabSz="400050">
            <a:lnSpc>
              <a:spcPct val="90000"/>
            </a:lnSpc>
            <a:spcBef>
              <a:spcPct val="0"/>
            </a:spcBef>
            <a:spcAft>
              <a:spcPct val="15000"/>
            </a:spcAft>
            <a:buFont typeface="Courier New" panose="02070309020205020404" pitchFamily="49" charset="0"/>
            <a:buChar char="o"/>
          </a:pPr>
          <a:r>
            <a:rPr lang="en-CA" sz="900" kern="1200"/>
            <a:t>Indirect </a:t>
          </a:r>
        </a:p>
        <a:p>
          <a:pPr marL="57150" lvl="1" indent="-57150" algn="l" defTabSz="400050">
            <a:lnSpc>
              <a:spcPct val="90000"/>
            </a:lnSpc>
            <a:spcBef>
              <a:spcPct val="0"/>
            </a:spcBef>
            <a:spcAft>
              <a:spcPct val="15000"/>
            </a:spcAft>
            <a:buFont typeface="Symbol" pitchFamily="2" charset="2"/>
            <a:buChar char=""/>
          </a:pPr>
          <a:r>
            <a:rPr lang="en-CA" sz="900" kern="1200"/>
            <a:t>Decision-making: </a:t>
          </a:r>
        </a:p>
        <a:p>
          <a:pPr marL="114300" lvl="2" indent="-57150" algn="l" defTabSz="400050">
            <a:lnSpc>
              <a:spcPct val="90000"/>
            </a:lnSpc>
            <a:spcBef>
              <a:spcPct val="0"/>
            </a:spcBef>
            <a:spcAft>
              <a:spcPct val="15000"/>
            </a:spcAft>
            <a:buFont typeface="Courier New" panose="02070309020205020404" pitchFamily="49" charset="0"/>
            <a:buChar char="o"/>
          </a:pPr>
          <a:r>
            <a:rPr lang="en-CA" sz="900" kern="1200"/>
            <a:t>Vote </a:t>
          </a:r>
        </a:p>
        <a:p>
          <a:pPr marL="57150" lvl="1" indent="-57150" algn="l" defTabSz="400050">
            <a:lnSpc>
              <a:spcPct val="90000"/>
            </a:lnSpc>
            <a:spcBef>
              <a:spcPct val="0"/>
            </a:spcBef>
            <a:spcAft>
              <a:spcPct val="15000"/>
            </a:spcAft>
            <a:buChar char="•"/>
          </a:pPr>
          <a:r>
            <a:rPr lang="en-CA" sz="900" kern="1200"/>
            <a:t>Consensus</a:t>
          </a:r>
          <a:endParaRPr lang="en-US" sz="900" kern="1200"/>
        </a:p>
      </dsp:txBody>
      <dsp:txXfrm>
        <a:off x="1221726" y="93701"/>
        <a:ext cx="801090" cy="3291153"/>
      </dsp:txXfrm>
    </dsp:sp>
    <dsp:sp modelId="{B7F42954-840E-A942-8FD7-DC2BBC64D131}">
      <dsp:nvSpPr>
        <dsp:cNvPr id="0" name=""/>
        <dsp:cNvSpPr/>
      </dsp:nvSpPr>
      <dsp:spPr>
        <a:xfrm>
          <a:off x="2132833" y="1633761"/>
          <a:ext cx="180398" cy="21103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p>
      </dsp:txBody>
      <dsp:txXfrm>
        <a:off x="2132833" y="1675967"/>
        <a:ext cx="126279" cy="126620"/>
      </dsp:txXfrm>
    </dsp:sp>
    <dsp:sp modelId="{E729A0CB-F3C8-6E42-BEFA-42649BB803A2}">
      <dsp:nvSpPr>
        <dsp:cNvPr id="0" name=""/>
        <dsp:cNvSpPr/>
      </dsp:nvSpPr>
      <dsp:spPr>
        <a:xfrm>
          <a:off x="2388114" y="68778"/>
          <a:ext cx="850936" cy="3340999"/>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t" anchorCtr="0">
          <a:noAutofit/>
        </a:bodyPr>
        <a:lstStyle/>
        <a:p>
          <a:pPr marL="0" lvl="0" indent="0" algn="l" defTabSz="400050">
            <a:lnSpc>
              <a:spcPct val="90000"/>
            </a:lnSpc>
            <a:spcBef>
              <a:spcPct val="0"/>
            </a:spcBef>
            <a:spcAft>
              <a:spcPct val="35000"/>
            </a:spcAft>
            <a:buNone/>
          </a:pPr>
          <a:r>
            <a:rPr lang="en-CA" sz="900" b="1" kern="1200"/>
            <a:t>Outputs</a:t>
          </a:r>
          <a:r>
            <a:rPr lang="en-CA" sz="900" kern="1200"/>
            <a:t> </a:t>
          </a:r>
          <a:endParaRPr lang="en-US" sz="900" kern="1200"/>
        </a:p>
        <a:p>
          <a:pPr marL="57150" lvl="1" indent="-57150" algn="l" defTabSz="400050">
            <a:lnSpc>
              <a:spcPct val="90000"/>
            </a:lnSpc>
            <a:spcBef>
              <a:spcPct val="0"/>
            </a:spcBef>
            <a:spcAft>
              <a:spcPct val="15000"/>
            </a:spcAft>
            <a:buFont typeface="Symbol" pitchFamily="2" charset="2"/>
            <a:buChar char=""/>
          </a:pPr>
          <a:r>
            <a:rPr lang="en-CA" sz="900" kern="1200"/>
            <a:t>Diverse and inclusive patient engagement </a:t>
          </a:r>
          <a:endParaRPr lang="en-US" sz="900" kern="1200"/>
        </a:p>
        <a:p>
          <a:pPr marL="57150" lvl="1" indent="-57150" algn="l" defTabSz="400050">
            <a:lnSpc>
              <a:spcPct val="90000"/>
            </a:lnSpc>
            <a:spcBef>
              <a:spcPct val="0"/>
            </a:spcBef>
            <a:spcAft>
              <a:spcPct val="15000"/>
            </a:spcAft>
            <a:buFont typeface="Symbol" pitchFamily="2" charset="2"/>
            <a:buChar char=""/>
          </a:pPr>
          <a:r>
            <a:rPr lang="en-CA" sz="900" kern="1200"/>
            <a:t>Patient input</a:t>
          </a:r>
        </a:p>
        <a:p>
          <a:pPr marL="57150" lvl="1" indent="-57150" algn="l" defTabSz="400050">
            <a:lnSpc>
              <a:spcPct val="90000"/>
            </a:lnSpc>
            <a:spcBef>
              <a:spcPct val="0"/>
            </a:spcBef>
            <a:spcAft>
              <a:spcPct val="15000"/>
            </a:spcAft>
            <a:buFont typeface="Symbol" pitchFamily="2" charset="2"/>
            <a:buChar char=""/>
          </a:pPr>
          <a:r>
            <a:rPr lang="en-CA" sz="900" kern="1200"/>
            <a:t>Identification of health equity factors through patient input </a:t>
          </a:r>
        </a:p>
      </dsp:txBody>
      <dsp:txXfrm>
        <a:off x="2413037" y="93701"/>
        <a:ext cx="801090" cy="3291153"/>
      </dsp:txXfrm>
    </dsp:sp>
    <dsp:sp modelId="{57551D98-FA7B-434D-AAA6-9F39575E0157}">
      <dsp:nvSpPr>
        <dsp:cNvPr id="0" name=""/>
        <dsp:cNvSpPr/>
      </dsp:nvSpPr>
      <dsp:spPr>
        <a:xfrm>
          <a:off x="3324144" y="1633761"/>
          <a:ext cx="180398" cy="21103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p>
      </dsp:txBody>
      <dsp:txXfrm>
        <a:off x="3324144" y="1675967"/>
        <a:ext cx="126279" cy="126620"/>
      </dsp:txXfrm>
    </dsp:sp>
    <dsp:sp modelId="{06EBD26E-7C15-4446-93E2-E99D0BFD67FF}">
      <dsp:nvSpPr>
        <dsp:cNvPr id="0" name=""/>
        <dsp:cNvSpPr/>
      </dsp:nvSpPr>
      <dsp:spPr>
        <a:xfrm>
          <a:off x="3579425" y="68778"/>
          <a:ext cx="850936" cy="3340999"/>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t" anchorCtr="0">
          <a:noAutofit/>
        </a:bodyPr>
        <a:lstStyle/>
        <a:p>
          <a:pPr marL="0" lvl="0" indent="0" algn="l" defTabSz="400050">
            <a:lnSpc>
              <a:spcPct val="90000"/>
            </a:lnSpc>
            <a:spcBef>
              <a:spcPct val="0"/>
            </a:spcBef>
            <a:spcAft>
              <a:spcPct val="35000"/>
            </a:spcAft>
            <a:buNone/>
          </a:pPr>
          <a:r>
            <a:rPr lang="en-CA" sz="900" b="1" kern="1200"/>
            <a:t>Outcomes</a:t>
          </a:r>
          <a:r>
            <a:rPr lang="en-CA" sz="900" kern="1200"/>
            <a:t> </a:t>
          </a:r>
          <a:endParaRPr lang="en-US" sz="900" kern="1200"/>
        </a:p>
        <a:p>
          <a:pPr marL="57150" lvl="1" indent="-57150" algn="l" defTabSz="400050">
            <a:lnSpc>
              <a:spcPct val="90000"/>
            </a:lnSpc>
            <a:spcBef>
              <a:spcPct val="0"/>
            </a:spcBef>
            <a:spcAft>
              <a:spcPct val="15000"/>
            </a:spcAft>
            <a:buChar char="•"/>
          </a:pPr>
          <a:r>
            <a:rPr lang="en-CA" sz="900" kern="1200"/>
            <a:t>Short-term:  Increased equity-focused HTA recommendations   </a:t>
          </a:r>
          <a:endParaRPr lang="en-US" sz="900" kern="1200"/>
        </a:p>
        <a:p>
          <a:pPr marL="57150" lvl="1" indent="-57150" algn="l" defTabSz="400050">
            <a:lnSpc>
              <a:spcPct val="90000"/>
            </a:lnSpc>
            <a:spcBef>
              <a:spcPct val="0"/>
            </a:spcBef>
            <a:spcAft>
              <a:spcPct val="15000"/>
            </a:spcAft>
            <a:buChar char="•"/>
          </a:pPr>
          <a:r>
            <a:rPr lang="en-CA" sz="900" kern="1200"/>
            <a:t>Medium-term: Systematic health equity analysis and reporting   </a:t>
          </a:r>
        </a:p>
        <a:p>
          <a:pPr marL="57150" lvl="1" indent="-57150" algn="l" defTabSz="400050">
            <a:lnSpc>
              <a:spcPct val="90000"/>
            </a:lnSpc>
            <a:spcBef>
              <a:spcPct val="0"/>
            </a:spcBef>
            <a:spcAft>
              <a:spcPct val="15000"/>
            </a:spcAft>
            <a:buChar char="•"/>
          </a:pPr>
          <a:r>
            <a:rPr lang="en-CA" sz="900" kern="1200"/>
            <a:t>Long-term: systemic change in healthcare delivery </a:t>
          </a:r>
          <a:endParaRPr lang="en-US" sz="900" kern="1200"/>
        </a:p>
      </dsp:txBody>
      <dsp:txXfrm>
        <a:off x="3604348" y="93701"/>
        <a:ext cx="801090" cy="3291153"/>
      </dsp:txXfrm>
    </dsp:sp>
    <dsp:sp modelId="{6FD2C3BB-03CC-F940-8324-1B38C36D53D7}">
      <dsp:nvSpPr>
        <dsp:cNvPr id="0" name=""/>
        <dsp:cNvSpPr/>
      </dsp:nvSpPr>
      <dsp:spPr>
        <a:xfrm>
          <a:off x="4515455" y="1633761"/>
          <a:ext cx="180398" cy="21103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p>
      </dsp:txBody>
      <dsp:txXfrm>
        <a:off x="4515455" y="1675967"/>
        <a:ext cx="126279" cy="126620"/>
      </dsp:txXfrm>
    </dsp:sp>
    <dsp:sp modelId="{C2A7ACB0-A23D-5242-885E-4C8693B3C95B}">
      <dsp:nvSpPr>
        <dsp:cNvPr id="0" name=""/>
        <dsp:cNvSpPr/>
      </dsp:nvSpPr>
      <dsp:spPr>
        <a:xfrm>
          <a:off x="4770736" y="68778"/>
          <a:ext cx="850936" cy="3340999"/>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l" defTabSz="400050">
            <a:lnSpc>
              <a:spcPct val="90000"/>
            </a:lnSpc>
            <a:spcBef>
              <a:spcPct val="0"/>
            </a:spcBef>
            <a:spcAft>
              <a:spcPct val="35000"/>
            </a:spcAft>
            <a:buNone/>
          </a:pPr>
          <a:r>
            <a:rPr lang="en-US" sz="900" b="1" kern="1200"/>
            <a:t>Impact</a:t>
          </a:r>
          <a:r>
            <a:rPr lang="en-US" sz="900" kern="1200"/>
            <a:t> </a:t>
          </a:r>
        </a:p>
        <a:p>
          <a:pPr marL="0" lvl="0" indent="0" algn="l" defTabSz="400050">
            <a:lnSpc>
              <a:spcPct val="90000"/>
            </a:lnSpc>
            <a:spcBef>
              <a:spcPct val="0"/>
            </a:spcBef>
            <a:spcAft>
              <a:spcPct val="35000"/>
            </a:spcAft>
            <a:buNone/>
          </a:pPr>
          <a:r>
            <a:rPr lang="en-US" sz="900" kern="1200"/>
            <a:t>Improved health equity </a:t>
          </a:r>
        </a:p>
      </dsp:txBody>
      <dsp:txXfrm>
        <a:off x="4795659" y="93701"/>
        <a:ext cx="801090" cy="329115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A3132-AAE5-5348-9DE8-3E45ACBB9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17377</Words>
  <Characters>99049</Characters>
  <Application>Microsoft Office Word</Application>
  <DocSecurity>0</DocSecurity>
  <Lines>825</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Rosiane Simeon</dc:creator>
  <cp:keywords/>
  <dc:description/>
  <cp:lastModifiedBy>Rosiane Simeon</cp:lastModifiedBy>
  <cp:revision>2</cp:revision>
  <dcterms:created xsi:type="dcterms:W3CDTF">2025-02-21T15:40:00Z</dcterms:created>
  <dcterms:modified xsi:type="dcterms:W3CDTF">2025-02-21T15:40:00Z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id="EFCPKsiD"/&gt;&lt;style id="http://www.zotero.org/styles/vancouver" locale="en-CA"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ies>
</file>