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563C35" w14:textId="77777777" w:rsidR="00E54F96" w:rsidRPr="00E54F96" w:rsidRDefault="00E54F96" w:rsidP="00E54F96">
      <w:pPr>
        <w:spacing w:line="480" w:lineRule="auto"/>
        <w:rPr>
          <w:rFonts w:ascii="Times New Roman" w:eastAsia="Times New Roman" w:hAnsi="Times New Roman" w:cs="Times New Roman"/>
          <w:b/>
          <w:bCs/>
          <w:color w:val="000000" w:themeColor="text1"/>
        </w:rPr>
      </w:pPr>
      <w:r w:rsidRPr="00E54F96">
        <w:rPr>
          <w:rFonts w:ascii="Times New Roman" w:hAnsi="Times New Roman" w:cs="Times New Roman"/>
          <w:b/>
          <w:bCs/>
        </w:rPr>
        <w:t>Supplement 2: Further Details on Methods</w:t>
      </w:r>
    </w:p>
    <w:p w14:paraId="719F6B17" w14:textId="58BEC346" w:rsidR="00D36B5F" w:rsidRPr="00E54F96" w:rsidRDefault="00E54F96" w:rsidP="001F748D">
      <w:pPr>
        <w:pStyle w:val="ListParagraph"/>
        <w:numPr>
          <w:ilvl w:val="0"/>
          <w:numId w:val="20"/>
        </w:numPr>
        <w:spacing w:line="480" w:lineRule="auto"/>
        <w:rPr>
          <w:rFonts w:ascii="Times New Roman" w:eastAsia="Times New Roman" w:hAnsi="Times New Roman" w:cs="Times New Roman"/>
          <w:b/>
          <w:bCs/>
          <w:color w:val="000000" w:themeColor="text1"/>
        </w:rPr>
      </w:pPr>
      <w:r w:rsidRPr="00E54F96">
        <w:rPr>
          <w:rFonts w:ascii="Times New Roman" w:eastAsia="Times New Roman" w:hAnsi="Times New Roman" w:cs="Times New Roman"/>
          <w:b/>
          <w:bCs/>
          <w:color w:val="000000" w:themeColor="text1"/>
        </w:rPr>
        <w:t>Rationale for Study Design</w:t>
      </w:r>
    </w:p>
    <w:p w14:paraId="0C26A2E7" w14:textId="2087A3A6" w:rsidR="00D36B5F" w:rsidRPr="0047418B" w:rsidRDefault="00F45E12" w:rsidP="001F748D">
      <w:pPr>
        <w:spacing w:line="480" w:lineRule="auto"/>
        <w:ind w:firstLine="360"/>
        <w:rPr>
          <w:rFonts w:ascii="Times New Roman" w:eastAsia="Times New Roman" w:hAnsi="Times New Roman" w:cs="Times New Roman"/>
          <w:kern w:val="0"/>
          <w14:ligatures w14:val="none"/>
        </w:rPr>
      </w:pPr>
      <w:r w:rsidRPr="0047418B">
        <w:rPr>
          <w:rFonts w:ascii="Times New Roman" w:eastAsia="Times New Roman" w:hAnsi="Times New Roman" w:cs="Times New Roman"/>
          <w:kern w:val="0"/>
          <w14:ligatures w14:val="none"/>
        </w:rPr>
        <w:t>The case study approach was chosen to provide a comprehensive understanding of complex phenomena within their real-world context, particularly the patient engagement processes within these two organizations</w:t>
      </w:r>
      <w:r w:rsidR="00E54F96">
        <w:rPr>
          <w:rFonts w:ascii="Times New Roman" w:eastAsia="Times New Roman" w:hAnsi="Times New Roman" w:cs="Times New Roman"/>
          <w:kern w:val="0"/>
          <w14:ligatures w14:val="none"/>
        </w:rPr>
        <w:t xml:space="preserve"> </w:t>
      </w:r>
      <w:r w:rsidR="00E54F96" w:rsidRPr="0047418B">
        <w:rPr>
          <w:rFonts w:ascii="Times New Roman" w:eastAsia="Times New Roman" w:hAnsi="Times New Roman" w:cs="Times New Roman"/>
          <w:kern w:val="0"/>
          <w14:ligatures w14:val="none"/>
        </w:rPr>
        <w:fldChar w:fldCharType="begin"/>
      </w:r>
      <w:r w:rsidR="00E54F96">
        <w:rPr>
          <w:rFonts w:ascii="Times New Roman" w:eastAsia="Times New Roman" w:hAnsi="Times New Roman" w:cs="Times New Roman"/>
          <w:kern w:val="0"/>
          <w14:ligatures w14:val="none"/>
        </w:rPr>
        <w:instrText xml:space="preserve"> ADDIN ZOTERO_ITEM CSL_CITATION {"citationID":"8Lao97GD","properties":{"formattedCitation":"(1)","plainCitation":"(1)","noteIndex":0},"citationItems":[{"id":394,"uris":["http://zotero.org/users/9520068/items/IFYKL62C"],"itemData":{"id":394,"type":"article-journal","note":"publisher: Agency for Healthcare Research and Quality (US)","title":"Taxonomy for Study Designs","URL":"https://www.ncbi.nlm.nih.gov/books/NBK95280/","author":[{"family":"Carey","given":"Timothy S"},{"family":"Sanders","given":"Gillian D"},{"family":"Viswanathan","given":"Meera"},{"family":"Trikalinos","given":"Thomas A"},{"family":"Kato","given":"Elisabeth"},{"family":"Chang","given":"Stephanie"}],"issued":{"date-parts":[["2012"]]}}}],"schema":"https://github.com/citation-style-language/schema/raw/master/csl-citation.json"} </w:instrText>
      </w:r>
      <w:r w:rsidR="00E54F96" w:rsidRPr="0047418B">
        <w:rPr>
          <w:rFonts w:ascii="Times New Roman" w:eastAsia="Times New Roman" w:hAnsi="Times New Roman" w:cs="Times New Roman"/>
          <w:kern w:val="0"/>
          <w14:ligatures w14:val="none"/>
        </w:rPr>
        <w:fldChar w:fldCharType="separate"/>
      </w:r>
      <w:r w:rsidR="00E54F96">
        <w:rPr>
          <w:rFonts w:ascii="Times New Roman" w:eastAsia="Times New Roman" w:hAnsi="Times New Roman" w:cs="Times New Roman"/>
          <w:noProof/>
          <w:kern w:val="0"/>
          <w14:ligatures w14:val="none"/>
        </w:rPr>
        <w:t>(1)</w:t>
      </w:r>
      <w:r w:rsidR="00E54F96" w:rsidRPr="0047418B">
        <w:rPr>
          <w:rFonts w:ascii="Times New Roman" w:eastAsia="Times New Roman" w:hAnsi="Times New Roman" w:cs="Times New Roman"/>
          <w:kern w:val="0"/>
          <w14:ligatures w14:val="none"/>
        </w:rPr>
        <w:fldChar w:fldCharType="end"/>
      </w:r>
      <w:r w:rsidR="00E54F96" w:rsidRPr="0047418B">
        <w:rPr>
          <w:rFonts w:ascii="Times New Roman" w:eastAsia="Times New Roman" w:hAnsi="Times New Roman" w:cs="Times New Roman"/>
          <w:kern w:val="0"/>
          <w14:ligatures w14:val="none"/>
        </w:rPr>
        <w:t>.</w:t>
      </w:r>
      <w:r w:rsidRPr="0047418B">
        <w:rPr>
          <w:rFonts w:ascii="Times New Roman" w:eastAsia="Times New Roman" w:hAnsi="Times New Roman" w:cs="Times New Roman"/>
          <w:kern w:val="0"/>
          <w14:ligatures w14:val="none"/>
        </w:rPr>
        <w:t xml:space="preserve"> An explanatory case study was particularly suitable for this research as it allowed for the development of theoretical insights into how different patient engagement strategies might influence the incorporation of equity factors in HTA recommendations </w:t>
      </w:r>
      <w:r w:rsidRPr="0047418B">
        <w:rPr>
          <w:rFonts w:ascii="Times New Roman" w:eastAsia="Times New Roman" w:hAnsi="Times New Roman" w:cs="Times New Roman"/>
          <w:kern w:val="0"/>
          <w14:ligatures w14:val="none"/>
        </w:rPr>
        <w:fldChar w:fldCharType="begin"/>
      </w:r>
      <w:r w:rsidR="00E54F96">
        <w:rPr>
          <w:rFonts w:ascii="Times New Roman" w:eastAsia="Times New Roman" w:hAnsi="Times New Roman" w:cs="Times New Roman"/>
          <w:kern w:val="0"/>
          <w14:ligatures w14:val="none"/>
        </w:rPr>
        <w:instrText xml:space="preserve"> ADDIN ZOTERO_ITEM CSL_CITATION {"citationID":"L3pGCbK8","properties":{"formattedCitation":"(2)","plainCitation":"(2)","noteIndex":0},"citationItems":[{"id":3057,"uris":["http://zotero.org/users/9520068/items/JPGZZQKG"],"itemData":{"id":3057,"type":"article-journal","abstract":"Explanatory case study methodology has been used to research complex systems in the fields of business, public policy and urban planning, to name a few. While it has been suggested by some that this might be a useful way to progress complex research issues in health science research, to date, there has been little evidence of this happening. The purpose of this paper is to review the explanatory case study method and present a framework for understanding how it differs from other case study methods. A review of the literature is undertaken to ascertain to what extent this method is currently being used in health science research. Finally, a model for guiding the implementation of the explanatory case study method is proposed in order to promote quality, rigour and applicability of this approach within clinical settings.","container-title":"Australian Occupational Therapy Journal","DOI":"10.1111/j.1440-1630.2004.00446.x","ISSN":"0045-0766","issue":"4","journalAbbreviation":"Australian Occupational Therapy Journal","note":"publisher: John Wiley &amp; Sons, Ltd","page":"185-191","title":"Explanatory case studies: Implications and applications for clinical research","URL":"https://doi.org/10.1111/j.1440-1630.2004.00446.x","volume":"51","author":[{"family":"Fisher","given":"Imogen"},{"family":"Ziviani","given":"Jenny"}],"accessed":{"date-parts":[["2023",9,1]]},"issued":{"date-parts":[["2004",12,1]]}}}],"schema":"https://github.com/citation-style-language/schema/raw/master/csl-citation.json"} </w:instrText>
      </w:r>
      <w:r w:rsidRPr="0047418B">
        <w:rPr>
          <w:rFonts w:ascii="Times New Roman" w:eastAsia="Times New Roman" w:hAnsi="Times New Roman" w:cs="Times New Roman"/>
          <w:kern w:val="0"/>
          <w14:ligatures w14:val="none"/>
        </w:rPr>
        <w:fldChar w:fldCharType="separate"/>
      </w:r>
      <w:r w:rsidR="00E54F96">
        <w:rPr>
          <w:rFonts w:ascii="Times New Roman" w:eastAsia="Times New Roman" w:hAnsi="Times New Roman" w:cs="Times New Roman"/>
          <w:noProof/>
          <w:kern w:val="0"/>
          <w14:ligatures w14:val="none"/>
        </w:rPr>
        <w:t>(2)</w:t>
      </w:r>
      <w:r w:rsidRPr="0047418B">
        <w:rPr>
          <w:rFonts w:ascii="Times New Roman" w:eastAsia="Times New Roman" w:hAnsi="Times New Roman" w:cs="Times New Roman"/>
          <w:kern w:val="0"/>
          <w14:ligatures w14:val="none"/>
        </w:rPr>
        <w:fldChar w:fldCharType="end"/>
      </w:r>
      <w:r w:rsidRPr="0047418B">
        <w:rPr>
          <w:rFonts w:ascii="Times New Roman" w:eastAsia="Times New Roman" w:hAnsi="Times New Roman" w:cs="Times New Roman"/>
          <w:kern w:val="0"/>
          <w14:ligatures w14:val="none"/>
        </w:rPr>
        <w:t>. This design facilitated the identification of patterns and relationships specific to the Canadian context, where varying governance structures and local healthcare needs may shape the importance and impact of patient engagement on health equity. By focusing on the unique contexts of federal and provincial HTA practices, the study aimed to generate meaningful evidence that could inform the development of more equity-sensitive HTA recommendations across different setting</w:t>
      </w:r>
      <w:r w:rsidR="009E6D78" w:rsidRPr="0047418B">
        <w:rPr>
          <w:rFonts w:ascii="Times New Roman" w:eastAsia="Times New Roman" w:hAnsi="Times New Roman" w:cs="Times New Roman"/>
          <w:kern w:val="0"/>
          <w14:ligatures w14:val="none"/>
        </w:rPr>
        <w:t xml:space="preserve">s </w:t>
      </w:r>
      <w:r w:rsidRPr="0047418B">
        <w:rPr>
          <w:rFonts w:ascii="Times New Roman" w:eastAsia="Times New Roman" w:hAnsi="Times New Roman" w:cs="Times New Roman"/>
          <w:kern w:val="0"/>
          <w14:ligatures w14:val="none"/>
        </w:rPr>
        <w:fldChar w:fldCharType="begin"/>
      </w:r>
      <w:r w:rsidR="00E54F96">
        <w:rPr>
          <w:rFonts w:ascii="Times New Roman" w:eastAsia="Times New Roman" w:hAnsi="Times New Roman" w:cs="Times New Roman"/>
          <w:kern w:val="0"/>
          <w14:ligatures w14:val="none"/>
        </w:rPr>
        <w:instrText xml:space="preserve"> ADDIN ZOTERO_ITEM CSL_CITATION {"citationID":"0WjiDhSN","properties":{"formattedCitation":"(2)","plainCitation":"(2)","noteIndex":0},"citationItems":[{"id":3057,"uris":["http://zotero.org/users/9520068/items/JPGZZQKG"],"itemData":{"id":3057,"type":"article-journal","abstract":"Explanatory case study methodology has been used to research complex systems in the fields of business, public policy and urban planning, to name a few. While it has been suggested by some that this might be a useful way to progress complex research issues in health science research, to date, there has been little evidence of this happening. The purpose of this paper is to review the explanatory case study method and present a framework for understanding how it differs from other case study methods. A review of the literature is undertaken to ascertain to what extent this method is currently being used in health science research. Finally, a model for guiding the implementation of the explanatory case study method is proposed in order to promote quality, rigour and applicability of this approach within clinical settings.","container-title":"Australian Occupational Therapy Journal","DOI":"10.1111/j.1440-1630.2004.00446.x","ISSN":"0045-0766","issue":"4","journalAbbreviation":"Australian Occupational Therapy Journal","note":"publisher: John Wiley &amp; Sons, Ltd","page":"185-191","title":"Explanatory case studies: Implications and applications for clinical research","URL":"https://doi.org/10.1111/j.1440-1630.2004.00446.x","volume":"51","author":[{"family":"Fisher","given":"Imogen"},{"family":"Ziviani","given":"Jenny"}],"accessed":{"date-parts":[["2023",9,1]]},"issued":{"date-parts":[["2004",12,1]]}}}],"schema":"https://github.com/citation-style-language/schema/raw/master/csl-citation.json"} </w:instrText>
      </w:r>
      <w:r w:rsidRPr="0047418B">
        <w:rPr>
          <w:rFonts w:ascii="Times New Roman" w:eastAsia="Times New Roman" w:hAnsi="Times New Roman" w:cs="Times New Roman"/>
          <w:kern w:val="0"/>
          <w14:ligatures w14:val="none"/>
        </w:rPr>
        <w:fldChar w:fldCharType="separate"/>
      </w:r>
      <w:r w:rsidR="00E54F96">
        <w:rPr>
          <w:rFonts w:ascii="Times New Roman" w:eastAsia="Times New Roman" w:hAnsi="Times New Roman" w:cs="Times New Roman"/>
          <w:noProof/>
          <w:kern w:val="0"/>
          <w14:ligatures w14:val="none"/>
        </w:rPr>
        <w:t>(2)</w:t>
      </w:r>
      <w:r w:rsidRPr="0047418B">
        <w:rPr>
          <w:rFonts w:ascii="Times New Roman" w:eastAsia="Times New Roman" w:hAnsi="Times New Roman" w:cs="Times New Roman"/>
          <w:kern w:val="0"/>
          <w14:ligatures w14:val="none"/>
        </w:rPr>
        <w:fldChar w:fldCharType="end"/>
      </w:r>
      <w:r w:rsidRPr="0047418B">
        <w:rPr>
          <w:rFonts w:ascii="Times New Roman" w:eastAsia="Times New Roman" w:hAnsi="Times New Roman" w:cs="Times New Roman"/>
          <w:kern w:val="0"/>
          <w14:ligatures w14:val="none"/>
        </w:rPr>
        <w:t>.</w:t>
      </w:r>
    </w:p>
    <w:p w14:paraId="344128B4" w14:textId="4D40A2C4" w:rsidR="00D36B5F" w:rsidRPr="0047418B" w:rsidRDefault="00D36B5F" w:rsidP="001F748D">
      <w:pPr>
        <w:spacing w:line="480" w:lineRule="auto"/>
        <w:ind w:firstLine="360"/>
        <w:rPr>
          <w:rFonts w:ascii="Times New Roman" w:eastAsia="Times New Roman" w:hAnsi="Times New Roman" w:cs="Times New Roman"/>
          <w:kern w:val="0"/>
          <w14:ligatures w14:val="none"/>
        </w:rPr>
      </w:pPr>
      <w:r w:rsidRPr="0047418B">
        <w:rPr>
          <w:rFonts w:ascii="Times New Roman" w:eastAsia="Times New Roman" w:hAnsi="Times New Roman" w:cs="Times New Roman"/>
          <w:kern w:val="0"/>
          <w14:ligatures w14:val="none"/>
        </w:rPr>
        <w:t>The context-bound nature of HTA, particularly in the Canadian setting, is critical because governance structures, healthcare priorities, and population needs can influence the relevance of patient engagement</w:t>
      </w:r>
      <w:r w:rsidR="006C7468" w:rsidRPr="0047418B">
        <w:rPr>
          <w:rFonts w:ascii="Times New Roman" w:eastAsia="Times New Roman" w:hAnsi="Times New Roman" w:cs="Times New Roman"/>
          <w:kern w:val="0"/>
          <w14:ligatures w14:val="none"/>
        </w:rPr>
        <w:t xml:space="preserve"> and HTA practices, including </w:t>
      </w:r>
      <w:r w:rsidR="00AE71B7" w:rsidRPr="0047418B">
        <w:rPr>
          <w:rFonts w:ascii="Times New Roman" w:eastAsia="Times New Roman" w:hAnsi="Times New Roman" w:cs="Times New Roman"/>
          <w:kern w:val="0"/>
          <w14:ligatures w14:val="none"/>
        </w:rPr>
        <w:t>emphasizing</w:t>
      </w:r>
      <w:r w:rsidR="006C7468" w:rsidRPr="0047418B">
        <w:rPr>
          <w:rFonts w:ascii="Times New Roman" w:eastAsia="Times New Roman" w:hAnsi="Times New Roman" w:cs="Times New Roman"/>
          <w:kern w:val="0"/>
          <w14:ligatures w14:val="none"/>
        </w:rPr>
        <w:t xml:space="preserve"> </w:t>
      </w:r>
      <w:r w:rsidRPr="0047418B">
        <w:rPr>
          <w:rFonts w:ascii="Times New Roman" w:eastAsia="Times New Roman" w:hAnsi="Times New Roman" w:cs="Times New Roman"/>
          <w:kern w:val="0"/>
          <w14:ligatures w14:val="none"/>
        </w:rPr>
        <w:t xml:space="preserve">health equity </w:t>
      </w:r>
      <w:r w:rsidR="005E3CCC" w:rsidRPr="0047418B">
        <w:rPr>
          <w:rFonts w:ascii="Times New Roman" w:eastAsia="Times New Roman" w:hAnsi="Times New Roman" w:cs="Times New Roman"/>
          <w:kern w:val="0"/>
          <w14:ligatures w14:val="none"/>
        </w:rPr>
        <w:t>considerations</w:t>
      </w:r>
      <w:r w:rsidR="006C7468" w:rsidRPr="0047418B">
        <w:rPr>
          <w:rFonts w:ascii="Times New Roman" w:eastAsia="Times New Roman" w:hAnsi="Times New Roman" w:cs="Times New Roman"/>
          <w:kern w:val="0"/>
          <w14:ligatures w14:val="none"/>
        </w:rPr>
        <w:t xml:space="preserve"> in recommendations</w:t>
      </w:r>
      <w:r w:rsidR="005E3CCC" w:rsidRPr="0047418B">
        <w:rPr>
          <w:rFonts w:ascii="Times New Roman" w:eastAsia="Times New Roman" w:hAnsi="Times New Roman" w:cs="Times New Roman"/>
          <w:kern w:val="0"/>
          <w14:ligatures w14:val="none"/>
        </w:rPr>
        <w:t xml:space="preserve"> </w:t>
      </w:r>
      <w:r w:rsidRPr="0047418B">
        <w:rPr>
          <w:rFonts w:ascii="Times New Roman" w:eastAsia="Times New Roman" w:hAnsi="Times New Roman" w:cs="Times New Roman"/>
          <w:kern w:val="0"/>
          <w14:ligatures w14:val="none"/>
        </w:rPr>
        <w:fldChar w:fldCharType="begin"/>
      </w:r>
      <w:r w:rsidR="00E54F96">
        <w:rPr>
          <w:rFonts w:ascii="Times New Roman" w:eastAsia="Times New Roman" w:hAnsi="Times New Roman" w:cs="Times New Roman"/>
          <w:kern w:val="0"/>
          <w14:ligatures w14:val="none"/>
        </w:rPr>
        <w:instrText xml:space="preserve"> ADDIN ZOTERO_ITEM CSL_CITATION {"citationID":"iLhR1KAr","properties":{"formattedCitation":"(3\\uc0\\u8211{}7)","plainCitation":"(3–7)","noteIndex":0},"citationItems":[{"id":1200,"uris":["http://zotero.org/users/9520068/items/KPWAP56P"],"itemData":{"id":1200,"type":"article-journal","abstract":"Equity has been recognized as one of the driving principles of many health systems in the world. In Latin America, Chile has led the explicit inclusion of equity in their health policies, which is reflected in its recent health reform. On the other hand, Chile faces the challenge of defining and implementing a policy for health technology assessment (HTA), which should be consistent with the equity principles that underlie the Chilean national health system. This paper reviews the equity concept emphasizing the relevance of socioeconomic inequalities. Furthermore, it examines how international HTA agencies have explicitly included this element in the evaluation and decision processes. It presents the English case, which highlights the elements of procedural justice rather than adopting a normative position regarding equity. Finally, it examines the methods that have been developed aiming to make explicit consideration of equity in HTA. It concludes that the methodological development to incorporate equity elements with empirical basis is recent and limited. The consideration of equity is, in most of the cases, left to the instances of deliberative participation.","container-title":"Revista medica de Chile","DOI":"10.4067/S0034-98872014001300008","page":"S45-9","title":"[Equity in health and health technology assessment in Chile].","volume":"142 Suppl","author":[{"family":"Espinoza","given":"Manuel Antonio"},{"family":"Cabieses","given":"Baltica"}],"issued":{"date-parts":[["2014",1]]}}},{"id":1265,"uris":["http://zotero.org/users/9520068/items/NHW4DXCW"],"itemData":{"id":1265,"type":"article-journal","abstract":"Health technology assessments (HTAs) are meant to inform health policy by taking account of all the potential impacts of using a health technology. In the 1990s, HTAs included rigorous research to produce patient-based evidence, and some supported participation of patient representatives to help focus HTA research and determine value. In the 2000s, HTAs became more closely linked to reimbursement decisions, focusing on clinical and cost effectiveness. Patient involvement should be tailored to the specific needs of each HTA. As the timeframe for HTAs has reduced, research to produce patient-based evidence has been replaced by input from patient groups. This places a burden on individuals and organizations that needs to be critically reviewed. Therefore, it is imperative that we clarify when patient involvement is likely to add value and support patients to provide their unique knowledge in the most optimal way to influence HTA decision making. To reduce the burden on patient groups, more must be done to encourage research to produce patient-based evidence early in technology development. Like clinical research, a programme of research should be carefully planned, with appropriate methodological rigor for each study, and all research should be published. For this, the development of quality standards for research to produce patient-based evidence may be needed. Patient involvement has inherent value. It should be focused, systematic and transparent, and evolve according to the experiences of all stakeholders. All countries or collaboratives that undertake HTA should consider how they can elicit the needs, preferences and experiences of patients to support creation of patient-centered healthcare policy.","container-title":"The patient","DOI":"10.1007/s40271-018-0325-5","issue":"6","note":"publisher-place: New Zealand","page":"581-589","title":"Putting Patients at the Centre of Healthcare: Progress and Challenges for Health Technology Assessments.","URL":"http://ovidsp.ovid.com/ovidweb.cgi?T=JS&amp;PAGE=reference&amp;D=prem&amp;NEWS=N&amp;AN=30051315","volume":"11","author":[{"family":"Facey","given":"Karen M"},{"family":"Bedlington","given":"Nicola"},{"family":"Berglas","given":"Sarah"},{"family":"Bertelsen","given":"Neil"},{"family":"Single","given":"Ann N V"},{"family":"Thomas","given":"Victoria"}],"issued":{"date-parts":[["2018"]]}}},{"id":3073,"uris":["http://zotero.org/users/9520068/items/INVFK3CC"],"itemData":{"id":3073,"type":"article-journal","abstract":"OBJECTIVE: To summarize current evidence on patient and public involvement (PPI) in health technology assessment (HTA) in order to synthesize the barriers and  facilitators, and to propose a framework to assess its impact. METHODS: We  conducted an update of a systematic review published in 2011 considering the  recent scientific literature (qualitative, quantitative, and mixed-methods  studies). We searched papers published between March 2009 (end of the initial  search) and December 2019 in five databases using specific search strategies. We  identified other publications through citation tracking and contacting authors of  previous related studies. Reviewers independently selected relevant studies based  on prespecified inclusion and exclusion criteria. We extracted information using  a pre-established grid. RESULTS: We identified a total of 7872 publications from  the main search strategy. Ultimately, thirty-one distinct new studies met the  inclusion criteria, whereas seventeen studies were included in the previous  systematic review. PPI is realized through two main strategies: (i) patients and  public members participate directly in decision-making processes (participation)  and (ii) patients or public perspectives are solicited to inform decisions  (consultation or indirect participation). This review synthesizes the barriers  and facilitators to PPI in HTA, and a framework to assess its impact is proposed.  CONCLUSION: The number of studies on patients or public involvement in HTA has  dramatically increased in recent years. Findings from this updated systematic  review show that PPI is done mostly through consultation and that direct  involvement is less frequent. Several barriers to PPI in HTA exist, notably the  lack of information to patients and public about HTA and the lack of guidance and  policies to support PPI in HTA.","container-title":"International journal of technology assessment in health care","DOI":"10.1017/S0266462321000064","ISSN":"1471-6348 0266-4623","journalAbbreviation":"Int J Technol Assess Health Care","language":"eng","note":"publisher-place: England\nPMID: 33541449","page":"e36","title":"Patient and public involvement in health technology assessment: update of a systematic review of international experiences.","volume":"37","author":[{"family":"Gagnon","given":"Marie-Pierre"},{"family":"Tantchou Dipankui","given":"Mylène"},{"family":"Poder","given":"Thomas G."},{"family":"Payne-Gagnon","given":"Julie"},{"family":"Mbemba","given":"Gisèle"},{"family":"Beretta","given":"Valentina"}],"issued":{"date-parts":[["2021",2,5]]}}},{"id":1109,"uris":["http://zotero.org/users/9520068/items/UDJ8WRZV"],"itemData":{"id":1109,"type":"article-journal","abstract":"Recently, patient engagement has been identified as a promising strategy for supporting healthcare planning. However, the context and structure of universalistic, “one-size-fits-all” approaches often used for patient engagement may not enable diverse patients to participate in decision-making about programs intended to meet their needs. Specifically, standard patient engagement approaches are gender-blind and might not facilitate the engagement of those marginalized by, for example, substance use, low income, experiences of violence, homelessness, and/or mental health challenges—highly gendered health and social experiences. The project’s purpose was to develop a heuristic model to assist planners to engage patients who are not traditionally included in healthcare planning.","container-title":"BMC Health Services Research","DOI":"10.1186/s12913-018-2969-1","issue":"1","page":"181-181","title":"Heard and valued: the development of a model to meaningfully engage marginalized populations in health services planning","volume":"18","author":[{"family":"Snow","given":"M Elizabeth"},{"family":"Tweedie","given":"Katherine"},{"family":"Pederson","given":"Ann"}],"issued":{"date-parts":[["2018"]]}}},{"id":1414,"uris":["http://zotero.org/users/9520068/items/T7QUCKTX"],"itemData":{"id":1414,"type":"article-journal","abstract":"Background\nHealth technology assessment (HTA) plays an important role in reimbursement decision-making in many countries, but recommendations vary widely throughout jurisdictions, even for the same drug. This variation may be due to differences in the weighing of evidence or differences in the processes or procedures, which are known as HTA practices.\nObjective\nTo provide insight into the effects of differences in practices on interpretation of intercountry differences in HTA recommendations for conditionally approved drugs.\nMethods\nHTA recommendations for conditionally approved drugs (N = 27) up until June 2017 from England/Wales, France, Germany, the Netherlands, and Scotland were included. Recommendations and practice characteristics were extracted from these five jurisdictions and this data was validated. The effect of nonsubmissions, resubmissions, and reassessments; cost-effectiveness assessments; and price negotiations on changes in the percentage of negative recommendations and the interpretation of intercountry differences in HTA outcomes were analyzed using Fisher exact tests.\nResults\nThe inclusion of cost-effectiveness assessments led to significant increases in the proportion of negative recommendations in England/Wales (from 4% to 50%, P&lt;.01) and Scotland (from 21% to 71%, P&lt;.01). The subsequent inclusion of price negotiations led to significant reductions in the proportion of negative recommendations in England/Wales (from 50% to 14%, P&lt;.01), France (from 31% to 3%, P=.012), and Germany (from 34% to 0%, P&lt;.01). Results indicated that the inclusion of nonsubmissions and resubmissions might affect Scottish negative HTA recommendations (from 7% to 21%), but this effect was not significant. No significant effects were observed in the Netherlands, possibly owing to sample size.\nConclusion\nVariations in HTA practices between international jurisdictions can have a substantial and significant impact on conclusions about recommendations by HTA bodies, as exemplified in this cohort of conditionally approved products. Studies comparing international HTA recommendations should carefully consider possible practice variations between jurisdictions.","container-title":"Value in Health","DOI":"10.1016/j.jval.2019.07.017","ISSN":"1098-3015","issue":"1","journalAbbreviation":"Value in Health","page":"10-16","title":"Differences in Health Technology Assessment Recommendations Among European Jurisdictions: The Role of Practice Variations","URL":"https://www.sciencedirect.com/science/article/pii/S1098301519323411","volume":"23","author":[{"family":"Vreman","given":"Rick A."},{"family":"Mantel-Teeuwisse","given":"Aukje K."},{"family":"Hövels","given":"Anke M."},{"family":"Leufkens","given":"Hubert G.M."},{"family":"Goettsch","given":"Wim G."}],"issued":{"date-parts":[["2020",1,1]]}}}],"schema":"https://github.com/citation-style-language/schema/raw/master/csl-citation.json"} </w:instrText>
      </w:r>
      <w:r w:rsidRPr="0047418B">
        <w:rPr>
          <w:rFonts w:ascii="Times New Roman" w:eastAsia="Times New Roman" w:hAnsi="Times New Roman" w:cs="Times New Roman"/>
          <w:kern w:val="0"/>
          <w14:ligatures w14:val="none"/>
        </w:rPr>
        <w:fldChar w:fldCharType="separate"/>
      </w:r>
      <w:r w:rsidR="00E54F96" w:rsidRPr="00E54F96">
        <w:rPr>
          <w:rFonts w:ascii="Times New Roman" w:hAnsi="Times New Roman" w:cs="Times New Roman"/>
          <w:kern w:val="0"/>
          <w:lang w:val="en-US"/>
        </w:rPr>
        <w:t>(3–7)</w:t>
      </w:r>
      <w:r w:rsidRPr="0047418B">
        <w:rPr>
          <w:rFonts w:ascii="Times New Roman" w:eastAsia="Times New Roman" w:hAnsi="Times New Roman" w:cs="Times New Roman"/>
          <w:kern w:val="0"/>
          <w14:ligatures w14:val="none"/>
        </w:rPr>
        <w:fldChar w:fldCharType="end"/>
      </w:r>
      <w:r w:rsidRPr="0047418B">
        <w:rPr>
          <w:rFonts w:ascii="Times New Roman" w:eastAsia="Times New Roman" w:hAnsi="Times New Roman" w:cs="Times New Roman"/>
          <w:kern w:val="0"/>
          <w14:ligatures w14:val="none"/>
        </w:rPr>
        <w:t xml:space="preserve">. In Canada, healthcare delivery and policy decisions are primarily the responsibility of provincial and territorial governments, leading to variations in how HTA is conducted across </w:t>
      </w:r>
      <w:r w:rsidR="00645F9C" w:rsidRPr="0047418B">
        <w:rPr>
          <w:rFonts w:ascii="Times New Roman" w:eastAsia="Times New Roman" w:hAnsi="Times New Roman" w:cs="Times New Roman"/>
          <w:kern w:val="0"/>
          <w14:ligatures w14:val="none"/>
        </w:rPr>
        <w:t xml:space="preserve">jurisdictions </w:t>
      </w:r>
      <w:r w:rsidR="005E3CCC" w:rsidRPr="0047418B">
        <w:rPr>
          <w:rFonts w:ascii="Times New Roman" w:eastAsia="Times New Roman" w:hAnsi="Times New Roman" w:cs="Times New Roman"/>
          <w:kern w:val="0"/>
          <w14:ligatures w14:val="none"/>
        </w:rPr>
        <w:fldChar w:fldCharType="begin"/>
      </w:r>
      <w:r w:rsidR="00E54F96">
        <w:rPr>
          <w:rFonts w:ascii="Times New Roman" w:eastAsia="Times New Roman" w:hAnsi="Times New Roman" w:cs="Times New Roman"/>
          <w:kern w:val="0"/>
          <w14:ligatures w14:val="none"/>
        </w:rPr>
        <w:instrText xml:space="preserve"> ADDIN ZOTERO_ITEM CSL_CITATION {"citationID":"Mu1STWn4","properties":{"formattedCitation":"(8,9)","plainCitation":"(8,9)","noteIndex":0},"citationItems":[{"id":3082,"uris":["http://zotero.org/users/9520068/items/E3TUIE7X"],"itemData":{"id":3082,"type":"article-journal","container-title":"Value in health : the journal of the International Society for Pharmacoeconomics and Outcomes Research","DOI":"10.1111/j.1524-4733.2009.00554.x","ISSN":"1524-4733 1098-3015","journalAbbreviation":"Value Health","language":"eng","note":"publisher-place: United States\nPMID: 19523180","page":"S14-19","title":"Health technology assessment in Canada: 20 years strong?","volume":"12 Suppl 2","author":[{"family":"Menon","given":"Devidas"},{"family":"Stafinski","given":"Tania"}],"issued":{"date-parts":[["2009",6]]}}},{"id":2955,"uris":["http://zotero.org/users/9520068/items/2F4R2NX4"],"itemData":{"id":2955,"type":"article-journal","container-title":"The Lancet","DOI":"10.1016/S0140-6736(18)30181-8","ISSN":"0140-6736","issue":"10131","note":"publisher: Elsevier","page":"1718-1735","title":"Canada's universal health-care system: achieving its potential","URL":"https://doi.org/10.1016/S0140-6736(18)30181-8","volume":"391","author":[{"family":"Martin","given":"Danielle"},{"family":"Miller","given":"Ashley P"},{"family":"Quesnel-Vallée","given":"Amélie"},{"family":"Caron","given":"Nadine R"},{"family":"Vissandjée","given":"Bilkis"},{"family":"Marchildon","given":"Gregory P"}],"accessed":{"date-parts":[["2022",11,25]]},"issued":{"date-parts":[["2018",4,28]]}}}],"schema":"https://github.com/citation-style-language/schema/raw/master/csl-citation.json"} </w:instrText>
      </w:r>
      <w:r w:rsidR="005E3CCC" w:rsidRPr="0047418B">
        <w:rPr>
          <w:rFonts w:ascii="Times New Roman" w:eastAsia="Times New Roman" w:hAnsi="Times New Roman" w:cs="Times New Roman"/>
          <w:kern w:val="0"/>
          <w14:ligatures w14:val="none"/>
        </w:rPr>
        <w:fldChar w:fldCharType="separate"/>
      </w:r>
      <w:r w:rsidR="00E54F96">
        <w:rPr>
          <w:rFonts w:ascii="Times New Roman" w:eastAsia="Times New Roman" w:hAnsi="Times New Roman" w:cs="Times New Roman"/>
          <w:noProof/>
          <w:kern w:val="0"/>
          <w14:ligatures w14:val="none"/>
        </w:rPr>
        <w:t>(8,9)</w:t>
      </w:r>
      <w:r w:rsidR="005E3CCC" w:rsidRPr="0047418B">
        <w:rPr>
          <w:rFonts w:ascii="Times New Roman" w:eastAsia="Times New Roman" w:hAnsi="Times New Roman" w:cs="Times New Roman"/>
          <w:kern w:val="0"/>
          <w14:ligatures w14:val="none"/>
        </w:rPr>
        <w:fldChar w:fldCharType="end"/>
      </w:r>
      <w:r w:rsidRPr="0047418B">
        <w:rPr>
          <w:rFonts w:ascii="Times New Roman" w:eastAsia="Times New Roman" w:hAnsi="Times New Roman" w:cs="Times New Roman"/>
          <w:kern w:val="0"/>
          <w14:ligatures w14:val="none"/>
        </w:rPr>
        <w:t xml:space="preserve">. </w:t>
      </w:r>
    </w:p>
    <w:p w14:paraId="42C35C94" w14:textId="3B52D071" w:rsidR="00D36B5F" w:rsidRPr="0047418B" w:rsidRDefault="00D36B5F" w:rsidP="001F748D">
      <w:pPr>
        <w:spacing w:line="480" w:lineRule="auto"/>
        <w:ind w:firstLine="360"/>
        <w:rPr>
          <w:rFonts w:ascii="Times New Roman" w:eastAsia="Times New Roman" w:hAnsi="Times New Roman" w:cs="Times New Roman"/>
          <w:kern w:val="0"/>
          <w14:ligatures w14:val="none"/>
        </w:rPr>
      </w:pPr>
      <w:r w:rsidRPr="0047418B">
        <w:rPr>
          <w:rFonts w:ascii="Times New Roman" w:eastAsia="Times New Roman" w:hAnsi="Times New Roman" w:cs="Times New Roman"/>
          <w:kern w:val="0"/>
          <w14:ligatures w14:val="none"/>
        </w:rPr>
        <w:t xml:space="preserve">Understanding these context-specific nuances is essential because it can highlight how local needs, available resources, and governance priorities shape the HTA process, influencing which patient voices are heard and how equity is addressed. This context-bound approach allows for tailored recommendations that are relevant and actionable within the specific healthcare environment, enhancing the impact of HTA on decision-making and ultimately leading to more </w:t>
      </w:r>
      <w:r w:rsidRPr="0047418B">
        <w:rPr>
          <w:rFonts w:ascii="Times New Roman" w:eastAsia="Times New Roman" w:hAnsi="Times New Roman" w:cs="Times New Roman"/>
          <w:kern w:val="0"/>
          <w14:ligatures w14:val="none"/>
        </w:rPr>
        <w:lastRenderedPageBreak/>
        <w:t xml:space="preserve">equitable health outcomes. By studying these patterns and relationships in context, researchers can identify best practices and challenges unique to </w:t>
      </w:r>
      <w:r w:rsidR="00645F9C" w:rsidRPr="0047418B">
        <w:rPr>
          <w:rFonts w:ascii="Times New Roman" w:eastAsia="Times New Roman" w:hAnsi="Times New Roman" w:cs="Times New Roman"/>
          <w:kern w:val="0"/>
          <w14:ligatures w14:val="none"/>
        </w:rPr>
        <w:t>HTA practices,</w:t>
      </w:r>
      <w:r w:rsidRPr="0047418B">
        <w:rPr>
          <w:rFonts w:ascii="Times New Roman" w:eastAsia="Times New Roman" w:hAnsi="Times New Roman" w:cs="Times New Roman"/>
          <w:kern w:val="0"/>
          <w14:ligatures w14:val="none"/>
        </w:rPr>
        <w:t xml:space="preserve"> providing valuable insights t</w:t>
      </w:r>
      <w:r w:rsidR="00F45E12" w:rsidRPr="0047418B">
        <w:rPr>
          <w:rFonts w:ascii="Times New Roman" w:eastAsia="Times New Roman" w:hAnsi="Times New Roman" w:cs="Times New Roman"/>
          <w:kern w:val="0"/>
          <w14:ligatures w14:val="none"/>
        </w:rPr>
        <w:t>o</w:t>
      </w:r>
      <w:r w:rsidRPr="0047418B">
        <w:rPr>
          <w:rFonts w:ascii="Times New Roman" w:eastAsia="Times New Roman" w:hAnsi="Times New Roman" w:cs="Times New Roman"/>
          <w:kern w:val="0"/>
          <w14:ligatures w14:val="none"/>
        </w:rPr>
        <w:t xml:space="preserve"> inform broader applications while </w:t>
      </w:r>
      <w:r w:rsidR="00645F9C" w:rsidRPr="0047418B">
        <w:rPr>
          <w:rFonts w:ascii="Times New Roman" w:eastAsia="Times New Roman" w:hAnsi="Times New Roman" w:cs="Times New Roman"/>
          <w:kern w:val="0"/>
          <w14:ligatures w14:val="none"/>
        </w:rPr>
        <w:t xml:space="preserve">acknowledging </w:t>
      </w:r>
      <w:r w:rsidRPr="0047418B">
        <w:rPr>
          <w:rFonts w:ascii="Times New Roman" w:eastAsia="Times New Roman" w:hAnsi="Times New Roman" w:cs="Times New Roman"/>
          <w:kern w:val="0"/>
          <w14:ligatures w14:val="none"/>
        </w:rPr>
        <w:t>the diversity of healthcare needs and governance structures</w:t>
      </w:r>
      <w:r w:rsidR="00645F9C" w:rsidRPr="0047418B">
        <w:rPr>
          <w:rFonts w:ascii="Times New Roman" w:eastAsia="Times New Roman" w:hAnsi="Times New Roman" w:cs="Times New Roman"/>
          <w:kern w:val="0"/>
          <w14:ligatures w14:val="none"/>
        </w:rPr>
        <w:t xml:space="preserve"> </w:t>
      </w:r>
      <w:r w:rsidR="00645F9C" w:rsidRPr="0047418B">
        <w:rPr>
          <w:rFonts w:ascii="Times New Roman" w:eastAsia="Times New Roman" w:hAnsi="Times New Roman" w:cs="Times New Roman"/>
          <w:kern w:val="0"/>
          <w14:ligatures w14:val="none"/>
        </w:rPr>
        <w:fldChar w:fldCharType="begin"/>
      </w:r>
      <w:r w:rsidR="00E54F96">
        <w:rPr>
          <w:rFonts w:ascii="Times New Roman" w:eastAsia="Times New Roman" w:hAnsi="Times New Roman" w:cs="Times New Roman"/>
          <w:kern w:val="0"/>
          <w14:ligatures w14:val="none"/>
        </w:rPr>
        <w:instrText xml:space="preserve"> ADDIN ZOTERO_ITEM CSL_CITATION {"citationID":"W6y3jSAz","properties":{"formattedCitation":"(8,10,11)","plainCitation":"(8,10,11)","noteIndex":0},"citationItems":[{"id":3082,"uris":["http://zotero.org/users/9520068/items/E3TUIE7X"],"itemData":{"id":3082,"type":"article-journal","container-title":"Value in health : the journal of the International Society for Pharmacoeconomics and Outcomes Research","DOI":"10.1111/j.1524-4733.2009.00554.x","ISSN":"1524-4733 1098-3015","journalAbbreviation":"Value Health","language":"eng","note":"publisher-place: United States\nPMID: 19523180","page":"S14-19","title":"Health technology assessment in Canada: 20 years strong?","volume":"12 Suppl 2","author":[{"family":"Menon","given":"Devidas"},{"family":"Stafinski","given":"Tania"}],"issued":{"date-parts":[["2009",6]]}}},{"id":1332,"uris":["http://zotero.org/users/9520068/items/N37I5EL8"],"itemData":{"id":1332,"type":"article-journal","abstract":"OBJECTIVES: Equity is one of the founding principles in most healthcare systems.  Financial constraints entail an increased risk of exacerbating inequities and a greater need for evidence-based decisions. It is, therefore, both important and timely to enquire how equity can be addressed in health technology assessment (HTA) practice. We aimed to explore related practices from a broad range of HTA agencies, identify exemplary approaches and common concerns, and offer insights for future considerations. METHODS: HTA agencies for which both methodological guides and HTA reports were publicly available were selected from an initial comprehensive pool. Information was extracted on issues ranging from a general commitment to fairness to specific measures targeting both methodological and process-related elements. RESULTS: Methodological documents and ninety-eight reports from nineteen agencies were analyzed. Our findings indicate that equity was not a standard consideration in HTA report production. The nature of specific approaches and the amount of resources invested into including an equity perspective varied considerably. Specific measures (e.g., appropriate information sources, analytical tools, and schemes) were mentioned by almost half of the agencies analyzed. Albeit sporadic, both horizontal and vertical equity considerations were identified in included HTA reports. CONCLUSIONS: While varying legal contexts and institutional principles can lead to different interpretations of equity at the decision point, a combination of methodological and process-related practices could contribute to more equity-sensitive evaluations, especially in conjunction with enhanced dissemination of existing methodological tools. Networking initiatives on behalf of existing collaborating platforms could play an important role in this direction.","container-title":"International journal of technology assessment in health care","DOI":"10.1017/S0266462315000549","issue":"5","page":"314-323","title":"Considering equity in health technology assessment: an exploratory analysis of agency practices.","volume":"31","author":[{"family":"Busse","given":"Reinhard"},{"family":"Panteli","given":"Dimitra"},{"family":"Kreis","given":"Julia"},{"family":"Busse","given":"Reinhard"}],"issued":{"date-parts":[["2015",1]]}}},{"id":3076,"uris":["http://zotero.org/users/9520068/items/K2P5HTIF"],"itemData":{"id":3076,"type":"article-journal","abstract":"BACKGROUND: As citizens, patients and family members are participating in numerous and expanding roles in health system organizations, attention has turned  to evaluating these efforts. The context-specific nature of engagement requires  evaluation tools to be carefully designed for optimal use. We sought to address  this need by assessing the appropriateness and feasibility of a generic tool  across a range of health system organizations, engagement activities and patient  groups. METHODS: We used a mixed-methods implementation research design to study  the implementation of an engagement evaluation tool in seven health system  organizations in Ontario, Canada focusing on two key implementation outcome  variables: appropriateness and feasibility. Data were collected through  respondent feedback questions (binary and open-ended) at the end of the tool's  three questionnaires as well as interviews and debriefing discussions with  engagement professionals and patient partners from collaborating organizations.  RESULTS: The three questionnaires comprising the evaluation tool were  collectively administered 29 times to 405 respondents yielding a 52% response  rate (90% and 53% of respondents respectively assessed the survey's  appropriateness and feasibility [quantitatively or qualitatively]). The  questionnaires' basic properties were rated highly by all respondents. Concrete  suggestions were provided for improving the appropriateness and feasibility of  the questionnaires (or components within) for different engagement activity and  organization types, and for enhancing the timing of implementation. DISCUSSION  AND CONCLUSIONS: Our study findings offer guidance for health system  organizations and evaluators to support the optimal use of engagement evaluation  tools across a variety of health system settings, engagement activities and  respondent groups.","container-title":"Health expectations : an international journal of public participation in health care and health policy","DOI":"10.1111/hex.12949","ISSN":"1369-7625 1369-6513","issue":"5","journalAbbreviation":"Health Expect","language":"eng","license":"© 2019 The Authors Health Expectations published by John Wiley &amp; Sons Ltd.","note":"publisher-place: England\nPMID: 31373754 \nPMCID: PMC6803403","page":"1132-1143","title":"Supporting the evaluation of public and patient engagement in health system organizations: Results from an implementation research study.","volume":"22","author":[{"family":"Abelson","given":"Julia"},{"family":"Tripp","given":"Laura"},{"family":"Kandasamy","given":"Sujane"},{"family":"Burrows","given":"Kristen"}],"issued":{"date-parts":[["2019",10]]}}}],"schema":"https://github.com/citation-style-language/schema/raw/master/csl-citation.json"} </w:instrText>
      </w:r>
      <w:r w:rsidR="00645F9C" w:rsidRPr="0047418B">
        <w:rPr>
          <w:rFonts w:ascii="Times New Roman" w:eastAsia="Times New Roman" w:hAnsi="Times New Roman" w:cs="Times New Roman"/>
          <w:kern w:val="0"/>
          <w14:ligatures w14:val="none"/>
        </w:rPr>
        <w:fldChar w:fldCharType="separate"/>
      </w:r>
      <w:r w:rsidR="00E54F96">
        <w:rPr>
          <w:rFonts w:ascii="Times New Roman" w:eastAsia="Times New Roman" w:hAnsi="Times New Roman" w:cs="Times New Roman"/>
          <w:noProof/>
          <w:kern w:val="0"/>
          <w14:ligatures w14:val="none"/>
        </w:rPr>
        <w:t>(8,10,11)</w:t>
      </w:r>
      <w:r w:rsidR="00645F9C" w:rsidRPr="0047418B">
        <w:rPr>
          <w:rFonts w:ascii="Times New Roman" w:eastAsia="Times New Roman" w:hAnsi="Times New Roman" w:cs="Times New Roman"/>
          <w:kern w:val="0"/>
          <w14:ligatures w14:val="none"/>
        </w:rPr>
        <w:fldChar w:fldCharType="end"/>
      </w:r>
      <w:r w:rsidRPr="0047418B">
        <w:rPr>
          <w:rFonts w:ascii="Times New Roman" w:eastAsia="Times New Roman" w:hAnsi="Times New Roman" w:cs="Times New Roman"/>
          <w:kern w:val="0"/>
          <w14:ligatures w14:val="none"/>
        </w:rPr>
        <w:t>.</w:t>
      </w:r>
    </w:p>
    <w:p w14:paraId="47E0F1AC" w14:textId="595F9A39" w:rsidR="00645F9C" w:rsidRPr="00E54F96" w:rsidRDefault="00645F9C" w:rsidP="001F748D">
      <w:pPr>
        <w:pStyle w:val="ListParagraph"/>
        <w:numPr>
          <w:ilvl w:val="0"/>
          <w:numId w:val="20"/>
        </w:numPr>
        <w:spacing w:line="480" w:lineRule="auto"/>
        <w:rPr>
          <w:rFonts w:ascii="Times New Roman" w:eastAsia="Times New Roman" w:hAnsi="Times New Roman" w:cs="Times New Roman"/>
          <w:b/>
          <w:bCs/>
          <w:kern w:val="0"/>
          <w14:ligatures w14:val="none"/>
        </w:rPr>
      </w:pPr>
      <w:r w:rsidRPr="00E54F96">
        <w:rPr>
          <w:rFonts w:ascii="Times New Roman" w:eastAsia="Times New Roman" w:hAnsi="Times New Roman" w:cs="Times New Roman"/>
          <w:b/>
          <w:bCs/>
          <w:kern w:val="0"/>
          <w14:ligatures w14:val="none"/>
        </w:rPr>
        <w:t>Sample Size Calculation</w:t>
      </w:r>
    </w:p>
    <w:p w14:paraId="1BA43BDD" w14:textId="78DD2C70" w:rsidR="00645F9C" w:rsidRPr="0047418B" w:rsidRDefault="00645F9C" w:rsidP="001F748D">
      <w:pPr>
        <w:spacing w:line="480" w:lineRule="auto"/>
        <w:ind w:firstLine="360"/>
        <w:rPr>
          <w:rFonts w:ascii="Times New Roman" w:eastAsia="Times New Roman" w:hAnsi="Times New Roman" w:cs="Times New Roman"/>
          <w:kern w:val="0"/>
          <w14:ligatures w14:val="none"/>
        </w:rPr>
      </w:pPr>
      <w:r w:rsidRPr="0047418B">
        <w:rPr>
          <w:rFonts w:ascii="Times New Roman" w:eastAsia="Times New Roman" w:hAnsi="Times New Roman" w:cs="Times New Roman"/>
          <w:kern w:val="0"/>
          <w14:ligatures w14:val="none"/>
        </w:rPr>
        <w:t xml:space="preserve">We selected a purposeful sample of 60 HTA reports containing patient input published between 2013 and 2021 from </w:t>
      </w:r>
      <w:r w:rsidR="001F748D" w:rsidRPr="0047418B">
        <w:rPr>
          <w:rFonts w:ascii="Times New Roman" w:eastAsia="Times New Roman" w:hAnsi="Times New Roman" w:cs="Times New Roman"/>
          <w:kern w:val="0"/>
          <w14:ligatures w14:val="none"/>
        </w:rPr>
        <w:t>CDA</w:t>
      </w:r>
      <w:r w:rsidRPr="0047418B">
        <w:rPr>
          <w:rFonts w:ascii="Times New Roman" w:eastAsia="Times New Roman" w:hAnsi="Times New Roman" w:cs="Times New Roman"/>
          <w:kern w:val="0"/>
          <w14:ligatures w14:val="none"/>
        </w:rPr>
        <w:t xml:space="preserve"> and </w:t>
      </w:r>
      <w:r w:rsidR="008E1EA2" w:rsidRPr="0047418B">
        <w:rPr>
          <w:rFonts w:ascii="Times New Roman" w:eastAsia="Times New Roman" w:hAnsi="Times New Roman" w:cs="Times New Roman"/>
          <w:kern w:val="0"/>
          <w14:ligatures w14:val="none"/>
        </w:rPr>
        <w:t>Ontario Health.</w:t>
      </w:r>
      <w:r w:rsidRPr="0047418B">
        <w:rPr>
          <w:rFonts w:ascii="Times New Roman" w:eastAsia="Times New Roman" w:hAnsi="Times New Roman" w:cs="Times New Roman"/>
          <w:kern w:val="0"/>
          <w14:ligatures w14:val="none"/>
        </w:rPr>
        <w:t xml:space="preserve"> The decision to focus on Canadian HTA reports is grounded in the understanding that HTA processes are highly context-bound, with significant variability in patient engagement strategies across organizations and countrie</w:t>
      </w:r>
      <w:r w:rsidR="00057EB1" w:rsidRPr="0047418B">
        <w:rPr>
          <w:rFonts w:ascii="Times New Roman" w:eastAsia="Times New Roman" w:hAnsi="Times New Roman" w:cs="Times New Roman"/>
          <w:kern w:val="0"/>
          <w14:ligatures w14:val="none"/>
        </w:rPr>
        <w:t xml:space="preserve">s </w:t>
      </w:r>
      <w:r w:rsidR="00E94748" w:rsidRPr="0047418B">
        <w:rPr>
          <w:rFonts w:ascii="Times New Roman" w:eastAsia="Times New Roman" w:hAnsi="Times New Roman" w:cs="Times New Roman"/>
          <w:kern w:val="0"/>
          <w14:ligatures w14:val="none"/>
        </w:rPr>
        <w:fldChar w:fldCharType="begin"/>
      </w:r>
      <w:r w:rsidR="00E54F96">
        <w:rPr>
          <w:rFonts w:ascii="Times New Roman" w:eastAsia="Times New Roman" w:hAnsi="Times New Roman" w:cs="Times New Roman"/>
          <w:kern w:val="0"/>
          <w14:ligatures w14:val="none"/>
        </w:rPr>
        <w:instrText xml:space="preserve"> ADDIN ZOTERO_ITEM CSL_CITATION {"citationID":"8XNi5Pfe","properties":{"formattedCitation":"(8,10,11)","plainCitation":"(8,10,11)","noteIndex":0},"citationItems":[{"id":3082,"uris":["http://zotero.org/users/9520068/items/E3TUIE7X"],"itemData":{"id":3082,"type":"article-journal","container-title":"Value in health : the journal of the International Society for Pharmacoeconomics and Outcomes Research","DOI":"10.1111/j.1524-4733.2009.00554.x","ISSN":"1524-4733 1098-3015","journalAbbreviation":"Value Health","language":"eng","note":"publisher-place: United States\nPMID: 19523180","page":"S14-19","title":"Health technology assessment in Canada: 20 years strong?","volume":"12 Suppl 2","author":[{"family":"Menon","given":"Devidas"},{"family":"Stafinski","given":"Tania"}],"issued":{"date-parts":[["2009",6]]}}},{"id":1332,"uris":["http://zotero.org/users/9520068/items/N37I5EL8"],"itemData":{"id":1332,"type":"article-journal","abstract":"OBJECTIVES: Equity is one of the founding principles in most healthcare systems.  Financial constraints entail an increased risk of exacerbating inequities and a greater need for evidence-based decisions. It is, therefore, both important and timely to enquire how equity can be addressed in health technology assessment (HTA) practice. We aimed to explore related practices from a broad range of HTA agencies, identify exemplary approaches and common concerns, and offer insights for future considerations. METHODS: HTA agencies for which both methodological guides and HTA reports were publicly available were selected from an initial comprehensive pool. Information was extracted on issues ranging from a general commitment to fairness to specific measures targeting both methodological and process-related elements. RESULTS: Methodological documents and ninety-eight reports from nineteen agencies were analyzed. Our findings indicate that equity was not a standard consideration in HTA report production. The nature of specific approaches and the amount of resources invested into including an equity perspective varied considerably. Specific measures (e.g., appropriate information sources, analytical tools, and schemes) were mentioned by almost half of the agencies analyzed. Albeit sporadic, both horizontal and vertical equity considerations were identified in included HTA reports. CONCLUSIONS: While varying legal contexts and institutional principles can lead to different interpretations of equity at the decision point, a combination of methodological and process-related practices could contribute to more equity-sensitive evaluations, especially in conjunction with enhanced dissemination of existing methodological tools. Networking initiatives on behalf of existing collaborating platforms could play an important role in this direction.","container-title":"International journal of technology assessment in health care","DOI":"10.1017/S0266462315000549","issue":"5","page":"314-323","title":"Considering equity in health technology assessment: an exploratory analysis of agency practices.","volume":"31","author":[{"family":"Busse","given":"Reinhard"},{"family":"Panteli","given":"Dimitra"},{"family":"Kreis","given":"Julia"},{"family":"Busse","given":"Reinhard"}],"issued":{"date-parts":[["2015",1]]}}},{"id":3076,"uris":["http://zotero.org/users/9520068/items/K2P5HTIF"],"itemData":{"id":3076,"type":"article-journal","abstract":"BACKGROUND: As citizens, patients and family members are participating in numerous and expanding roles in health system organizations, attention has turned  to evaluating these efforts. The context-specific nature of engagement requires  evaluation tools to be carefully designed for optimal use. We sought to address  this need by assessing the appropriateness and feasibility of a generic tool  across a range of health system organizations, engagement activities and patient  groups. METHODS: We used a mixed-methods implementation research design to study  the implementation of an engagement evaluation tool in seven health system  organizations in Ontario, Canada focusing on two key implementation outcome  variables: appropriateness and feasibility. Data were collected through  respondent feedback questions (binary and open-ended) at the end of the tool's  three questionnaires as well as interviews and debriefing discussions with  engagement professionals and patient partners from collaborating organizations.  RESULTS: The three questionnaires comprising the evaluation tool were  collectively administered 29 times to 405 respondents yielding a 52% response  rate (90% and 53% of respondents respectively assessed the survey's  appropriateness and feasibility [quantitatively or qualitatively]). The  questionnaires' basic properties were rated highly by all respondents. Concrete  suggestions were provided for improving the appropriateness and feasibility of  the questionnaires (or components within) for different engagement activity and  organization types, and for enhancing the timing of implementation. DISCUSSION  AND CONCLUSIONS: Our study findings offer guidance for health system  organizations and evaluators to support the optimal use of engagement evaluation  tools across a variety of health system settings, engagement activities and  respondent groups.","container-title":"Health expectations : an international journal of public participation in health care and health policy","DOI":"10.1111/hex.12949","ISSN":"1369-7625 1369-6513","issue":"5","journalAbbreviation":"Health Expect","language":"eng","license":"© 2019 The Authors Health Expectations published by John Wiley &amp; Sons Ltd.","note":"publisher-place: England\nPMID: 31373754 \nPMCID: PMC6803403","page":"1132-1143","title":"Supporting the evaluation of public and patient engagement in health system organizations: Results from an implementation research study.","volume":"22","author":[{"family":"Abelson","given":"Julia"},{"family":"Tripp","given":"Laura"},{"family":"Kandasamy","given":"Sujane"},{"family":"Burrows","given":"Kristen"}],"issued":{"date-parts":[["2019",10]]}}}],"schema":"https://github.com/citation-style-language/schema/raw/master/csl-citation.json"} </w:instrText>
      </w:r>
      <w:r w:rsidR="00E94748" w:rsidRPr="0047418B">
        <w:rPr>
          <w:rFonts w:ascii="Times New Roman" w:eastAsia="Times New Roman" w:hAnsi="Times New Roman" w:cs="Times New Roman"/>
          <w:kern w:val="0"/>
          <w14:ligatures w14:val="none"/>
        </w:rPr>
        <w:fldChar w:fldCharType="separate"/>
      </w:r>
      <w:r w:rsidR="00E54F96">
        <w:rPr>
          <w:rFonts w:ascii="Times New Roman" w:eastAsia="Times New Roman" w:hAnsi="Times New Roman" w:cs="Times New Roman"/>
          <w:noProof/>
          <w:kern w:val="0"/>
          <w14:ligatures w14:val="none"/>
        </w:rPr>
        <w:t>(8,10,11)</w:t>
      </w:r>
      <w:r w:rsidR="00E94748" w:rsidRPr="0047418B">
        <w:rPr>
          <w:rFonts w:ascii="Times New Roman" w:eastAsia="Times New Roman" w:hAnsi="Times New Roman" w:cs="Times New Roman"/>
          <w:kern w:val="0"/>
          <w14:ligatures w14:val="none"/>
        </w:rPr>
        <w:fldChar w:fldCharType="end"/>
      </w:r>
      <w:r w:rsidR="00E94748" w:rsidRPr="0047418B">
        <w:rPr>
          <w:rFonts w:ascii="Times New Roman" w:eastAsia="Times New Roman" w:hAnsi="Times New Roman" w:cs="Times New Roman"/>
          <w:kern w:val="0"/>
          <w14:ligatures w14:val="none"/>
        </w:rPr>
        <w:t>.</w:t>
      </w:r>
      <w:r w:rsidRPr="0047418B">
        <w:rPr>
          <w:rFonts w:ascii="Times New Roman" w:eastAsia="Times New Roman" w:hAnsi="Times New Roman" w:cs="Times New Roman"/>
          <w:kern w:val="0"/>
          <w14:ligatures w14:val="none"/>
        </w:rPr>
        <w:t xml:space="preserve"> This context specificity means that including reports from non-comparable settings could compromise the accuracy of our findings and limit their generalizability</w:t>
      </w:r>
      <w:r w:rsidR="00F45E12" w:rsidRPr="0047418B">
        <w:rPr>
          <w:rFonts w:ascii="Times New Roman" w:eastAsia="Times New Roman" w:hAnsi="Times New Roman" w:cs="Times New Roman"/>
          <w:kern w:val="0"/>
          <w14:ligatures w14:val="none"/>
        </w:rPr>
        <w:t xml:space="preserve"> </w:t>
      </w:r>
      <w:r w:rsidR="00E94748" w:rsidRPr="0047418B">
        <w:rPr>
          <w:rFonts w:ascii="Times New Roman" w:eastAsia="Times New Roman" w:hAnsi="Times New Roman" w:cs="Times New Roman"/>
          <w:kern w:val="0"/>
          <w14:ligatures w14:val="none"/>
        </w:rPr>
        <w:fldChar w:fldCharType="begin"/>
      </w:r>
      <w:r w:rsidR="00E54F96">
        <w:rPr>
          <w:rFonts w:ascii="Times New Roman" w:eastAsia="Times New Roman" w:hAnsi="Times New Roman" w:cs="Times New Roman"/>
          <w:kern w:val="0"/>
          <w14:ligatures w14:val="none"/>
        </w:rPr>
        <w:instrText xml:space="preserve"> ADDIN ZOTERO_ITEM CSL_CITATION {"citationID":"hcienfXT","properties":{"formattedCitation":"(8,10,11)","plainCitation":"(8,10,11)","noteIndex":0},"citationItems":[{"id":3082,"uris":["http://zotero.org/users/9520068/items/E3TUIE7X"],"itemData":{"id":3082,"type":"article-journal","container-title":"Value in health : the journal of the International Society for Pharmacoeconomics and Outcomes Research","DOI":"10.1111/j.1524-4733.2009.00554.x","ISSN":"1524-4733 1098-3015","journalAbbreviation":"Value Health","language":"eng","note":"publisher-place: United States\nPMID: 19523180","page":"S14-19","title":"Health technology assessment in Canada: 20 years strong?","volume":"12 Suppl 2","author":[{"family":"Menon","given":"Devidas"},{"family":"Stafinski","given":"Tania"}],"issued":{"date-parts":[["2009",6]]}}},{"id":1332,"uris":["http://zotero.org/users/9520068/items/N37I5EL8"],"itemData":{"id":1332,"type":"article-journal","abstract":"OBJECTIVES: Equity is one of the founding principles in most healthcare systems.  Financial constraints entail an increased risk of exacerbating inequities and a greater need for evidence-based decisions. It is, therefore, both important and timely to enquire how equity can be addressed in health technology assessment (HTA) practice. We aimed to explore related practices from a broad range of HTA agencies, identify exemplary approaches and common concerns, and offer insights for future considerations. METHODS: HTA agencies for which both methodological guides and HTA reports were publicly available were selected from an initial comprehensive pool. Information was extracted on issues ranging from a general commitment to fairness to specific measures targeting both methodological and process-related elements. RESULTS: Methodological documents and ninety-eight reports from nineteen agencies were analyzed. Our findings indicate that equity was not a standard consideration in HTA report production. The nature of specific approaches and the amount of resources invested into including an equity perspective varied considerably. Specific measures (e.g., appropriate information sources, analytical tools, and schemes) were mentioned by almost half of the agencies analyzed. Albeit sporadic, both horizontal and vertical equity considerations were identified in included HTA reports. CONCLUSIONS: While varying legal contexts and institutional principles can lead to different interpretations of equity at the decision point, a combination of methodological and process-related practices could contribute to more equity-sensitive evaluations, especially in conjunction with enhanced dissemination of existing methodological tools. Networking initiatives on behalf of existing collaborating platforms could play an important role in this direction.","container-title":"International journal of technology assessment in health care","DOI":"10.1017/S0266462315000549","issue":"5","page":"314-323","title":"Considering equity in health technology assessment: an exploratory analysis of agency practices.","volume":"31","author":[{"family":"Busse","given":"Reinhard"},{"family":"Panteli","given":"Dimitra"},{"family":"Kreis","given":"Julia"},{"family":"Busse","given":"Reinhard"}],"issued":{"date-parts":[["2015",1]]}}},{"id":3076,"uris":["http://zotero.org/users/9520068/items/K2P5HTIF"],"itemData":{"id":3076,"type":"article-journal","abstract":"BACKGROUND: As citizens, patients and family members are participating in numerous and expanding roles in health system organizations, attention has turned  to evaluating these efforts. The context-specific nature of engagement requires  evaluation tools to be carefully designed for optimal use. We sought to address  this need by assessing the appropriateness and feasibility of a generic tool  across a range of health system organizations, engagement activities and patient  groups. METHODS: We used a mixed-methods implementation research design to study  the implementation of an engagement evaluation tool in seven health system  organizations in Ontario, Canada focusing on two key implementation outcome  variables: appropriateness and feasibility. Data were collected through  respondent feedback questions (binary and open-ended) at the end of the tool's  three questionnaires as well as interviews and debriefing discussions with  engagement professionals and patient partners from collaborating organizations.  RESULTS: The three questionnaires comprising the evaluation tool were  collectively administered 29 times to 405 respondents yielding a 52% response  rate (90% and 53% of respondents respectively assessed the survey's  appropriateness and feasibility [quantitatively or qualitatively]). The  questionnaires' basic properties were rated highly by all respondents. Concrete  suggestions were provided for improving the appropriateness and feasibility of  the questionnaires (or components within) for different engagement activity and  organization types, and for enhancing the timing of implementation. DISCUSSION  AND CONCLUSIONS: Our study findings offer guidance for health system  organizations and evaluators to support the optimal use of engagement evaluation  tools across a variety of health system settings, engagement activities and  respondent groups.","container-title":"Health expectations : an international journal of public participation in health care and health policy","DOI":"10.1111/hex.12949","ISSN":"1369-7625 1369-6513","issue":"5","journalAbbreviation":"Health Expect","language":"eng","license":"© 2019 The Authors Health Expectations published by John Wiley &amp; Sons Ltd.","note":"publisher-place: England\nPMID: 31373754 \nPMCID: PMC6803403","page":"1132-1143","title":"Supporting the evaluation of public and patient engagement in health system organizations: Results from an implementation research study.","volume":"22","author":[{"family":"Abelson","given":"Julia"},{"family":"Tripp","given":"Laura"},{"family":"Kandasamy","given":"Sujane"},{"family":"Burrows","given":"Kristen"}],"issued":{"date-parts":[["2019",10]]}}}],"schema":"https://github.com/citation-style-language/schema/raw/master/csl-citation.json"} </w:instrText>
      </w:r>
      <w:r w:rsidR="00E94748" w:rsidRPr="0047418B">
        <w:rPr>
          <w:rFonts w:ascii="Times New Roman" w:eastAsia="Times New Roman" w:hAnsi="Times New Roman" w:cs="Times New Roman"/>
          <w:kern w:val="0"/>
          <w14:ligatures w14:val="none"/>
        </w:rPr>
        <w:fldChar w:fldCharType="separate"/>
      </w:r>
      <w:r w:rsidR="00E54F96">
        <w:rPr>
          <w:rFonts w:ascii="Times New Roman" w:eastAsia="Times New Roman" w:hAnsi="Times New Roman" w:cs="Times New Roman"/>
          <w:noProof/>
          <w:kern w:val="0"/>
          <w14:ligatures w14:val="none"/>
        </w:rPr>
        <w:t>(8,10,11)</w:t>
      </w:r>
      <w:r w:rsidR="00E94748" w:rsidRPr="0047418B">
        <w:rPr>
          <w:rFonts w:ascii="Times New Roman" w:eastAsia="Times New Roman" w:hAnsi="Times New Roman" w:cs="Times New Roman"/>
          <w:kern w:val="0"/>
          <w14:ligatures w14:val="none"/>
        </w:rPr>
        <w:fldChar w:fldCharType="end"/>
      </w:r>
      <w:r w:rsidR="00E94748" w:rsidRPr="0047418B">
        <w:rPr>
          <w:rFonts w:ascii="Times New Roman" w:eastAsia="Times New Roman" w:hAnsi="Times New Roman" w:cs="Times New Roman"/>
          <w:kern w:val="0"/>
          <w14:ligatures w14:val="none"/>
        </w:rPr>
        <w:t>.</w:t>
      </w:r>
    </w:p>
    <w:p w14:paraId="069941BD" w14:textId="1EC79DEB" w:rsidR="00645F9C" w:rsidRPr="0047418B" w:rsidRDefault="00645F9C" w:rsidP="001F748D">
      <w:pPr>
        <w:spacing w:line="480" w:lineRule="auto"/>
        <w:ind w:firstLine="360"/>
        <w:rPr>
          <w:rFonts w:ascii="Times New Roman" w:eastAsia="Times New Roman" w:hAnsi="Times New Roman" w:cs="Times New Roman"/>
          <w:kern w:val="0"/>
          <w14:ligatures w14:val="none"/>
        </w:rPr>
      </w:pPr>
      <w:r w:rsidRPr="0047418B">
        <w:rPr>
          <w:rFonts w:ascii="Times New Roman" w:eastAsia="Times New Roman" w:hAnsi="Times New Roman" w:cs="Times New Roman"/>
          <w:kern w:val="0"/>
          <w14:ligatures w14:val="none"/>
        </w:rPr>
        <w:t>The sample size was determined based on the adequacy required for logistic regression analysis, drawing on existing literature and prior studies</w:t>
      </w:r>
      <w:r w:rsidR="00AE71B7" w:rsidRPr="0047418B">
        <w:rPr>
          <w:rFonts w:ascii="Times New Roman" w:eastAsia="Times New Roman" w:hAnsi="Times New Roman" w:cs="Times New Roman"/>
          <w:kern w:val="0"/>
          <w14:ligatures w14:val="none"/>
        </w:rPr>
        <w:t xml:space="preserve">. </w:t>
      </w:r>
      <w:r w:rsidRPr="0047418B">
        <w:rPr>
          <w:rFonts w:ascii="Times New Roman" w:eastAsia="Times New Roman" w:hAnsi="Times New Roman" w:cs="Times New Roman"/>
          <w:kern w:val="0"/>
          <w14:ligatures w14:val="none"/>
        </w:rPr>
        <w:t>A previous study analyzing equity considerations across 19 HTA agencies found that approximately 50% of these agencies incorporated equity factors through their methodologies or ethical analys</w:t>
      </w:r>
      <w:r w:rsidR="00E54F96">
        <w:rPr>
          <w:rFonts w:ascii="Times New Roman" w:eastAsia="Times New Roman" w:hAnsi="Times New Roman" w:cs="Times New Roman"/>
          <w:kern w:val="0"/>
          <w14:ligatures w14:val="none"/>
        </w:rPr>
        <w:t xml:space="preserve">is </w:t>
      </w:r>
      <w:r w:rsidR="00E54F96">
        <w:rPr>
          <w:rFonts w:ascii="Times New Roman" w:eastAsia="Times New Roman" w:hAnsi="Times New Roman" w:cs="Times New Roman"/>
          <w:kern w:val="0"/>
          <w14:ligatures w14:val="none"/>
        </w:rPr>
        <w:fldChar w:fldCharType="begin"/>
      </w:r>
      <w:r w:rsidR="00E54F96">
        <w:rPr>
          <w:rFonts w:ascii="Times New Roman" w:eastAsia="Times New Roman" w:hAnsi="Times New Roman" w:cs="Times New Roman"/>
          <w:kern w:val="0"/>
          <w14:ligatures w14:val="none"/>
        </w:rPr>
        <w:instrText xml:space="preserve"> ADDIN ZOTERO_ITEM CSL_CITATION {"citationID":"2xrojETu","properties":{"formattedCitation":"(10)","plainCitation":"(10)","noteIndex":0},"citationItems":[{"id":1332,"uris":["http://zotero.org/users/9520068/items/N37I5EL8"],"itemData":{"id":1332,"type":"article-journal","abstract":"OBJECTIVES: Equity is one of the founding principles in most healthcare systems.  Financial constraints entail an increased risk of exacerbating inequities and a greater need for evidence-based decisions. It is, therefore, both important and timely to enquire how equity can be addressed in health technology assessment (HTA) practice. We aimed to explore related practices from a broad range of HTA agencies, identify exemplary approaches and common concerns, and offer insights for future considerations. METHODS: HTA agencies for which both methodological guides and HTA reports were publicly available were selected from an initial comprehensive pool. Information was extracted on issues ranging from a general commitment to fairness to specific measures targeting both methodological and process-related elements. RESULTS: Methodological documents and ninety-eight reports from nineteen agencies were analyzed. Our findings indicate that equity was not a standard consideration in HTA report production. The nature of specific approaches and the amount of resources invested into including an equity perspective varied considerably. Specific measures (e.g., appropriate information sources, analytical tools, and schemes) were mentioned by almost half of the agencies analyzed. Albeit sporadic, both horizontal and vertical equity considerations were identified in included HTA reports. CONCLUSIONS: While varying legal contexts and institutional principles can lead to different interpretations of equity at the decision point, a combination of methodological and process-related practices could contribute to more equity-sensitive evaluations, especially in conjunction with enhanced dissemination of existing methodological tools. Networking initiatives on behalf of existing collaborating platforms could play an important role in this direction.","container-title":"International journal of technology assessment in health care","DOI":"10.1017/S0266462315000549","issue":"5","page":"314-323","title":"Considering equity in health technology assessment: an exploratory analysis of agency practices.","volume":"31","author":[{"family":"Busse","given":"Reinhard"},{"family":"Panteli","given":"Dimitra"},{"family":"Kreis","given":"Julia"},{"family":"Busse","given":"Reinhard"}],"issued":{"date-parts":[["2015",1]]}}}],"schema":"https://github.com/citation-style-language/schema/raw/master/csl-citation.json"} </w:instrText>
      </w:r>
      <w:r w:rsidR="00E54F96">
        <w:rPr>
          <w:rFonts w:ascii="Times New Roman" w:eastAsia="Times New Roman" w:hAnsi="Times New Roman" w:cs="Times New Roman"/>
          <w:kern w:val="0"/>
          <w14:ligatures w14:val="none"/>
        </w:rPr>
        <w:fldChar w:fldCharType="separate"/>
      </w:r>
      <w:r w:rsidR="00E54F96">
        <w:rPr>
          <w:rFonts w:ascii="Times New Roman" w:eastAsia="Times New Roman" w:hAnsi="Times New Roman" w:cs="Times New Roman"/>
          <w:noProof/>
          <w:kern w:val="0"/>
          <w14:ligatures w14:val="none"/>
        </w:rPr>
        <w:t>(10)</w:t>
      </w:r>
      <w:r w:rsidR="00E54F96">
        <w:rPr>
          <w:rFonts w:ascii="Times New Roman" w:eastAsia="Times New Roman" w:hAnsi="Times New Roman" w:cs="Times New Roman"/>
          <w:kern w:val="0"/>
          <w14:ligatures w14:val="none"/>
        </w:rPr>
        <w:fldChar w:fldCharType="end"/>
      </w:r>
      <w:r w:rsidR="00E94748" w:rsidRPr="0047418B">
        <w:rPr>
          <w:rFonts w:ascii="Times New Roman" w:eastAsia="Times New Roman" w:hAnsi="Times New Roman" w:cs="Times New Roman"/>
          <w:kern w:val="0"/>
          <w14:ligatures w14:val="none"/>
        </w:rPr>
        <w:t xml:space="preserve">. </w:t>
      </w:r>
      <w:r w:rsidRPr="0047418B">
        <w:rPr>
          <w:rFonts w:ascii="Times New Roman" w:eastAsia="Times New Roman" w:hAnsi="Times New Roman" w:cs="Times New Roman"/>
          <w:kern w:val="0"/>
          <w14:ligatures w14:val="none"/>
        </w:rPr>
        <w:t xml:space="preserve">Another </w:t>
      </w:r>
      <w:r w:rsidR="00AE71B7" w:rsidRPr="0047418B">
        <w:rPr>
          <w:rFonts w:ascii="Times New Roman" w:eastAsia="Times New Roman" w:hAnsi="Times New Roman" w:cs="Times New Roman"/>
          <w:kern w:val="0"/>
          <w14:ligatures w14:val="none"/>
        </w:rPr>
        <w:t xml:space="preserve">study on including health equity factors in the </w:t>
      </w:r>
      <w:r w:rsidRPr="0047418B">
        <w:rPr>
          <w:rFonts w:ascii="Times New Roman" w:eastAsia="Times New Roman" w:hAnsi="Times New Roman" w:cs="Times New Roman"/>
          <w:kern w:val="0"/>
          <w14:ligatures w14:val="none"/>
        </w:rPr>
        <w:t xml:space="preserve">World Health Organization (WHO) </w:t>
      </w:r>
      <w:r w:rsidR="00AE71B7" w:rsidRPr="0047418B">
        <w:rPr>
          <w:rFonts w:ascii="Times New Roman" w:eastAsia="Times New Roman" w:hAnsi="Times New Roman" w:cs="Times New Roman"/>
          <w:kern w:val="0"/>
          <w14:ligatures w14:val="none"/>
        </w:rPr>
        <w:t xml:space="preserve">guidelines </w:t>
      </w:r>
      <w:r w:rsidRPr="0047418B">
        <w:rPr>
          <w:rFonts w:ascii="Times New Roman" w:eastAsia="Times New Roman" w:hAnsi="Times New Roman" w:cs="Times New Roman"/>
          <w:kern w:val="0"/>
          <w14:ligatures w14:val="none"/>
        </w:rPr>
        <w:t>revealed that only 25% of the guidelines included PROGRESS-Plus items</w:t>
      </w:r>
      <w:r w:rsidR="00E54F96">
        <w:rPr>
          <w:rFonts w:ascii="Times New Roman" w:eastAsia="Times New Roman" w:hAnsi="Times New Roman" w:cs="Times New Roman"/>
          <w:kern w:val="0"/>
          <w14:ligatures w14:val="none"/>
        </w:rPr>
        <w:t xml:space="preserve"> </w:t>
      </w:r>
      <w:r w:rsidR="00E54F96">
        <w:rPr>
          <w:rFonts w:ascii="Times New Roman" w:eastAsia="Times New Roman" w:hAnsi="Times New Roman" w:cs="Times New Roman"/>
          <w:kern w:val="0"/>
          <w14:ligatures w14:val="none"/>
        </w:rPr>
        <w:fldChar w:fldCharType="begin"/>
      </w:r>
      <w:r w:rsidR="00E54F96">
        <w:rPr>
          <w:rFonts w:ascii="Times New Roman" w:eastAsia="Times New Roman" w:hAnsi="Times New Roman" w:cs="Times New Roman"/>
          <w:kern w:val="0"/>
          <w14:ligatures w14:val="none"/>
        </w:rPr>
        <w:instrText xml:space="preserve"> ADDIN ZOTERO_ITEM CSL_CITATION {"citationID":"uVxZ4cJl","properties":{"formattedCitation":"(12)","plainCitation":"(12)","noteIndex":0},"citationItems":[{"id":3052,"uris":["http://zotero.org/users/9520068/items/CK7YHCFN"],"itemData":{"id":3052,"type":"article-journal","abstract":"OBJECTIVE: To evaluate how and to what extent health equity considerations are assessed in World Health Organization (WHO) guidelines. STUDY DESIGN AND SETTING:  We evaluated WHO guidelines published between January 2014 and May 2019. Health  equity considerations were assessed in relation to differences in baseline risk,  importance of outcomes for socially disadvantaged populations, inclusion of  health inequity as an outcome, equity-related subgroup analysis, and indirectness  in each recommendation. RESULTS: We identified 111 WHO guidelines, and 54% (60 of  111) of these used the Evidence to Decision (EtD) framework. For the 60  guidelines using an EtD framework, the likely impact on health equity was  supported by research evidence in 28% of the recommendations (94 of 332).  Research evidence was mostly provided as differences in baseline risk (23%,  78/332). Research evidence less frequently addressed the importance of outcomes  for socially disadvantaged populations (11%, 36/332), considered indirectness of  the evidence for socially disadvantaged populations (2%, 5/332), considered  health inequities as an outcome (2%, 5/332) and considered differences in the  magnitude of effect in relative terms between disadvantaged and more advantaged  populations (1%, 3/332). CONCLUSION: The provision of research evidence to  support equity judgements in WHO guidelines is still suboptimal, suggesting the  need for better guidance and more training.","container-title":"Journal of clinical epidemiology","DOI":"10.1016/j.jclinepi.2020.07.012","ISSN":"1878-5921 0895-4356","journalAbbreviation":"J Clin Epidemiol","language":"eng","license":"Copyright © 2020 Elsevier Inc. All rights reserved.","note":"publisher-place: United States\nPMID: 32717312","page":"125-133","title":"Over half of the WHO guidelines published from 2014 to 2019 explicitly considered health equity issues: a cross-sectional survey.","volume":"127","author":[{"family":"Dewidar","given":"Omar"},{"family":"Tsang","given":"Phillip"},{"family":"León-García","given":"Montserrat"},{"family":"Mathew","given":"Christine"},{"family":"Antequera","given":"Alba"},{"family":"Baldeh","given":"Tejan"},{"family":"Akl","given":"Elie A."},{"family":"Alonso-Coello","given":"Pablo"},{"family":"Petkovic","given":"Jennifer"},{"family":"Piggott","given":"Thomas"},{"family":"Pottie","given":"Kevin"},{"family":"Schünemann","given":"Holger"},{"family":"Tugwell","given":"Peter"},{"family":"Welch","given":"Vivian"}],"issued":{"date-parts":[["2020",11]]}}}],"schema":"https://github.com/citation-style-language/schema/raw/master/csl-citation.json"} </w:instrText>
      </w:r>
      <w:r w:rsidR="00E54F96">
        <w:rPr>
          <w:rFonts w:ascii="Times New Roman" w:eastAsia="Times New Roman" w:hAnsi="Times New Roman" w:cs="Times New Roman"/>
          <w:kern w:val="0"/>
          <w14:ligatures w14:val="none"/>
        </w:rPr>
        <w:fldChar w:fldCharType="separate"/>
      </w:r>
      <w:r w:rsidR="00E54F96">
        <w:rPr>
          <w:rFonts w:ascii="Times New Roman" w:eastAsia="Times New Roman" w:hAnsi="Times New Roman" w:cs="Times New Roman"/>
          <w:noProof/>
          <w:kern w:val="0"/>
          <w14:ligatures w14:val="none"/>
        </w:rPr>
        <w:t>(12)</w:t>
      </w:r>
      <w:r w:rsidR="00E54F96">
        <w:rPr>
          <w:rFonts w:ascii="Times New Roman" w:eastAsia="Times New Roman" w:hAnsi="Times New Roman" w:cs="Times New Roman"/>
          <w:kern w:val="0"/>
          <w14:ligatures w14:val="none"/>
        </w:rPr>
        <w:fldChar w:fldCharType="end"/>
      </w:r>
      <w:r w:rsidR="00E94748" w:rsidRPr="0047418B">
        <w:rPr>
          <w:rFonts w:ascii="Times New Roman" w:eastAsia="Times New Roman" w:hAnsi="Times New Roman" w:cs="Times New Roman"/>
          <w:kern w:val="0"/>
          <w14:ligatures w14:val="none"/>
        </w:rPr>
        <w:t xml:space="preserve">. </w:t>
      </w:r>
      <w:r w:rsidRPr="0047418B">
        <w:rPr>
          <w:rFonts w:ascii="Times New Roman" w:eastAsia="Times New Roman" w:hAnsi="Times New Roman" w:cs="Times New Roman"/>
          <w:kern w:val="0"/>
          <w14:ligatures w14:val="none"/>
        </w:rPr>
        <w:t xml:space="preserve">Anticipating a higher proportion of equity-focused recommendations in Canadian HTA reports due to the requirement to consider local context, we estimated that 40% of the reports would include equity factors, leading to an initial sample size calculation of 50 reports. </w:t>
      </w:r>
      <w:r w:rsidR="00AE71B7" w:rsidRPr="0047418B">
        <w:rPr>
          <w:rFonts w:ascii="Times New Roman" w:eastAsia="Times New Roman" w:hAnsi="Times New Roman" w:cs="Times New Roman"/>
          <w:kern w:val="0"/>
          <w14:ligatures w14:val="none"/>
        </w:rPr>
        <w:t>W</w:t>
      </w:r>
      <w:r w:rsidRPr="0047418B">
        <w:rPr>
          <w:rFonts w:ascii="Times New Roman" w:eastAsia="Times New Roman" w:hAnsi="Times New Roman" w:cs="Times New Roman"/>
          <w:kern w:val="0"/>
          <w14:ligatures w14:val="none"/>
        </w:rPr>
        <w:t>e increased the sample size to 60 reports</w:t>
      </w:r>
      <w:r w:rsidR="00AE71B7" w:rsidRPr="0047418B">
        <w:rPr>
          <w:rFonts w:ascii="Times New Roman" w:eastAsia="Times New Roman" w:hAnsi="Times New Roman" w:cs="Times New Roman"/>
          <w:kern w:val="0"/>
          <w14:ligatures w14:val="none"/>
        </w:rPr>
        <w:t xml:space="preserve"> to account for variability and ensure robustness</w:t>
      </w:r>
      <w:r w:rsidRPr="0047418B">
        <w:rPr>
          <w:rFonts w:ascii="Times New Roman" w:eastAsia="Times New Roman" w:hAnsi="Times New Roman" w:cs="Times New Roman"/>
          <w:kern w:val="0"/>
          <w14:ligatures w14:val="none"/>
        </w:rPr>
        <w:t xml:space="preserve">. </w:t>
      </w:r>
      <w:r w:rsidR="00AE71B7" w:rsidRPr="0047418B">
        <w:rPr>
          <w:rFonts w:ascii="Times New Roman" w:eastAsia="Times New Roman" w:hAnsi="Times New Roman" w:cs="Times New Roman"/>
          <w:kern w:val="0"/>
          <w14:ligatures w14:val="none"/>
        </w:rPr>
        <w:t>Given its localized focus, t</w:t>
      </w:r>
      <w:r w:rsidRPr="0047418B">
        <w:rPr>
          <w:rFonts w:ascii="Times New Roman" w:eastAsia="Times New Roman" w:hAnsi="Times New Roman" w:cs="Times New Roman"/>
          <w:kern w:val="0"/>
          <w14:ligatures w14:val="none"/>
        </w:rPr>
        <w:t xml:space="preserve">his approach reflects our expectation that HTA would address equity factors more comprehensively than WHO guidelines, which often need further adaptation before being implemented </w:t>
      </w:r>
      <w:r w:rsidR="00057EB1" w:rsidRPr="0047418B">
        <w:rPr>
          <w:rFonts w:ascii="Times New Roman" w:eastAsia="Times New Roman" w:hAnsi="Times New Roman" w:cs="Times New Roman"/>
          <w:kern w:val="0"/>
          <w14:ligatures w14:val="none"/>
        </w:rPr>
        <w:t>nationally</w:t>
      </w:r>
      <w:r w:rsidRPr="0047418B">
        <w:rPr>
          <w:rFonts w:ascii="Times New Roman" w:eastAsia="Times New Roman" w:hAnsi="Times New Roman" w:cs="Times New Roman"/>
          <w:kern w:val="0"/>
          <w14:ligatures w14:val="none"/>
        </w:rPr>
        <w:t>.</w:t>
      </w:r>
    </w:p>
    <w:p w14:paraId="2FFEDBAF" w14:textId="51DB155A" w:rsidR="00645F9C" w:rsidRPr="00E54F96" w:rsidRDefault="00732CF3" w:rsidP="001F748D">
      <w:pPr>
        <w:pStyle w:val="ListParagraph"/>
        <w:numPr>
          <w:ilvl w:val="0"/>
          <w:numId w:val="20"/>
        </w:numPr>
        <w:spacing w:line="480" w:lineRule="auto"/>
        <w:rPr>
          <w:rFonts w:ascii="Times New Roman" w:eastAsia="Times New Roman" w:hAnsi="Times New Roman" w:cs="Times New Roman"/>
          <w:b/>
          <w:bCs/>
          <w:color w:val="000000" w:themeColor="text1"/>
        </w:rPr>
      </w:pPr>
      <w:r w:rsidRPr="00E54F96">
        <w:rPr>
          <w:rFonts w:ascii="Times New Roman" w:eastAsia="Times New Roman" w:hAnsi="Times New Roman" w:cs="Times New Roman"/>
          <w:b/>
          <w:bCs/>
          <w:color w:val="000000" w:themeColor="text1"/>
        </w:rPr>
        <w:lastRenderedPageBreak/>
        <w:t xml:space="preserve">Identification </w:t>
      </w:r>
      <w:r w:rsidR="00E54F96" w:rsidRPr="00E54F96">
        <w:rPr>
          <w:rFonts w:ascii="Times New Roman" w:eastAsia="Times New Roman" w:hAnsi="Times New Roman" w:cs="Times New Roman"/>
          <w:b/>
          <w:bCs/>
          <w:color w:val="000000" w:themeColor="text1"/>
        </w:rPr>
        <w:t xml:space="preserve">of Eligible </w:t>
      </w:r>
      <w:r w:rsidRPr="00E54F96">
        <w:rPr>
          <w:rFonts w:ascii="Times New Roman" w:eastAsia="Times New Roman" w:hAnsi="Times New Roman" w:cs="Times New Roman"/>
          <w:b/>
          <w:bCs/>
          <w:color w:val="000000" w:themeColor="text1"/>
        </w:rPr>
        <w:t xml:space="preserve">HTA </w:t>
      </w:r>
      <w:r w:rsidR="00E54F96" w:rsidRPr="00E54F96">
        <w:rPr>
          <w:rFonts w:ascii="Times New Roman" w:eastAsia="Times New Roman" w:hAnsi="Times New Roman" w:cs="Times New Roman"/>
          <w:b/>
          <w:bCs/>
          <w:color w:val="000000" w:themeColor="text1"/>
        </w:rPr>
        <w:t xml:space="preserve">Reports  </w:t>
      </w:r>
    </w:p>
    <w:p w14:paraId="1058E6F9" w14:textId="07ACA670" w:rsidR="006644B1" w:rsidRPr="00E54F96" w:rsidRDefault="00E54F96" w:rsidP="001F748D">
      <w:pPr>
        <w:pStyle w:val="ListParagraph"/>
        <w:numPr>
          <w:ilvl w:val="1"/>
          <w:numId w:val="36"/>
        </w:numPr>
        <w:spacing w:line="480" w:lineRule="auto"/>
        <w:rPr>
          <w:rFonts w:ascii="Times New Roman" w:eastAsia="Times New Roman" w:hAnsi="Times New Roman" w:cs="Times New Roman"/>
          <w:b/>
          <w:bCs/>
          <w:color w:val="000000" w:themeColor="text1"/>
        </w:rPr>
      </w:pPr>
      <w:r w:rsidRPr="00E54F96">
        <w:rPr>
          <w:rFonts w:ascii="Times New Roman" w:eastAsia="Times New Roman" w:hAnsi="Times New Roman" w:cs="Times New Roman"/>
          <w:b/>
          <w:bCs/>
          <w:color w:val="000000" w:themeColor="text1"/>
        </w:rPr>
        <w:t xml:space="preserve"> </w:t>
      </w:r>
      <w:r w:rsidR="006644B1" w:rsidRPr="00E54F96">
        <w:rPr>
          <w:rFonts w:ascii="Times New Roman" w:hAnsi="Times New Roman" w:cs="Times New Roman"/>
          <w:b/>
          <w:bCs/>
        </w:rPr>
        <w:t xml:space="preserve">Inclusion </w:t>
      </w:r>
      <w:r w:rsidRPr="00E54F96">
        <w:rPr>
          <w:rFonts w:ascii="Times New Roman" w:hAnsi="Times New Roman" w:cs="Times New Roman"/>
          <w:b/>
          <w:bCs/>
        </w:rPr>
        <w:t>Criteria</w:t>
      </w:r>
    </w:p>
    <w:p w14:paraId="3CF53E12" w14:textId="76EAE696" w:rsidR="006644B1" w:rsidRPr="0047418B" w:rsidRDefault="007E1F67" w:rsidP="001F748D">
      <w:pPr>
        <w:spacing w:line="480" w:lineRule="auto"/>
        <w:ind w:firstLine="423"/>
        <w:rPr>
          <w:rFonts w:ascii="Times New Roman" w:hAnsi="Times New Roman" w:cs="Times New Roman"/>
        </w:rPr>
      </w:pPr>
      <w:r w:rsidRPr="0047418B">
        <w:rPr>
          <w:rFonts w:ascii="Times New Roman" w:hAnsi="Times New Roman" w:cs="Times New Roman"/>
        </w:rPr>
        <w:t xml:space="preserve">HTA reports had to meet specific </w:t>
      </w:r>
      <w:r w:rsidR="00213E9D" w:rsidRPr="0047418B">
        <w:rPr>
          <w:rFonts w:ascii="Times New Roman" w:hAnsi="Times New Roman" w:cs="Times New Roman"/>
        </w:rPr>
        <w:t>criteria</w:t>
      </w:r>
      <w:r w:rsidR="00E54F96">
        <w:rPr>
          <w:rFonts w:ascii="Times New Roman" w:hAnsi="Times New Roman" w:cs="Times New Roman"/>
        </w:rPr>
        <w:t xml:space="preserve"> to be included in this study</w:t>
      </w:r>
      <w:r w:rsidR="00213E9D" w:rsidRPr="0047418B">
        <w:rPr>
          <w:rFonts w:ascii="Times New Roman" w:hAnsi="Times New Roman" w:cs="Times New Roman"/>
        </w:rPr>
        <w:t xml:space="preserve">. </w:t>
      </w:r>
      <w:r w:rsidRPr="0047418B">
        <w:rPr>
          <w:rFonts w:ascii="Times New Roman" w:hAnsi="Times New Roman" w:cs="Times New Roman"/>
        </w:rPr>
        <w:t>First, HTA organizations must involve patients in creating the</w:t>
      </w:r>
      <w:r w:rsidR="00213E9D" w:rsidRPr="0047418B">
        <w:rPr>
          <w:rFonts w:ascii="Times New Roman" w:hAnsi="Times New Roman" w:cs="Times New Roman"/>
        </w:rPr>
        <w:t xml:space="preserve"> </w:t>
      </w:r>
      <w:r w:rsidRPr="0047418B">
        <w:rPr>
          <w:rFonts w:ascii="Times New Roman" w:hAnsi="Times New Roman" w:cs="Times New Roman"/>
        </w:rPr>
        <w:t xml:space="preserve">reports. Second, the reports should have clear recommendations, but </w:t>
      </w:r>
      <w:r w:rsidR="00B91090" w:rsidRPr="0047418B">
        <w:rPr>
          <w:rFonts w:ascii="Times New Roman" w:hAnsi="Times New Roman" w:cs="Times New Roman"/>
        </w:rPr>
        <w:t xml:space="preserve">they were not required to </w:t>
      </w:r>
      <w:r w:rsidR="00E54F96">
        <w:rPr>
          <w:rFonts w:ascii="Times New Roman" w:hAnsi="Times New Roman" w:cs="Times New Roman"/>
        </w:rPr>
        <w:t>include</w:t>
      </w:r>
      <w:r w:rsidRPr="0047418B">
        <w:rPr>
          <w:rFonts w:ascii="Times New Roman" w:hAnsi="Times New Roman" w:cs="Times New Roman"/>
        </w:rPr>
        <w:t xml:space="preserve"> health equity factors in their recommendations. Third, eligible HTA reports must </w:t>
      </w:r>
      <w:r w:rsidR="003E3865" w:rsidRPr="0047418B">
        <w:rPr>
          <w:rFonts w:ascii="Times New Roman" w:hAnsi="Times New Roman" w:cs="Times New Roman"/>
        </w:rPr>
        <w:t>have been</w:t>
      </w:r>
      <w:r w:rsidRPr="0047418B">
        <w:rPr>
          <w:rFonts w:ascii="Times New Roman" w:hAnsi="Times New Roman" w:cs="Times New Roman"/>
        </w:rPr>
        <w:t xml:space="preserve"> published between 2013 and 2021. </w:t>
      </w:r>
    </w:p>
    <w:p w14:paraId="18CC50E9" w14:textId="60F70B3F" w:rsidR="006644B1" w:rsidRPr="00E54F96" w:rsidRDefault="00E54F96" w:rsidP="00E54F96">
      <w:pPr>
        <w:pStyle w:val="ListParagraph"/>
        <w:numPr>
          <w:ilvl w:val="1"/>
          <w:numId w:val="36"/>
        </w:numPr>
        <w:spacing w:line="480" w:lineRule="auto"/>
        <w:rPr>
          <w:rFonts w:ascii="Times New Roman" w:hAnsi="Times New Roman" w:cs="Times New Roman"/>
          <w:b/>
          <w:bCs/>
        </w:rPr>
      </w:pPr>
      <w:r w:rsidRPr="00E54F96">
        <w:rPr>
          <w:rFonts w:ascii="Times New Roman" w:hAnsi="Times New Roman" w:cs="Times New Roman"/>
          <w:b/>
          <w:bCs/>
        </w:rPr>
        <w:t xml:space="preserve"> </w:t>
      </w:r>
      <w:r w:rsidR="006644B1" w:rsidRPr="00E54F96">
        <w:rPr>
          <w:rFonts w:ascii="Times New Roman" w:hAnsi="Times New Roman" w:cs="Times New Roman"/>
          <w:b/>
          <w:bCs/>
        </w:rPr>
        <w:t xml:space="preserve">Exclusion </w:t>
      </w:r>
      <w:r w:rsidRPr="00E54F96">
        <w:rPr>
          <w:rFonts w:ascii="Times New Roman" w:hAnsi="Times New Roman" w:cs="Times New Roman"/>
          <w:b/>
          <w:bCs/>
        </w:rPr>
        <w:t>Criteria</w:t>
      </w:r>
    </w:p>
    <w:p w14:paraId="2429F131" w14:textId="77777777" w:rsidR="00E54F96" w:rsidRDefault="00732CF3" w:rsidP="00E54F96">
      <w:pPr>
        <w:spacing w:line="480" w:lineRule="auto"/>
        <w:ind w:firstLine="360"/>
        <w:rPr>
          <w:rFonts w:ascii="Times New Roman" w:hAnsi="Times New Roman" w:cs="Times New Roman"/>
        </w:rPr>
      </w:pPr>
      <w:r w:rsidRPr="0047418B">
        <w:rPr>
          <w:rFonts w:ascii="Times New Roman" w:hAnsi="Times New Roman" w:cs="Times New Roman"/>
        </w:rPr>
        <w:t>Reports were excluded if healthcare providers provided input on behalf of patients, if patient experience reviews were used as a substitute for patient input, or if reports did not include any input. RS identified the HTA organizations and the HTA reports. RS and AA screened all the reports for eligibility.</w:t>
      </w:r>
    </w:p>
    <w:p w14:paraId="0464F878" w14:textId="48B68735" w:rsidR="00732CF3" w:rsidRPr="00E54F96" w:rsidRDefault="00732CF3" w:rsidP="00E54F96">
      <w:pPr>
        <w:pStyle w:val="Chapterlevel2"/>
        <w:rPr>
          <w:rFonts w:cs="Times New Roman"/>
          <w:b/>
          <w:bCs/>
        </w:rPr>
      </w:pPr>
      <w:r w:rsidRPr="00E54F96">
        <w:rPr>
          <w:b/>
          <w:bCs/>
        </w:rPr>
        <w:t xml:space="preserve">Characteristics of </w:t>
      </w:r>
      <w:r w:rsidR="00E54F96" w:rsidRPr="00E54F96">
        <w:rPr>
          <w:b/>
          <w:bCs/>
        </w:rPr>
        <w:t>Included Studies</w:t>
      </w:r>
    </w:p>
    <w:p w14:paraId="029BDAF1" w14:textId="4395B459" w:rsidR="00732CF3" w:rsidRPr="00E54F96" w:rsidRDefault="00732CF3" w:rsidP="00E54F96">
      <w:pPr>
        <w:pStyle w:val="Heading2"/>
        <w:rPr>
          <w:b/>
          <w:bCs/>
        </w:rPr>
      </w:pPr>
      <w:r w:rsidRPr="00E54F96">
        <w:rPr>
          <w:b/>
          <w:bCs/>
        </w:rPr>
        <w:t xml:space="preserve">Identification of HTA </w:t>
      </w:r>
      <w:r w:rsidR="00E54F96" w:rsidRPr="00E54F96">
        <w:rPr>
          <w:b/>
          <w:bCs/>
        </w:rPr>
        <w:t xml:space="preserve">Organization </w:t>
      </w:r>
    </w:p>
    <w:p w14:paraId="7769950D" w14:textId="4A978C94" w:rsidR="007C2853" w:rsidRPr="0047418B" w:rsidRDefault="00E54F96" w:rsidP="001F748D">
      <w:pPr>
        <w:spacing w:line="480" w:lineRule="auto"/>
        <w:ind w:firstLine="720"/>
        <w:textAlignment w:val="baseline"/>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W</w:t>
      </w:r>
      <w:r w:rsidR="001171D9" w:rsidRPr="0047418B">
        <w:rPr>
          <w:rFonts w:ascii="Times New Roman" w:eastAsia="Times New Roman" w:hAnsi="Times New Roman" w:cs="Times New Roman"/>
          <w:kern w:val="0"/>
          <w14:ligatures w14:val="none"/>
        </w:rPr>
        <w:t xml:space="preserve">e focused on HTA reports from </w:t>
      </w:r>
      <w:r w:rsidR="007C2853" w:rsidRPr="0047418B">
        <w:rPr>
          <w:rFonts w:ascii="Times New Roman" w:eastAsia="Times New Roman" w:hAnsi="Times New Roman" w:cs="Times New Roman"/>
          <w:kern w:val="0"/>
          <w14:ligatures w14:val="none"/>
        </w:rPr>
        <w:t xml:space="preserve">CDA </w:t>
      </w:r>
      <w:r w:rsidR="001171D9" w:rsidRPr="0047418B">
        <w:rPr>
          <w:rFonts w:ascii="Times New Roman" w:eastAsia="Times New Roman" w:hAnsi="Times New Roman" w:cs="Times New Roman"/>
          <w:kern w:val="0"/>
          <w14:ligatures w14:val="none"/>
        </w:rPr>
        <w:t xml:space="preserve">and </w:t>
      </w:r>
      <w:r w:rsidR="007C2853" w:rsidRPr="0047418B">
        <w:rPr>
          <w:rFonts w:ascii="Times New Roman" w:eastAsia="Times New Roman" w:hAnsi="Times New Roman" w:cs="Times New Roman"/>
          <w:kern w:val="0"/>
          <w14:ligatures w14:val="none"/>
        </w:rPr>
        <w:t>Ontario Health</w:t>
      </w:r>
      <w:r w:rsidR="001171D9" w:rsidRPr="0047418B">
        <w:rPr>
          <w:rFonts w:ascii="Times New Roman" w:eastAsia="Times New Roman" w:hAnsi="Times New Roman" w:cs="Times New Roman"/>
          <w:kern w:val="0"/>
          <w14:ligatures w14:val="none"/>
        </w:rPr>
        <w:t xml:space="preserve"> </w:t>
      </w:r>
      <w:r>
        <w:rPr>
          <w:rFonts w:ascii="Times New Roman" w:eastAsia="Times New Roman" w:hAnsi="Times New Roman" w:cs="Times New Roman"/>
          <w:kern w:val="0"/>
          <w14:ligatures w14:val="none"/>
        </w:rPr>
        <w:t xml:space="preserve">for this explanatory case study </w:t>
      </w:r>
      <w:r w:rsidR="001171D9" w:rsidRPr="0047418B">
        <w:rPr>
          <w:rFonts w:ascii="Times New Roman" w:eastAsia="Times New Roman" w:hAnsi="Times New Roman" w:cs="Times New Roman"/>
          <w:kern w:val="0"/>
          <w14:ligatures w14:val="none"/>
        </w:rPr>
        <w:t>after searching the International Network of Agencies for Health Technology Assessment (INHATA) databas</w:t>
      </w:r>
      <w:r>
        <w:rPr>
          <w:rFonts w:ascii="Times New Roman" w:eastAsia="Times New Roman" w:hAnsi="Times New Roman" w:cs="Times New Roman"/>
          <w:kern w:val="0"/>
          <w14:ligatures w14:val="none"/>
        </w:rPr>
        <w:t xml:space="preserve">e </w:t>
      </w:r>
      <w:r>
        <w:rPr>
          <w:rFonts w:ascii="Times New Roman" w:eastAsia="Times New Roman" w:hAnsi="Times New Roman" w:cs="Times New Roman"/>
          <w:kern w:val="0"/>
          <w14:ligatures w14:val="none"/>
        </w:rPr>
        <w:fldChar w:fldCharType="begin"/>
      </w:r>
      <w:r>
        <w:rPr>
          <w:rFonts w:ascii="Times New Roman" w:eastAsia="Times New Roman" w:hAnsi="Times New Roman" w:cs="Times New Roman"/>
          <w:kern w:val="0"/>
          <w14:ligatures w14:val="none"/>
        </w:rPr>
        <w:instrText xml:space="preserve"> ADDIN ZOTERO_ITEM CSL_CITATION {"citationID":"Ai8926TJ","properties":{"formattedCitation":"(13)","plainCitation":"(13)","noteIndex":0},"citationItems":[{"id":328,"uris":["http://zotero.org/users/9520068/items/58HUP6ZL"],"itemData":{"id":328,"type":"article-journal","abstract":"Stakeholder engagement is increasingly common in health research, with protocols for engaging multiple stakeholder groups becoming normative in patient-centered outcomes research. Previous work has focused on identifying relevant stakeholder groups with whom to work and on working with stakeholders in evidence implementation. This paper draws on the expertise of a team from four countries—Canada, Australia, the UK, and the USA—to provide researchers with practical guidance for carrying out multi-stakeholder–engaged projects: we present a list of questions to assist in selecting appropriate roles and modes of engagement; we introduce a matrix to help summarize engagement activities; and we provide a list of online resources. This guidance, matrix, and list of resources can assist researchers to consider more systematically which stakeholder groups to involve, in what study roles, and by what modes of engagement. By documenting how stakeholders are paired up with specific roles, the matrix also provides a potential structure for evaluating the impact of stakeholder engagement.","container-title":"Journal of General Internal Medicine","DOI":"10.1007/s11606-018-4738-6","ISSN":"1525-1497","issue":"3","journalAbbreviation":"Journal of General Internal Medicine","page":"458-463","title":"Practical Guidance for Involving Stakeholders in Health Research","URL":"https://doi.org/10.1007/s11606-018-4738-6","volume":"34","author":[{"family":"Concannon","given":"Thomas W."},{"family":"Grant","given":"Sean"},{"family":"Welch","given":"Vivian"},{"family":"Petkovic","given":"Jennifer"},{"family":"Selby","given":"Joseph"},{"family":"Crowe","given":"Sally"},{"family":"Synnot","given":"Anneliese"},{"family":"Greer-Smith","given":"Regina"},{"family":"Mayo-Wilson","given":"Evan"},{"family":"Tambor","given":"Ellen"},{"family":"Tugwell","given":"Peter"},{"literal":"for the Multi Stakeholder Engagement (MuSE) Consortium"}],"issued":{"date-parts":[["2019",3,1]]}}}],"schema":"https://github.com/citation-style-language/schema/raw/master/csl-citation.json"} </w:instrText>
      </w:r>
      <w:r>
        <w:rPr>
          <w:rFonts w:ascii="Times New Roman" w:eastAsia="Times New Roman" w:hAnsi="Times New Roman" w:cs="Times New Roman"/>
          <w:kern w:val="0"/>
          <w14:ligatures w14:val="none"/>
        </w:rPr>
        <w:fldChar w:fldCharType="separate"/>
      </w:r>
      <w:r>
        <w:rPr>
          <w:rFonts w:ascii="Times New Roman" w:eastAsia="Times New Roman" w:hAnsi="Times New Roman" w:cs="Times New Roman"/>
          <w:kern w:val="0"/>
          <w14:ligatures w14:val="none"/>
        </w:rPr>
        <w:t>(13)</w:t>
      </w:r>
      <w:r>
        <w:rPr>
          <w:rFonts w:ascii="Times New Roman" w:eastAsia="Times New Roman" w:hAnsi="Times New Roman" w:cs="Times New Roman"/>
          <w:kern w:val="0"/>
          <w14:ligatures w14:val="none"/>
        </w:rPr>
        <w:fldChar w:fldCharType="end"/>
      </w:r>
      <w:r>
        <w:rPr>
          <w:rFonts w:ascii="Times New Roman" w:eastAsia="Times New Roman" w:hAnsi="Times New Roman" w:cs="Times New Roman"/>
          <w:kern w:val="0"/>
          <w14:ligatures w14:val="none"/>
        </w:rPr>
        <w:t xml:space="preserve">. </w:t>
      </w:r>
      <w:r w:rsidR="00F63931" w:rsidRPr="0047418B">
        <w:rPr>
          <w:rFonts w:ascii="Times New Roman" w:eastAsia="Times New Roman" w:hAnsi="Times New Roman" w:cs="Times New Roman"/>
          <w:kern w:val="0"/>
          <w14:ligatures w14:val="none"/>
        </w:rPr>
        <w:t xml:space="preserve">We also scanned the websites of five health ministries in Canada to find publicly available HTA reports that used patient engagement and were published in English. Our search revealed that </w:t>
      </w:r>
      <w:r w:rsidR="00EF1A7C" w:rsidRPr="0047418B">
        <w:rPr>
          <w:rFonts w:ascii="Times New Roman" w:eastAsia="Times New Roman" w:hAnsi="Times New Roman" w:cs="Times New Roman"/>
          <w:kern w:val="0"/>
          <w14:ligatures w14:val="none"/>
        </w:rPr>
        <w:t>including</w:t>
      </w:r>
      <w:r w:rsidR="00F63931" w:rsidRPr="0047418B">
        <w:rPr>
          <w:rFonts w:ascii="Times New Roman" w:eastAsia="Times New Roman" w:hAnsi="Times New Roman" w:cs="Times New Roman"/>
          <w:kern w:val="0"/>
          <w14:ligatures w14:val="none"/>
        </w:rPr>
        <w:t xml:space="preserve"> recommendations in HTA reports varies </w:t>
      </w:r>
      <w:r w:rsidR="00EF1A7C" w:rsidRPr="0047418B">
        <w:rPr>
          <w:rFonts w:ascii="Times New Roman" w:eastAsia="Times New Roman" w:hAnsi="Times New Roman" w:cs="Times New Roman"/>
          <w:kern w:val="0"/>
          <w14:ligatures w14:val="none"/>
        </w:rPr>
        <w:t>with</w:t>
      </w:r>
      <w:r w:rsidR="00F63931" w:rsidRPr="0047418B">
        <w:rPr>
          <w:rFonts w:ascii="Times New Roman" w:eastAsia="Times New Roman" w:hAnsi="Times New Roman" w:cs="Times New Roman"/>
          <w:kern w:val="0"/>
          <w14:ligatures w14:val="none"/>
        </w:rPr>
        <w:t xml:space="preserve"> different healthcare governance structures. </w:t>
      </w:r>
      <w:r w:rsidR="007C2853" w:rsidRPr="0047418B">
        <w:rPr>
          <w:rFonts w:ascii="Times New Roman" w:eastAsia="Times New Roman" w:hAnsi="Times New Roman" w:cs="Times New Roman"/>
          <w:kern w:val="0"/>
          <w14:ligatures w14:val="none"/>
        </w:rPr>
        <w:t xml:space="preserve">In British Columbia, Alberta, Manitoba, </w:t>
      </w:r>
      <w:r w:rsidR="008C1A9D" w:rsidRPr="0047418B">
        <w:rPr>
          <w:rFonts w:ascii="Times New Roman" w:eastAsia="Times New Roman" w:hAnsi="Times New Roman" w:cs="Times New Roman"/>
          <w:kern w:val="0"/>
          <w14:ligatures w14:val="none"/>
        </w:rPr>
        <w:t>Ontario</w:t>
      </w:r>
      <w:r w:rsidR="00F63931" w:rsidRPr="0047418B">
        <w:rPr>
          <w:rFonts w:ascii="Times New Roman" w:eastAsia="Times New Roman" w:hAnsi="Times New Roman" w:cs="Times New Roman"/>
          <w:kern w:val="0"/>
          <w14:ligatures w14:val="none"/>
        </w:rPr>
        <w:t xml:space="preserve">, and Newfoundland </w:t>
      </w:r>
      <w:r w:rsidR="007C2853" w:rsidRPr="0047418B">
        <w:rPr>
          <w:rFonts w:ascii="Times New Roman" w:eastAsia="Times New Roman" w:hAnsi="Times New Roman" w:cs="Times New Roman"/>
          <w:kern w:val="0"/>
          <w14:ligatures w14:val="none"/>
        </w:rPr>
        <w:t xml:space="preserve">and Labrador, HTA reports often provide evidence summaries without explicit recommendations. </w:t>
      </w:r>
      <w:r w:rsidR="00F63931" w:rsidRPr="0047418B">
        <w:rPr>
          <w:rFonts w:ascii="Times New Roman" w:eastAsia="Times New Roman" w:hAnsi="Times New Roman" w:cs="Times New Roman"/>
          <w:kern w:val="0"/>
          <w14:ligatures w14:val="none"/>
        </w:rPr>
        <w:t xml:space="preserve">While Canada has universal healthcare coverage, the responsibility for healthcare delivery remains with the provinces and territories </w:t>
      </w:r>
      <w:r w:rsidR="00F63931" w:rsidRPr="0047418B">
        <w:rPr>
          <w:rFonts w:ascii="Times New Roman" w:eastAsia="Times New Roman" w:hAnsi="Times New Roman" w:cs="Times New Roman"/>
          <w:kern w:val="0"/>
          <w14:ligatures w14:val="none"/>
        </w:rPr>
        <w:fldChar w:fldCharType="begin"/>
      </w:r>
      <w:r>
        <w:rPr>
          <w:rFonts w:ascii="Times New Roman" w:eastAsia="Times New Roman" w:hAnsi="Times New Roman" w:cs="Times New Roman"/>
          <w:kern w:val="0"/>
          <w14:ligatures w14:val="none"/>
        </w:rPr>
        <w:instrText xml:space="preserve"> ADDIN ZOTERO_ITEM CSL_CITATION {"citationID":"a2ja71dvblo","properties":{"formattedCitation":"(9)","plainCitation":"(9)","noteIndex":0},"citationItems":[{"id":2955,"uris":["http://zotero.org/users/9520068/items/2F4R2NX4"],"itemData":{"id":2955,"type":"article-journal","container-title":"The Lancet","DOI":"10.1016/S0140-6736(18)30181-8","ISSN":"0140-6736","issue":"10131","note":"publisher: Elsevier","page":"1718-1735","title":"Canada's universal health-care system: achieving its potential","URL":"https://doi.org/10.1016/S0140-6736(18)30181-8","volume":"391","author":[{"family":"Martin","given":"Danielle"},{"family":"Miller","given":"Ashley P"},{"family":"Quesnel-Vallée","given":"Amélie"},{"family":"Caron","given":"Nadine R"},{"family":"Vissandjée","given":"Bilkis"},{"family":"Marchildon","given":"Gregory P"}],"accessed":{"date-parts":[["2022",11,25]]},"issued":{"date-parts":[["2018",4,28]]}}}],"schema":"https://github.com/citation-style-language/schema/raw/master/csl-citation.json"} </w:instrText>
      </w:r>
      <w:r w:rsidR="00F63931" w:rsidRPr="0047418B">
        <w:rPr>
          <w:rFonts w:ascii="Times New Roman" w:eastAsia="Times New Roman" w:hAnsi="Times New Roman" w:cs="Times New Roman"/>
          <w:kern w:val="0"/>
          <w14:ligatures w14:val="none"/>
        </w:rPr>
        <w:fldChar w:fldCharType="separate"/>
      </w:r>
      <w:r>
        <w:rPr>
          <w:rFonts w:ascii="Times New Roman" w:eastAsia="Times New Roman" w:hAnsi="Times New Roman" w:cs="Times New Roman"/>
          <w:kern w:val="0"/>
          <w:lang w:val="en-US"/>
          <w14:ligatures w14:val="none"/>
        </w:rPr>
        <w:t>(9)</w:t>
      </w:r>
      <w:r w:rsidR="00F63931" w:rsidRPr="0047418B">
        <w:rPr>
          <w:rFonts w:ascii="Times New Roman" w:eastAsia="Times New Roman" w:hAnsi="Times New Roman" w:cs="Times New Roman"/>
          <w:kern w:val="0"/>
          <w14:ligatures w14:val="none"/>
        </w:rPr>
        <w:fldChar w:fldCharType="end"/>
      </w:r>
      <w:r w:rsidR="00F63931" w:rsidRPr="0047418B">
        <w:rPr>
          <w:rFonts w:ascii="Times New Roman" w:eastAsia="Times New Roman" w:hAnsi="Times New Roman" w:cs="Times New Roman"/>
          <w:kern w:val="0"/>
          <w14:ligatures w14:val="none"/>
        </w:rPr>
        <w:t xml:space="preserve">. </w:t>
      </w:r>
      <w:r w:rsidR="007C2853" w:rsidRPr="0047418B">
        <w:rPr>
          <w:rFonts w:ascii="Times New Roman" w:eastAsia="Times New Roman" w:hAnsi="Times New Roman" w:cs="Times New Roman"/>
          <w:kern w:val="0"/>
          <w14:ligatures w14:val="none"/>
        </w:rPr>
        <w:t xml:space="preserve">These practices reflect </w:t>
      </w:r>
      <w:r w:rsidR="007C2853" w:rsidRPr="0047418B">
        <w:rPr>
          <w:rFonts w:ascii="Times New Roman" w:eastAsia="Times New Roman" w:hAnsi="Times New Roman" w:cs="Times New Roman"/>
          <w:kern w:val="0"/>
          <w14:ligatures w14:val="none"/>
        </w:rPr>
        <w:lastRenderedPageBreak/>
        <w:t xml:space="preserve">variations in HTA processes </w:t>
      </w:r>
      <w:r w:rsidR="00F63931" w:rsidRPr="0047418B">
        <w:rPr>
          <w:rFonts w:ascii="Times New Roman" w:eastAsia="Times New Roman" w:hAnsi="Times New Roman" w:cs="Times New Roman"/>
          <w:kern w:val="0"/>
          <w14:ligatures w14:val="none"/>
        </w:rPr>
        <w:t>that</w:t>
      </w:r>
      <w:r w:rsidR="007C2853" w:rsidRPr="0047418B">
        <w:rPr>
          <w:rFonts w:ascii="Times New Roman" w:eastAsia="Times New Roman" w:hAnsi="Times New Roman" w:cs="Times New Roman"/>
          <w:kern w:val="0"/>
          <w14:ligatures w14:val="none"/>
        </w:rPr>
        <w:t xml:space="preserve"> may affect patient engagement approaches and </w:t>
      </w:r>
      <w:r w:rsidR="00F63931" w:rsidRPr="0047418B">
        <w:rPr>
          <w:rFonts w:ascii="Times New Roman" w:eastAsia="Times New Roman" w:hAnsi="Times New Roman" w:cs="Times New Roman"/>
          <w:kern w:val="0"/>
          <w14:ligatures w14:val="none"/>
        </w:rPr>
        <w:t xml:space="preserve">the </w:t>
      </w:r>
      <w:r w:rsidR="007C2853" w:rsidRPr="0047418B">
        <w:rPr>
          <w:rFonts w:ascii="Times New Roman" w:eastAsia="Times New Roman" w:hAnsi="Times New Roman" w:cs="Times New Roman"/>
          <w:kern w:val="0"/>
          <w14:ligatures w14:val="none"/>
        </w:rPr>
        <w:t>integration of health equity factors in</w:t>
      </w:r>
      <w:r w:rsidR="00F63931" w:rsidRPr="0047418B">
        <w:rPr>
          <w:rFonts w:ascii="Times New Roman" w:eastAsia="Times New Roman" w:hAnsi="Times New Roman" w:cs="Times New Roman"/>
          <w:kern w:val="0"/>
          <w14:ligatures w14:val="none"/>
        </w:rPr>
        <w:t>to</w:t>
      </w:r>
      <w:r w:rsidR="007C2853" w:rsidRPr="0047418B">
        <w:rPr>
          <w:rFonts w:ascii="Times New Roman" w:eastAsia="Times New Roman" w:hAnsi="Times New Roman" w:cs="Times New Roman"/>
          <w:kern w:val="0"/>
          <w14:ligatures w14:val="none"/>
        </w:rPr>
        <w:t xml:space="preserve"> HTA recommendations</w:t>
      </w:r>
      <w:r w:rsidR="00F63931" w:rsidRPr="0047418B">
        <w:rPr>
          <w:rFonts w:ascii="Times New Roman" w:eastAsia="Times New Roman" w:hAnsi="Times New Roman" w:cs="Times New Roman"/>
          <w:kern w:val="0"/>
          <w14:ligatures w14:val="none"/>
        </w:rPr>
        <w:t xml:space="preserve"> </w:t>
      </w:r>
      <w:r w:rsidR="007C2853" w:rsidRPr="0047418B">
        <w:rPr>
          <w:rFonts w:ascii="Times New Roman" w:eastAsia="Times New Roman" w:hAnsi="Times New Roman" w:cs="Times New Roman"/>
          <w:kern w:val="0"/>
          <w14:ligatures w14:val="none"/>
        </w:rPr>
        <w:fldChar w:fldCharType="begin"/>
      </w:r>
      <w:r>
        <w:rPr>
          <w:rFonts w:ascii="Times New Roman" w:eastAsia="Times New Roman" w:hAnsi="Times New Roman" w:cs="Times New Roman"/>
          <w:kern w:val="0"/>
          <w14:ligatures w14:val="none"/>
        </w:rPr>
        <w:instrText xml:space="preserve"> ADDIN ZOTERO_ITEM CSL_CITATION {"citationID":"gK0uoRDx","properties":{"formattedCitation":"(3,5,10)","plainCitation":"(3,5,10)","noteIndex":0},"citationItems":[{"id":1332,"uris":["http://zotero.org/users/9520068/items/N37I5EL8"],"itemData":{"id":1332,"type":"article-journal","abstract":"OBJECTIVES: Equity is one of the founding principles in most healthcare systems.  Financial constraints entail an increased risk of exacerbating inequities and a greater need for evidence-based decisions. It is, therefore, both important and timely to enquire how equity can be addressed in health technology assessment (HTA) practice. We aimed to explore related practices from a broad range of HTA agencies, identify exemplary approaches and common concerns, and offer insights for future considerations. METHODS: HTA agencies for which both methodological guides and HTA reports were publicly available were selected from an initial comprehensive pool. Information was extracted on issues ranging from a general commitment to fairness to specific measures targeting both methodological and process-related elements. RESULTS: Methodological documents and ninety-eight reports from nineteen agencies were analyzed. Our findings indicate that equity was not a standard consideration in HTA report production. The nature of specific approaches and the amount of resources invested into including an equity perspective varied considerably. Specific measures (e.g., appropriate information sources, analytical tools, and schemes) were mentioned by almost half of the agencies analyzed. Albeit sporadic, both horizontal and vertical equity considerations were identified in included HTA reports. CONCLUSIONS: While varying legal contexts and institutional principles can lead to different interpretations of equity at the decision point, a combination of methodological and process-related practices could contribute to more equity-sensitive evaluations, especially in conjunction with enhanced dissemination of existing methodological tools. Networking initiatives on behalf of existing collaborating platforms could play an important role in this direction.","container-title":"International journal of technology assessment in health care","DOI":"10.1017/S0266462315000549","issue":"5","page":"314-323","title":"Considering equity in health technology assessment: an exploratory analysis of agency practices.","volume":"31","author":[{"family":"Busse","given":"Reinhard"},{"family":"Panteli","given":"Dimitra"},{"family":"Kreis","given":"Julia"},{"family":"Busse","given":"Reinhard"}],"issued":{"date-parts":[["2015",1]]}}},{"id":1200,"uris":["http://zotero.org/users/9520068/items/KPWAP56P"],"itemData":{"id":1200,"type":"article-journal","abstract":"Equity has been recognized as one of the driving principles of many health systems in the world. In Latin America, Chile has led the explicit inclusion of equity in their health policies, which is reflected in its recent health reform. On the other hand, Chile faces the challenge of defining and implementing a policy for health technology assessment (HTA), which should be consistent with the equity principles that underlie the Chilean national health system. This paper reviews the equity concept emphasizing the relevance of socioeconomic inequalities. Furthermore, it examines how international HTA agencies have explicitly included this element in the evaluation and decision processes. It presents the English case, which highlights the elements of procedural justice rather than adopting a normative position regarding equity. Finally, it examines the methods that have been developed aiming to make explicit consideration of equity in HTA. It concludes that the methodological development to incorporate equity elements with empirical basis is recent and limited. The consideration of equity is, in most of the cases, left to the instances of deliberative participation.","container-title":"Revista medica de Chile","DOI":"10.4067/S0034-98872014001300008","page":"S45-9","title":"[Equity in health and health technology assessment in Chile].","volume":"142 Suppl","author":[{"family":"Espinoza","given":"Manuel Antonio"},{"family":"Cabieses","given":"Baltica"}],"issued":{"date-parts":[["2014",1]]}}},{"id":3073,"uris":["http://zotero.org/users/9520068/items/INVFK3CC"],"itemData":{"id":3073,"type":"article-journal","abstract":"OBJECTIVE: To summarize current evidence on patient and public involvement (PPI) in health technology assessment (HTA) in order to synthesize the barriers and  facilitators, and to propose a framework to assess its impact. METHODS: We  conducted an update of a systematic review published in 2011 considering the  recent scientific literature (qualitative, quantitative, and mixed-methods  studies). We searched papers published between March 2009 (end of the initial  search) and December 2019 in five databases using specific search strategies. We  identified other publications through citation tracking and contacting authors of  previous related studies. Reviewers independently selected relevant studies based  on prespecified inclusion and exclusion criteria. We extracted information using  a pre-established grid. RESULTS: We identified a total of 7872 publications from  the main search strategy. Ultimately, thirty-one distinct new studies met the  inclusion criteria, whereas seventeen studies were included in the previous  systematic review. PPI is realized through two main strategies: (i) patients and  public members participate directly in decision-making processes (participation)  and (ii) patients or public perspectives are solicited to inform decisions  (consultation or indirect participation). This review synthesizes the barriers  and facilitators to PPI in HTA, and a framework to assess its impact is proposed.  CONCLUSION: The number of studies on patients or public involvement in HTA has  dramatically increased in recent years. Findings from this updated systematic  review show that PPI is done mostly through consultation and that direct  involvement is less frequent. Several barriers to PPI in HTA exist, notably the  lack of information to patients and public about HTA and the lack of guidance and  policies to support PPI in HTA.","container-title":"International journal of technology assessment in health care","DOI":"10.1017/S0266462321000064","ISSN":"1471-6348 0266-4623","journalAbbreviation":"Int J Technol Assess Health Care","language":"eng","note":"publisher-place: England\nPMID: 33541449","page":"e36","title":"Patient and public involvement in health technology assessment: update of a systematic review of international experiences.","volume":"37","author":[{"family":"Gagnon","given":"Marie-Pierre"},{"family":"Tantchou Dipankui","given":"Mylène"},{"family":"Poder","given":"Thomas G."},{"family":"Payne-Gagnon","given":"Julie"},{"family":"Mbemba","given":"Gisèle"},{"family":"Beretta","given":"Valentina"}],"issued":{"date-parts":[["2021",2,5]]}}}],"schema":"https://github.com/citation-style-language/schema/raw/master/csl-citation.json"} </w:instrText>
      </w:r>
      <w:r w:rsidR="007C2853" w:rsidRPr="0047418B">
        <w:rPr>
          <w:rFonts w:ascii="Times New Roman" w:eastAsia="Times New Roman" w:hAnsi="Times New Roman" w:cs="Times New Roman"/>
          <w:kern w:val="0"/>
          <w14:ligatures w14:val="none"/>
        </w:rPr>
        <w:fldChar w:fldCharType="separate"/>
      </w:r>
      <w:r>
        <w:rPr>
          <w:rFonts w:ascii="Times New Roman" w:hAnsi="Times New Roman" w:cs="Times New Roman"/>
          <w:kern w:val="0"/>
          <w:lang w:val="en-US"/>
        </w:rPr>
        <w:t>(3,5,10)</w:t>
      </w:r>
      <w:r w:rsidR="007C2853" w:rsidRPr="0047418B">
        <w:rPr>
          <w:rFonts w:ascii="Times New Roman" w:eastAsia="Times New Roman" w:hAnsi="Times New Roman" w:cs="Times New Roman"/>
          <w:kern w:val="0"/>
          <w14:ligatures w14:val="none"/>
        </w:rPr>
        <w:fldChar w:fldCharType="end"/>
      </w:r>
      <w:r w:rsidR="00F63931" w:rsidRPr="0047418B">
        <w:rPr>
          <w:rFonts w:ascii="Times New Roman" w:eastAsia="Times New Roman" w:hAnsi="Times New Roman" w:cs="Times New Roman"/>
          <w:kern w:val="0"/>
          <w14:ligatures w14:val="none"/>
        </w:rPr>
        <w:t xml:space="preserve">. </w:t>
      </w:r>
    </w:p>
    <w:p w14:paraId="2CC663FE" w14:textId="28C0D315" w:rsidR="00F63931" w:rsidRPr="0047418B" w:rsidRDefault="007C2853" w:rsidP="001F748D">
      <w:pPr>
        <w:spacing w:line="480" w:lineRule="auto"/>
        <w:ind w:firstLine="720"/>
        <w:textAlignment w:val="baseline"/>
        <w:rPr>
          <w:rFonts w:ascii="Times New Roman" w:eastAsia="Times New Roman" w:hAnsi="Times New Roman" w:cs="Times New Roman"/>
          <w:kern w:val="0"/>
          <w14:ligatures w14:val="none"/>
        </w:rPr>
      </w:pPr>
      <w:r w:rsidRPr="0047418B">
        <w:rPr>
          <w:rFonts w:ascii="Times New Roman" w:eastAsia="Times New Roman" w:hAnsi="Times New Roman" w:cs="Times New Roman"/>
          <w:kern w:val="0"/>
          <w14:ligatures w14:val="none"/>
        </w:rPr>
        <w:t xml:space="preserve">Canada’s Drug Agency (CDA) and Ontario Health consistently publicly published HTA reports with recommendations. </w:t>
      </w:r>
      <w:r w:rsidR="008C1A9D" w:rsidRPr="0047418B">
        <w:rPr>
          <w:rFonts w:ascii="Times New Roman" w:eastAsia="Times New Roman" w:hAnsi="Times New Roman" w:cs="Times New Roman"/>
          <w:kern w:val="0"/>
          <w14:ligatures w14:val="none"/>
        </w:rPr>
        <w:t xml:space="preserve">Researchers and patients consulted for this study expressed the need to evaluate the impact of patient engagement practices on promoting health equity through HTA. Given their consistent publication of HTA reports with recommendations, </w:t>
      </w:r>
      <w:r w:rsidR="00F63931" w:rsidRPr="0047418B">
        <w:rPr>
          <w:rFonts w:ascii="Times New Roman" w:eastAsia="Times New Roman" w:hAnsi="Times New Roman" w:cs="Times New Roman"/>
          <w:kern w:val="0"/>
          <w14:ligatures w14:val="none"/>
        </w:rPr>
        <w:t>CDA</w:t>
      </w:r>
      <w:r w:rsidR="008C1A9D" w:rsidRPr="0047418B">
        <w:rPr>
          <w:rFonts w:ascii="Times New Roman" w:eastAsia="Times New Roman" w:hAnsi="Times New Roman" w:cs="Times New Roman"/>
          <w:kern w:val="0"/>
          <w14:ligatures w14:val="none"/>
        </w:rPr>
        <w:t xml:space="preserve"> and</w:t>
      </w:r>
      <w:r w:rsidRPr="0047418B">
        <w:rPr>
          <w:rFonts w:ascii="Times New Roman" w:eastAsia="Times New Roman" w:hAnsi="Times New Roman" w:cs="Times New Roman"/>
          <w:kern w:val="0"/>
          <w14:ligatures w14:val="none"/>
        </w:rPr>
        <w:t xml:space="preserve"> </w:t>
      </w:r>
      <w:r w:rsidR="008C1A9D" w:rsidRPr="0047418B">
        <w:rPr>
          <w:rFonts w:ascii="Times New Roman" w:eastAsia="Times New Roman" w:hAnsi="Times New Roman" w:cs="Times New Roman"/>
          <w:kern w:val="0"/>
          <w14:ligatures w14:val="none"/>
        </w:rPr>
        <w:t>Ontario</w:t>
      </w:r>
      <w:r w:rsidRPr="0047418B">
        <w:rPr>
          <w:rFonts w:ascii="Times New Roman" w:eastAsia="Times New Roman" w:hAnsi="Times New Roman" w:cs="Times New Roman"/>
          <w:kern w:val="0"/>
          <w14:ligatures w14:val="none"/>
        </w:rPr>
        <w:t xml:space="preserve"> </w:t>
      </w:r>
      <w:r w:rsidR="008C1A9D" w:rsidRPr="0047418B">
        <w:rPr>
          <w:rFonts w:ascii="Times New Roman" w:eastAsia="Times New Roman" w:hAnsi="Times New Roman" w:cs="Times New Roman"/>
          <w:kern w:val="0"/>
          <w14:ligatures w14:val="none"/>
        </w:rPr>
        <w:t>Health</w:t>
      </w:r>
      <w:r w:rsidRPr="0047418B">
        <w:rPr>
          <w:rFonts w:ascii="Times New Roman" w:eastAsia="Times New Roman" w:hAnsi="Times New Roman" w:cs="Times New Roman"/>
          <w:kern w:val="0"/>
          <w14:ligatures w14:val="none"/>
        </w:rPr>
        <w:t xml:space="preserve"> </w:t>
      </w:r>
      <w:r w:rsidR="00F63931" w:rsidRPr="0047418B">
        <w:rPr>
          <w:rFonts w:ascii="Times New Roman" w:eastAsia="Times New Roman" w:hAnsi="Times New Roman" w:cs="Times New Roman"/>
          <w:kern w:val="0"/>
          <w14:ligatures w14:val="none"/>
        </w:rPr>
        <w:t xml:space="preserve">were selected as </w:t>
      </w:r>
      <w:r w:rsidRPr="0047418B">
        <w:rPr>
          <w:rFonts w:ascii="Times New Roman" w:eastAsia="Times New Roman" w:hAnsi="Times New Roman" w:cs="Times New Roman"/>
          <w:kern w:val="0"/>
          <w14:ligatures w14:val="none"/>
        </w:rPr>
        <w:t>case studies</w:t>
      </w:r>
      <w:r w:rsidR="008C1A9D" w:rsidRPr="0047418B">
        <w:rPr>
          <w:rFonts w:ascii="Times New Roman" w:eastAsia="Times New Roman" w:hAnsi="Times New Roman" w:cs="Times New Roman"/>
          <w:kern w:val="0"/>
          <w14:ligatures w14:val="none"/>
        </w:rPr>
        <w:t>.</w:t>
      </w:r>
      <w:r w:rsidRPr="0047418B">
        <w:rPr>
          <w:rFonts w:ascii="Times New Roman" w:eastAsia="Times New Roman" w:hAnsi="Times New Roman" w:cs="Times New Roman"/>
          <w:kern w:val="0"/>
          <w14:ligatures w14:val="none"/>
        </w:rPr>
        <w:t xml:space="preserve"> </w:t>
      </w:r>
      <w:r w:rsidR="008C1A9D" w:rsidRPr="0047418B">
        <w:rPr>
          <w:rFonts w:ascii="Times New Roman" w:eastAsia="Times New Roman" w:hAnsi="Times New Roman" w:cs="Times New Roman"/>
          <w:kern w:val="0"/>
          <w14:ligatures w14:val="none"/>
        </w:rPr>
        <w:t>Thei</w:t>
      </w:r>
      <w:r w:rsidRPr="0047418B">
        <w:rPr>
          <w:rFonts w:ascii="Times New Roman" w:eastAsia="Times New Roman" w:hAnsi="Times New Roman" w:cs="Times New Roman"/>
          <w:kern w:val="0"/>
          <w14:ligatures w14:val="none"/>
        </w:rPr>
        <w:t xml:space="preserve">r </w:t>
      </w:r>
      <w:r w:rsidR="008C1A9D" w:rsidRPr="0047418B">
        <w:rPr>
          <w:rFonts w:ascii="Times New Roman" w:eastAsia="Times New Roman" w:hAnsi="Times New Roman" w:cs="Times New Roman"/>
          <w:kern w:val="0"/>
          <w14:ligatures w14:val="none"/>
        </w:rPr>
        <w:t>practices</w:t>
      </w:r>
      <w:r w:rsidRPr="0047418B">
        <w:rPr>
          <w:rFonts w:ascii="Times New Roman" w:eastAsia="Times New Roman" w:hAnsi="Times New Roman" w:cs="Times New Roman"/>
          <w:kern w:val="0"/>
          <w14:ligatures w14:val="none"/>
        </w:rPr>
        <w:t xml:space="preserve"> </w:t>
      </w:r>
      <w:r w:rsidR="00213E9D" w:rsidRPr="0047418B">
        <w:rPr>
          <w:rFonts w:ascii="Times New Roman" w:eastAsia="Times New Roman" w:hAnsi="Times New Roman" w:cs="Times New Roman"/>
          <w:kern w:val="0"/>
          <w14:ligatures w14:val="none"/>
        </w:rPr>
        <w:t>can help draw insights to inform strategies for</w:t>
      </w:r>
      <w:r w:rsidRPr="0047418B">
        <w:rPr>
          <w:rFonts w:ascii="Times New Roman" w:eastAsia="Times New Roman" w:hAnsi="Times New Roman" w:cs="Times New Roman"/>
          <w:kern w:val="0"/>
          <w14:ligatures w14:val="none"/>
        </w:rPr>
        <w:t xml:space="preserve"> promot</w:t>
      </w:r>
      <w:r w:rsidR="008C1A9D" w:rsidRPr="0047418B">
        <w:rPr>
          <w:rFonts w:ascii="Times New Roman" w:eastAsia="Times New Roman" w:hAnsi="Times New Roman" w:cs="Times New Roman"/>
          <w:kern w:val="0"/>
          <w14:ligatures w14:val="none"/>
        </w:rPr>
        <w:t>ing</w:t>
      </w:r>
      <w:r w:rsidRPr="0047418B">
        <w:rPr>
          <w:rFonts w:ascii="Times New Roman" w:eastAsia="Times New Roman" w:hAnsi="Times New Roman" w:cs="Times New Roman"/>
          <w:kern w:val="0"/>
          <w14:ligatures w14:val="none"/>
        </w:rPr>
        <w:t xml:space="preserve"> the integration of equity-focused recommendations for diverse populations across various regions and countries</w:t>
      </w:r>
      <w:r w:rsidR="008C1A9D" w:rsidRPr="0047418B">
        <w:rPr>
          <w:rFonts w:ascii="Times New Roman" w:eastAsia="Times New Roman" w:hAnsi="Times New Roman" w:cs="Times New Roman"/>
          <w:kern w:val="0"/>
          <w14:ligatures w14:val="none"/>
        </w:rPr>
        <w:t>.</w:t>
      </w:r>
    </w:p>
    <w:p w14:paraId="7FD17658" w14:textId="5AB68B76" w:rsidR="00425764" w:rsidRPr="00E54F96" w:rsidRDefault="00732CF3" w:rsidP="00E54F96">
      <w:pPr>
        <w:pStyle w:val="ListParagraph"/>
        <w:numPr>
          <w:ilvl w:val="2"/>
          <w:numId w:val="36"/>
        </w:numPr>
        <w:spacing w:line="480" w:lineRule="auto"/>
        <w:textAlignment w:val="baseline"/>
        <w:rPr>
          <w:rFonts w:ascii="Times New Roman" w:eastAsia="Times New Roman" w:hAnsi="Times New Roman" w:cs="Times New Roman"/>
          <w:b/>
          <w:bCs/>
          <w:kern w:val="0"/>
          <w14:ligatures w14:val="none"/>
        </w:rPr>
      </w:pPr>
      <w:r w:rsidRPr="00E54F96">
        <w:rPr>
          <w:rFonts w:ascii="Times New Roman" w:eastAsia="Times New Roman" w:hAnsi="Times New Roman" w:cs="Times New Roman"/>
          <w:b/>
          <w:bCs/>
          <w:kern w:val="0"/>
          <w14:ligatures w14:val="none"/>
        </w:rPr>
        <w:t xml:space="preserve">Identification </w:t>
      </w:r>
      <w:r w:rsidR="00213E9D" w:rsidRPr="00E54F96">
        <w:rPr>
          <w:rFonts w:ascii="Times New Roman" w:eastAsia="Times New Roman" w:hAnsi="Times New Roman" w:cs="Times New Roman"/>
          <w:b/>
          <w:bCs/>
          <w:kern w:val="0"/>
          <w14:ligatures w14:val="none"/>
        </w:rPr>
        <w:t xml:space="preserve">of HTA </w:t>
      </w:r>
      <w:r w:rsidR="00E54F96" w:rsidRPr="00E54F96">
        <w:rPr>
          <w:rFonts w:ascii="Times New Roman" w:eastAsia="Times New Roman" w:hAnsi="Times New Roman" w:cs="Times New Roman"/>
          <w:b/>
          <w:bCs/>
          <w:kern w:val="0"/>
          <w14:ligatures w14:val="none"/>
        </w:rPr>
        <w:t>Reports</w:t>
      </w:r>
    </w:p>
    <w:p w14:paraId="44613560" w14:textId="1756B034" w:rsidR="00275909" w:rsidRPr="0047418B" w:rsidRDefault="003F52BD" w:rsidP="001F748D">
      <w:pPr>
        <w:spacing w:line="480" w:lineRule="auto"/>
        <w:ind w:firstLine="423"/>
        <w:textAlignment w:val="baseline"/>
        <w:rPr>
          <w:rFonts w:ascii="Times New Roman" w:eastAsia="Times New Roman" w:hAnsi="Times New Roman" w:cs="Times New Roman"/>
          <w:kern w:val="0"/>
          <w14:ligatures w14:val="none"/>
        </w:rPr>
      </w:pPr>
      <w:r w:rsidRPr="0047418B">
        <w:rPr>
          <w:rFonts w:ascii="Times New Roman" w:eastAsia="Times New Roman" w:hAnsi="Times New Roman" w:cs="Times New Roman"/>
          <w:kern w:val="0"/>
          <w14:ligatures w14:val="none"/>
        </w:rPr>
        <w:t>We selected reports based on types of HTA reviews, years of publications, and</w:t>
      </w:r>
      <w:r w:rsidR="00732CF3" w:rsidRPr="0047418B">
        <w:rPr>
          <w:rFonts w:ascii="Times New Roman" w:eastAsia="Times New Roman" w:hAnsi="Times New Roman" w:cs="Times New Roman"/>
          <w:kern w:val="0"/>
          <w14:ligatures w14:val="none"/>
        </w:rPr>
        <w:t xml:space="preserve"> </w:t>
      </w:r>
      <w:r w:rsidRPr="0047418B">
        <w:rPr>
          <w:rFonts w:ascii="Times New Roman" w:eastAsia="Times New Roman" w:hAnsi="Times New Roman" w:cs="Times New Roman"/>
          <w:kern w:val="0"/>
          <w14:ligatures w14:val="none"/>
        </w:rPr>
        <w:t>patient engagement</w:t>
      </w:r>
      <w:r w:rsidR="00454823" w:rsidRPr="0047418B">
        <w:rPr>
          <w:rFonts w:ascii="Times New Roman" w:eastAsia="Times New Roman" w:hAnsi="Times New Roman" w:cs="Times New Roman"/>
          <w:kern w:val="0"/>
          <w14:ligatures w14:val="none"/>
        </w:rPr>
        <w:t xml:space="preserve">. </w:t>
      </w:r>
      <w:r w:rsidRPr="0047418B">
        <w:rPr>
          <w:rFonts w:ascii="Times New Roman" w:eastAsia="Times New Roman" w:hAnsi="Times New Roman" w:cs="Times New Roman"/>
          <w:kern w:val="0"/>
          <w14:ligatures w14:val="none"/>
        </w:rPr>
        <w:t xml:space="preserve">Contrary to Ontario Health, which did not categorize HTA products on its website, CDA had several HTA products. </w:t>
      </w:r>
      <w:r w:rsidR="00205EBC" w:rsidRPr="0047418B">
        <w:rPr>
          <w:rFonts w:ascii="Times New Roman" w:eastAsia="Times New Roman" w:hAnsi="Times New Roman" w:cs="Times New Roman"/>
          <w:kern w:val="0"/>
          <w14:ligatures w14:val="none"/>
        </w:rPr>
        <w:t xml:space="preserve">Two CDA products were selected: the </w:t>
      </w:r>
      <w:r w:rsidRPr="0047418B">
        <w:rPr>
          <w:rFonts w:ascii="Times New Roman" w:eastAsia="Times New Roman" w:hAnsi="Times New Roman" w:cs="Times New Roman"/>
          <w:kern w:val="0"/>
          <w14:ligatures w14:val="none"/>
        </w:rPr>
        <w:t xml:space="preserve">Common Drug Review (CDR) and the pan-Canadian Oncology Drug Review (pCODR). The term “common drugs” designates health technologies in the CDA Common Drug Review (CDR), which covers health technologies for conditions such as hypertension, diabetes, and asthma. </w:t>
      </w:r>
    </w:p>
    <w:p w14:paraId="2B465615" w14:textId="3F22B0DB" w:rsidR="00275909" w:rsidRPr="0047418B" w:rsidRDefault="00275909" w:rsidP="001F748D">
      <w:pPr>
        <w:spacing w:line="480" w:lineRule="auto"/>
        <w:ind w:firstLine="423"/>
        <w:textAlignment w:val="baseline"/>
        <w:rPr>
          <w:rFonts w:ascii="Times New Roman" w:eastAsia="Times New Roman" w:hAnsi="Times New Roman" w:cs="Times New Roman"/>
          <w:kern w:val="0"/>
          <w14:ligatures w14:val="none"/>
        </w:rPr>
      </w:pPr>
      <w:r w:rsidRPr="0047418B">
        <w:rPr>
          <w:rFonts w:ascii="Times New Roman" w:eastAsia="Times New Roman" w:hAnsi="Times New Roman" w:cs="Times New Roman"/>
          <w:kern w:val="0"/>
          <w14:ligatures w14:val="none"/>
        </w:rPr>
        <w:t xml:space="preserve">We selected the 2013-2021 period to identify </w:t>
      </w:r>
      <w:r w:rsidRPr="0047418B">
        <w:rPr>
          <w:rFonts w:ascii="Times New Roman" w:hAnsi="Times New Roman" w:cs="Times New Roman"/>
        </w:rPr>
        <w:t xml:space="preserve">HTA reports from CDA before establishing the Patient and Community Liaison Forum, which was created to improve patient involvement in HTA processes </w:t>
      </w:r>
      <w:r w:rsidRPr="0047418B">
        <w:rPr>
          <w:rFonts w:ascii="Times New Roman" w:eastAsia="Times New Roman" w:hAnsi="Times New Roman" w:cs="Times New Roman"/>
          <w:kern w:val="0"/>
          <w14:ligatures w14:val="none"/>
        </w:rPr>
        <w:t>(</w:t>
      </w:r>
      <w:r w:rsidRPr="0047418B">
        <w:rPr>
          <w:rFonts w:ascii="Times New Roman" w:eastAsia="Times New Roman" w:hAnsi="Times New Roman" w:cs="Times New Roman"/>
          <w:kern w:val="0"/>
          <w14:ligatures w14:val="none"/>
        </w:rPr>
        <w:fldChar w:fldCharType="begin"/>
      </w:r>
      <w:r w:rsidRPr="0047418B">
        <w:rPr>
          <w:rFonts w:ascii="Times New Roman" w:eastAsia="Times New Roman" w:hAnsi="Times New Roman" w:cs="Times New Roman"/>
          <w:kern w:val="0"/>
          <w14:ligatures w14:val="none"/>
        </w:rPr>
        <w:instrText xml:space="preserve"> ADDIN ZOTERO_ITEM CSL_CITATION {"citationID":"7c7Eil07","properties":{"formattedCitation":"(31)","plainCitation":"(31)","dontUpdate":true,"noteIndex":0},"citationItems":[{"id":1497,"uris":["http://zotero.org/users/9520068/items/R5LBNFNR"],"itemData":{"id":1497,"type":"report","language":"English","page":"68","publisher":"Canadian Agency for Drugs and Technologies in Health","title":"An Inside Look at the Early History of the CADTH Common Drug Review in Canada","URL":"https://www.cadth.ca/sites/default/files/pdf/early_history_of_CDR.pdf","author":[{"family":"MacPhail","given":"Elaine"},{"family":"Shea,","given":"Barb"}],"accessed":{"date-parts":[["2022",6,1]]},"issued":{"date-parts":[["2017",4]]}}}],"schema":"https://github.com/citation-style-language/schema/raw/master/csl-citation.json"} </w:instrText>
      </w:r>
      <w:r w:rsidRPr="0047418B">
        <w:rPr>
          <w:rFonts w:ascii="Times New Roman" w:eastAsia="Times New Roman" w:hAnsi="Times New Roman" w:cs="Times New Roman"/>
          <w:kern w:val="0"/>
          <w14:ligatures w14:val="none"/>
        </w:rPr>
        <w:fldChar w:fldCharType="separate"/>
      </w:r>
      <w:r w:rsidRPr="0047418B">
        <w:rPr>
          <w:rFonts w:ascii="Times New Roman" w:eastAsia="Times New Roman" w:hAnsi="Times New Roman" w:cs="Times New Roman"/>
          <w:kern w:val="0"/>
          <w:lang w:val="en-US"/>
          <w14:ligatures w14:val="none"/>
        </w:rPr>
        <w:t>31)</w:t>
      </w:r>
      <w:r w:rsidRPr="0047418B">
        <w:rPr>
          <w:rFonts w:ascii="Times New Roman" w:eastAsia="Times New Roman" w:hAnsi="Times New Roman" w:cs="Times New Roman"/>
          <w:kern w:val="0"/>
          <w14:ligatures w14:val="none"/>
        </w:rPr>
        <w:fldChar w:fldCharType="end"/>
      </w:r>
      <w:r w:rsidRPr="0047418B">
        <w:rPr>
          <w:rFonts w:ascii="Times New Roman" w:hAnsi="Times New Roman" w:cs="Times New Roman"/>
        </w:rPr>
        <w:t xml:space="preserve">. Ontario Health began including patient input in its HTA reports in 2015. </w:t>
      </w:r>
      <w:r w:rsidRPr="0047418B">
        <w:rPr>
          <w:rFonts w:ascii="Times New Roman" w:eastAsia="Times New Roman" w:hAnsi="Times New Roman" w:cs="Times New Roman"/>
          <w:kern w:val="0"/>
          <w14:ligatures w14:val="none"/>
        </w:rPr>
        <w:t>This timeline can also help capture the evolution of patient engagement</w:t>
      </w:r>
      <w:r w:rsidRPr="0047418B">
        <w:rPr>
          <w:rFonts w:ascii="Times New Roman" w:hAnsi="Times New Roman" w:cs="Times New Roman"/>
        </w:rPr>
        <w:t xml:space="preserve"> in HTA practices. </w:t>
      </w:r>
    </w:p>
    <w:p w14:paraId="30DB3C42" w14:textId="0CD5AC05" w:rsidR="00454823" w:rsidRPr="0047418B" w:rsidRDefault="00454823" w:rsidP="001F748D">
      <w:pPr>
        <w:spacing w:line="480" w:lineRule="auto"/>
        <w:ind w:firstLine="720"/>
        <w:textAlignment w:val="baseline"/>
        <w:rPr>
          <w:rFonts w:ascii="Times New Roman" w:eastAsia="Times New Roman" w:hAnsi="Times New Roman" w:cs="Times New Roman"/>
          <w:kern w:val="0"/>
          <w14:ligatures w14:val="none"/>
        </w:rPr>
      </w:pPr>
      <w:r w:rsidRPr="0047418B">
        <w:rPr>
          <w:rFonts w:ascii="Times New Roman" w:eastAsia="Times New Roman" w:hAnsi="Times New Roman" w:cs="Times New Roman"/>
          <w:kern w:val="0"/>
          <w14:ligatures w14:val="none"/>
        </w:rPr>
        <w:t>The flow diagram in Figure 1 outlines the systematic approach used to select HTA reports from Canada's Drug Agency (CDA) and Ontario Health. The process began with identifying three categories of HTA reviews: the Common Drug Review (CDR), the pan-</w:t>
      </w:r>
      <w:r w:rsidRPr="0047418B">
        <w:rPr>
          <w:rFonts w:ascii="Times New Roman" w:eastAsia="Times New Roman" w:hAnsi="Times New Roman" w:cs="Times New Roman"/>
          <w:kern w:val="0"/>
          <w14:ligatures w14:val="none"/>
        </w:rPr>
        <w:lastRenderedPageBreak/>
        <w:t>Canadian Oncology Drug Review (pCODR), and reports from Ontario Health focusing on medical devices and virtually delivered health technologies. Using stratified</w:t>
      </w:r>
      <w:r w:rsidR="00275909" w:rsidRPr="0047418B">
        <w:rPr>
          <w:rFonts w:ascii="Times New Roman" w:eastAsia="Times New Roman" w:hAnsi="Times New Roman" w:cs="Times New Roman"/>
          <w:kern w:val="0"/>
          <w14:ligatures w14:val="none"/>
        </w:rPr>
        <w:t xml:space="preserve"> </w:t>
      </w:r>
      <w:r w:rsidRPr="0047418B">
        <w:rPr>
          <w:rFonts w:ascii="Times New Roman" w:eastAsia="Times New Roman" w:hAnsi="Times New Roman" w:cs="Times New Roman"/>
          <w:kern w:val="0"/>
          <w14:ligatures w14:val="none"/>
        </w:rPr>
        <w:t xml:space="preserve">sampling, 60 reports were randomly selected </w:t>
      </w:r>
      <w:r w:rsidR="00275909" w:rsidRPr="0047418B">
        <w:rPr>
          <w:rFonts w:ascii="Times New Roman" w:eastAsia="Times New Roman" w:hAnsi="Times New Roman" w:cs="Times New Roman"/>
          <w:kern w:val="0"/>
          <w14:ligatures w14:val="none"/>
        </w:rPr>
        <w:t>across the three</w:t>
      </w:r>
      <w:r w:rsidRPr="0047418B">
        <w:rPr>
          <w:rFonts w:ascii="Times New Roman" w:eastAsia="Times New Roman" w:hAnsi="Times New Roman" w:cs="Times New Roman"/>
          <w:kern w:val="0"/>
          <w14:ligatures w14:val="none"/>
        </w:rPr>
        <w:t xml:space="preserve"> categor</w:t>
      </w:r>
      <w:r w:rsidR="00275909" w:rsidRPr="0047418B">
        <w:rPr>
          <w:rFonts w:ascii="Times New Roman" w:eastAsia="Times New Roman" w:hAnsi="Times New Roman" w:cs="Times New Roman"/>
          <w:kern w:val="0"/>
          <w14:ligatures w14:val="none"/>
        </w:rPr>
        <w:t>ies</w:t>
      </w:r>
      <w:r w:rsidRPr="0047418B">
        <w:rPr>
          <w:rFonts w:ascii="Times New Roman" w:eastAsia="Times New Roman" w:hAnsi="Times New Roman" w:cs="Times New Roman"/>
          <w:kern w:val="0"/>
          <w14:ligatures w14:val="none"/>
        </w:rPr>
        <w:t xml:space="preserve">: </w:t>
      </w:r>
      <w:r w:rsidR="00275909" w:rsidRPr="0047418B">
        <w:rPr>
          <w:rFonts w:ascii="Times New Roman" w:eastAsia="Times New Roman" w:hAnsi="Times New Roman" w:cs="Times New Roman"/>
          <w:kern w:val="0"/>
          <w14:ligatures w14:val="none"/>
        </w:rPr>
        <w:t>twenty-five</w:t>
      </w:r>
      <w:r w:rsidRPr="0047418B">
        <w:rPr>
          <w:rFonts w:ascii="Times New Roman" w:eastAsia="Times New Roman" w:hAnsi="Times New Roman" w:cs="Times New Roman"/>
          <w:kern w:val="0"/>
          <w14:ligatures w14:val="none"/>
        </w:rPr>
        <w:t xml:space="preserve"> from CDR,</w:t>
      </w:r>
      <w:r w:rsidR="00275909" w:rsidRPr="0047418B">
        <w:rPr>
          <w:rFonts w:ascii="Times New Roman" w:eastAsia="Times New Roman" w:hAnsi="Times New Roman" w:cs="Times New Roman"/>
          <w:kern w:val="0"/>
          <w14:ligatures w14:val="none"/>
        </w:rPr>
        <w:t xml:space="preserve"> fifteen</w:t>
      </w:r>
      <w:r w:rsidRPr="0047418B">
        <w:rPr>
          <w:rFonts w:ascii="Times New Roman" w:eastAsia="Times New Roman" w:hAnsi="Times New Roman" w:cs="Times New Roman"/>
          <w:kern w:val="0"/>
          <w14:ligatures w14:val="none"/>
        </w:rPr>
        <w:t xml:space="preserve"> from pCODR, and</w:t>
      </w:r>
      <w:r w:rsidR="00275909" w:rsidRPr="0047418B">
        <w:rPr>
          <w:rFonts w:ascii="Times New Roman" w:eastAsia="Times New Roman" w:hAnsi="Times New Roman" w:cs="Times New Roman"/>
          <w:kern w:val="0"/>
          <w14:ligatures w14:val="none"/>
        </w:rPr>
        <w:t xml:space="preserve"> twenty </w:t>
      </w:r>
      <w:r w:rsidRPr="0047418B">
        <w:rPr>
          <w:rFonts w:ascii="Times New Roman" w:eastAsia="Times New Roman" w:hAnsi="Times New Roman" w:cs="Times New Roman"/>
          <w:kern w:val="0"/>
          <w14:ligatures w14:val="none"/>
        </w:rPr>
        <w:t xml:space="preserve">from Ontario Health. </w:t>
      </w:r>
    </w:p>
    <w:p w14:paraId="5F425970" w14:textId="50986AF6" w:rsidR="00454823" w:rsidRPr="0047418B" w:rsidRDefault="00361C4C" w:rsidP="001F748D">
      <w:pPr>
        <w:spacing w:line="480" w:lineRule="auto"/>
        <w:ind w:firstLine="720"/>
        <w:textAlignment w:val="baseline"/>
        <w:rPr>
          <w:rFonts w:ascii="Times New Roman" w:eastAsia="Times New Roman" w:hAnsi="Times New Roman" w:cs="Times New Roman"/>
          <w:kern w:val="0"/>
          <w14:ligatures w14:val="none"/>
        </w:rPr>
      </w:pPr>
      <w:r w:rsidRPr="0047418B">
        <w:rPr>
          <w:rFonts w:ascii="Times New Roman" w:eastAsia="Times New Roman" w:hAnsi="Times New Roman" w:cs="Times New Roman"/>
          <w:noProof/>
          <w:kern w:val="0"/>
          <w14:ligatures w14:val="none"/>
        </w:rPr>
        <w:drawing>
          <wp:inline distT="0" distB="0" distL="0" distR="0" wp14:anchorId="024C50F6" wp14:editId="20BB21B9">
            <wp:extent cx="5684506" cy="4654716"/>
            <wp:effectExtent l="12700" t="12700" r="18415" b="6350"/>
            <wp:docPr id="833544101" name="Picture 1" descr="A diagram of a patient's healt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3544101" name="Picture 1" descr="A diagram of a patient's health&#10;&#10;Description automatically generated"/>
                    <pic:cNvPicPr/>
                  </pic:nvPicPr>
                  <pic:blipFill rotWithShape="1">
                    <a:blip r:embed="rId7"/>
                    <a:srcRect l="4817" t="6297" r="-479"/>
                    <a:stretch/>
                  </pic:blipFill>
                  <pic:spPr bwMode="auto">
                    <a:xfrm>
                      <a:off x="0" y="0"/>
                      <a:ext cx="5706530" cy="4672751"/>
                    </a:xfrm>
                    <a:prstGeom prst="rect">
                      <a:avLst/>
                    </a:prstGeom>
                    <a:ln>
                      <a:solidFill>
                        <a:schemeClr val="accent6"/>
                      </a:solidFill>
                    </a:ln>
                    <a:extLst>
                      <a:ext uri="{53640926-AAD7-44D8-BBD7-CCE9431645EC}">
                        <a14:shadowObscured xmlns:a14="http://schemas.microsoft.com/office/drawing/2010/main"/>
                      </a:ext>
                    </a:extLst>
                  </pic:spPr>
                </pic:pic>
              </a:graphicData>
            </a:graphic>
          </wp:inline>
        </w:drawing>
      </w:r>
    </w:p>
    <w:p w14:paraId="4B97CC60" w14:textId="329C51F0" w:rsidR="00454823" w:rsidRPr="0047418B" w:rsidRDefault="00454823" w:rsidP="001F748D">
      <w:pPr>
        <w:spacing w:line="480" w:lineRule="auto"/>
        <w:ind w:firstLine="720"/>
        <w:textAlignment w:val="baseline"/>
        <w:rPr>
          <w:rFonts w:ascii="Times New Roman" w:eastAsia="Times New Roman" w:hAnsi="Times New Roman" w:cs="Times New Roman"/>
          <w:kern w:val="0"/>
          <w14:ligatures w14:val="none"/>
        </w:rPr>
      </w:pPr>
      <w:r w:rsidRPr="0047418B">
        <w:rPr>
          <w:rFonts w:ascii="Times New Roman" w:eastAsia="Times New Roman" w:hAnsi="Times New Roman" w:cs="Times New Roman"/>
          <w:kern w:val="0"/>
          <w14:ligatures w14:val="none"/>
        </w:rPr>
        <w:t xml:space="preserve">Figure 1: Flow </w:t>
      </w:r>
      <w:r w:rsidR="00E54F96" w:rsidRPr="0047418B">
        <w:rPr>
          <w:rFonts w:ascii="Times New Roman" w:eastAsia="Times New Roman" w:hAnsi="Times New Roman" w:cs="Times New Roman"/>
          <w:kern w:val="0"/>
          <w14:ligatures w14:val="none"/>
        </w:rPr>
        <w:t xml:space="preserve">Diagram </w:t>
      </w:r>
      <w:r w:rsidR="00E54F96">
        <w:rPr>
          <w:rFonts w:ascii="Times New Roman" w:eastAsia="Times New Roman" w:hAnsi="Times New Roman" w:cs="Times New Roman"/>
          <w:kern w:val="0"/>
          <w14:ligatures w14:val="none"/>
        </w:rPr>
        <w:t>for the</w:t>
      </w:r>
      <w:r w:rsidR="00E54F96" w:rsidRPr="0047418B">
        <w:rPr>
          <w:rFonts w:ascii="Times New Roman" w:eastAsia="Times New Roman" w:hAnsi="Times New Roman" w:cs="Times New Roman"/>
          <w:kern w:val="0"/>
          <w14:ligatures w14:val="none"/>
        </w:rPr>
        <w:t xml:space="preserve"> Identification</w:t>
      </w:r>
      <w:r w:rsidR="00E54F96">
        <w:rPr>
          <w:rFonts w:ascii="Times New Roman" w:eastAsia="Times New Roman" w:hAnsi="Times New Roman" w:cs="Times New Roman"/>
          <w:kern w:val="0"/>
          <w14:ligatures w14:val="none"/>
        </w:rPr>
        <w:t xml:space="preserve"> and </w:t>
      </w:r>
      <w:r w:rsidR="00E54F96" w:rsidRPr="0047418B">
        <w:rPr>
          <w:rFonts w:ascii="Times New Roman" w:eastAsia="Times New Roman" w:hAnsi="Times New Roman" w:cs="Times New Roman"/>
          <w:kern w:val="0"/>
          <w14:ligatures w14:val="none"/>
        </w:rPr>
        <w:t xml:space="preserve">Inclusion </w:t>
      </w:r>
      <w:r w:rsidR="00E54F96">
        <w:rPr>
          <w:rFonts w:ascii="Times New Roman" w:eastAsia="Times New Roman" w:hAnsi="Times New Roman" w:cs="Times New Roman"/>
          <w:kern w:val="0"/>
          <w14:ligatures w14:val="none"/>
        </w:rPr>
        <w:t>of</w:t>
      </w:r>
      <w:r w:rsidR="00E54F96" w:rsidRPr="0047418B">
        <w:rPr>
          <w:rFonts w:ascii="Times New Roman" w:eastAsia="Times New Roman" w:hAnsi="Times New Roman" w:cs="Times New Roman"/>
          <w:kern w:val="0"/>
          <w14:ligatures w14:val="none"/>
        </w:rPr>
        <w:t xml:space="preserve"> Studies.</w:t>
      </w:r>
    </w:p>
    <w:p w14:paraId="623101D4" w14:textId="706DA49B" w:rsidR="00275909" w:rsidRPr="0047418B" w:rsidRDefault="00E54F96" w:rsidP="001F748D">
      <w:pPr>
        <w:spacing w:line="480" w:lineRule="auto"/>
        <w:ind w:firstLine="423"/>
        <w:rPr>
          <w:rFonts w:ascii="Times New Roman" w:hAnsi="Times New Roman" w:cs="Times New Roman"/>
        </w:rPr>
      </w:pPr>
      <w:r>
        <w:rPr>
          <w:rFonts w:ascii="Times New Roman" w:hAnsi="Times New Roman" w:cs="Times New Roman"/>
        </w:rPr>
        <w:t>S</w:t>
      </w:r>
      <w:r w:rsidR="00275909" w:rsidRPr="0047418B">
        <w:rPr>
          <w:rFonts w:ascii="Times New Roman" w:hAnsi="Times New Roman" w:cs="Times New Roman"/>
        </w:rPr>
        <w:t xml:space="preserve">tratified sampling enhances the sample's representativeness, ensuring that all relevant HTA reports are included. This approach minimizes selection bias, increasing the validity and reliability of the study’s findings by capturing a broad spectrum of recommendations across HTA categories </w:t>
      </w:r>
      <w:r w:rsidR="00275909" w:rsidRPr="0047418B">
        <w:rPr>
          <w:rFonts w:ascii="Times New Roman" w:hAnsi="Times New Roman" w:cs="Times New Roman"/>
        </w:rPr>
        <w:fldChar w:fldCharType="begin"/>
      </w:r>
      <w:r>
        <w:rPr>
          <w:rFonts w:ascii="Times New Roman" w:hAnsi="Times New Roman" w:cs="Times New Roman"/>
        </w:rPr>
        <w:instrText xml:space="preserve"> ADDIN ZOTERO_ITEM CSL_CITATION {"citationID":"i4XCxPVb","properties":{"formattedCitation":"(15)","plainCitation":"(15)","noteIndex":0},"citationItems":[{"id":3080,"uris":["http://zotero.org/users/9520068/items/L48U3S82"],"itemData":{"id":3080,"type":"chapter","abstract":"Abstract Stratified sampling is a probability sampling method that is implemented in sample surveys. The target population's elements are divided into distinct groups or strata where within each stratum the elements are similar to each other with respect to select characteristics of importance to the survey. Stratification is also used to increase the efficiency of a sample design with respect to survey costs and estimator precision. In this article, the foundations of stratified sampling are discussed in the framework of simple random sampling. Topics include the forming of the strata and optimal sample allocation among the strata. Practical implementation issues for stratified sampling are discussed and include systematic sampling, implicit stratification, and the construction of strata using modern software. The importance of using stratified sampling in practice is demonstrated by its usage in five major large-scale health surveys conducted in the United States and the United Kingdom. For these surveys, details of the stratification and sampling methods are provided. Topics include multistage cluster sampling within strata and the use of systematic and probability proportional to size sampling.","container-title":"Wiley StatsRef: Statistics Reference Online","ISBN":"978-1-118-44511-2","note":"DOI: 10.1002/9781118445112.stat05999.pub2","page":"1-11","title":"Stratified Sampling","URL":"https://doi.org/10.1002/9781118445112.stat05999.pub2","author":[{"family":"Parsons","given":"Van L."}],"accessed":{"date-parts":[["2024",9,10]]},"issued":{"date-parts":[["2017",2,15]]}}}],"schema":"https://github.com/citation-style-language/schema/raw/master/csl-citation.json"} </w:instrText>
      </w:r>
      <w:r w:rsidR="00275909" w:rsidRPr="0047418B">
        <w:rPr>
          <w:rFonts w:ascii="Times New Roman" w:hAnsi="Times New Roman" w:cs="Times New Roman"/>
        </w:rPr>
        <w:fldChar w:fldCharType="separate"/>
      </w:r>
      <w:r>
        <w:rPr>
          <w:rFonts w:ascii="Times New Roman" w:hAnsi="Times New Roman" w:cs="Times New Roman"/>
          <w:noProof/>
        </w:rPr>
        <w:t>(15)</w:t>
      </w:r>
      <w:r w:rsidR="00275909" w:rsidRPr="0047418B">
        <w:rPr>
          <w:rFonts w:ascii="Times New Roman" w:hAnsi="Times New Roman" w:cs="Times New Roman"/>
        </w:rPr>
        <w:fldChar w:fldCharType="end"/>
      </w:r>
      <w:r w:rsidR="00275909" w:rsidRPr="0047418B">
        <w:rPr>
          <w:rFonts w:ascii="Times New Roman" w:hAnsi="Times New Roman" w:cs="Times New Roman"/>
        </w:rPr>
        <w:t>. This sampling approach can help identify valuable insights into these organizations</w:t>
      </w:r>
      <w:r>
        <w:rPr>
          <w:rFonts w:ascii="Times New Roman" w:hAnsi="Times New Roman" w:cs="Times New Roman"/>
        </w:rPr>
        <w:t>' practices</w:t>
      </w:r>
      <w:r w:rsidR="00275909" w:rsidRPr="0047418B">
        <w:rPr>
          <w:rFonts w:ascii="Times New Roman" w:hAnsi="Times New Roman" w:cs="Times New Roman"/>
        </w:rPr>
        <w:t xml:space="preserve"> for developing equity-focused recommendations. This method will help </w:t>
      </w:r>
      <w:r w:rsidR="00275909" w:rsidRPr="0047418B">
        <w:rPr>
          <w:rFonts w:ascii="Times New Roman" w:hAnsi="Times New Roman" w:cs="Times New Roman"/>
        </w:rPr>
        <w:lastRenderedPageBreak/>
        <w:t xml:space="preserve">strengthen the generalizability of the findings, making them applicable to broader HTA practices both within Canada and internationally </w:t>
      </w:r>
      <w:r w:rsidR="00275909" w:rsidRPr="0047418B">
        <w:rPr>
          <w:rFonts w:ascii="Times New Roman" w:hAnsi="Times New Roman" w:cs="Times New Roman"/>
        </w:rPr>
        <w:fldChar w:fldCharType="begin"/>
      </w:r>
      <w:r>
        <w:rPr>
          <w:rFonts w:ascii="Times New Roman" w:hAnsi="Times New Roman" w:cs="Times New Roman"/>
        </w:rPr>
        <w:instrText xml:space="preserve"> ADDIN ZOTERO_ITEM CSL_CITATION {"citationID":"4Fv5mxV7","properties":{"formattedCitation":"(15)","plainCitation":"(15)","noteIndex":0},"citationItems":[{"id":3080,"uris":["http://zotero.org/users/9520068/items/L48U3S82"],"itemData":{"id":3080,"type":"chapter","abstract":"Abstract Stratified sampling is a probability sampling method that is implemented in sample surveys. The target population's elements are divided into distinct groups or strata where within each stratum the elements are similar to each other with respect to select characteristics of importance to the survey. Stratification is also used to increase the efficiency of a sample design with respect to survey costs and estimator precision. In this article, the foundations of stratified sampling are discussed in the framework of simple random sampling. Topics include the forming of the strata and optimal sample allocation among the strata. Practical implementation issues for stratified sampling are discussed and include systematic sampling, implicit stratification, and the construction of strata using modern software. The importance of using stratified sampling in practice is demonstrated by its usage in five major large-scale health surveys conducted in the United States and the United Kingdom. For these surveys, details of the stratification and sampling methods are provided. Topics include multistage cluster sampling within strata and the use of systematic and probability proportional to size sampling.","container-title":"Wiley StatsRef: Statistics Reference Online","ISBN":"978-1-118-44511-2","note":"DOI: 10.1002/9781118445112.stat05999.pub2","page":"1-11","title":"Stratified Sampling","URL":"https://doi.org/10.1002/9781118445112.stat05999.pub2","author":[{"family":"Parsons","given":"Van L."}],"accessed":{"date-parts":[["2024",9,10]]},"issued":{"date-parts":[["2017",2,15]]}}}],"schema":"https://github.com/citation-style-language/schema/raw/master/csl-citation.json"} </w:instrText>
      </w:r>
      <w:r w:rsidR="00275909" w:rsidRPr="0047418B">
        <w:rPr>
          <w:rFonts w:ascii="Times New Roman" w:hAnsi="Times New Roman" w:cs="Times New Roman"/>
        </w:rPr>
        <w:fldChar w:fldCharType="separate"/>
      </w:r>
      <w:r>
        <w:rPr>
          <w:rFonts w:ascii="Times New Roman" w:hAnsi="Times New Roman" w:cs="Times New Roman"/>
          <w:noProof/>
        </w:rPr>
        <w:t>(15)</w:t>
      </w:r>
      <w:r w:rsidR="00275909" w:rsidRPr="0047418B">
        <w:rPr>
          <w:rFonts w:ascii="Times New Roman" w:hAnsi="Times New Roman" w:cs="Times New Roman"/>
        </w:rPr>
        <w:fldChar w:fldCharType="end"/>
      </w:r>
      <w:r w:rsidR="00275909" w:rsidRPr="0047418B">
        <w:rPr>
          <w:rFonts w:ascii="Times New Roman" w:hAnsi="Times New Roman" w:cs="Times New Roman"/>
        </w:rPr>
        <w:t xml:space="preserve">. </w:t>
      </w:r>
    </w:p>
    <w:p w14:paraId="21B9F374" w14:textId="6953504C" w:rsidR="00275909" w:rsidRPr="00E54F96" w:rsidRDefault="00275909" w:rsidP="001F748D">
      <w:pPr>
        <w:pStyle w:val="ListParagraph"/>
        <w:numPr>
          <w:ilvl w:val="0"/>
          <w:numId w:val="36"/>
        </w:numPr>
        <w:spacing w:line="480" w:lineRule="auto"/>
        <w:textAlignment w:val="baseline"/>
        <w:rPr>
          <w:rFonts w:ascii="Times New Roman" w:eastAsia="Times New Roman" w:hAnsi="Times New Roman" w:cs="Times New Roman"/>
          <w:b/>
          <w:bCs/>
          <w:kern w:val="0"/>
          <w14:ligatures w14:val="none"/>
        </w:rPr>
      </w:pPr>
      <w:r w:rsidRPr="00E54F96">
        <w:rPr>
          <w:rFonts w:ascii="Times New Roman" w:eastAsia="Times New Roman" w:hAnsi="Times New Roman" w:cs="Times New Roman"/>
          <w:b/>
          <w:bCs/>
          <w:kern w:val="0"/>
          <w14:ligatures w14:val="none"/>
        </w:rPr>
        <w:t>Screening</w:t>
      </w:r>
    </w:p>
    <w:p w14:paraId="358662E4" w14:textId="0B6EFACE" w:rsidR="0047418B" w:rsidRPr="0047418B" w:rsidRDefault="00454823" w:rsidP="0047418B">
      <w:pPr>
        <w:spacing w:line="480" w:lineRule="auto"/>
        <w:ind w:firstLine="423"/>
        <w:textAlignment w:val="baseline"/>
        <w:rPr>
          <w:rFonts w:ascii="Times New Roman" w:eastAsia="Times New Roman" w:hAnsi="Times New Roman" w:cs="Times New Roman"/>
          <w:kern w:val="0"/>
          <w14:ligatures w14:val="none"/>
        </w:rPr>
      </w:pPr>
      <w:r w:rsidRPr="0047418B">
        <w:rPr>
          <w:rFonts w:ascii="Times New Roman" w:eastAsia="Times New Roman" w:hAnsi="Times New Roman" w:cs="Times New Roman"/>
          <w:kern w:val="0"/>
          <w14:ligatures w14:val="none"/>
        </w:rPr>
        <w:t xml:space="preserve">During the screening phase, reports were carefully reviewed to confirm the presence of patient </w:t>
      </w:r>
      <w:r w:rsidR="00275909" w:rsidRPr="0047418B">
        <w:rPr>
          <w:rFonts w:ascii="Times New Roman" w:eastAsia="Times New Roman" w:hAnsi="Times New Roman" w:cs="Times New Roman"/>
          <w:kern w:val="0"/>
          <w14:ligatures w14:val="none"/>
        </w:rPr>
        <w:t>engagement</w:t>
      </w:r>
      <w:r w:rsidR="00B91090" w:rsidRPr="0047418B">
        <w:rPr>
          <w:rFonts w:ascii="Times New Roman" w:eastAsia="Times New Roman" w:hAnsi="Times New Roman" w:cs="Times New Roman"/>
          <w:kern w:val="0"/>
          <w14:ligatures w14:val="none"/>
        </w:rPr>
        <w:t xml:space="preserve"> and HTA recommendations</w:t>
      </w:r>
      <w:r w:rsidR="00275909" w:rsidRPr="0047418B">
        <w:rPr>
          <w:rFonts w:ascii="Times New Roman" w:eastAsia="Times New Roman" w:hAnsi="Times New Roman" w:cs="Times New Roman"/>
          <w:kern w:val="0"/>
          <w14:ligatures w14:val="none"/>
        </w:rPr>
        <w:t>.</w:t>
      </w:r>
      <w:r w:rsidRPr="0047418B">
        <w:rPr>
          <w:rFonts w:ascii="Times New Roman" w:eastAsia="Times New Roman" w:hAnsi="Times New Roman" w:cs="Times New Roman"/>
          <w:kern w:val="0"/>
          <w14:ligatures w14:val="none"/>
        </w:rPr>
        <w:t xml:space="preserve"> Three reports were excluded due to the </w:t>
      </w:r>
      <w:r w:rsidR="00275909" w:rsidRPr="0047418B">
        <w:rPr>
          <w:rFonts w:ascii="Times New Roman" w:eastAsia="Times New Roman" w:hAnsi="Times New Roman" w:cs="Times New Roman"/>
          <w:kern w:val="0"/>
          <w14:ligatures w14:val="none"/>
        </w:rPr>
        <w:t>absence</w:t>
      </w:r>
      <w:r w:rsidRPr="0047418B">
        <w:rPr>
          <w:rFonts w:ascii="Times New Roman" w:eastAsia="Times New Roman" w:hAnsi="Times New Roman" w:cs="Times New Roman"/>
          <w:kern w:val="0"/>
          <w14:ligatures w14:val="none"/>
        </w:rPr>
        <w:t xml:space="preserve"> </w:t>
      </w:r>
      <w:r w:rsidR="00275909" w:rsidRPr="0047418B">
        <w:rPr>
          <w:rFonts w:ascii="Times New Roman" w:eastAsia="Times New Roman" w:hAnsi="Times New Roman" w:cs="Times New Roman"/>
          <w:kern w:val="0"/>
          <w14:ligatures w14:val="none"/>
        </w:rPr>
        <w:t xml:space="preserve">of </w:t>
      </w:r>
      <w:r w:rsidRPr="0047418B">
        <w:rPr>
          <w:rFonts w:ascii="Times New Roman" w:eastAsia="Times New Roman" w:hAnsi="Times New Roman" w:cs="Times New Roman"/>
          <w:kern w:val="0"/>
          <w14:ligatures w14:val="none"/>
        </w:rPr>
        <w:t xml:space="preserve">patient engagement—one included </w:t>
      </w:r>
      <w:r w:rsidR="003E3865" w:rsidRPr="0047418B">
        <w:rPr>
          <w:rFonts w:ascii="Times New Roman" w:eastAsia="Times New Roman" w:hAnsi="Times New Roman" w:cs="Times New Roman"/>
          <w:kern w:val="0"/>
          <w14:ligatures w14:val="none"/>
        </w:rPr>
        <w:t>feedback</w:t>
      </w:r>
      <w:r w:rsidRPr="0047418B">
        <w:rPr>
          <w:rFonts w:ascii="Times New Roman" w:eastAsia="Times New Roman" w:hAnsi="Times New Roman" w:cs="Times New Roman"/>
          <w:kern w:val="0"/>
          <w14:ligatures w14:val="none"/>
        </w:rPr>
        <w:t xml:space="preserve"> from healthcare providers, one was based on a literature review of patient experiences, and one had no patient input. T</w:t>
      </w:r>
      <w:r w:rsidR="003E3865" w:rsidRPr="0047418B">
        <w:rPr>
          <w:rFonts w:ascii="Times New Roman" w:eastAsia="Times New Roman" w:hAnsi="Times New Roman" w:cs="Times New Roman"/>
          <w:kern w:val="0"/>
          <w14:ligatures w14:val="none"/>
        </w:rPr>
        <w:t>he three reports were replaced t</w:t>
      </w:r>
      <w:r w:rsidRPr="0047418B">
        <w:rPr>
          <w:rFonts w:ascii="Times New Roman" w:eastAsia="Times New Roman" w:hAnsi="Times New Roman" w:cs="Times New Roman"/>
          <w:kern w:val="0"/>
          <w14:ligatures w14:val="none"/>
        </w:rPr>
        <w:t>o maintain the sample's integrity: two from CDR and one from Ontario Health.</w:t>
      </w:r>
      <w:r w:rsidR="00550A90" w:rsidRPr="0047418B">
        <w:rPr>
          <w:rFonts w:ascii="Times New Roman" w:eastAsia="Times New Roman" w:hAnsi="Times New Roman" w:cs="Times New Roman"/>
          <w:kern w:val="0"/>
          <w14:ligatures w14:val="none"/>
        </w:rPr>
        <w:t xml:space="preserve"> </w:t>
      </w:r>
      <w:r w:rsidR="00B91090" w:rsidRPr="0047418B">
        <w:rPr>
          <w:rFonts w:ascii="Times New Roman" w:eastAsia="Times New Roman" w:hAnsi="Times New Roman" w:cs="Times New Roman"/>
          <w:kern w:val="0"/>
          <w14:ligatures w14:val="none"/>
        </w:rPr>
        <w:t xml:space="preserve">Studies were not screened based on the presence of health equity factors in their recommendations. </w:t>
      </w:r>
      <w:r w:rsidRPr="0047418B">
        <w:rPr>
          <w:rFonts w:ascii="Times New Roman" w:eastAsia="Times New Roman" w:hAnsi="Times New Roman" w:cs="Times New Roman"/>
          <w:kern w:val="0"/>
          <w14:ligatures w14:val="none"/>
        </w:rPr>
        <w:t xml:space="preserve">The final </w:t>
      </w:r>
      <w:r w:rsidR="00550A90" w:rsidRPr="0047418B">
        <w:rPr>
          <w:rFonts w:ascii="Times New Roman" w:eastAsia="Times New Roman" w:hAnsi="Times New Roman" w:cs="Times New Roman"/>
          <w:kern w:val="0"/>
          <w14:ligatures w14:val="none"/>
        </w:rPr>
        <w:t>sample</w:t>
      </w:r>
      <w:r w:rsidRPr="0047418B">
        <w:rPr>
          <w:rFonts w:ascii="Times New Roman" w:eastAsia="Times New Roman" w:hAnsi="Times New Roman" w:cs="Times New Roman"/>
          <w:kern w:val="0"/>
          <w14:ligatures w14:val="none"/>
        </w:rPr>
        <w:t xml:space="preserve"> included 60 HTA reports that met the study’s criteria</w:t>
      </w:r>
      <w:r w:rsidR="0047418B" w:rsidRPr="0047418B">
        <w:rPr>
          <w:rFonts w:ascii="Times New Roman" w:eastAsia="Times New Roman" w:hAnsi="Times New Roman" w:cs="Times New Roman"/>
          <w:kern w:val="0"/>
          <w14:ligatures w14:val="none"/>
        </w:rPr>
        <w:t>.</w:t>
      </w:r>
    </w:p>
    <w:p w14:paraId="7A0B3CF4" w14:textId="58253BB9" w:rsidR="00A975B1" w:rsidRPr="00E54F96" w:rsidRDefault="00A975B1" w:rsidP="0047418B">
      <w:pPr>
        <w:pStyle w:val="ListParagraph"/>
        <w:numPr>
          <w:ilvl w:val="0"/>
          <w:numId w:val="36"/>
        </w:numPr>
        <w:spacing w:line="480" w:lineRule="auto"/>
        <w:textAlignment w:val="baseline"/>
        <w:rPr>
          <w:rFonts w:ascii="Times New Roman" w:eastAsia="Times New Roman" w:hAnsi="Times New Roman" w:cs="Times New Roman"/>
          <w:b/>
          <w:bCs/>
          <w:kern w:val="0"/>
          <w14:ligatures w14:val="none"/>
        </w:rPr>
      </w:pPr>
      <w:r w:rsidRPr="00E54F96">
        <w:rPr>
          <w:rFonts w:ascii="Times New Roman" w:eastAsia="Times New Roman" w:hAnsi="Times New Roman" w:cs="Times New Roman"/>
          <w:b/>
          <w:bCs/>
          <w:kern w:val="0"/>
          <w14:ligatures w14:val="none"/>
        </w:rPr>
        <w:t xml:space="preserve">Data extraction </w:t>
      </w:r>
    </w:p>
    <w:p w14:paraId="2D61D366" w14:textId="75303624" w:rsidR="00D8391E" w:rsidRPr="00E54F96" w:rsidRDefault="009B3FD6" w:rsidP="001F748D">
      <w:pPr>
        <w:pStyle w:val="ListParagraph"/>
        <w:numPr>
          <w:ilvl w:val="1"/>
          <w:numId w:val="36"/>
        </w:numPr>
        <w:spacing w:line="480" w:lineRule="auto"/>
        <w:textAlignment w:val="baseline"/>
        <w:rPr>
          <w:rFonts w:ascii="Times New Roman" w:eastAsia="Times New Roman" w:hAnsi="Times New Roman" w:cs="Times New Roman"/>
          <w:b/>
          <w:bCs/>
          <w:kern w:val="0"/>
          <w14:ligatures w14:val="none"/>
        </w:rPr>
      </w:pPr>
      <w:r w:rsidRPr="00E54F96">
        <w:rPr>
          <w:rFonts w:ascii="Times New Roman" w:eastAsia="Times New Roman" w:hAnsi="Times New Roman" w:cs="Times New Roman"/>
          <w:b/>
          <w:bCs/>
          <w:kern w:val="0"/>
          <w14:ligatures w14:val="none"/>
        </w:rPr>
        <w:t xml:space="preserve">Description of </w:t>
      </w:r>
      <w:r w:rsidR="008E1EA2" w:rsidRPr="00E54F96">
        <w:rPr>
          <w:rFonts w:ascii="Times New Roman" w:eastAsia="Times New Roman" w:hAnsi="Times New Roman" w:cs="Times New Roman"/>
          <w:b/>
          <w:bCs/>
          <w:kern w:val="0"/>
          <w14:ligatures w14:val="none"/>
        </w:rPr>
        <w:t>variable</w:t>
      </w:r>
      <w:r w:rsidR="00993451" w:rsidRPr="00E54F96">
        <w:rPr>
          <w:rFonts w:ascii="Times New Roman" w:eastAsia="Times New Roman" w:hAnsi="Times New Roman" w:cs="Times New Roman"/>
          <w:b/>
          <w:bCs/>
          <w:kern w:val="0"/>
          <w14:ligatures w14:val="none"/>
        </w:rPr>
        <w:t>s</w:t>
      </w:r>
      <w:r w:rsidR="008E1EA2" w:rsidRPr="00E54F96">
        <w:rPr>
          <w:rFonts w:ascii="Times New Roman" w:eastAsia="Times New Roman" w:hAnsi="Times New Roman" w:cs="Times New Roman"/>
          <w:b/>
          <w:bCs/>
          <w:kern w:val="0"/>
          <w14:ligatures w14:val="none"/>
        </w:rPr>
        <w:t xml:space="preserve"> of interest</w:t>
      </w:r>
    </w:p>
    <w:p w14:paraId="3F7A6FCE" w14:textId="1E7019FF" w:rsidR="009B3FD6" w:rsidRPr="0047418B" w:rsidRDefault="00D8391E" w:rsidP="001F748D">
      <w:pPr>
        <w:spacing w:line="480" w:lineRule="auto"/>
        <w:textAlignment w:val="baseline"/>
        <w:rPr>
          <w:rFonts w:ascii="Times New Roman" w:eastAsia="Times New Roman" w:hAnsi="Times New Roman" w:cs="Times New Roman"/>
          <w:iCs/>
          <w:kern w:val="0"/>
          <w14:ligatures w14:val="none"/>
        </w:rPr>
      </w:pPr>
      <w:r w:rsidRPr="0047418B">
        <w:rPr>
          <w:rFonts w:ascii="Times New Roman" w:eastAsia="Times New Roman" w:hAnsi="Times New Roman" w:cs="Times New Roman"/>
          <w:kern w:val="0"/>
          <w14:ligatures w14:val="none"/>
        </w:rPr>
        <w:t xml:space="preserve"> </w:t>
      </w:r>
      <w:r w:rsidRPr="0047418B">
        <w:rPr>
          <w:rFonts w:ascii="Times New Roman" w:eastAsia="Times New Roman" w:hAnsi="Times New Roman" w:cs="Times New Roman"/>
          <w:kern w:val="0"/>
          <w14:ligatures w14:val="none"/>
        </w:rPr>
        <w:tab/>
        <w:t>We reviewed the patient input section of the reports and patient engagement guidelines from the CDA and Ontario Health websites to identify key parameters of patient engagement. We identified the types, modes, and modalities of patient engagement and patients' decision-making models and roles in the HTA process. We described patient engagement activities with items from the practical guidance for involving stakeholders in health research</w:t>
      </w:r>
      <w:r w:rsidRPr="0047418B">
        <w:rPr>
          <w:rFonts w:ascii="Times New Roman" w:eastAsia="Times New Roman" w:hAnsi="Times New Roman" w:cs="Times New Roman"/>
          <w:iCs/>
          <w:kern w:val="0"/>
          <w14:ligatures w14:val="none"/>
        </w:rPr>
        <w:t xml:space="preserve"> </w:t>
      </w:r>
      <w:r w:rsidRPr="0047418B">
        <w:rPr>
          <w:rFonts w:ascii="Times New Roman" w:eastAsia="Times New Roman" w:hAnsi="Times New Roman" w:cs="Times New Roman"/>
          <w:iCs/>
          <w:kern w:val="0"/>
          <w14:ligatures w14:val="none"/>
        </w:rPr>
        <w:fldChar w:fldCharType="begin"/>
      </w:r>
      <w:r w:rsidR="00E54F96">
        <w:rPr>
          <w:rFonts w:ascii="Times New Roman" w:eastAsia="Times New Roman" w:hAnsi="Times New Roman" w:cs="Times New Roman"/>
          <w:iCs/>
          <w:kern w:val="0"/>
          <w14:ligatures w14:val="none"/>
        </w:rPr>
        <w:instrText xml:space="preserve"> ADDIN ZOTERO_ITEM CSL_CITATION {"citationID":"abpjg3ud0k","properties":{"formattedCitation":"(13)","plainCitation":"(13)","noteIndex":0},"citationItems":[{"id":328,"uris":["http://zotero.org/users/9520068/items/58HUP6ZL"],"itemData":{"id":328,"type":"article-journal","abstract":"Stakeholder engagement is increasingly common in health research, with protocols for engaging multiple stakeholder groups becoming normative in patient-centered outcomes research. Previous work has focused on identifying relevant stakeholder groups with whom to work and on working with stakeholders in evidence implementation. This paper draws on the expertise of a team from four countries—Canada, Australia, the UK, and the USA—to provide researchers with practical guidance for carrying out multi-stakeholder–engaged projects: we present a list of questions to assist in selecting appropriate roles and modes of engagement; we introduce a matrix to help summarize engagement activities; and we provide a list of online resources. This guidance, matrix, and list of resources can assist researchers to consider more systematically which stakeholder groups to involve, in what study roles, and by what modes of engagement. By documenting how stakeholders are paired up with specific roles, the matrix also provides a potential structure for evaluating the impact of stakeholder engagement.","container-title":"Journal of General Internal Medicine","DOI":"10.1007/s11606-018-4738-6","ISSN":"1525-1497","issue":"3","journalAbbreviation":"Journal of General Internal Medicine","page":"458-463","title":"Practical Guidance for Involving Stakeholders in Health Research","URL":"https://doi.org/10.1007/s11606-018-4738-6","volume":"34","author":[{"family":"Concannon","given":"Thomas W."},{"family":"Grant","given":"Sean"},{"family":"Welch","given":"Vivian"},{"family":"Petkovic","given":"Jennifer"},{"family":"Selby","given":"Joseph"},{"family":"Crowe","given":"Sally"},{"family":"Synnot","given":"Anneliese"},{"family":"Greer-Smith","given":"Regina"},{"family":"Mayo-Wilson","given":"Evan"},{"family":"Tambor","given":"Ellen"},{"family":"Tugwell","given":"Peter"},{"literal":"for the Multi Stakeholder Engagement (MuSE) Consortium"}],"issued":{"date-parts":[["2019",3,1]]}}}],"schema":"https://github.com/citation-style-language/schema/raw/master/csl-citation.json"} </w:instrText>
      </w:r>
      <w:r w:rsidRPr="0047418B">
        <w:rPr>
          <w:rFonts w:ascii="Times New Roman" w:eastAsia="Times New Roman" w:hAnsi="Times New Roman" w:cs="Times New Roman"/>
          <w:iCs/>
          <w:kern w:val="0"/>
          <w14:ligatures w14:val="none"/>
        </w:rPr>
        <w:fldChar w:fldCharType="separate"/>
      </w:r>
      <w:r w:rsidR="00E54F96">
        <w:rPr>
          <w:rFonts w:ascii="Times New Roman" w:eastAsia="Times New Roman" w:hAnsi="Times New Roman" w:cs="Times New Roman"/>
          <w:kern w:val="0"/>
          <w:lang w:val="en-US"/>
          <w14:ligatures w14:val="none"/>
        </w:rPr>
        <w:t>(13)</w:t>
      </w:r>
      <w:r w:rsidRPr="0047418B">
        <w:rPr>
          <w:rFonts w:ascii="Times New Roman" w:eastAsia="Times New Roman" w:hAnsi="Times New Roman" w:cs="Times New Roman"/>
          <w:iCs/>
          <w:kern w:val="0"/>
          <w14:ligatures w14:val="none"/>
        </w:rPr>
        <w:fldChar w:fldCharType="end"/>
      </w:r>
      <w:r w:rsidRPr="0047418B">
        <w:rPr>
          <w:rFonts w:ascii="Times New Roman" w:eastAsia="Times New Roman" w:hAnsi="Times New Roman" w:cs="Times New Roman"/>
          <w:iCs/>
          <w:kern w:val="0"/>
          <w14:ligatures w14:val="none"/>
        </w:rPr>
        <w:t>. We identified equity-focused HTA recommendation</w:t>
      </w:r>
      <w:r w:rsidR="00B867CE" w:rsidRPr="0047418B">
        <w:rPr>
          <w:rFonts w:ascii="Times New Roman" w:eastAsia="Times New Roman" w:hAnsi="Times New Roman" w:cs="Times New Roman"/>
          <w:iCs/>
          <w:kern w:val="0"/>
          <w14:ligatures w14:val="none"/>
        </w:rPr>
        <w:t>s</w:t>
      </w:r>
      <w:r w:rsidRPr="0047418B">
        <w:rPr>
          <w:rFonts w:ascii="Times New Roman" w:eastAsia="Times New Roman" w:hAnsi="Times New Roman" w:cs="Times New Roman"/>
          <w:iCs/>
          <w:kern w:val="0"/>
          <w14:ligatures w14:val="none"/>
        </w:rPr>
        <w:t xml:space="preserve"> based on the PROGRESS-Plus framewor</w:t>
      </w:r>
      <w:r w:rsidR="00D45251" w:rsidRPr="0047418B">
        <w:rPr>
          <w:rFonts w:ascii="Times New Roman" w:eastAsia="Times New Roman" w:hAnsi="Times New Roman" w:cs="Times New Roman"/>
          <w:iCs/>
          <w:kern w:val="0"/>
          <w14:ligatures w14:val="none"/>
        </w:rPr>
        <w:t xml:space="preserve">k </w:t>
      </w:r>
      <w:r w:rsidRPr="0047418B">
        <w:rPr>
          <w:rFonts w:ascii="Times New Roman" w:eastAsia="Times New Roman" w:hAnsi="Times New Roman" w:cs="Times New Roman"/>
          <w:iCs/>
          <w:kern w:val="0"/>
          <w14:ligatures w14:val="none"/>
        </w:rPr>
        <w:fldChar w:fldCharType="begin"/>
      </w:r>
      <w:r w:rsidR="00E54F96">
        <w:rPr>
          <w:rFonts w:ascii="Times New Roman" w:eastAsia="Times New Roman" w:hAnsi="Times New Roman" w:cs="Times New Roman"/>
          <w:iCs/>
          <w:kern w:val="0"/>
          <w14:ligatures w14:val="none"/>
        </w:rPr>
        <w:instrText xml:space="preserve"> ADDIN ZOTERO_ITEM CSL_CITATION {"citationID":"aq7llr583a","properties":{"formattedCitation":"(16)","plainCitation":"(16)","noteIndex":0},"citationItems":[{"id":345,"uris":["http://zotero.org/users/9520068/items/BJVLIA4Q"],"itemData":{"id":345,"type":"article-journal","abstract":"Objectives To assess the utility of an acronym, place of residence, race/ethnicity/culture/language, occupation, gender/sex, religion, education, socioeconomic status, and social capital (\"PROGRESS\"), in identifying factors that stratify health opportunities and outcomes. We explored the value of PROGRESS as an equity lens to assess effects of interventions on health equity. Study Design and Setting We assessed the utility of PROGRESS by using it in 11 systematic reviews and methodological studies published between 2008 and 2013. To develop the justification for each of the PROGRESS elements, we consulted experts to identify examples of unfair differences in disease burden and an intervention that can effectively address these health inequities. Results Each PROGRESS factor can be justified on the basis of unfair differences in disease burden and the potential for interventions to reduce these differential effects. We have not provided a rationale for why the difference exists but have attempted to explain why these differences may contribute to disadvantage and argue for their consideration in new evaluations, systematic reviews, and intervention implementation. Conclusion The acronym PROGRESS is a framework and aide-memoire that is useful in ensuring that an equity lens is applied in the conduct, reporting, and use of research. ?? 2014 Elsevier Inc. All rights reserved.","container-title":"Journal of Clinical Epidemiology","DOI":"10.1016/j.jclinepi.2013.08.005","ISSN":"1878-5921 (Electronic)\\r0895-4356 (Linking)","issue":"1","note":"publisher: Elsevier Inc","page":"56-64","title":"Applying an equity lens to interventions: Using PROGRESS ensures consideration of socially stratifying factors to illuminate inequities in health","URL":"http://dx.doi.org/10.1016/j.jclinepi.2013.08.005","volume":"67","author":[{"family":"O'Neill","given":"Jennifer"},{"family":"Tabish","given":"Hilary"},{"family":"Welch","given":"Vivian"},{"family":"Petticrew","given":"Mark"},{"family":"Pottie","given":"Kevin"},{"family":"Clarke","given":"Mike"},{"family":"Evans","given":"Tim"},{"family":"Pardo Pardo","given":"Jordi"},{"family":"Waters","given":"Elizabeth"},{"family":"White","given":"Howard"},{"family":"Tugwell","given":"Peter"}],"issued":{"date-parts":[["2014"]]}}}],"schema":"https://github.com/citation-style-language/schema/raw/master/csl-citation.json"} </w:instrText>
      </w:r>
      <w:r w:rsidRPr="0047418B">
        <w:rPr>
          <w:rFonts w:ascii="Times New Roman" w:eastAsia="Times New Roman" w:hAnsi="Times New Roman" w:cs="Times New Roman"/>
          <w:iCs/>
          <w:kern w:val="0"/>
          <w14:ligatures w14:val="none"/>
        </w:rPr>
        <w:fldChar w:fldCharType="separate"/>
      </w:r>
      <w:r w:rsidR="00E54F96">
        <w:rPr>
          <w:rFonts w:ascii="Times New Roman" w:hAnsi="Times New Roman" w:cs="Times New Roman"/>
          <w:kern w:val="0"/>
          <w:lang w:val="en-US"/>
        </w:rPr>
        <w:t>(16)</w:t>
      </w:r>
      <w:r w:rsidRPr="0047418B">
        <w:rPr>
          <w:rFonts w:ascii="Times New Roman" w:eastAsia="Times New Roman" w:hAnsi="Times New Roman" w:cs="Times New Roman"/>
          <w:iCs/>
          <w:kern w:val="0"/>
          <w14:ligatures w14:val="none"/>
        </w:rPr>
        <w:fldChar w:fldCharType="end"/>
      </w:r>
      <w:r w:rsidRPr="0047418B">
        <w:rPr>
          <w:rFonts w:ascii="Times New Roman" w:eastAsia="Times New Roman" w:hAnsi="Times New Roman" w:cs="Times New Roman"/>
          <w:iCs/>
          <w:kern w:val="0"/>
          <w14:ligatures w14:val="none"/>
        </w:rPr>
        <w:t>, the checklist to guide equity considerations in HTA</w:t>
      </w:r>
      <w:r w:rsidR="00E54F96">
        <w:rPr>
          <w:rFonts w:ascii="Times New Roman" w:eastAsia="Times New Roman" w:hAnsi="Times New Roman" w:cs="Times New Roman"/>
          <w:iCs/>
          <w:kern w:val="0"/>
          <w14:ligatures w14:val="none"/>
        </w:rPr>
        <w:t xml:space="preserve"> </w:t>
      </w:r>
      <w:r w:rsidRPr="0047418B">
        <w:rPr>
          <w:rFonts w:ascii="Times New Roman" w:eastAsia="Times New Roman" w:hAnsi="Times New Roman" w:cs="Times New Roman"/>
          <w:iCs/>
          <w:kern w:val="0"/>
          <w14:ligatures w14:val="none"/>
        </w:rPr>
        <w:fldChar w:fldCharType="begin"/>
      </w:r>
      <w:r w:rsidR="00E54F96">
        <w:rPr>
          <w:rFonts w:ascii="Times New Roman" w:eastAsia="Times New Roman" w:hAnsi="Times New Roman" w:cs="Times New Roman"/>
          <w:iCs/>
          <w:kern w:val="0"/>
          <w14:ligatures w14:val="none"/>
        </w:rPr>
        <w:instrText xml:space="preserve"> ADDIN ZOTERO_ITEM CSL_CITATION {"citationID":"a1beircpsst","properties":{"formattedCitation":"(17)","plainCitation":"(17)","noteIndex":0},"citationItems":[{"id":317,"uris":["http://zotero.org/users/9520068/items/2K7BBU4J"],"itemData":{"id":317,"type":"article-journal","abstract":"OBJECTIVES: Health technology assessment (HTA) can impact health inequities by informing healthcare priority-setting decisions. This paper presents a novel checklist to guide HTA practitioners looking to include equity considerations in their work: the equity checklist for HTA (ECHTA). The list is pragmatically organized according to the generic HTA phases and can be consulted at each step., METHODS: A first set of items was based on the framework for equity in HTA developed by Culyer and Bombard. After rewording and reorganizing according to five HTA phases, they were complemented by elements emerging from a literature search. Consultations with method experts, decision makers, and stakeholders further refined the items. Further feedback was sought during a presentation of the tool at an international HTA conference. Lastly, the checklist was piloted through all five stages of an HTA., RESULTS: ECHTA proposes elements to be considered at each one of the five HTA phases: Scoping, Evaluation, Recommendations and Conclusions, Knowledge Translation and Implementation, and Reassessment. More than a simple checklist, the tool provides details and examples that guide the evaluators through an analysis in each phase. A pilot test is also presented, which demonstrates the ECHTA's usability and added value., CONCLUSIONS: ECHTA provides guidance for HTA evaluators wishing to ensure that their conclusions do not contribute to inequalities in health. Several points to build upon the current checklist will be addressed by a working group of experts, and further feedback is welcome from evaluators who have used the tool.","container-title":"International journal of technology assessment in health care","DOI":"10.1017/S0266462320002275","ISSN":"1471-6348","issue":"gti, 8508113","journalAbbreviation":"Int J Technol Assess Health Care","note":"publisher-place: England\nBenkhalti, Maria. Unite d'evaluation des technologies et des modes d'intervention en sante et services sociaux (UETMISSS), CIUSSS de l'Estrie - CHUS, Sherbrooke, Quebec, Canada J1G 2E8.\nBenkhalti, Maria. Faculty of Medicine and Health Sciences, Universite de Sherbrooke, 1036 Belvedere Street, Sherbrooke, Quebec, CanadaJ1H 4C4.\nEspinoza, Manuel. Department of Public Health, Health Technology Assessment Unit, Centre for Clinical Research, Faculty of Medicine, Pontificia Universidad Catolica de Chile, Santiago, Chile.\nCookson, Richard. Centre for Health Economics, University of York, York, UK.\nWelch, Vivian. Bruyere Research Institute, Ottawa, Canada.\nWelch, Vivian. School of Epidemiology and Public Health, University of Ottawa, Ottawa, Canada.\nTugwell, Peter. Bruyere Research Institute, Ottawa, Canada.\nTugwell, Peter. Faculty of Medicine, University of Ottawa, Ottawa, Canada.\nDagenais, Pierre. Unite d'evaluation des technologies et des modes d'intervention en sante et services sociaux (UETMISSS), CIUSSS de l'Estrie - CHUS, Sherbrooke, Quebec, Canada J1G 2E8.\nDagenais, Pierre. Faculty of Medicine and Health Sciences, Universite de Sherbrooke, 1036 Belvedere Street, Sherbrooke, Quebec, CanadaJ1H 4C4.","page":"e17","title":"Development of a checklist to guide equity considerations in health technology assessment.","volume":"37","author":[{"family":"Benkhalti","given":"Maria"},{"family":"Espinoza","given":"Manuel"},{"family":"Cookson","given":"Richard"},{"family":"Welch","given":"Vivian"},{"family":"Tugwell","given":"Peter"},{"family":"Dagenais","given":"Pierre"}],"issued":{"date-parts":[["2021"]]}}}],"schema":"https://github.com/citation-style-language/schema/raw/master/csl-citation.json"} </w:instrText>
      </w:r>
      <w:r w:rsidRPr="0047418B">
        <w:rPr>
          <w:rFonts w:ascii="Times New Roman" w:eastAsia="Times New Roman" w:hAnsi="Times New Roman" w:cs="Times New Roman"/>
          <w:iCs/>
          <w:kern w:val="0"/>
          <w14:ligatures w14:val="none"/>
        </w:rPr>
        <w:fldChar w:fldCharType="separate"/>
      </w:r>
      <w:r w:rsidR="00E54F96">
        <w:rPr>
          <w:rFonts w:ascii="Times New Roman" w:eastAsia="Times New Roman" w:hAnsi="Times New Roman" w:cs="Times New Roman"/>
          <w:kern w:val="0"/>
          <w:lang w:val="en-US"/>
          <w14:ligatures w14:val="none"/>
        </w:rPr>
        <w:t>(17)</w:t>
      </w:r>
      <w:r w:rsidRPr="0047418B">
        <w:rPr>
          <w:rFonts w:ascii="Times New Roman" w:eastAsia="Times New Roman" w:hAnsi="Times New Roman" w:cs="Times New Roman"/>
          <w:iCs/>
          <w:kern w:val="0"/>
          <w14:ligatures w14:val="none"/>
        </w:rPr>
        <w:fldChar w:fldCharType="end"/>
      </w:r>
      <w:r w:rsidRPr="0047418B">
        <w:rPr>
          <w:rFonts w:ascii="Times New Roman" w:eastAsia="Times New Roman" w:hAnsi="Times New Roman" w:cs="Times New Roman"/>
          <w:iCs/>
          <w:kern w:val="0"/>
          <w14:ligatures w14:val="none"/>
        </w:rPr>
        <w:t xml:space="preserve"> and the published literature on characterizing health equity factors in studies </w:t>
      </w:r>
      <w:r w:rsidRPr="0047418B">
        <w:rPr>
          <w:rFonts w:ascii="Times New Roman" w:eastAsia="Times New Roman" w:hAnsi="Times New Roman" w:cs="Times New Roman"/>
          <w:iCs/>
          <w:kern w:val="0"/>
          <w14:ligatures w14:val="none"/>
        </w:rPr>
        <w:fldChar w:fldCharType="begin"/>
      </w:r>
      <w:r w:rsidR="00E54F96">
        <w:rPr>
          <w:rFonts w:ascii="Times New Roman" w:eastAsia="Times New Roman" w:hAnsi="Times New Roman" w:cs="Times New Roman"/>
          <w:iCs/>
          <w:kern w:val="0"/>
          <w14:ligatures w14:val="none"/>
        </w:rPr>
        <w:instrText xml:space="preserve"> ADDIN ZOTERO_ITEM CSL_CITATION {"citationID":"a1dvav255td","properties":{"formattedCitation":"(18,19)","plainCitation":"(18,19)","noteIndex":0},"citationItems":[{"id":2919,"uris":["http://zotero.org/users/9520068/items/QCURNXHX"],"itemData":{"id":2919,"type":"article-journal","abstract":"The goal of this guidance is to provide recommendations and suggestions that encourage fairness, equity, consistency, and clarity in use and reporting of race and ethnicity in medical and science journals. As previously summarized, “terminology, usage, and word choice are critically important, especially when describing people and when discussing race and ethnicity. Inclusive language supports diversity and conveys respect. Language that imparts bias toward or against persons or groups based on characteristics or demographics must be avoided.”With the publication of an earlier version of this guidance, comments were invited, and helpful assessments and comments were received from numerous reviewers, scholars, and researchers, who provided valuable feedback and represented diverse expertise and opinions. After thorough review of these comments (some of which did not agree with others) and additional research and discussion, the guidance was revised and updated, and additional formal review was obtained. In this Editorial, we present the updated guidance, and we sincerely thank the many reviewers for their contributions, each of whom are listed in the Acknowledgment at the end of this article.","container-title":"JAMA","DOI":"10.1001/jama.2021.13304","ISSN":"0098-7484","issue":"7","journalAbbreviation":"JAMA","page":"621-627","title":"Updated Guidance on the Reporting of Race and Ethnicity in Medical and Science Journals","URL":"https://doi.org/10.1001/jama.2021.13304","volume":"326","author":[{"family":"Flanagin","given":"Annette"},{"family":"Frey","given":"Tracy"},{"family":"Christiansen","given":"Stacy L."},{"literal":"AMA Manual of Style Committee"}],"accessed":{"date-parts":[["2022",11,20]]},"issued":{"date-parts":[["2021",8,17]]}}},{"id":1464,"uris":["http://zotero.org/users/9520068/items/EWYFJ7L9"],"itemData":{"id":1464,"type":"article-journal","abstract":"Efforts to improve health equity should be informed by the best available evidence. However, equity-related research is inconsistently indexed, and uses a variety of terms to describe key concepts, making it difficult to reliably identify all relevant studies. We report the development and validation of a search strategy for studies investigating whether the effects of interventions differ by ethnicity or socio-economic status, using the field of transport and health as an example.","container-title":"Systematic Reviews","DOI":"10.1186/s13643-019-1009-5","ISSN":"2046-4053","issue":"1","journalAbbreviation":"Systematic Reviews","page":"94","title":"Searching for health equity: validation of a search filter for ethnic and socioeconomic inequalities in transport","URL":"https://doi.org/10.1186/s13643-019-1009-5","volume":"8","author":[{"family":"Hosking","given":"Jamie"},{"family":"Macmillan","given":"Alexandra"},{"family":"Jones","given":"Rhys"},{"family":"Ameratunga","given":"Shanthi"},{"family":"Woodward","given":"Alistair"}],"issued":{"date-parts":[["2019",4,11]]}}}],"schema":"https://github.com/citation-style-language/schema/raw/master/csl-citation.json"} </w:instrText>
      </w:r>
      <w:r w:rsidRPr="0047418B">
        <w:rPr>
          <w:rFonts w:ascii="Times New Roman" w:eastAsia="Times New Roman" w:hAnsi="Times New Roman" w:cs="Times New Roman"/>
          <w:iCs/>
          <w:kern w:val="0"/>
          <w14:ligatures w14:val="none"/>
        </w:rPr>
        <w:fldChar w:fldCharType="separate"/>
      </w:r>
      <w:r w:rsidR="00E54F96">
        <w:rPr>
          <w:rFonts w:ascii="Times New Roman" w:eastAsia="Times New Roman" w:hAnsi="Times New Roman" w:cs="Times New Roman"/>
          <w:kern w:val="0"/>
          <w:lang w:val="en-US"/>
          <w14:ligatures w14:val="none"/>
        </w:rPr>
        <w:t>(18,19)</w:t>
      </w:r>
      <w:r w:rsidRPr="0047418B">
        <w:rPr>
          <w:rFonts w:ascii="Times New Roman" w:eastAsia="Times New Roman" w:hAnsi="Times New Roman" w:cs="Times New Roman"/>
          <w:iCs/>
          <w:kern w:val="0"/>
          <w14:ligatures w14:val="none"/>
        </w:rPr>
        <w:fldChar w:fldCharType="end"/>
      </w:r>
      <w:r w:rsidRPr="0047418B">
        <w:rPr>
          <w:rFonts w:ascii="Times New Roman" w:eastAsia="Times New Roman" w:hAnsi="Times New Roman" w:cs="Times New Roman"/>
          <w:iCs/>
          <w:kern w:val="0"/>
          <w14:ligatures w14:val="none"/>
        </w:rPr>
        <w:t>.</w:t>
      </w:r>
      <w:r w:rsidR="00B867CE" w:rsidRPr="0047418B">
        <w:rPr>
          <w:rFonts w:ascii="Times New Roman" w:eastAsia="Times New Roman" w:hAnsi="Times New Roman" w:cs="Times New Roman"/>
          <w:iCs/>
          <w:kern w:val="0"/>
          <w14:ligatures w14:val="none"/>
        </w:rPr>
        <w:t xml:space="preserve"> A single reviewer (AA) conducted data extraction, and the first author (RS) checked the data for quality control. </w:t>
      </w:r>
    </w:p>
    <w:p w14:paraId="4C33A04C" w14:textId="24121D71" w:rsidR="00C8220B" w:rsidRPr="00E54F96" w:rsidRDefault="00B867CE" w:rsidP="00C8220B">
      <w:pPr>
        <w:pStyle w:val="ListParagraph"/>
        <w:numPr>
          <w:ilvl w:val="1"/>
          <w:numId w:val="36"/>
        </w:numPr>
        <w:spacing w:line="480" w:lineRule="auto"/>
        <w:textAlignment w:val="baseline"/>
        <w:rPr>
          <w:rFonts w:ascii="Times New Roman" w:eastAsia="Times New Roman" w:hAnsi="Times New Roman" w:cs="Times New Roman"/>
          <w:b/>
          <w:bCs/>
          <w:kern w:val="0"/>
          <w14:ligatures w14:val="none"/>
        </w:rPr>
      </w:pPr>
      <w:r w:rsidRPr="00E54F96">
        <w:rPr>
          <w:rFonts w:ascii="Times New Roman" w:eastAsia="Times New Roman" w:hAnsi="Times New Roman" w:cs="Times New Roman"/>
          <w:b/>
          <w:bCs/>
          <w:kern w:val="0"/>
          <w14:ligatures w14:val="none"/>
        </w:rPr>
        <w:t>Characteristics of Patient Engagement Processes</w:t>
      </w:r>
    </w:p>
    <w:p w14:paraId="32F0CFA0" w14:textId="54AD97B1" w:rsidR="00B867CE" w:rsidRPr="0047418B" w:rsidRDefault="00B867CE" w:rsidP="001F748D">
      <w:pPr>
        <w:spacing w:line="480" w:lineRule="auto"/>
        <w:ind w:firstLine="720"/>
        <w:textAlignment w:val="baseline"/>
        <w:rPr>
          <w:rFonts w:ascii="Times New Roman" w:eastAsia="Times New Roman" w:hAnsi="Times New Roman" w:cs="Times New Roman"/>
          <w:kern w:val="0"/>
          <w14:ligatures w14:val="none"/>
        </w:rPr>
      </w:pPr>
      <w:r w:rsidRPr="00E54F96">
        <w:rPr>
          <w:rFonts w:ascii="Times New Roman" w:eastAsia="Times New Roman" w:hAnsi="Times New Roman" w:cs="Times New Roman"/>
          <w:b/>
          <w:bCs/>
          <w:kern w:val="0"/>
          <w14:ligatures w14:val="none"/>
        </w:rPr>
        <w:t>Types of Engagement</w:t>
      </w:r>
      <w:r w:rsidRPr="0047418B">
        <w:rPr>
          <w:rFonts w:ascii="Times New Roman" w:eastAsia="Times New Roman" w:hAnsi="Times New Roman" w:cs="Times New Roman"/>
          <w:i/>
          <w:iCs/>
          <w:kern w:val="0"/>
          <w14:ligatures w14:val="none"/>
        </w:rPr>
        <w:t xml:space="preserve">: </w:t>
      </w:r>
      <w:r w:rsidRPr="0047418B">
        <w:rPr>
          <w:rFonts w:ascii="Times New Roman" w:eastAsia="Times New Roman" w:hAnsi="Times New Roman" w:cs="Times New Roman"/>
          <w:kern w:val="0"/>
          <w14:ligatures w14:val="none"/>
        </w:rPr>
        <w:t>This defines how HTA organizations collect patient input.</w:t>
      </w:r>
    </w:p>
    <w:p w14:paraId="5B59FBE0" w14:textId="40F18975" w:rsidR="00B867CE" w:rsidRPr="0047418B" w:rsidRDefault="00B867CE" w:rsidP="001F748D">
      <w:pPr>
        <w:pStyle w:val="ListParagraph"/>
        <w:numPr>
          <w:ilvl w:val="0"/>
          <w:numId w:val="37"/>
        </w:numPr>
        <w:spacing w:line="480" w:lineRule="auto"/>
        <w:textAlignment w:val="baseline"/>
        <w:rPr>
          <w:rFonts w:ascii="Times New Roman" w:eastAsia="Times New Roman" w:hAnsi="Times New Roman" w:cs="Times New Roman"/>
          <w:kern w:val="0"/>
          <w14:ligatures w14:val="none"/>
        </w:rPr>
      </w:pPr>
      <w:r w:rsidRPr="0047418B">
        <w:rPr>
          <w:rFonts w:ascii="Times New Roman" w:eastAsia="Times New Roman" w:hAnsi="Times New Roman" w:cs="Times New Roman"/>
          <w:i/>
          <w:iCs/>
          <w:kern w:val="0"/>
          <w14:ligatures w14:val="none"/>
        </w:rPr>
        <w:lastRenderedPageBreak/>
        <w:t>Direct Engagement</w:t>
      </w:r>
      <w:r w:rsidRPr="0047418B">
        <w:rPr>
          <w:rFonts w:ascii="Times New Roman" w:eastAsia="Times New Roman" w:hAnsi="Times New Roman" w:cs="Times New Roman"/>
          <w:kern w:val="0"/>
          <w14:ligatures w14:val="none"/>
        </w:rPr>
        <w:t xml:space="preserve">: Involves HTA </w:t>
      </w:r>
      <w:r w:rsidR="009E1613" w:rsidRPr="0047418B">
        <w:rPr>
          <w:rFonts w:ascii="Times New Roman" w:eastAsia="Times New Roman" w:hAnsi="Times New Roman" w:cs="Times New Roman"/>
          <w:kern w:val="0"/>
          <w14:ligatures w14:val="none"/>
        </w:rPr>
        <w:t>organizations</w:t>
      </w:r>
      <w:r w:rsidR="00E54F96">
        <w:rPr>
          <w:rFonts w:ascii="Times New Roman" w:eastAsia="Times New Roman" w:hAnsi="Times New Roman" w:cs="Times New Roman"/>
          <w:kern w:val="0"/>
          <w14:ligatures w14:val="none"/>
        </w:rPr>
        <w:t xml:space="preserve"> in </w:t>
      </w:r>
      <w:r w:rsidRPr="0047418B">
        <w:rPr>
          <w:rFonts w:ascii="Times New Roman" w:eastAsia="Times New Roman" w:hAnsi="Times New Roman" w:cs="Times New Roman"/>
          <w:kern w:val="0"/>
          <w14:ligatures w14:val="none"/>
        </w:rPr>
        <w:t xml:space="preserve">collecting </w:t>
      </w:r>
      <w:r w:rsidR="009E1613" w:rsidRPr="0047418B">
        <w:rPr>
          <w:rFonts w:ascii="Times New Roman" w:eastAsia="Times New Roman" w:hAnsi="Times New Roman" w:cs="Times New Roman"/>
          <w:kern w:val="0"/>
          <w14:ligatures w14:val="none"/>
        </w:rPr>
        <w:t xml:space="preserve">patient </w:t>
      </w:r>
      <w:r w:rsidRPr="0047418B">
        <w:rPr>
          <w:rFonts w:ascii="Times New Roman" w:eastAsia="Times New Roman" w:hAnsi="Times New Roman" w:cs="Times New Roman"/>
          <w:kern w:val="0"/>
          <w14:ligatures w14:val="none"/>
        </w:rPr>
        <w:t>input from individual patients through interviews, surveys, or focus groups.</w:t>
      </w:r>
    </w:p>
    <w:p w14:paraId="59A351EC" w14:textId="2364E6A8" w:rsidR="008E1EA2" w:rsidRPr="0047418B" w:rsidRDefault="00B867CE" w:rsidP="001F748D">
      <w:pPr>
        <w:pStyle w:val="ListParagraph"/>
        <w:numPr>
          <w:ilvl w:val="0"/>
          <w:numId w:val="37"/>
        </w:numPr>
        <w:spacing w:line="480" w:lineRule="auto"/>
        <w:textAlignment w:val="baseline"/>
        <w:rPr>
          <w:rFonts w:ascii="Times New Roman" w:eastAsia="Times New Roman" w:hAnsi="Times New Roman" w:cs="Times New Roman"/>
          <w:kern w:val="0"/>
          <w14:ligatures w14:val="none"/>
        </w:rPr>
      </w:pPr>
      <w:r w:rsidRPr="0047418B">
        <w:rPr>
          <w:rFonts w:ascii="Times New Roman" w:eastAsia="Times New Roman" w:hAnsi="Times New Roman" w:cs="Times New Roman"/>
          <w:i/>
          <w:iCs/>
          <w:kern w:val="0"/>
          <w14:ligatures w14:val="none"/>
        </w:rPr>
        <w:t>Indirect Engagement</w:t>
      </w:r>
      <w:r w:rsidR="009E1613" w:rsidRPr="0047418B">
        <w:rPr>
          <w:rFonts w:ascii="Times New Roman" w:eastAsia="Times New Roman" w:hAnsi="Times New Roman" w:cs="Times New Roman"/>
          <w:kern w:val="0"/>
          <w14:ligatures w14:val="none"/>
        </w:rPr>
        <w:t>: I</w:t>
      </w:r>
      <w:r w:rsidRPr="0047418B">
        <w:rPr>
          <w:rFonts w:ascii="Times New Roman" w:eastAsia="Times New Roman" w:hAnsi="Times New Roman" w:cs="Times New Roman"/>
          <w:kern w:val="0"/>
          <w14:ligatures w14:val="none"/>
        </w:rPr>
        <w:t xml:space="preserve">nvolves </w:t>
      </w:r>
      <w:r w:rsidR="009E1613" w:rsidRPr="0047418B">
        <w:rPr>
          <w:rFonts w:ascii="Times New Roman" w:eastAsia="Times New Roman" w:hAnsi="Times New Roman" w:cs="Times New Roman"/>
          <w:kern w:val="0"/>
          <w14:ligatures w14:val="none"/>
        </w:rPr>
        <w:t xml:space="preserve">HTA </w:t>
      </w:r>
      <w:r w:rsidR="008E1EA2" w:rsidRPr="0047418B">
        <w:rPr>
          <w:rFonts w:ascii="Times New Roman" w:eastAsia="Times New Roman" w:hAnsi="Times New Roman" w:cs="Times New Roman"/>
          <w:kern w:val="0"/>
          <w14:ligatures w14:val="none"/>
        </w:rPr>
        <w:t xml:space="preserve">organizations </w:t>
      </w:r>
      <w:r w:rsidR="00E54F96">
        <w:rPr>
          <w:rFonts w:ascii="Times New Roman" w:eastAsia="Times New Roman" w:hAnsi="Times New Roman" w:cs="Times New Roman"/>
          <w:kern w:val="0"/>
          <w14:ligatures w14:val="none"/>
        </w:rPr>
        <w:t xml:space="preserve">in </w:t>
      </w:r>
      <w:r w:rsidR="009E1613" w:rsidRPr="0047418B">
        <w:rPr>
          <w:rFonts w:ascii="Times New Roman" w:eastAsia="Times New Roman" w:hAnsi="Times New Roman" w:cs="Times New Roman"/>
          <w:kern w:val="0"/>
          <w14:ligatures w14:val="none"/>
        </w:rPr>
        <w:t xml:space="preserve">collecting </w:t>
      </w:r>
      <w:r w:rsidRPr="0047418B">
        <w:rPr>
          <w:rFonts w:ascii="Times New Roman" w:eastAsia="Times New Roman" w:hAnsi="Times New Roman" w:cs="Times New Roman"/>
          <w:kern w:val="0"/>
          <w14:ligatures w14:val="none"/>
        </w:rPr>
        <w:t xml:space="preserve">patient input </w:t>
      </w:r>
      <w:r w:rsidR="009E1613" w:rsidRPr="0047418B">
        <w:rPr>
          <w:rFonts w:ascii="Times New Roman" w:eastAsia="Times New Roman" w:hAnsi="Times New Roman" w:cs="Times New Roman"/>
          <w:kern w:val="0"/>
          <w14:ligatures w14:val="none"/>
        </w:rPr>
        <w:t>through</w:t>
      </w:r>
      <w:r w:rsidRPr="0047418B">
        <w:rPr>
          <w:rFonts w:ascii="Times New Roman" w:eastAsia="Times New Roman" w:hAnsi="Times New Roman" w:cs="Times New Roman"/>
          <w:kern w:val="0"/>
          <w14:ligatures w14:val="none"/>
        </w:rPr>
        <w:t xml:space="preserve"> patient organizations</w:t>
      </w:r>
      <w:r w:rsidR="008E1EA2" w:rsidRPr="0047418B">
        <w:rPr>
          <w:rFonts w:ascii="Times New Roman" w:eastAsia="Times New Roman" w:hAnsi="Times New Roman" w:cs="Times New Roman"/>
          <w:kern w:val="0"/>
          <w14:ligatures w14:val="none"/>
        </w:rPr>
        <w:t>.</w:t>
      </w:r>
    </w:p>
    <w:p w14:paraId="39945279" w14:textId="1CFC193C" w:rsidR="00B867CE" w:rsidRPr="0047418B" w:rsidRDefault="00B867CE" w:rsidP="001F748D">
      <w:pPr>
        <w:spacing w:line="480" w:lineRule="auto"/>
        <w:ind w:firstLine="720"/>
        <w:textAlignment w:val="baseline"/>
        <w:rPr>
          <w:rFonts w:ascii="Times New Roman" w:eastAsia="Times New Roman" w:hAnsi="Times New Roman" w:cs="Times New Roman"/>
          <w:kern w:val="0"/>
          <w14:ligatures w14:val="none"/>
        </w:rPr>
      </w:pPr>
      <w:r w:rsidRPr="00E54F96">
        <w:rPr>
          <w:rFonts w:ascii="Times New Roman" w:eastAsia="Times New Roman" w:hAnsi="Times New Roman" w:cs="Times New Roman"/>
          <w:b/>
          <w:bCs/>
          <w:kern w:val="0"/>
          <w14:ligatures w14:val="none"/>
        </w:rPr>
        <w:t>Modes of Engagement:</w:t>
      </w:r>
      <w:r w:rsidRPr="0047418B">
        <w:rPr>
          <w:rFonts w:ascii="Times New Roman" w:eastAsia="Times New Roman" w:hAnsi="Times New Roman" w:cs="Times New Roman"/>
          <w:kern w:val="0"/>
          <w14:ligatures w14:val="none"/>
        </w:rPr>
        <w:t xml:space="preserve"> This refers to the methods used </w:t>
      </w:r>
      <w:r w:rsidR="009E1613" w:rsidRPr="0047418B">
        <w:rPr>
          <w:rFonts w:ascii="Times New Roman" w:eastAsia="Times New Roman" w:hAnsi="Times New Roman" w:cs="Times New Roman"/>
          <w:kern w:val="0"/>
          <w14:ligatures w14:val="none"/>
        </w:rPr>
        <w:t xml:space="preserve">by HTA or patient organizations </w:t>
      </w:r>
      <w:r w:rsidRPr="0047418B">
        <w:rPr>
          <w:rFonts w:ascii="Times New Roman" w:eastAsia="Times New Roman" w:hAnsi="Times New Roman" w:cs="Times New Roman"/>
          <w:kern w:val="0"/>
          <w14:ligatures w14:val="none"/>
        </w:rPr>
        <w:t xml:space="preserve">to collect patient input. </w:t>
      </w:r>
      <w:r w:rsidR="008E1EA2" w:rsidRPr="0047418B">
        <w:rPr>
          <w:rFonts w:ascii="Times New Roman" w:eastAsia="Times New Roman" w:hAnsi="Times New Roman" w:cs="Times New Roman"/>
          <w:kern w:val="0"/>
          <w14:ligatures w14:val="none"/>
        </w:rPr>
        <w:t xml:space="preserve">These may include interviews, </w:t>
      </w:r>
      <w:r w:rsidRPr="0047418B">
        <w:rPr>
          <w:rFonts w:ascii="Times New Roman" w:eastAsia="Times New Roman" w:hAnsi="Times New Roman" w:cs="Times New Roman"/>
          <w:kern w:val="0"/>
          <w14:ligatures w14:val="none"/>
        </w:rPr>
        <w:t>surveys, focus groups, and mixed methods (a combination of surveys, interviews, and focus groups).</w:t>
      </w:r>
    </w:p>
    <w:p w14:paraId="5DD6F86A" w14:textId="28C51F89" w:rsidR="00B867CE" w:rsidRPr="0047418B" w:rsidRDefault="00B867CE" w:rsidP="001F748D">
      <w:pPr>
        <w:spacing w:line="480" w:lineRule="auto"/>
        <w:ind w:firstLine="720"/>
        <w:textAlignment w:val="baseline"/>
        <w:rPr>
          <w:rFonts w:ascii="Times New Roman" w:eastAsia="Times New Roman" w:hAnsi="Times New Roman" w:cs="Times New Roman"/>
          <w:kern w:val="0"/>
          <w14:ligatures w14:val="none"/>
        </w:rPr>
      </w:pPr>
      <w:r w:rsidRPr="00E54F96">
        <w:rPr>
          <w:rFonts w:ascii="Times New Roman" w:eastAsia="Times New Roman" w:hAnsi="Times New Roman" w:cs="Times New Roman"/>
          <w:b/>
          <w:bCs/>
          <w:kern w:val="0"/>
          <w14:ligatures w14:val="none"/>
        </w:rPr>
        <w:t>Modalit</w:t>
      </w:r>
      <w:r w:rsidR="008E1EA2" w:rsidRPr="00E54F96">
        <w:rPr>
          <w:rFonts w:ascii="Times New Roman" w:eastAsia="Times New Roman" w:hAnsi="Times New Roman" w:cs="Times New Roman"/>
          <w:b/>
          <w:bCs/>
          <w:kern w:val="0"/>
          <w14:ligatures w14:val="none"/>
        </w:rPr>
        <w:t>ies</w:t>
      </w:r>
      <w:r w:rsidRPr="00E54F96">
        <w:rPr>
          <w:rFonts w:ascii="Times New Roman" w:eastAsia="Times New Roman" w:hAnsi="Times New Roman" w:cs="Times New Roman"/>
          <w:b/>
          <w:bCs/>
          <w:kern w:val="0"/>
          <w14:ligatures w14:val="none"/>
        </w:rPr>
        <w:t xml:space="preserve"> of Engagement:</w:t>
      </w:r>
      <w:r w:rsidRPr="0047418B">
        <w:rPr>
          <w:rFonts w:ascii="Times New Roman" w:eastAsia="Times New Roman" w:hAnsi="Times New Roman" w:cs="Times New Roman"/>
          <w:kern w:val="0"/>
          <w14:ligatures w14:val="none"/>
        </w:rPr>
        <w:t xml:space="preserve"> Refers to the means used to facilitate engagement, such as digital platforms, telephones, or in-person meetings. </w:t>
      </w:r>
    </w:p>
    <w:p w14:paraId="1B04DCBE" w14:textId="16CAE0C2" w:rsidR="00B867CE" w:rsidRPr="0047418B" w:rsidRDefault="00B867CE" w:rsidP="001F748D">
      <w:pPr>
        <w:spacing w:line="480" w:lineRule="auto"/>
        <w:ind w:firstLine="720"/>
        <w:textAlignment w:val="baseline"/>
        <w:rPr>
          <w:rFonts w:ascii="Times New Roman" w:eastAsia="Times New Roman" w:hAnsi="Times New Roman" w:cs="Times New Roman"/>
          <w:kern w:val="0"/>
          <w14:ligatures w14:val="none"/>
        </w:rPr>
      </w:pPr>
      <w:r w:rsidRPr="00E54F96">
        <w:rPr>
          <w:rFonts w:ascii="Times New Roman" w:eastAsia="Times New Roman" w:hAnsi="Times New Roman" w:cs="Times New Roman"/>
          <w:b/>
          <w:bCs/>
          <w:kern w:val="0"/>
          <w14:ligatures w14:val="none"/>
        </w:rPr>
        <w:t>Decision-Making Model</w:t>
      </w:r>
      <w:r w:rsidR="008E1EA2" w:rsidRPr="00E54F96">
        <w:rPr>
          <w:rFonts w:ascii="Times New Roman" w:eastAsia="Times New Roman" w:hAnsi="Times New Roman" w:cs="Times New Roman"/>
          <w:b/>
          <w:bCs/>
          <w:kern w:val="0"/>
          <w14:ligatures w14:val="none"/>
        </w:rPr>
        <w:t>s</w:t>
      </w:r>
      <w:r w:rsidRPr="00E54F96">
        <w:rPr>
          <w:rFonts w:ascii="Times New Roman" w:eastAsia="Times New Roman" w:hAnsi="Times New Roman" w:cs="Times New Roman"/>
          <w:b/>
          <w:bCs/>
          <w:kern w:val="0"/>
          <w14:ligatures w14:val="none"/>
        </w:rPr>
        <w:t>:</w:t>
      </w:r>
      <w:r w:rsidRPr="0047418B">
        <w:rPr>
          <w:rFonts w:ascii="Times New Roman" w:eastAsia="Times New Roman" w:hAnsi="Times New Roman" w:cs="Times New Roman"/>
          <w:kern w:val="0"/>
          <w14:ligatures w14:val="none"/>
        </w:rPr>
        <w:t xml:space="preserve"> Describes the approach HTA organizations use</w:t>
      </w:r>
      <w:r w:rsidR="009E1613" w:rsidRPr="0047418B">
        <w:rPr>
          <w:rFonts w:ascii="Times New Roman" w:eastAsia="Times New Roman" w:hAnsi="Times New Roman" w:cs="Times New Roman"/>
          <w:kern w:val="0"/>
          <w14:ligatures w14:val="none"/>
        </w:rPr>
        <w:t>d</w:t>
      </w:r>
      <w:r w:rsidRPr="0047418B">
        <w:rPr>
          <w:rFonts w:ascii="Times New Roman" w:eastAsia="Times New Roman" w:hAnsi="Times New Roman" w:cs="Times New Roman"/>
          <w:kern w:val="0"/>
          <w14:ligatures w14:val="none"/>
        </w:rPr>
        <w:t xml:space="preserve"> to incorporate patient input into HTA recommendations. The HTA committees used consensus meetings and voting. </w:t>
      </w:r>
    </w:p>
    <w:p w14:paraId="10CBB615" w14:textId="2D57807F" w:rsidR="009E1613" w:rsidRPr="0047418B" w:rsidRDefault="00B867CE" w:rsidP="001F748D">
      <w:pPr>
        <w:spacing w:line="480" w:lineRule="auto"/>
        <w:ind w:firstLine="720"/>
        <w:textAlignment w:val="baseline"/>
        <w:rPr>
          <w:rFonts w:ascii="Times New Roman" w:eastAsia="Times New Roman" w:hAnsi="Times New Roman" w:cs="Times New Roman"/>
          <w:kern w:val="0"/>
          <w14:ligatures w14:val="none"/>
        </w:rPr>
      </w:pPr>
      <w:r w:rsidRPr="00E54F96">
        <w:rPr>
          <w:rFonts w:ascii="Times New Roman" w:eastAsia="Times New Roman" w:hAnsi="Times New Roman" w:cs="Times New Roman"/>
          <w:b/>
          <w:bCs/>
          <w:kern w:val="0"/>
          <w14:ligatures w14:val="none"/>
        </w:rPr>
        <w:t>Patient Roles:</w:t>
      </w:r>
      <w:r w:rsidRPr="0047418B">
        <w:rPr>
          <w:rFonts w:ascii="Times New Roman" w:eastAsia="Times New Roman" w:hAnsi="Times New Roman" w:cs="Times New Roman"/>
          <w:kern w:val="0"/>
          <w14:ligatures w14:val="none"/>
        </w:rPr>
        <w:t xml:space="preserve"> Defines the capacity in which patients were involved in the HTA process, either as </w:t>
      </w:r>
      <w:r w:rsidR="009E1613" w:rsidRPr="0047418B">
        <w:rPr>
          <w:rFonts w:ascii="Times New Roman" w:eastAsia="Times New Roman" w:hAnsi="Times New Roman" w:cs="Times New Roman"/>
          <w:kern w:val="0"/>
          <w14:ligatures w14:val="none"/>
        </w:rPr>
        <w:t>key informants</w:t>
      </w:r>
      <w:r w:rsidRPr="0047418B">
        <w:rPr>
          <w:rFonts w:ascii="Times New Roman" w:eastAsia="Times New Roman" w:hAnsi="Times New Roman" w:cs="Times New Roman"/>
          <w:kern w:val="0"/>
          <w14:ligatures w14:val="none"/>
        </w:rPr>
        <w:t xml:space="preserve"> or as members of HTA advisory committees. </w:t>
      </w:r>
    </w:p>
    <w:p w14:paraId="18BD2012" w14:textId="348418EA" w:rsidR="009E1613" w:rsidRPr="0047418B" w:rsidRDefault="009E1613" w:rsidP="001F748D">
      <w:pPr>
        <w:spacing w:line="480" w:lineRule="auto"/>
        <w:ind w:firstLine="720"/>
        <w:textAlignment w:val="baseline"/>
        <w:rPr>
          <w:rFonts w:ascii="Times New Roman" w:eastAsia="Times New Roman" w:hAnsi="Times New Roman" w:cs="Times New Roman"/>
          <w:kern w:val="0"/>
          <w14:ligatures w14:val="none"/>
        </w:rPr>
      </w:pPr>
      <w:r w:rsidRPr="00E54F96">
        <w:rPr>
          <w:rFonts w:ascii="Times New Roman" w:eastAsia="Times New Roman" w:hAnsi="Times New Roman" w:cs="Times New Roman"/>
          <w:b/>
          <w:bCs/>
          <w:kern w:val="0"/>
          <w14:ligatures w14:val="none"/>
        </w:rPr>
        <w:t>Timing of engagement:</w:t>
      </w:r>
      <w:r w:rsidRPr="0047418B">
        <w:rPr>
          <w:rFonts w:ascii="Times New Roman" w:eastAsia="Times New Roman" w:hAnsi="Times New Roman" w:cs="Times New Roman"/>
          <w:kern w:val="0"/>
          <w14:ligatures w14:val="none"/>
        </w:rPr>
        <w:t xml:space="preserve"> HTA organizations identify when patients are involved in the HTA process, including scoping, evidence gathering, and decision-making to assess the impact of patient engagement.</w:t>
      </w:r>
    </w:p>
    <w:p w14:paraId="1B9278FF" w14:textId="4CDAF369" w:rsidR="00D8391E" w:rsidRPr="00E54F96" w:rsidRDefault="009E1613" w:rsidP="001F748D">
      <w:pPr>
        <w:pStyle w:val="ListParagraph"/>
        <w:numPr>
          <w:ilvl w:val="1"/>
          <w:numId w:val="36"/>
        </w:numPr>
        <w:spacing w:line="480" w:lineRule="auto"/>
        <w:textAlignment w:val="baseline"/>
        <w:rPr>
          <w:rFonts w:ascii="Times New Roman" w:eastAsia="Times New Roman" w:hAnsi="Times New Roman" w:cs="Times New Roman"/>
          <w:b/>
          <w:bCs/>
          <w:kern w:val="0"/>
          <w14:ligatures w14:val="none"/>
        </w:rPr>
      </w:pPr>
      <w:r w:rsidRPr="00E54F96">
        <w:rPr>
          <w:rFonts w:ascii="Times New Roman" w:eastAsia="Times New Roman" w:hAnsi="Times New Roman" w:cs="Times New Roman"/>
          <w:b/>
          <w:bCs/>
          <w:kern w:val="0"/>
          <w14:ligatures w14:val="none"/>
        </w:rPr>
        <w:t xml:space="preserve">Characteristics of </w:t>
      </w:r>
      <w:r w:rsidR="00D8391E" w:rsidRPr="00E54F96">
        <w:rPr>
          <w:rFonts w:ascii="Times New Roman" w:eastAsia="Times New Roman" w:hAnsi="Times New Roman" w:cs="Times New Roman"/>
          <w:b/>
          <w:bCs/>
          <w:kern w:val="0"/>
          <w14:ligatures w14:val="none"/>
        </w:rPr>
        <w:t>Equity-Focused HTA Recommendations</w:t>
      </w:r>
    </w:p>
    <w:p w14:paraId="1ECAA2FA" w14:textId="6601802E" w:rsidR="00B91090" w:rsidRPr="0047418B" w:rsidRDefault="00D8391E" w:rsidP="001F748D">
      <w:pPr>
        <w:spacing w:line="480" w:lineRule="auto"/>
        <w:ind w:firstLine="360"/>
        <w:textAlignment w:val="baseline"/>
        <w:rPr>
          <w:rFonts w:ascii="Times New Roman" w:eastAsia="Times New Roman" w:hAnsi="Times New Roman" w:cs="Times New Roman"/>
          <w:kern w:val="0"/>
          <w14:ligatures w14:val="none"/>
        </w:rPr>
      </w:pPr>
      <w:r w:rsidRPr="00E54F96">
        <w:rPr>
          <w:rFonts w:ascii="Times New Roman" w:eastAsia="Times New Roman" w:hAnsi="Times New Roman" w:cs="Times New Roman"/>
          <w:b/>
          <w:bCs/>
          <w:kern w:val="0"/>
          <w14:ligatures w14:val="none"/>
        </w:rPr>
        <w:t>Equity-Focused</w:t>
      </w:r>
      <w:r w:rsidR="009E1613" w:rsidRPr="00E54F96">
        <w:rPr>
          <w:rFonts w:ascii="Times New Roman" w:eastAsia="Times New Roman" w:hAnsi="Times New Roman" w:cs="Times New Roman"/>
          <w:b/>
          <w:bCs/>
          <w:kern w:val="0"/>
          <w14:ligatures w14:val="none"/>
        </w:rPr>
        <w:t xml:space="preserve"> HTA</w:t>
      </w:r>
      <w:r w:rsidRPr="00E54F96">
        <w:rPr>
          <w:rFonts w:ascii="Times New Roman" w:eastAsia="Times New Roman" w:hAnsi="Times New Roman" w:cs="Times New Roman"/>
          <w:b/>
          <w:bCs/>
          <w:kern w:val="0"/>
          <w14:ligatures w14:val="none"/>
        </w:rPr>
        <w:t xml:space="preserve"> Recommendation:</w:t>
      </w:r>
      <w:r w:rsidRPr="0047418B">
        <w:rPr>
          <w:rFonts w:ascii="Times New Roman" w:eastAsia="Times New Roman" w:hAnsi="Times New Roman" w:cs="Times New Roman"/>
          <w:kern w:val="0"/>
          <w14:ligatures w14:val="none"/>
        </w:rPr>
        <w:t xml:space="preserve"> Defined as a recommendation that includes considerations of at least one PROGRESS-Plus factor (Place of residence, Race/ethnicity, Occupation, Gender, Religion, Education, Socioeconomic status, Social capital, plus other relevant stratifying factors such as age, disability, </w:t>
      </w:r>
      <w:r w:rsidR="008E1EA2" w:rsidRPr="0047418B">
        <w:rPr>
          <w:rFonts w:ascii="Times New Roman" w:eastAsia="Times New Roman" w:hAnsi="Times New Roman" w:cs="Times New Roman"/>
          <w:kern w:val="0"/>
          <w14:ligatures w14:val="none"/>
        </w:rPr>
        <w:t xml:space="preserve">logistics of treatment, severity of conditions </w:t>
      </w:r>
      <w:r w:rsidRPr="0047418B">
        <w:rPr>
          <w:rFonts w:ascii="Times New Roman" w:eastAsia="Times New Roman" w:hAnsi="Times New Roman" w:cs="Times New Roman"/>
          <w:kern w:val="0"/>
          <w14:ligatures w14:val="none"/>
        </w:rPr>
        <w:t>and sexual orientation).</w:t>
      </w:r>
      <w:r w:rsidR="00E54F96" w:rsidRPr="0047418B">
        <w:rPr>
          <w:rFonts w:ascii="Times New Roman" w:eastAsia="Times New Roman" w:hAnsi="Times New Roman" w:cs="Times New Roman"/>
          <w:kern w:val="0"/>
          <w14:ligatures w14:val="none"/>
        </w:rPr>
        <w:t xml:space="preserve"> </w:t>
      </w:r>
    </w:p>
    <w:p w14:paraId="5DAA8FC6" w14:textId="06B8E382" w:rsidR="00D8391E" w:rsidRPr="00E54F96" w:rsidRDefault="00D8391E" w:rsidP="001F748D">
      <w:pPr>
        <w:pStyle w:val="ListParagraph"/>
        <w:numPr>
          <w:ilvl w:val="1"/>
          <w:numId w:val="36"/>
        </w:numPr>
        <w:spacing w:line="480" w:lineRule="auto"/>
        <w:textAlignment w:val="baseline"/>
        <w:rPr>
          <w:rFonts w:ascii="Times New Roman" w:eastAsia="Times New Roman" w:hAnsi="Times New Roman" w:cs="Times New Roman"/>
          <w:b/>
          <w:bCs/>
          <w:kern w:val="0"/>
          <w14:ligatures w14:val="none"/>
        </w:rPr>
      </w:pPr>
      <w:r w:rsidRPr="00E54F96">
        <w:rPr>
          <w:rFonts w:ascii="Times New Roman" w:eastAsia="Times New Roman" w:hAnsi="Times New Roman" w:cs="Times New Roman"/>
          <w:b/>
          <w:bCs/>
          <w:kern w:val="0"/>
          <w14:ligatures w14:val="none"/>
        </w:rPr>
        <w:lastRenderedPageBreak/>
        <w:t>Characteristics of Included HTA Reports</w:t>
      </w:r>
    </w:p>
    <w:p w14:paraId="735A795E" w14:textId="29F88D1F" w:rsidR="00D8391E" w:rsidRPr="00E54F96" w:rsidRDefault="00D8391E" w:rsidP="001F748D">
      <w:pPr>
        <w:spacing w:line="480" w:lineRule="auto"/>
        <w:ind w:firstLine="360"/>
        <w:textAlignment w:val="baseline"/>
        <w:rPr>
          <w:rFonts w:ascii="Times New Roman" w:eastAsia="Times New Roman" w:hAnsi="Times New Roman" w:cs="Times New Roman"/>
          <w:kern w:val="0"/>
          <w14:ligatures w14:val="none"/>
        </w:rPr>
      </w:pPr>
      <w:r w:rsidRPr="00E54F96">
        <w:rPr>
          <w:rFonts w:ascii="Times New Roman" w:eastAsia="Times New Roman" w:hAnsi="Times New Roman" w:cs="Times New Roman"/>
          <w:b/>
          <w:bCs/>
          <w:kern w:val="0"/>
          <w14:ligatures w14:val="none"/>
        </w:rPr>
        <w:t xml:space="preserve">Year of Publication: </w:t>
      </w:r>
      <w:r w:rsidR="009B3FD6" w:rsidRPr="00E54F96">
        <w:rPr>
          <w:rFonts w:ascii="Times New Roman" w:eastAsia="Times New Roman" w:hAnsi="Times New Roman" w:cs="Times New Roman"/>
          <w:kern w:val="0"/>
          <w14:ligatures w14:val="none"/>
        </w:rPr>
        <w:t>Reports were classified</w:t>
      </w:r>
      <w:r w:rsidRPr="00E54F96">
        <w:rPr>
          <w:rFonts w:ascii="Times New Roman" w:eastAsia="Times New Roman" w:hAnsi="Times New Roman" w:cs="Times New Roman"/>
          <w:kern w:val="0"/>
          <w14:ligatures w14:val="none"/>
        </w:rPr>
        <w:t xml:space="preserve"> into two periods, 2013-2015 (earlier implementation) and 2016-2021 (recent implementation), reflecting different stages of patient engagement evolution in HTA.</w:t>
      </w:r>
    </w:p>
    <w:p w14:paraId="525520F2" w14:textId="24659DEB" w:rsidR="009B3FD6" w:rsidRPr="0047418B" w:rsidRDefault="00D8391E" w:rsidP="001F748D">
      <w:pPr>
        <w:spacing w:line="480" w:lineRule="auto"/>
        <w:ind w:firstLine="360"/>
        <w:textAlignment w:val="baseline"/>
        <w:rPr>
          <w:rFonts w:ascii="Times New Roman" w:eastAsia="Times New Roman" w:hAnsi="Times New Roman" w:cs="Times New Roman"/>
          <w:kern w:val="0"/>
          <w14:ligatures w14:val="none"/>
        </w:rPr>
      </w:pPr>
      <w:r w:rsidRPr="00E54F96">
        <w:rPr>
          <w:rFonts w:ascii="Times New Roman" w:eastAsia="Times New Roman" w:hAnsi="Times New Roman" w:cs="Times New Roman"/>
          <w:b/>
          <w:bCs/>
          <w:kern w:val="0"/>
          <w14:ligatures w14:val="none"/>
        </w:rPr>
        <w:t>Type</w:t>
      </w:r>
      <w:r w:rsidR="009B3FD6" w:rsidRPr="00E54F96">
        <w:rPr>
          <w:rFonts w:ascii="Times New Roman" w:eastAsia="Times New Roman" w:hAnsi="Times New Roman" w:cs="Times New Roman"/>
          <w:b/>
          <w:bCs/>
          <w:kern w:val="0"/>
          <w14:ligatures w14:val="none"/>
        </w:rPr>
        <w:t>s</w:t>
      </w:r>
      <w:r w:rsidRPr="00E54F96">
        <w:rPr>
          <w:rFonts w:ascii="Times New Roman" w:eastAsia="Times New Roman" w:hAnsi="Times New Roman" w:cs="Times New Roman"/>
          <w:b/>
          <w:bCs/>
          <w:kern w:val="0"/>
          <w14:ligatures w14:val="none"/>
        </w:rPr>
        <w:t xml:space="preserve"> of HTA Review:</w:t>
      </w:r>
      <w:r w:rsidRPr="00E54F96">
        <w:rPr>
          <w:rFonts w:ascii="Times New Roman" w:eastAsia="Times New Roman" w:hAnsi="Times New Roman" w:cs="Times New Roman"/>
          <w:kern w:val="0"/>
          <w14:ligatures w14:val="none"/>
        </w:rPr>
        <w:t xml:space="preserve"> </w:t>
      </w:r>
      <w:r w:rsidR="009B3FD6" w:rsidRPr="00E54F96">
        <w:rPr>
          <w:rFonts w:ascii="Times New Roman" w:eastAsia="Times New Roman" w:hAnsi="Times New Roman" w:cs="Times New Roman"/>
          <w:kern w:val="0"/>
          <w14:ligatures w14:val="none"/>
        </w:rPr>
        <w:t>The reports are categorized</w:t>
      </w:r>
      <w:r w:rsidRPr="00E54F96">
        <w:rPr>
          <w:rFonts w:ascii="Times New Roman" w:eastAsia="Times New Roman" w:hAnsi="Times New Roman" w:cs="Times New Roman"/>
          <w:kern w:val="0"/>
          <w14:ligatures w14:val="none"/>
        </w:rPr>
        <w:t xml:space="preserve"> into three groups</w:t>
      </w:r>
      <w:r w:rsidR="009B3FD6" w:rsidRPr="00E54F96">
        <w:rPr>
          <w:rFonts w:ascii="Times New Roman" w:eastAsia="Times New Roman" w:hAnsi="Times New Roman" w:cs="Times New Roman"/>
          <w:kern w:val="0"/>
          <w14:ligatures w14:val="none"/>
        </w:rPr>
        <w:t xml:space="preserve">: </w:t>
      </w:r>
      <w:r w:rsidRPr="00E54F96">
        <w:rPr>
          <w:rFonts w:ascii="Times New Roman" w:eastAsia="Times New Roman" w:hAnsi="Times New Roman" w:cs="Times New Roman"/>
          <w:kern w:val="0"/>
          <w14:ligatures w14:val="none"/>
        </w:rPr>
        <w:t xml:space="preserve">pan-Canadian Oncology Drug Review (pCODR) for cancer drugs, Common Drug Review (CDR) for non-cancer drugs, and </w:t>
      </w:r>
      <w:r w:rsidR="008E1EA2" w:rsidRPr="00E54F96">
        <w:rPr>
          <w:rFonts w:ascii="Times New Roman" w:eastAsia="Times New Roman" w:hAnsi="Times New Roman" w:cs="Times New Roman"/>
          <w:kern w:val="0"/>
          <w14:ligatures w14:val="none"/>
        </w:rPr>
        <w:t xml:space="preserve">Ontario Health </w:t>
      </w:r>
      <w:r w:rsidRPr="00E54F96">
        <w:rPr>
          <w:rFonts w:ascii="Times New Roman" w:eastAsia="Times New Roman" w:hAnsi="Times New Roman" w:cs="Times New Roman"/>
          <w:kern w:val="0"/>
          <w14:ligatures w14:val="none"/>
        </w:rPr>
        <w:t>reports on medical devices and virtually delivered health technologies.</w:t>
      </w:r>
      <w:r w:rsidR="009B3FD6" w:rsidRPr="00E54F96">
        <w:rPr>
          <w:rFonts w:ascii="Times New Roman" w:eastAsia="Times New Roman" w:hAnsi="Times New Roman" w:cs="Times New Roman"/>
          <w:kern w:val="0"/>
          <w14:ligatures w14:val="none"/>
        </w:rPr>
        <w:t xml:space="preserve"> HTA reports were not categorized into pharmaceuticals and non-pharmaceuticals to focus on patient engagement processes, informing the development of equity</w:t>
      </w:r>
      <w:r w:rsidR="009B3FD6" w:rsidRPr="0047418B">
        <w:rPr>
          <w:rFonts w:ascii="Times New Roman" w:eastAsia="Times New Roman" w:hAnsi="Times New Roman" w:cs="Times New Roman"/>
          <w:kern w:val="0"/>
          <w14:ligatures w14:val="none"/>
        </w:rPr>
        <w:t>-focused HTA recommendations more broadly.</w:t>
      </w:r>
    </w:p>
    <w:p w14:paraId="19351FAD" w14:textId="4767742A" w:rsidR="00D8391E" w:rsidRPr="00E54F96" w:rsidRDefault="00D8391E" w:rsidP="00E54F96">
      <w:pPr>
        <w:pStyle w:val="ListParagraph"/>
        <w:numPr>
          <w:ilvl w:val="0"/>
          <w:numId w:val="36"/>
        </w:numPr>
        <w:spacing w:line="480" w:lineRule="auto"/>
        <w:textAlignment w:val="baseline"/>
        <w:rPr>
          <w:rFonts w:ascii="Times New Roman" w:eastAsia="Times New Roman" w:hAnsi="Times New Roman" w:cs="Times New Roman"/>
          <w:b/>
          <w:bCs/>
          <w:kern w:val="0"/>
          <w14:ligatures w14:val="none"/>
        </w:rPr>
      </w:pPr>
      <w:r w:rsidRPr="00E54F96">
        <w:rPr>
          <w:rFonts w:ascii="Times New Roman" w:eastAsia="Times New Roman" w:hAnsi="Times New Roman" w:cs="Times New Roman"/>
          <w:b/>
          <w:bCs/>
          <w:kern w:val="0"/>
          <w14:ligatures w14:val="none"/>
        </w:rPr>
        <w:t xml:space="preserve">Data </w:t>
      </w:r>
      <w:r w:rsidR="00B91090" w:rsidRPr="00E54F96">
        <w:rPr>
          <w:rFonts w:ascii="Times New Roman" w:eastAsia="Times New Roman" w:hAnsi="Times New Roman" w:cs="Times New Roman"/>
          <w:b/>
          <w:bCs/>
          <w:kern w:val="0"/>
          <w14:ligatures w14:val="none"/>
        </w:rPr>
        <w:t>Management and</w:t>
      </w:r>
      <w:r w:rsidR="00B230A2" w:rsidRPr="00E54F96">
        <w:rPr>
          <w:rFonts w:ascii="Times New Roman" w:eastAsia="Times New Roman" w:hAnsi="Times New Roman" w:cs="Times New Roman"/>
          <w:b/>
          <w:bCs/>
          <w:kern w:val="0"/>
          <w14:ligatures w14:val="none"/>
        </w:rPr>
        <w:t xml:space="preserve"> Analysis </w:t>
      </w:r>
    </w:p>
    <w:p w14:paraId="184A139E" w14:textId="23C2AE9C" w:rsidR="00B230A2" w:rsidRPr="0047418B" w:rsidRDefault="00066E40" w:rsidP="001F748D">
      <w:pPr>
        <w:spacing w:line="480" w:lineRule="auto"/>
        <w:ind w:firstLine="720"/>
        <w:textAlignment w:val="baseline"/>
        <w:rPr>
          <w:rFonts w:ascii="Times New Roman" w:eastAsia="Times New Roman" w:hAnsi="Times New Roman" w:cs="Times New Roman"/>
          <w:kern w:val="0"/>
          <w14:ligatures w14:val="none"/>
        </w:rPr>
      </w:pPr>
      <w:r w:rsidRPr="0047418B">
        <w:rPr>
          <w:rFonts w:ascii="Times New Roman" w:eastAsia="Times New Roman" w:hAnsi="Times New Roman" w:cs="Times New Roman"/>
          <w:kern w:val="0"/>
          <w14:ligatures w14:val="none"/>
        </w:rPr>
        <w:t xml:space="preserve">The data extraction process for this study followed a systematic approach to ensure accurate and comprehensive capture of relevant data from the chosen HTA reports. To start, we created a detailed data extraction form in Excel, designed to capture </w:t>
      </w:r>
      <w:r w:rsidR="00731542" w:rsidRPr="0047418B">
        <w:rPr>
          <w:rFonts w:ascii="Times New Roman" w:eastAsia="Times New Roman" w:hAnsi="Times New Roman" w:cs="Times New Roman"/>
          <w:kern w:val="0"/>
          <w14:ligatures w14:val="none"/>
        </w:rPr>
        <w:t>critical</w:t>
      </w:r>
      <w:r w:rsidRPr="0047418B">
        <w:rPr>
          <w:rFonts w:ascii="Times New Roman" w:eastAsia="Times New Roman" w:hAnsi="Times New Roman" w:cs="Times New Roman"/>
          <w:kern w:val="0"/>
          <w14:ligatures w14:val="none"/>
        </w:rPr>
        <w:t xml:space="preserve"> variables such as types, modes, and modalities of patient engagement, decision-making models, and the roles of patients in the HTA process. This form was aligned with the PROGRESS-Plus framework, a checklist on health equity in HTA, and established literature on patient engagement practices. </w:t>
      </w:r>
      <w:r w:rsidR="00731542" w:rsidRPr="0047418B">
        <w:rPr>
          <w:rFonts w:ascii="Times New Roman" w:eastAsia="Times New Roman" w:hAnsi="Times New Roman" w:cs="Times New Roman"/>
          <w:kern w:val="0"/>
          <w14:ligatures w14:val="none"/>
        </w:rPr>
        <w:t>A</w:t>
      </w:r>
      <w:r w:rsidRPr="0047418B">
        <w:rPr>
          <w:rFonts w:ascii="Times New Roman" w:eastAsia="Times New Roman" w:hAnsi="Times New Roman" w:cs="Times New Roman"/>
          <w:kern w:val="0"/>
          <w14:ligatures w14:val="none"/>
        </w:rPr>
        <w:t xml:space="preserve">ll selected HTA reports were rigorously reviewed </w:t>
      </w:r>
      <w:r w:rsidR="00731542" w:rsidRPr="0047418B">
        <w:rPr>
          <w:rFonts w:ascii="Times New Roman" w:eastAsia="Times New Roman" w:hAnsi="Times New Roman" w:cs="Times New Roman"/>
          <w:kern w:val="0"/>
          <w14:ligatures w14:val="none"/>
        </w:rPr>
        <w:t xml:space="preserve">during the screening phase </w:t>
      </w:r>
      <w:r w:rsidRPr="0047418B">
        <w:rPr>
          <w:rFonts w:ascii="Times New Roman" w:eastAsia="Times New Roman" w:hAnsi="Times New Roman" w:cs="Times New Roman"/>
          <w:kern w:val="0"/>
          <w14:ligatures w14:val="none"/>
        </w:rPr>
        <w:t>to confirm eligibility. Reports that did not meet the inclusion criteria, such as those lacking direct patient input or including only healthcare provider perspectives, were excluded from further analysis.</w:t>
      </w:r>
    </w:p>
    <w:p w14:paraId="332AC325" w14:textId="1FE11B4C" w:rsidR="00066E40" w:rsidRPr="0047418B" w:rsidRDefault="00066E40" w:rsidP="001F748D">
      <w:pPr>
        <w:spacing w:line="480" w:lineRule="auto"/>
        <w:ind w:firstLine="720"/>
        <w:textAlignment w:val="baseline"/>
        <w:rPr>
          <w:rFonts w:ascii="Times New Roman" w:eastAsia="Times New Roman" w:hAnsi="Times New Roman" w:cs="Times New Roman"/>
          <w:kern w:val="0"/>
          <w14:ligatures w14:val="none"/>
        </w:rPr>
      </w:pPr>
      <w:r w:rsidRPr="0047418B">
        <w:rPr>
          <w:rFonts w:ascii="Times New Roman" w:eastAsia="Times New Roman" w:hAnsi="Times New Roman" w:cs="Times New Roman"/>
          <w:kern w:val="0"/>
          <w14:ligatures w14:val="none"/>
        </w:rPr>
        <w:t xml:space="preserve">Data extraction was carried out in two stages to ensure accuracy and reliability. First, one reviewer extracted data from each HTA report, recording information on patient engagement processes, decision-making models, and whether the recommendations included equity </w:t>
      </w:r>
      <w:r w:rsidRPr="0047418B">
        <w:rPr>
          <w:rFonts w:ascii="Times New Roman" w:eastAsia="Times New Roman" w:hAnsi="Times New Roman" w:cs="Times New Roman"/>
          <w:kern w:val="0"/>
          <w14:ligatures w14:val="none"/>
        </w:rPr>
        <w:lastRenderedPageBreak/>
        <w:t>considerations based on the PROGRESS-Plus factors. This was followed by a quality control step, where a second reviewer cross-checked the extracted data for consistency and accuracy. Any discrepancies among the reviewers were resolved through discussion, with input from senior authors</w:t>
      </w:r>
      <w:r w:rsidR="00731542" w:rsidRPr="0047418B">
        <w:rPr>
          <w:rFonts w:ascii="Times New Roman" w:eastAsia="Times New Roman" w:hAnsi="Times New Roman" w:cs="Times New Roman"/>
          <w:kern w:val="0"/>
          <w14:ligatures w14:val="none"/>
        </w:rPr>
        <w:t>,</w:t>
      </w:r>
      <w:r w:rsidRPr="0047418B">
        <w:rPr>
          <w:rFonts w:ascii="Times New Roman" w:eastAsia="Times New Roman" w:hAnsi="Times New Roman" w:cs="Times New Roman"/>
          <w:kern w:val="0"/>
          <w14:ligatures w14:val="none"/>
        </w:rPr>
        <w:t xml:space="preserve"> if needed, to reach an agreement. This data extraction approach helped ensure the validity and reliability of the findings</w:t>
      </w:r>
      <w:r w:rsidR="00B91090" w:rsidRPr="0047418B">
        <w:rPr>
          <w:rFonts w:ascii="Times New Roman" w:eastAsia="Times New Roman" w:hAnsi="Times New Roman" w:cs="Times New Roman"/>
          <w:kern w:val="0"/>
          <w14:ligatures w14:val="none"/>
        </w:rPr>
        <w:t xml:space="preserve">. </w:t>
      </w:r>
    </w:p>
    <w:p w14:paraId="77C51E4A" w14:textId="685FB831" w:rsidR="00B230A2" w:rsidRPr="0047418B" w:rsidRDefault="00066E40" w:rsidP="001F748D">
      <w:pPr>
        <w:spacing w:line="480" w:lineRule="auto"/>
        <w:ind w:firstLine="720"/>
        <w:textAlignment w:val="baseline"/>
        <w:rPr>
          <w:rFonts w:ascii="Times New Roman" w:eastAsia="Times New Roman" w:hAnsi="Times New Roman" w:cs="Times New Roman"/>
          <w:kern w:val="0"/>
          <w14:ligatures w14:val="none"/>
        </w:rPr>
      </w:pPr>
      <w:r w:rsidRPr="0047418B">
        <w:rPr>
          <w:rFonts w:ascii="Times New Roman" w:eastAsia="Times New Roman" w:hAnsi="Times New Roman" w:cs="Times New Roman"/>
          <w:kern w:val="0"/>
          <w14:ligatures w14:val="none"/>
        </w:rPr>
        <w:t xml:space="preserve">Data management and analysis were conducted using Excel for descriptive statistics and R software for inferential analysis. Pearson’s chi-squared tests </w:t>
      </w:r>
      <w:r w:rsidR="00731542" w:rsidRPr="0047418B">
        <w:rPr>
          <w:rFonts w:ascii="Times New Roman" w:eastAsia="Times New Roman" w:hAnsi="Times New Roman" w:cs="Times New Roman"/>
          <w:kern w:val="0"/>
          <w14:ligatures w14:val="none"/>
        </w:rPr>
        <w:t>assessed</w:t>
      </w:r>
      <w:r w:rsidRPr="0047418B">
        <w:rPr>
          <w:rFonts w:ascii="Times New Roman" w:eastAsia="Times New Roman" w:hAnsi="Times New Roman" w:cs="Times New Roman"/>
          <w:kern w:val="0"/>
          <w14:ligatures w14:val="none"/>
        </w:rPr>
        <w:t xml:space="preserve"> the associations between patient engagement variables and equity-focused </w:t>
      </w:r>
      <w:r w:rsidR="00731542" w:rsidRPr="0047418B">
        <w:rPr>
          <w:rFonts w:ascii="Times New Roman" w:eastAsia="Times New Roman" w:hAnsi="Times New Roman" w:cs="Times New Roman"/>
          <w:kern w:val="0"/>
          <w14:ligatures w14:val="none"/>
        </w:rPr>
        <w:t>HTA recommendations. In contrast,</w:t>
      </w:r>
      <w:r w:rsidRPr="0047418B">
        <w:rPr>
          <w:rFonts w:ascii="Times New Roman" w:eastAsia="Times New Roman" w:hAnsi="Times New Roman" w:cs="Times New Roman"/>
          <w:kern w:val="0"/>
          <w14:ligatures w14:val="none"/>
        </w:rPr>
        <w:t xml:space="preserve"> logistic regression was used to examine the direction and strength of these relationships. </w:t>
      </w:r>
    </w:p>
    <w:p w14:paraId="5273E2E4" w14:textId="6967CA18" w:rsidR="00731542" w:rsidRPr="0047418B" w:rsidRDefault="00731542" w:rsidP="001F748D">
      <w:pPr>
        <w:spacing w:line="480" w:lineRule="auto"/>
        <w:ind w:firstLine="720"/>
        <w:textAlignment w:val="baseline"/>
        <w:rPr>
          <w:rFonts w:ascii="Times New Roman" w:eastAsia="Times New Roman" w:hAnsi="Times New Roman" w:cs="Times New Roman"/>
          <w:kern w:val="0"/>
          <w14:ligatures w14:val="none"/>
        </w:rPr>
      </w:pPr>
      <w:r w:rsidRPr="0047418B">
        <w:rPr>
          <w:rFonts w:ascii="Times New Roman" w:eastAsia="Times New Roman" w:hAnsi="Times New Roman" w:cs="Times New Roman"/>
          <w:kern w:val="0"/>
          <w14:ligatures w14:val="none"/>
        </w:rPr>
        <w:t>Descriptive statistics were applied to summarize the key characteristics of patient engagement processes, encompassing the types, methods, and modalities of patient engagement, decision-making models, and patient roles. This approach facilitated a foundational understanding of the documented engagement practices in the HTA reports.</w:t>
      </w:r>
    </w:p>
    <w:p w14:paraId="5B80F5F2" w14:textId="4B31F2DB" w:rsidR="00E54F96" w:rsidRPr="00E54F96" w:rsidRDefault="00E54F96" w:rsidP="00E54F96">
      <w:pPr>
        <w:spacing w:line="480" w:lineRule="auto"/>
        <w:textAlignment w:val="baseline"/>
        <w:rPr>
          <w:rFonts w:ascii="Times New Roman" w:eastAsia="Times New Roman" w:hAnsi="Times New Roman" w:cs="Times New Roman"/>
          <w:b/>
          <w:bCs/>
          <w:kern w:val="0"/>
          <w:sz w:val="28"/>
          <w:szCs w:val="28"/>
          <w14:ligatures w14:val="none"/>
        </w:rPr>
      </w:pPr>
      <w:r w:rsidRPr="00E54F96">
        <w:rPr>
          <w:rFonts w:ascii="Times New Roman" w:eastAsia="Times New Roman" w:hAnsi="Times New Roman" w:cs="Times New Roman"/>
          <w:b/>
          <w:bCs/>
          <w:kern w:val="0"/>
          <w:sz w:val="28"/>
          <w:szCs w:val="28"/>
          <w14:ligatures w14:val="none"/>
        </w:rPr>
        <w:t>References:</w:t>
      </w:r>
    </w:p>
    <w:p w14:paraId="263D3EA5" w14:textId="77777777" w:rsidR="000D1FE6" w:rsidRPr="000D1FE6" w:rsidRDefault="00E54F96" w:rsidP="000D1FE6">
      <w:pPr>
        <w:pStyle w:val="Bibliography"/>
        <w:rPr>
          <w:rFonts w:ascii="Times New Roman" w:hAnsi="Times New Roman" w:cs="Times New Roman"/>
          <w:lang w:val="en-US"/>
        </w:rPr>
      </w:pPr>
      <w:r>
        <w:rPr>
          <w:rFonts w:eastAsia="Times New Roman"/>
          <w14:ligatures w14:val="none"/>
        </w:rPr>
        <w:fldChar w:fldCharType="begin"/>
      </w:r>
      <w:r w:rsidR="000D1FE6">
        <w:rPr>
          <w:rFonts w:eastAsia="Times New Roman"/>
          <w14:ligatures w14:val="none"/>
        </w:rPr>
        <w:instrText xml:space="preserve"> ADDIN ZOTERO_BIBL {"uncited":[],"omitted":[],"custom":[]} CSL_BIBLIOGRAPHY </w:instrText>
      </w:r>
      <w:r>
        <w:rPr>
          <w:rFonts w:eastAsia="Times New Roman"/>
          <w14:ligatures w14:val="none"/>
        </w:rPr>
        <w:fldChar w:fldCharType="separate"/>
      </w:r>
      <w:r w:rsidR="000D1FE6" w:rsidRPr="000D1FE6">
        <w:rPr>
          <w:rFonts w:ascii="Times New Roman" w:hAnsi="Times New Roman" w:cs="Times New Roman"/>
          <w:lang w:val="en-US"/>
        </w:rPr>
        <w:t>1.</w:t>
      </w:r>
      <w:r w:rsidR="000D1FE6" w:rsidRPr="000D1FE6">
        <w:rPr>
          <w:rFonts w:ascii="Times New Roman" w:hAnsi="Times New Roman" w:cs="Times New Roman"/>
          <w:lang w:val="en-US"/>
        </w:rPr>
        <w:tab/>
        <w:t>Carey TS, Sanders GD, Viswanathan M, Trikalinos TA, Kato E, Chang S. Taxonomy for Study Designs. 2012; Available from: https://www.ncbi.nlm.nih.gov/books/NBK95280/</w:t>
      </w:r>
    </w:p>
    <w:p w14:paraId="16990002" w14:textId="77777777" w:rsidR="000D1FE6" w:rsidRPr="000D1FE6" w:rsidRDefault="000D1FE6" w:rsidP="000D1FE6">
      <w:pPr>
        <w:pStyle w:val="Bibliography"/>
        <w:rPr>
          <w:rFonts w:ascii="Times New Roman" w:hAnsi="Times New Roman" w:cs="Times New Roman"/>
          <w:lang w:val="en-US"/>
        </w:rPr>
      </w:pPr>
      <w:r w:rsidRPr="000D1FE6">
        <w:rPr>
          <w:rFonts w:ascii="Times New Roman" w:hAnsi="Times New Roman" w:cs="Times New Roman"/>
          <w:lang w:val="en-US"/>
        </w:rPr>
        <w:t>2.</w:t>
      </w:r>
      <w:r w:rsidRPr="000D1FE6">
        <w:rPr>
          <w:rFonts w:ascii="Times New Roman" w:hAnsi="Times New Roman" w:cs="Times New Roman"/>
          <w:lang w:val="en-US"/>
        </w:rPr>
        <w:tab/>
        <w:t>Fisher I, Ziviani J. Explanatory case studies: Implications and applications for clinical research. Aust Occup Ther J [Internet]. 2004 Dec 1 [cited 2023 Sep 1];51(4):185–91. Available from: https://doi.org/10.1111/j.1440-1630.2004.00446.x</w:t>
      </w:r>
    </w:p>
    <w:p w14:paraId="06A20BD2" w14:textId="77777777" w:rsidR="000D1FE6" w:rsidRPr="000D1FE6" w:rsidRDefault="000D1FE6" w:rsidP="000D1FE6">
      <w:pPr>
        <w:pStyle w:val="Bibliography"/>
        <w:rPr>
          <w:rFonts w:ascii="Times New Roman" w:hAnsi="Times New Roman" w:cs="Times New Roman"/>
          <w:lang w:val="en-US"/>
        </w:rPr>
      </w:pPr>
      <w:r w:rsidRPr="000D1FE6">
        <w:rPr>
          <w:rFonts w:ascii="Times New Roman" w:hAnsi="Times New Roman" w:cs="Times New Roman"/>
          <w:lang w:val="en-US"/>
        </w:rPr>
        <w:t>3.</w:t>
      </w:r>
      <w:r w:rsidRPr="000D1FE6">
        <w:rPr>
          <w:rFonts w:ascii="Times New Roman" w:hAnsi="Times New Roman" w:cs="Times New Roman"/>
          <w:lang w:val="en-US"/>
        </w:rPr>
        <w:tab/>
        <w:t xml:space="preserve">Espinoza MA, Cabieses B. [Equity in health and health technology assessment in Chile]. Rev Med Chil. 2014 Jan;142 Suppl:S45-9. </w:t>
      </w:r>
    </w:p>
    <w:p w14:paraId="11AC2885" w14:textId="77777777" w:rsidR="000D1FE6" w:rsidRPr="000D1FE6" w:rsidRDefault="000D1FE6" w:rsidP="000D1FE6">
      <w:pPr>
        <w:pStyle w:val="Bibliography"/>
        <w:rPr>
          <w:rFonts w:ascii="Times New Roman" w:hAnsi="Times New Roman" w:cs="Times New Roman"/>
          <w:lang w:val="en-US"/>
        </w:rPr>
      </w:pPr>
      <w:r w:rsidRPr="000D1FE6">
        <w:rPr>
          <w:rFonts w:ascii="Times New Roman" w:hAnsi="Times New Roman" w:cs="Times New Roman"/>
          <w:lang w:val="en-US"/>
        </w:rPr>
        <w:t>4.</w:t>
      </w:r>
      <w:r w:rsidRPr="000D1FE6">
        <w:rPr>
          <w:rFonts w:ascii="Times New Roman" w:hAnsi="Times New Roman" w:cs="Times New Roman"/>
          <w:lang w:val="en-US"/>
        </w:rPr>
        <w:tab/>
        <w:t>Facey KM, Bedlington N, Berglas S, Bertelsen N, Single ANV, Thomas V. Putting Patients at the Centre of Healthcare: Progress and Challenges for Health Technology Assessments. The patient [Internet]. 2018;11(6):581–9. Available from: http://ovidsp.ovid.com/ovidweb.cgi?T=JS&amp;PAGE=reference&amp;D=prem&amp;NEWS=N&amp;AN=30051315</w:t>
      </w:r>
    </w:p>
    <w:p w14:paraId="149B36C2" w14:textId="77777777" w:rsidR="000D1FE6" w:rsidRPr="000D1FE6" w:rsidRDefault="000D1FE6" w:rsidP="000D1FE6">
      <w:pPr>
        <w:pStyle w:val="Bibliography"/>
        <w:rPr>
          <w:rFonts w:ascii="Times New Roman" w:hAnsi="Times New Roman" w:cs="Times New Roman"/>
          <w:lang w:val="en-US"/>
        </w:rPr>
      </w:pPr>
      <w:r w:rsidRPr="000D1FE6">
        <w:rPr>
          <w:rFonts w:ascii="Times New Roman" w:hAnsi="Times New Roman" w:cs="Times New Roman"/>
          <w:lang w:val="en-US"/>
        </w:rPr>
        <w:t>5.</w:t>
      </w:r>
      <w:r w:rsidRPr="000D1FE6">
        <w:rPr>
          <w:rFonts w:ascii="Times New Roman" w:hAnsi="Times New Roman" w:cs="Times New Roman"/>
          <w:lang w:val="en-US"/>
        </w:rPr>
        <w:tab/>
        <w:t xml:space="preserve">Gagnon MP, Tantchou Dipankui M, Poder TG, Payne-Gagnon J, Mbemba G, Beretta V. Patient and public involvement in health technology assessment: update of a systematic review of international experiences. Int J Technol Assess Health Care. 2021 Feb 5;37:e36. </w:t>
      </w:r>
    </w:p>
    <w:p w14:paraId="21906C0C" w14:textId="77777777" w:rsidR="000D1FE6" w:rsidRPr="000D1FE6" w:rsidRDefault="000D1FE6" w:rsidP="000D1FE6">
      <w:pPr>
        <w:pStyle w:val="Bibliography"/>
        <w:rPr>
          <w:rFonts w:ascii="Times New Roman" w:hAnsi="Times New Roman" w:cs="Times New Roman"/>
          <w:lang w:val="en-US"/>
        </w:rPr>
      </w:pPr>
      <w:r w:rsidRPr="000D1FE6">
        <w:rPr>
          <w:rFonts w:ascii="Times New Roman" w:hAnsi="Times New Roman" w:cs="Times New Roman"/>
          <w:lang w:val="en-US"/>
        </w:rPr>
        <w:lastRenderedPageBreak/>
        <w:t>6.</w:t>
      </w:r>
      <w:r w:rsidRPr="000D1FE6">
        <w:rPr>
          <w:rFonts w:ascii="Times New Roman" w:hAnsi="Times New Roman" w:cs="Times New Roman"/>
          <w:lang w:val="en-US"/>
        </w:rPr>
        <w:tab/>
        <w:t xml:space="preserve">Snow ME, Tweedie K, Pederson A. Heard and valued: the development of a model to meaningfully engage marginalized populations in health services planning. BMC Health Serv Res. 2018;18(1):181–181. </w:t>
      </w:r>
    </w:p>
    <w:p w14:paraId="3C8DCB59" w14:textId="77777777" w:rsidR="000D1FE6" w:rsidRPr="000D1FE6" w:rsidRDefault="000D1FE6" w:rsidP="000D1FE6">
      <w:pPr>
        <w:pStyle w:val="Bibliography"/>
        <w:rPr>
          <w:rFonts w:ascii="Times New Roman" w:hAnsi="Times New Roman" w:cs="Times New Roman"/>
          <w:lang w:val="en-US"/>
        </w:rPr>
      </w:pPr>
      <w:r w:rsidRPr="000D1FE6">
        <w:rPr>
          <w:rFonts w:ascii="Times New Roman" w:hAnsi="Times New Roman" w:cs="Times New Roman"/>
          <w:lang w:val="en-US"/>
        </w:rPr>
        <w:t>7.</w:t>
      </w:r>
      <w:r w:rsidRPr="000D1FE6">
        <w:rPr>
          <w:rFonts w:ascii="Times New Roman" w:hAnsi="Times New Roman" w:cs="Times New Roman"/>
          <w:lang w:val="en-US"/>
        </w:rPr>
        <w:tab/>
        <w:t>Vreman RA, Mantel-Teeuwisse AK, Hövels AM, Leufkens HGM, Goettsch WG. Differences in Health Technology Assessment Recommendations Among European Jurisdictions: The Role of Practice Variations. Value Health [Internet]. 2020 Jan 1;23(1):10–6. Available from: https://www.sciencedirect.com/science/article/pii/S1098301519323411</w:t>
      </w:r>
    </w:p>
    <w:p w14:paraId="26BED7A5" w14:textId="77777777" w:rsidR="000D1FE6" w:rsidRPr="000D1FE6" w:rsidRDefault="000D1FE6" w:rsidP="000D1FE6">
      <w:pPr>
        <w:pStyle w:val="Bibliography"/>
        <w:rPr>
          <w:rFonts w:ascii="Times New Roman" w:hAnsi="Times New Roman" w:cs="Times New Roman"/>
          <w:lang w:val="en-US"/>
        </w:rPr>
      </w:pPr>
      <w:r w:rsidRPr="000D1FE6">
        <w:rPr>
          <w:rFonts w:ascii="Times New Roman" w:hAnsi="Times New Roman" w:cs="Times New Roman"/>
          <w:lang w:val="en-US"/>
        </w:rPr>
        <w:t>8.</w:t>
      </w:r>
      <w:r w:rsidRPr="000D1FE6">
        <w:rPr>
          <w:rFonts w:ascii="Times New Roman" w:hAnsi="Times New Roman" w:cs="Times New Roman"/>
          <w:lang w:val="en-US"/>
        </w:rPr>
        <w:tab/>
        <w:t xml:space="preserve">Menon D, Stafinski T. Health technology assessment in Canada: 20 years strong? Value Health J Int Soc Pharmacoeconomics Outcomes Res. 2009 Jun;12 Suppl 2:S14-19. </w:t>
      </w:r>
    </w:p>
    <w:p w14:paraId="0263A545" w14:textId="77777777" w:rsidR="000D1FE6" w:rsidRPr="000D1FE6" w:rsidRDefault="000D1FE6" w:rsidP="000D1FE6">
      <w:pPr>
        <w:pStyle w:val="Bibliography"/>
        <w:rPr>
          <w:rFonts w:ascii="Times New Roman" w:hAnsi="Times New Roman" w:cs="Times New Roman"/>
          <w:lang w:val="en-US"/>
        </w:rPr>
      </w:pPr>
      <w:r w:rsidRPr="000D1FE6">
        <w:rPr>
          <w:rFonts w:ascii="Times New Roman" w:hAnsi="Times New Roman" w:cs="Times New Roman"/>
          <w:lang w:val="en-US"/>
        </w:rPr>
        <w:t>9.</w:t>
      </w:r>
      <w:r w:rsidRPr="000D1FE6">
        <w:rPr>
          <w:rFonts w:ascii="Times New Roman" w:hAnsi="Times New Roman" w:cs="Times New Roman"/>
          <w:lang w:val="en-US"/>
        </w:rPr>
        <w:tab/>
        <w:t>Martin D, Miller AP, Quesnel-Vallée A, Caron NR, Vissandjée B, Marchildon GP. Canada’s universal health-care system: achieving its potential. The Lancet [Internet]. 2018 Apr 28 [cited 2022 Nov 25];391(10131):1718–35. Available from: https://doi.org/10.1016/S0140-6736(18)30181-8</w:t>
      </w:r>
    </w:p>
    <w:p w14:paraId="43C7F0C1" w14:textId="77777777" w:rsidR="000D1FE6" w:rsidRPr="000D1FE6" w:rsidRDefault="000D1FE6" w:rsidP="000D1FE6">
      <w:pPr>
        <w:pStyle w:val="Bibliography"/>
        <w:rPr>
          <w:rFonts w:ascii="Times New Roman" w:hAnsi="Times New Roman" w:cs="Times New Roman"/>
          <w:lang w:val="en-US"/>
        </w:rPr>
      </w:pPr>
      <w:r w:rsidRPr="000D1FE6">
        <w:rPr>
          <w:rFonts w:ascii="Times New Roman" w:hAnsi="Times New Roman" w:cs="Times New Roman"/>
          <w:lang w:val="en-US"/>
        </w:rPr>
        <w:t>10.</w:t>
      </w:r>
      <w:r w:rsidRPr="000D1FE6">
        <w:rPr>
          <w:rFonts w:ascii="Times New Roman" w:hAnsi="Times New Roman" w:cs="Times New Roman"/>
          <w:lang w:val="en-US"/>
        </w:rPr>
        <w:tab/>
        <w:t xml:space="preserve">Busse R, Panteli D, Kreis J, Busse R. Considering equity in health technology assessment: an exploratory analysis of agency practices. Int J Technol Assess Health Care. 2015 Jan;31(5):314–23. </w:t>
      </w:r>
    </w:p>
    <w:p w14:paraId="686BE7CB" w14:textId="77777777" w:rsidR="000D1FE6" w:rsidRPr="000D1FE6" w:rsidRDefault="000D1FE6" w:rsidP="000D1FE6">
      <w:pPr>
        <w:pStyle w:val="Bibliography"/>
        <w:rPr>
          <w:rFonts w:ascii="Times New Roman" w:hAnsi="Times New Roman" w:cs="Times New Roman"/>
          <w:lang w:val="en-US"/>
        </w:rPr>
      </w:pPr>
      <w:r w:rsidRPr="000D1FE6">
        <w:rPr>
          <w:rFonts w:ascii="Times New Roman" w:hAnsi="Times New Roman" w:cs="Times New Roman"/>
          <w:lang w:val="en-US"/>
        </w:rPr>
        <w:t>11.</w:t>
      </w:r>
      <w:r w:rsidRPr="000D1FE6">
        <w:rPr>
          <w:rFonts w:ascii="Times New Roman" w:hAnsi="Times New Roman" w:cs="Times New Roman"/>
          <w:lang w:val="en-US"/>
        </w:rPr>
        <w:tab/>
        <w:t xml:space="preserve">Abelson J, Tripp L, Kandasamy S, Burrows K. Supporting the evaluation of public and patient engagement in health system organizations: Results from an implementation research study. Health Expect Int J Public Particip Health Care Health Policy. 2019 Oct;22(5):1132–43. </w:t>
      </w:r>
    </w:p>
    <w:p w14:paraId="0EA832C3" w14:textId="77777777" w:rsidR="000D1FE6" w:rsidRPr="000D1FE6" w:rsidRDefault="000D1FE6" w:rsidP="000D1FE6">
      <w:pPr>
        <w:pStyle w:val="Bibliography"/>
        <w:rPr>
          <w:rFonts w:ascii="Times New Roman" w:hAnsi="Times New Roman" w:cs="Times New Roman"/>
          <w:lang w:val="en-US"/>
        </w:rPr>
      </w:pPr>
      <w:r w:rsidRPr="000D1FE6">
        <w:rPr>
          <w:rFonts w:ascii="Times New Roman" w:hAnsi="Times New Roman" w:cs="Times New Roman"/>
          <w:lang w:val="en-US"/>
        </w:rPr>
        <w:t>12.</w:t>
      </w:r>
      <w:r w:rsidRPr="000D1FE6">
        <w:rPr>
          <w:rFonts w:ascii="Times New Roman" w:hAnsi="Times New Roman" w:cs="Times New Roman"/>
          <w:lang w:val="en-US"/>
        </w:rPr>
        <w:tab/>
        <w:t xml:space="preserve">Dewidar O, Tsang P, León-García M, Mathew C, Antequera A, Baldeh T, et al. Over half of the WHO guidelines published from 2014 to 2019 explicitly considered health equity issues: a cross-sectional survey. J Clin Epidemiol. 2020 Nov;127:125–33. </w:t>
      </w:r>
    </w:p>
    <w:p w14:paraId="65B01869" w14:textId="77777777" w:rsidR="000D1FE6" w:rsidRPr="000D1FE6" w:rsidRDefault="000D1FE6" w:rsidP="000D1FE6">
      <w:pPr>
        <w:pStyle w:val="Bibliography"/>
        <w:rPr>
          <w:rFonts w:ascii="Times New Roman" w:hAnsi="Times New Roman" w:cs="Times New Roman"/>
          <w:lang w:val="en-US"/>
        </w:rPr>
      </w:pPr>
      <w:r w:rsidRPr="000D1FE6">
        <w:rPr>
          <w:rFonts w:ascii="Times New Roman" w:hAnsi="Times New Roman" w:cs="Times New Roman"/>
          <w:lang w:val="en-US"/>
        </w:rPr>
        <w:t>13.</w:t>
      </w:r>
      <w:r w:rsidRPr="000D1FE6">
        <w:rPr>
          <w:rFonts w:ascii="Times New Roman" w:hAnsi="Times New Roman" w:cs="Times New Roman"/>
          <w:lang w:val="en-US"/>
        </w:rPr>
        <w:tab/>
        <w:t>Concannon TW, Grant S, Welch V, Petkovic J, Selby J, Crowe S, et al. Practical Guidance for Involving Stakeholders in Health Research. J Gen Intern Med [Internet]. 2019 Mar 1;34(3):458–63. Available from: https://doi.org/10.1007/s11606-018-4738-6</w:t>
      </w:r>
    </w:p>
    <w:p w14:paraId="2FA56F7A" w14:textId="77777777" w:rsidR="000D1FE6" w:rsidRPr="000D1FE6" w:rsidRDefault="000D1FE6" w:rsidP="000D1FE6">
      <w:pPr>
        <w:pStyle w:val="Bibliography"/>
        <w:rPr>
          <w:rFonts w:ascii="Times New Roman" w:hAnsi="Times New Roman" w:cs="Times New Roman"/>
          <w:lang w:val="en-US"/>
        </w:rPr>
      </w:pPr>
      <w:r w:rsidRPr="000D1FE6">
        <w:rPr>
          <w:rFonts w:ascii="Times New Roman" w:hAnsi="Times New Roman" w:cs="Times New Roman"/>
          <w:lang w:val="en-US"/>
        </w:rPr>
        <w:t>14.</w:t>
      </w:r>
      <w:r w:rsidRPr="000D1FE6">
        <w:rPr>
          <w:rFonts w:ascii="Times New Roman" w:hAnsi="Times New Roman" w:cs="Times New Roman"/>
          <w:lang w:val="en-US"/>
        </w:rPr>
        <w:tab/>
        <w:t>MacPhail E, Shea, B. An Inside Look at the Early History of the CADTH Common Drug Review in Canada [Internet]. Canadian Agency for Drugs and Technologies in Health; 2017 Apr [cited 2022 Jun 1] p. 68. Available from: https://www.cadth.ca/sites/default/files/pdf/early_history_of_CDR.pdf</w:t>
      </w:r>
    </w:p>
    <w:p w14:paraId="78B27468" w14:textId="77777777" w:rsidR="000D1FE6" w:rsidRPr="000D1FE6" w:rsidRDefault="000D1FE6" w:rsidP="000D1FE6">
      <w:pPr>
        <w:pStyle w:val="Bibliography"/>
        <w:rPr>
          <w:rFonts w:ascii="Times New Roman" w:hAnsi="Times New Roman" w:cs="Times New Roman"/>
          <w:lang w:val="en-US"/>
        </w:rPr>
      </w:pPr>
      <w:r w:rsidRPr="000D1FE6">
        <w:rPr>
          <w:rFonts w:ascii="Times New Roman" w:hAnsi="Times New Roman" w:cs="Times New Roman"/>
          <w:lang w:val="en-US"/>
        </w:rPr>
        <w:t>15.</w:t>
      </w:r>
      <w:r w:rsidRPr="000D1FE6">
        <w:rPr>
          <w:rFonts w:ascii="Times New Roman" w:hAnsi="Times New Roman" w:cs="Times New Roman"/>
          <w:lang w:val="en-US"/>
        </w:rPr>
        <w:tab/>
        <w:t>Parsons VL. Stratified Sampling. In: Wiley StatsRef: Statistics Reference Online [Internet]. 2017 [cited 2024 Sep 10]. p. 1–11. Available from: https://doi.org/10.1002/9781118445112.stat05999.pub2</w:t>
      </w:r>
    </w:p>
    <w:p w14:paraId="7128B8DB" w14:textId="77777777" w:rsidR="000D1FE6" w:rsidRPr="000D1FE6" w:rsidRDefault="000D1FE6" w:rsidP="000D1FE6">
      <w:pPr>
        <w:pStyle w:val="Bibliography"/>
        <w:rPr>
          <w:rFonts w:ascii="Times New Roman" w:hAnsi="Times New Roman" w:cs="Times New Roman"/>
          <w:lang w:val="en-US"/>
        </w:rPr>
      </w:pPr>
      <w:r w:rsidRPr="000D1FE6">
        <w:rPr>
          <w:rFonts w:ascii="Times New Roman" w:hAnsi="Times New Roman" w:cs="Times New Roman"/>
          <w:lang w:val="en-US"/>
        </w:rPr>
        <w:t>16.</w:t>
      </w:r>
      <w:r w:rsidRPr="000D1FE6">
        <w:rPr>
          <w:rFonts w:ascii="Times New Roman" w:hAnsi="Times New Roman" w:cs="Times New Roman"/>
          <w:lang w:val="en-US"/>
        </w:rPr>
        <w:tab/>
        <w:t>O’Neill J, Tabish H, Welch V, Petticrew M, Pottie K, Clarke M, et al. Applying an equity lens to interventions: Using PROGRESS ensures consideration of socially stratifying factors to illuminate inequities in health. J Clin Epidemiol [Internet]. 2014;67(1):56–64. Available from: http://dx.doi.org/10.1016/j.jclinepi.2013.08.005</w:t>
      </w:r>
    </w:p>
    <w:p w14:paraId="4248AC29" w14:textId="77777777" w:rsidR="000D1FE6" w:rsidRPr="000D1FE6" w:rsidRDefault="000D1FE6" w:rsidP="000D1FE6">
      <w:pPr>
        <w:pStyle w:val="Bibliography"/>
        <w:rPr>
          <w:rFonts w:ascii="Times New Roman" w:hAnsi="Times New Roman" w:cs="Times New Roman"/>
          <w:lang w:val="en-US"/>
        </w:rPr>
      </w:pPr>
      <w:r w:rsidRPr="000D1FE6">
        <w:rPr>
          <w:rFonts w:ascii="Times New Roman" w:hAnsi="Times New Roman" w:cs="Times New Roman"/>
          <w:lang w:val="en-US"/>
        </w:rPr>
        <w:lastRenderedPageBreak/>
        <w:t>17.</w:t>
      </w:r>
      <w:r w:rsidRPr="000D1FE6">
        <w:rPr>
          <w:rFonts w:ascii="Times New Roman" w:hAnsi="Times New Roman" w:cs="Times New Roman"/>
          <w:lang w:val="en-US"/>
        </w:rPr>
        <w:tab/>
        <w:t xml:space="preserve">Benkhalti M, Espinoza M, Cookson R, Welch V, Tugwell P, Dagenais P. Development of a checklist to guide equity considerations in health technology assessment. Int J Technol Assess Health Care. 2021;37(gti, 8508113):e17. </w:t>
      </w:r>
    </w:p>
    <w:p w14:paraId="79016B72" w14:textId="77777777" w:rsidR="000D1FE6" w:rsidRPr="000D1FE6" w:rsidRDefault="000D1FE6" w:rsidP="000D1FE6">
      <w:pPr>
        <w:pStyle w:val="Bibliography"/>
        <w:rPr>
          <w:rFonts w:ascii="Times New Roman" w:hAnsi="Times New Roman" w:cs="Times New Roman"/>
          <w:lang w:val="en-US"/>
        </w:rPr>
      </w:pPr>
      <w:r w:rsidRPr="000D1FE6">
        <w:rPr>
          <w:rFonts w:ascii="Times New Roman" w:hAnsi="Times New Roman" w:cs="Times New Roman"/>
          <w:lang w:val="en-US"/>
        </w:rPr>
        <w:t>18.</w:t>
      </w:r>
      <w:r w:rsidRPr="000D1FE6">
        <w:rPr>
          <w:rFonts w:ascii="Times New Roman" w:hAnsi="Times New Roman" w:cs="Times New Roman"/>
          <w:lang w:val="en-US"/>
        </w:rPr>
        <w:tab/>
        <w:t>Flanagin A, Frey T, Christiansen SL, AMA Manual of Style Committee. Updated Guidance on the Reporting of Race and Ethnicity in Medical and Science Journals. JAMA [Internet]. 2021 Aug 17 [cited 2022 Nov 20];326(7):621–7. Available from: https://doi.org/10.1001/jama.2021.13304</w:t>
      </w:r>
    </w:p>
    <w:p w14:paraId="4683EA5A" w14:textId="77777777" w:rsidR="000D1FE6" w:rsidRPr="000D1FE6" w:rsidRDefault="000D1FE6" w:rsidP="000D1FE6">
      <w:pPr>
        <w:pStyle w:val="Bibliography"/>
        <w:rPr>
          <w:rFonts w:ascii="Times New Roman" w:hAnsi="Times New Roman" w:cs="Times New Roman"/>
          <w:lang w:val="en-US"/>
        </w:rPr>
      </w:pPr>
      <w:r w:rsidRPr="000D1FE6">
        <w:rPr>
          <w:rFonts w:ascii="Times New Roman" w:hAnsi="Times New Roman" w:cs="Times New Roman"/>
          <w:lang w:val="en-US"/>
        </w:rPr>
        <w:t>19.</w:t>
      </w:r>
      <w:r w:rsidRPr="000D1FE6">
        <w:rPr>
          <w:rFonts w:ascii="Times New Roman" w:hAnsi="Times New Roman" w:cs="Times New Roman"/>
          <w:lang w:val="en-US"/>
        </w:rPr>
        <w:tab/>
        <w:t>Hosking J, Macmillan A, Jones R, Ameratunga S, Woodward A. Searching for health equity: validation of a search filter for ethnic and socioeconomic inequalities in transport. Syst Rev [Internet]. 2019 Apr 11;8(1):94. Available from: https://doi.org/10.1186/s13643-019-1009-5</w:t>
      </w:r>
    </w:p>
    <w:p w14:paraId="6CF59B3A" w14:textId="2FD3A519" w:rsidR="00E54F96" w:rsidRPr="0047418B" w:rsidRDefault="00E54F96" w:rsidP="00D45251">
      <w:pPr>
        <w:spacing w:line="480" w:lineRule="auto"/>
        <w:ind w:firstLine="720"/>
        <w:textAlignment w:val="baseline"/>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fldChar w:fldCharType="end"/>
      </w:r>
    </w:p>
    <w:sectPr w:rsidR="00E54F96" w:rsidRPr="0047418B">
      <w:footerReference w:type="even" r:id="rId8"/>
      <w:footerReference w:type="defaul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A5545A" w14:textId="77777777" w:rsidR="00BB03F1" w:rsidRDefault="00BB03F1" w:rsidP="00A02528">
      <w:r>
        <w:separator/>
      </w:r>
    </w:p>
  </w:endnote>
  <w:endnote w:type="continuationSeparator" w:id="0">
    <w:p w14:paraId="1D916836" w14:textId="77777777" w:rsidR="00BB03F1" w:rsidRDefault="00BB03F1" w:rsidP="00A025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86231532"/>
      <w:docPartObj>
        <w:docPartGallery w:val="Page Numbers (Bottom of Page)"/>
        <w:docPartUnique/>
      </w:docPartObj>
    </w:sdtPr>
    <w:sdtContent>
      <w:p w14:paraId="3DB334C2" w14:textId="3BF8162B" w:rsidR="00A02528" w:rsidRDefault="00A02528" w:rsidP="00AC40B1">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6783C6F" w14:textId="77777777" w:rsidR="00A02528" w:rsidRDefault="00A02528" w:rsidP="007F0C6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763996226"/>
      <w:docPartObj>
        <w:docPartGallery w:val="Page Numbers (Bottom of Page)"/>
        <w:docPartUnique/>
      </w:docPartObj>
    </w:sdtPr>
    <w:sdtContent>
      <w:p w14:paraId="5B7971E2" w14:textId="195321F0" w:rsidR="00A02528" w:rsidRDefault="00A02528" w:rsidP="00AC40B1">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2A7B690A" w14:textId="77777777" w:rsidR="00A02528" w:rsidRDefault="00A02528" w:rsidP="007F0C6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AB4843" w14:textId="77777777" w:rsidR="00BB03F1" w:rsidRDefault="00BB03F1" w:rsidP="00A02528">
      <w:r>
        <w:separator/>
      </w:r>
    </w:p>
  </w:footnote>
  <w:footnote w:type="continuationSeparator" w:id="0">
    <w:p w14:paraId="36F637CD" w14:textId="77777777" w:rsidR="00BB03F1" w:rsidRDefault="00BB03F1" w:rsidP="00A025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405DF2"/>
    <w:multiLevelType w:val="hybridMultilevel"/>
    <w:tmpl w:val="B1441BFA"/>
    <w:lvl w:ilvl="0" w:tplc="04090001">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 w15:restartNumberingAfterBreak="0">
    <w:nsid w:val="07D8129E"/>
    <w:multiLevelType w:val="multilevel"/>
    <w:tmpl w:val="E8AA558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392CF7"/>
    <w:multiLevelType w:val="multilevel"/>
    <w:tmpl w:val="82BAA7EC"/>
    <w:lvl w:ilvl="0">
      <w:start w:val="1"/>
      <w:numFmt w:val="decimal"/>
      <w:lvlText w:val="%1."/>
      <w:lvlJc w:val="left"/>
      <w:pPr>
        <w:tabs>
          <w:tab w:val="num" w:pos="1440"/>
        </w:tabs>
        <w:ind w:left="1440" w:hanging="360"/>
      </w:p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3" w15:restartNumberingAfterBreak="0">
    <w:nsid w:val="0F706C74"/>
    <w:multiLevelType w:val="multilevel"/>
    <w:tmpl w:val="5D224064"/>
    <w:lvl w:ilvl="0">
      <w:start w:val="3"/>
      <w:numFmt w:val="decimal"/>
      <w:lvlText w:val="%1."/>
      <w:lvlJc w:val="left"/>
      <w:pPr>
        <w:ind w:left="360" w:hanging="360"/>
      </w:pPr>
      <w:rPr>
        <w:rFonts w:hint="default"/>
      </w:rPr>
    </w:lvl>
    <w:lvl w:ilvl="1">
      <w:start w:val="1"/>
      <w:numFmt w:val="decimal"/>
      <w:pStyle w:val="Chapterlevel2"/>
      <w:lvlText w:val="%1.%2."/>
      <w:lvlJc w:val="left"/>
      <w:pPr>
        <w:ind w:left="1069" w:hanging="360"/>
      </w:pPr>
      <w:rPr>
        <w:rFonts w:hint="default"/>
      </w:rPr>
    </w:lvl>
    <w:lvl w:ilvl="2">
      <w:start w:val="1"/>
      <w:numFmt w:val="decimal"/>
      <w:pStyle w:val="Heading2"/>
      <w:lvlText w:val="%1.%2.%3."/>
      <w:lvlJc w:val="left"/>
      <w:pPr>
        <w:ind w:left="1713"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4" w15:restartNumberingAfterBreak="0">
    <w:nsid w:val="15F332E4"/>
    <w:multiLevelType w:val="multilevel"/>
    <w:tmpl w:val="E7BA5B6C"/>
    <w:lvl w:ilvl="0">
      <w:start w:val="1"/>
      <w:numFmt w:val="decimal"/>
      <w:lvlText w:val="%1"/>
      <w:lvlJc w:val="left"/>
      <w:pPr>
        <w:ind w:left="432" w:hanging="432"/>
      </w:pPr>
      <w:rPr>
        <w:rFonts w:hint="default"/>
      </w:rPr>
    </w:lvl>
    <w:lvl w:ilvl="1">
      <w:start w:val="1"/>
      <w:numFmt w:val="decimal"/>
      <w:suff w:val="space"/>
      <w:lvlText w:val="%1.%2."/>
      <w:lvlJc w:val="left"/>
      <w:pPr>
        <w:ind w:left="227" w:firstLine="3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26251A28"/>
    <w:multiLevelType w:val="multilevel"/>
    <w:tmpl w:val="53D6CAFC"/>
    <w:lvl w:ilvl="0">
      <w:start w:val="3"/>
      <w:numFmt w:val="decimal"/>
      <w:lvlText w:val="%1."/>
      <w:lvlJc w:val="left"/>
      <w:pPr>
        <w:ind w:left="540" w:hanging="540"/>
      </w:pPr>
      <w:rPr>
        <w:rFonts w:eastAsiaTheme="minorHAnsi" w:hint="default"/>
        <w:color w:val="auto"/>
      </w:rPr>
    </w:lvl>
    <w:lvl w:ilvl="1">
      <w:start w:val="1"/>
      <w:numFmt w:val="decimal"/>
      <w:lvlText w:val="%1.%2."/>
      <w:lvlJc w:val="left"/>
      <w:pPr>
        <w:ind w:left="751" w:hanging="540"/>
      </w:pPr>
      <w:rPr>
        <w:rFonts w:eastAsiaTheme="minorHAnsi" w:hint="default"/>
        <w:color w:val="auto"/>
      </w:rPr>
    </w:lvl>
    <w:lvl w:ilvl="2">
      <w:start w:val="1"/>
      <w:numFmt w:val="decimal"/>
      <w:lvlText w:val="%1.%2.%3."/>
      <w:lvlJc w:val="left"/>
      <w:pPr>
        <w:ind w:left="1142" w:hanging="720"/>
      </w:pPr>
      <w:rPr>
        <w:rFonts w:eastAsiaTheme="minorHAnsi" w:hint="default"/>
        <w:color w:val="auto"/>
      </w:rPr>
    </w:lvl>
    <w:lvl w:ilvl="3">
      <w:start w:val="1"/>
      <w:numFmt w:val="decimal"/>
      <w:lvlText w:val="%1.%2.%3.%4."/>
      <w:lvlJc w:val="left"/>
      <w:pPr>
        <w:ind w:left="1353" w:hanging="720"/>
      </w:pPr>
      <w:rPr>
        <w:rFonts w:eastAsiaTheme="minorHAnsi" w:hint="default"/>
        <w:color w:val="auto"/>
      </w:rPr>
    </w:lvl>
    <w:lvl w:ilvl="4">
      <w:start w:val="1"/>
      <w:numFmt w:val="decimal"/>
      <w:lvlText w:val="%1.%2.%3.%4.%5."/>
      <w:lvlJc w:val="left"/>
      <w:pPr>
        <w:ind w:left="1924" w:hanging="1080"/>
      </w:pPr>
      <w:rPr>
        <w:rFonts w:eastAsiaTheme="minorHAnsi" w:hint="default"/>
        <w:color w:val="auto"/>
      </w:rPr>
    </w:lvl>
    <w:lvl w:ilvl="5">
      <w:start w:val="1"/>
      <w:numFmt w:val="decimal"/>
      <w:lvlText w:val="%1.%2.%3.%4.%5.%6."/>
      <w:lvlJc w:val="left"/>
      <w:pPr>
        <w:ind w:left="2135" w:hanging="1080"/>
      </w:pPr>
      <w:rPr>
        <w:rFonts w:eastAsiaTheme="minorHAnsi" w:hint="default"/>
        <w:color w:val="auto"/>
      </w:rPr>
    </w:lvl>
    <w:lvl w:ilvl="6">
      <w:start w:val="1"/>
      <w:numFmt w:val="decimal"/>
      <w:lvlText w:val="%1.%2.%3.%4.%5.%6.%7."/>
      <w:lvlJc w:val="left"/>
      <w:pPr>
        <w:ind w:left="2706" w:hanging="1440"/>
      </w:pPr>
      <w:rPr>
        <w:rFonts w:eastAsiaTheme="minorHAnsi" w:hint="default"/>
        <w:color w:val="auto"/>
      </w:rPr>
    </w:lvl>
    <w:lvl w:ilvl="7">
      <w:start w:val="1"/>
      <w:numFmt w:val="decimal"/>
      <w:lvlText w:val="%1.%2.%3.%4.%5.%6.%7.%8."/>
      <w:lvlJc w:val="left"/>
      <w:pPr>
        <w:ind w:left="2917" w:hanging="1440"/>
      </w:pPr>
      <w:rPr>
        <w:rFonts w:eastAsiaTheme="minorHAnsi" w:hint="default"/>
        <w:color w:val="auto"/>
      </w:rPr>
    </w:lvl>
    <w:lvl w:ilvl="8">
      <w:start w:val="1"/>
      <w:numFmt w:val="decimal"/>
      <w:lvlText w:val="%1.%2.%3.%4.%5.%6.%7.%8.%9."/>
      <w:lvlJc w:val="left"/>
      <w:pPr>
        <w:ind w:left="3488" w:hanging="1800"/>
      </w:pPr>
      <w:rPr>
        <w:rFonts w:eastAsiaTheme="minorHAnsi" w:hint="default"/>
        <w:color w:val="auto"/>
      </w:rPr>
    </w:lvl>
  </w:abstractNum>
  <w:abstractNum w:abstractNumId="6" w15:restartNumberingAfterBreak="0">
    <w:nsid w:val="29EB53A5"/>
    <w:multiLevelType w:val="multilevel"/>
    <w:tmpl w:val="56E87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D9A271A"/>
    <w:multiLevelType w:val="multilevel"/>
    <w:tmpl w:val="74BE1D60"/>
    <w:lvl w:ilvl="0">
      <w:start w:val="3"/>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30557448"/>
    <w:multiLevelType w:val="multilevel"/>
    <w:tmpl w:val="6CC8AE3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342A7446"/>
    <w:multiLevelType w:val="hybridMultilevel"/>
    <w:tmpl w:val="D7B85F60"/>
    <w:lvl w:ilvl="0" w:tplc="6B5AB6DC">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6DE21A9"/>
    <w:multiLevelType w:val="multilevel"/>
    <w:tmpl w:val="23643674"/>
    <w:lvl w:ilvl="0">
      <w:start w:val="1"/>
      <w:numFmt w:val="decimal"/>
      <w:lvlText w:val="%1."/>
      <w:lvlJc w:val="left"/>
      <w:pPr>
        <w:tabs>
          <w:tab w:val="num" w:pos="720"/>
        </w:tabs>
        <w:ind w:left="720" w:hanging="720"/>
      </w:pPr>
    </w:lvl>
    <w:lvl w:ilvl="1">
      <w:start w:val="1"/>
      <w:numFmt w:val="decimal"/>
      <w:pStyle w:val="Subtitle"/>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3A3D7F07"/>
    <w:multiLevelType w:val="multilevel"/>
    <w:tmpl w:val="149CFB2A"/>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3B417E05"/>
    <w:multiLevelType w:val="multilevel"/>
    <w:tmpl w:val="C7442A0C"/>
    <w:lvl w:ilvl="0">
      <w:start w:val="1"/>
      <w:numFmt w:val="decimal"/>
      <w:lvlText w:val="%1."/>
      <w:lvlJc w:val="left"/>
      <w:pPr>
        <w:ind w:left="108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3" w15:restartNumberingAfterBreak="0">
    <w:nsid w:val="3E686527"/>
    <w:multiLevelType w:val="multilevel"/>
    <w:tmpl w:val="B324E42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F333B77"/>
    <w:multiLevelType w:val="hybridMultilevel"/>
    <w:tmpl w:val="0980E802"/>
    <w:lvl w:ilvl="0" w:tplc="6B5AB6DC">
      <w:start w:val="1"/>
      <w:numFmt w:val="bullet"/>
      <w:lvlText w:val="o"/>
      <w:lvlJc w:val="left"/>
      <w:pPr>
        <w:ind w:left="1080" w:hanging="360"/>
      </w:pPr>
      <w:rPr>
        <w:rFonts w:ascii="Courier New" w:hAnsi="Courier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40C748B2"/>
    <w:multiLevelType w:val="multilevel"/>
    <w:tmpl w:val="0409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455A54DB"/>
    <w:multiLevelType w:val="multilevel"/>
    <w:tmpl w:val="25B87414"/>
    <w:lvl w:ilvl="0">
      <w:start w:val="1"/>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8260ED1"/>
    <w:multiLevelType w:val="multilevel"/>
    <w:tmpl w:val="ED7EA992"/>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4B344C44"/>
    <w:multiLevelType w:val="multilevel"/>
    <w:tmpl w:val="8ED042F8"/>
    <w:styleLink w:val="Chapter"/>
    <w:lvl w:ilvl="0">
      <w:start w:val="1"/>
      <w:numFmt w:val="decimal"/>
      <w:suff w:val="space"/>
      <w:lvlText w:val="Chapter %1"/>
      <w:lvlJc w:val="left"/>
      <w:pPr>
        <w:ind w:left="0" w:firstLine="0"/>
      </w:pPr>
      <w:rPr>
        <w:rFonts w:ascii="Times New Roman" w:hAnsi="Times New Roman" w:hint="default"/>
        <w:b w:val="0"/>
        <w:i w:val="0"/>
        <w:color w:val="auto"/>
        <w:sz w:val="24"/>
        <w:szCs w:val="32"/>
      </w:rPr>
    </w:lvl>
    <w:lvl w:ilvl="1">
      <w:start w:val="1"/>
      <w:numFmt w:val="none"/>
      <w:suff w:val="nothing"/>
      <w:lvlText w:val=""/>
      <w:lvlJc w:val="left"/>
      <w:pPr>
        <w:ind w:left="0" w:firstLine="0"/>
      </w:pPr>
      <w:rPr>
        <w:rFonts w:hint="default"/>
        <w:color w:val="000000" w:themeColor="text1"/>
        <w:sz w:val="26"/>
        <w:szCs w:val="26"/>
      </w:rPr>
    </w:lvl>
    <w:lvl w:ilvl="2">
      <w:start w:val="1"/>
      <w:numFmt w:val="none"/>
      <w:suff w:val="nothing"/>
      <w:lvlText w:val=""/>
      <w:lvlJc w:val="left"/>
      <w:pPr>
        <w:ind w:left="0" w:firstLine="0"/>
      </w:pPr>
      <w:rPr>
        <w:rFonts w:hint="default"/>
        <w:color w:val="000000" w:themeColor="text1"/>
        <w:sz w:val="24"/>
        <w:szCs w:val="24"/>
      </w:rPr>
    </w:lvl>
    <w:lvl w:ilvl="3">
      <w:start w:val="1"/>
      <w:numFmt w:val="none"/>
      <w:suff w:val="nothing"/>
      <w:lvlText w:val=""/>
      <w:lvlJc w:val="left"/>
      <w:pPr>
        <w:ind w:left="0" w:firstLine="0"/>
      </w:pPr>
      <w:rPr>
        <w:rFonts w:hint="default"/>
        <w:sz w:val="24"/>
        <w:szCs w:val="24"/>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9" w15:restartNumberingAfterBreak="0">
    <w:nsid w:val="4C1F1113"/>
    <w:multiLevelType w:val="hybridMultilevel"/>
    <w:tmpl w:val="861EB44A"/>
    <w:lvl w:ilvl="0" w:tplc="EA10F21C">
      <w:start w:val="1"/>
      <w:numFmt w:val="bullet"/>
      <w:lvlText w:val="•"/>
      <w:lvlJc w:val="left"/>
      <w:pPr>
        <w:tabs>
          <w:tab w:val="num" w:pos="720"/>
        </w:tabs>
        <w:ind w:left="720" w:hanging="360"/>
      </w:pPr>
      <w:rPr>
        <w:rFonts w:ascii="Times New Roman" w:hAnsi="Times New Roman" w:hint="default"/>
      </w:rPr>
    </w:lvl>
    <w:lvl w:ilvl="1" w:tplc="9CD65E08" w:tentative="1">
      <w:start w:val="1"/>
      <w:numFmt w:val="bullet"/>
      <w:lvlText w:val="•"/>
      <w:lvlJc w:val="left"/>
      <w:pPr>
        <w:tabs>
          <w:tab w:val="num" w:pos="1440"/>
        </w:tabs>
        <w:ind w:left="1440" w:hanging="360"/>
      </w:pPr>
      <w:rPr>
        <w:rFonts w:ascii="Times New Roman" w:hAnsi="Times New Roman" w:hint="default"/>
      </w:rPr>
    </w:lvl>
    <w:lvl w:ilvl="2" w:tplc="F4A85B5A" w:tentative="1">
      <w:start w:val="1"/>
      <w:numFmt w:val="bullet"/>
      <w:lvlText w:val="•"/>
      <w:lvlJc w:val="left"/>
      <w:pPr>
        <w:tabs>
          <w:tab w:val="num" w:pos="2160"/>
        </w:tabs>
        <w:ind w:left="2160" w:hanging="360"/>
      </w:pPr>
      <w:rPr>
        <w:rFonts w:ascii="Times New Roman" w:hAnsi="Times New Roman" w:hint="default"/>
      </w:rPr>
    </w:lvl>
    <w:lvl w:ilvl="3" w:tplc="083E6C60" w:tentative="1">
      <w:start w:val="1"/>
      <w:numFmt w:val="bullet"/>
      <w:lvlText w:val="•"/>
      <w:lvlJc w:val="left"/>
      <w:pPr>
        <w:tabs>
          <w:tab w:val="num" w:pos="2880"/>
        </w:tabs>
        <w:ind w:left="2880" w:hanging="360"/>
      </w:pPr>
      <w:rPr>
        <w:rFonts w:ascii="Times New Roman" w:hAnsi="Times New Roman" w:hint="default"/>
      </w:rPr>
    </w:lvl>
    <w:lvl w:ilvl="4" w:tplc="200E2E2E" w:tentative="1">
      <w:start w:val="1"/>
      <w:numFmt w:val="bullet"/>
      <w:lvlText w:val="•"/>
      <w:lvlJc w:val="left"/>
      <w:pPr>
        <w:tabs>
          <w:tab w:val="num" w:pos="3600"/>
        </w:tabs>
        <w:ind w:left="3600" w:hanging="360"/>
      </w:pPr>
      <w:rPr>
        <w:rFonts w:ascii="Times New Roman" w:hAnsi="Times New Roman" w:hint="default"/>
      </w:rPr>
    </w:lvl>
    <w:lvl w:ilvl="5" w:tplc="14625168" w:tentative="1">
      <w:start w:val="1"/>
      <w:numFmt w:val="bullet"/>
      <w:lvlText w:val="•"/>
      <w:lvlJc w:val="left"/>
      <w:pPr>
        <w:tabs>
          <w:tab w:val="num" w:pos="4320"/>
        </w:tabs>
        <w:ind w:left="4320" w:hanging="360"/>
      </w:pPr>
      <w:rPr>
        <w:rFonts w:ascii="Times New Roman" w:hAnsi="Times New Roman" w:hint="default"/>
      </w:rPr>
    </w:lvl>
    <w:lvl w:ilvl="6" w:tplc="7908872C" w:tentative="1">
      <w:start w:val="1"/>
      <w:numFmt w:val="bullet"/>
      <w:lvlText w:val="•"/>
      <w:lvlJc w:val="left"/>
      <w:pPr>
        <w:tabs>
          <w:tab w:val="num" w:pos="5040"/>
        </w:tabs>
        <w:ind w:left="5040" w:hanging="360"/>
      </w:pPr>
      <w:rPr>
        <w:rFonts w:ascii="Times New Roman" w:hAnsi="Times New Roman" w:hint="default"/>
      </w:rPr>
    </w:lvl>
    <w:lvl w:ilvl="7" w:tplc="0276A1DC" w:tentative="1">
      <w:start w:val="1"/>
      <w:numFmt w:val="bullet"/>
      <w:lvlText w:val="•"/>
      <w:lvlJc w:val="left"/>
      <w:pPr>
        <w:tabs>
          <w:tab w:val="num" w:pos="5760"/>
        </w:tabs>
        <w:ind w:left="5760" w:hanging="360"/>
      </w:pPr>
      <w:rPr>
        <w:rFonts w:ascii="Times New Roman" w:hAnsi="Times New Roman" w:hint="default"/>
      </w:rPr>
    </w:lvl>
    <w:lvl w:ilvl="8" w:tplc="1876E298" w:tentative="1">
      <w:start w:val="1"/>
      <w:numFmt w:val="bullet"/>
      <w:lvlText w:val="•"/>
      <w:lvlJc w:val="left"/>
      <w:pPr>
        <w:tabs>
          <w:tab w:val="num" w:pos="6480"/>
        </w:tabs>
        <w:ind w:left="6480" w:hanging="360"/>
      </w:pPr>
      <w:rPr>
        <w:rFonts w:ascii="Times New Roman" w:hAnsi="Times New Roman" w:hint="default"/>
      </w:rPr>
    </w:lvl>
  </w:abstractNum>
  <w:abstractNum w:abstractNumId="20" w15:restartNumberingAfterBreak="0">
    <w:nsid w:val="4F3E489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21B1D5E"/>
    <w:multiLevelType w:val="hybridMultilevel"/>
    <w:tmpl w:val="9BA6D7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211"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324747"/>
    <w:multiLevelType w:val="multilevel"/>
    <w:tmpl w:val="4CC45BC6"/>
    <w:lvl w:ilvl="0">
      <w:start w:val="1"/>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A3D28FA"/>
    <w:multiLevelType w:val="multilevel"/>
    <w:tmpl w:val="6CC8AE3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5F0D3FCD"/>
    <w:multiLevelType w:val="multilevel"/>
    <w:tmpl w:val="1C1EEAD2"/>
    <w:lvl w:ilvl="0">
      <w:start w:val="1"/>
      <w:numFmt w:val="bullet"/>
      <w:lvlText w:val=""/>
      <w:lvlJc w:val="left"/>
      <w:pPr>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25" w15:restartNumberingAfterBreak="0">
    <w:nsid w:val="62260D8A"/>
    <w:multiLevelType w:val="multilevel"/>
    <w:tmpl w:val="1C1EEAD2"/>
    <w:lvl w:ilvl="0">
      <w:start w:val="1"/>
      <w:numFmt w:val="bullet"/>
      <w:lvlText w:val=""/>
      <w:lvlJc w:val="left"/>
      <w:pPr>
        <w:ind w:left="1800" w:hanging="360"/>
      </w:pPr>
      <w:rPr>
        <w:rFonts w:ascii="Symbol" w:hAnsi="Symbol" w:hint="default"/>
      </w:rPr>
    </w:lvl>
    <w:lvl w:ilvl="1">
      <w:start w:val="1"/>
      <w:numFmt w:val="bullet"/>
      <w:lvlText w:val="o"/>
      <w:lvlJc w:val="left"/>
      <w:pPr>
        <w:tabs>
          <w:tab w:val="num" w:pos="2520"/>
        </w:tabs>
        <w:ind w:left="2520" w:hanging="360"/>
      </w:pPr>
      <w:rPr>
        <w:rFonts w:ascii="Courier New" w:hAnsi="Courier New" w:hint="default"/>
        <w:sz w:val="20"/>
      </w:rPr>
    </w:lvl>
    <w:lvl w:ilvl="2" w:tentative="1">
      <w:start w:val="1"/>
      <w:numFmt w:val="decimal"/>
      <w:lvlText w:val="%3."/>
      <w:lvlJc w:val="left"/>
      <w:pPr>
        <w:tabs>
          <w:tab w:val="num" w:pos="3240"/>
        </w:tabs>
        <w:ind w:left="3240" w:hanging="360"/>
      </w:pPr>
    </w:lvl>
    <w:lvl w:ilvl="3" w:tentative="1">
      <w:start w:val="1"/>
      <w:numFmt w:val="decimal"/>
      <w:lvlText w:val="%4."/>
      <w:lvlJc w:val="left"/>
      <w:pPr>
        <w:tabs>
          <w:tab w:val="num" w:pos="3960"/>
        </w:tabs>
        <w:ind w:left="3960" w:hanging="360"/>
      </w:pPr>
    </w:lvl>
    <w:lvl w:ilvl="4" w:tentative="1">
      <w:start w:val="1"/>
      <w:numFmt w:val="decimal"/>
      <w:lvlText w:val="%5."/>
      <w:lvlJc w:val="left"/>
      <w:pPr>
        <w:tabs>
          <w:tab w:val="num" w:pos="4680"/>
        </w:tabs>
        <w:ind w:left="4680" w:hanging="360"/>
      </w:pPr>
    </w:lvl>
    <w:lvl w:ilvl="5" w:tentative="1">
      <w:start w:val="1"/>
      <w:numFmt w:val="decimal"/>
      <w:lvlText w:val="%6."/>
      <w:lvlJc w:val="left"/>
      <w:pPr>
        <w:tabs>
          <w:tab w:val="num" w:pos="5400"/>
        </w:tabs>
        <w:ind w:left="5400" w:hanging="360"/>
      </w:pPr>
    </w:lvl>
    <w:lvl w:ilvl="6" w:tentative="1">
      <w:start w:val="1"/>
      <w:numFmt w:val="decimal"/>
      <w:lvlText w:val="%7."/>
      <w:lvlJc w:val="left"/>
      <w:pPr>
        <w:tabs>
          <w:tab w:val="num" w:pos="6120"/>
        </w:tabs>
        <w:ind w:left="6120" w:hanging="360"/>
      </w:pPr>
    </w:lvl>
    <w:lvl w:ilvl="7" w:tentative="1">
      <w:start w:val="1"/>
      <w:numFmt w:val="decimal"/>
      <w:lvlText w:val="%8."/>
      <w:lvlJc w:val="left"/>
      <w:pPr>
        <w:tabs>
          <w:tab w:val="num" w:pos="6840"/>
        </w:tabs>
        <w:ind w:left="6840" w:hanging="360"/>
      </w:pPr>
    </w:lvl>
    <w:lvl w:ilvl="8" w:tentative="1">
      <w:start w:val="1"/>
      <w:numFmt w:val="decimal"/>
      <w:lvlText w:val="%9."/>
      <w:lvlJc w:val="left"/>
      <w:pPr>
        <w:tabs>
          <w:tab w:val="num" w:pos="7560"/>
        </w:tabs>
        <w:ind w:left="7560" w:hanging="360"/>
      </w:pPr>
    </w:lvl>
  </w:abstractNum>
  <w:abstractNum w:abstractNumId="26" w15:restartNumberingAfterBreak="0">
    <w:nsid w:val="649B4DAC"/>
    <w:multiLevelType w:val="hybridMultilevel"/>
    <w:tmpl w:val="2586F9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67558EC"/>
    <w:multiLevelType w:val="multilevel"/>
    <w:tmpl w:val="4776D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8B70792"/>
    <w:multiLevelType w:val="multilevel"/>
    <w:tmpl w:val="1C985BE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6F9F693E"/>
    <w:multiLevelType w:val="hybridMultilevel"/>
    <w:tmpl w:val="4F805848"/>
    <w:lvl w:ilvl="0" w:tplc="55D05DC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15:restartNumberingAfterBreak="0">
    <w:nsid w:val="70D27BB2"/>
    <w:multiLevelType w:val="hybridMultilevel"/>
    <w:tmpl w:val="5A3C4456"/>
    <w:lvl w:ilvl="0" w:tplc="1E0AE5D8">
      <w:start w:val="1"/>
      <w:numFmt w:val="bullet"/>
      <w:lvlText w:val=""/>
      <w:lvlJc w:val="left"/>
      <w:pPr>
        <w:tabs>
          <w:tab w:val="num" w:pos="720"/>
        </w:tabs>
        <w:ind w:left="720" w:hanging="360"/>
      </w:pPr>
      <w:rPr>
        <w:rFonts w:ascii="Symbol" w:hAnsi="Symbol" w:hint="default"/>
      </w:rPr>
    </w:lvl>
    <w:lvl w:ilvl="1" w:tplc="4CFA7136">
      <w:numFmt w:val="bullet"/>
      <w:lvlText w:val="o"/>
      <w:lvlJc w:val="left"/>
      <w:pPr>
        <w:tabs>
          <w:tab w:val="num" w:pos="1440"/>
        </w:tabs>
        <w:ind w:left="1440" w:hanging="360"/>
      </w:pPr>
      <w:rPr>
        <w:rFonts w:ascii="Courier New" w:hAnsi="Courier New" w:hint="default"/>
      </w:rPr>
    </w:lvl>
    <w:lvl w:ilvl="2" w:tplc="B1744198" w:tentative="1">
      <w:start w:val="1"/>
      <w:numFmt w:val="bullet"/>
      <w:lvlText w:val=""/>
      <w:lvlJc w:val="left"/>
      <w:pPr>
        <w:tabs>
          <w:tab w:val="num" w:pos="2160"/>
        </w:tabs>
        <w:ind w:left="2160" w:hanging="360"/>
      </w:pPr>
      <w:rPr>
        <w:rFonts w:ascii="Symbol" w:hAnsi="Symbol" w:hint="default"/>
      </w:rPr>
    </w:lvl>
    <w:lvl w:ilvl="3" w:tplc="CCF80120" w:tentative="1">
      <w:start w:val="1"/>
      <w:numFmt w:val="bullet"/>
      <w:lvlText w:val=""/>
      <w:lvlJc w:val="left"/>
      <w:pPr>
        <w:tabs>
          <w:tab w:val="num" w:pos="2880"/>
        </w:tabs>
        <w:ind w:left="2880" w:hanging="360"/>
      </w:pPr>
      <w:rPr>
        <w:rFonts w:ascii="Symbol" w:hAnsi="Symbol" w:hint="default"/>
      </w:rPr>
    </w:lvl>
    <w:lvl w:ilvl="4" w:tplc="A1747914" w:tentative="1">
      <w:start w:val="1"/>
      <w:numFmt w:val="bullet"/>
      <w:lvlText w:val=""/>
      <w:lvlJc w:val="left"/>
      <w:pPr>
        <w:tabs>
          <w:tab w:val="num" w:pos="3600"/>
        </w:tabs>
        <w:ind w:left="3600" w:hanging="360"/>
      </w:pPr>
      <w:rPr>
        <w:rFonts w:ascii="Symbol" w:hAnsi="Symbol" w:hint="default"/>
      </w:rPr>
    </w:lvl>
    <w:lvl w:ilvl="5" w:tplc="8B7C820E" w:tentative="1">
      <w:start w:val="1"/>
      <w:numFmt w:val="bullet"/>
      <w:lvlText w:val=""/>
      <w:lvlJc w:val="left"/>
      <w:pPr>
        <w:tabs>
          <w:tab w:val="num" w:pos="4320"/>
        </w:tabs>
        <w:ind w:left="4320" w:hanging="360"/>
      </w:pPr>
      <w:rPr>
        <w:rFonts w:ascii="Symbol" w:hAnsi="Symbol" w:hint="default"/>
      </w:rPr>
    </w:lvl>
    <w:lvl w:ilvl="6" w:tplc="C34A6D80" w:tentative="1">
      <w:start w:val="1"/>
      <w:numFmt w:val="bullet"/>
      <w:lvlText w:val=""/>
      <w:lvlJc w:val="left"/>
      <w:pPr>
        <w:tabs>
          <w:tab w:val="num" w:pos="5040"/>
        </w:tabs>
        <w:ind w:left="5040" w:hanging="360"/>
      </w:pPr>
      <w:rPr>
        <w:rFonts w:ascii="Symbol" w:hAnsi="Symbol" w:hint="default"/>
      </w:rPr>
    </w:lvl>
    <w:lvl w:ilvl="7" w:tplc="35C05860" w:tentative="1">
      <w:start w:val="1"/>
      <w:numFmt w:val="bullet"/>
      <w:lvlText w:val=""/>
      <w:lvlJc w:val="left"/>
      <w:pPr>
        <w:tabs>
          <w:tab w:val="num" w:pos="5760"/>
        </w:tabs>
        <w:ind w:left="5760" w:hanging="360"/>
      </w:pPr>
      <w:rPr>
        <w:rFonts w:ascii="Symbol" w:hAnsi="Symbol" w:hint="default"/>
      </w:rPr>
    </w:lvl>
    <w:lvl w:ilvl="8" w:tplc="DEDC4B42" w:tentative="1">
      <w:start w:val="1"/>
      <w:numFmt w:val="bullet"/>
      <w:lvlText w:val=""/>
      <w:lvlJc w:val="left"/>
      <w:pPr>
        <w:tabs>
          <w:tab w:val="num" w:pos="6480"/>
        </w:tabs>
        <w:ind w:left="6480" w:hanging="360"/>
      </w:pPr>
      <w:rPr>
        <w:rFonts w:ascii="Symbol" w:hAnsi="Symbol" w:hint="default"/>
      </w:rPr>
    </w:lvl>
  </w:abstractNum>
  <w:abstractNum w:abstractNumId="31" w15:restartNumberingAfterBreak="0">
    <w:nsid w:val="71701D00"/>
    <w:multiLevelType w:val="multilevel"/>
    <w:tmpl w:val="A5F88A9E"/>
    <w:lvl w:ilvl="0">
      <w:start w:val="1"/>
      <w:numFmt w:val="decimal"/>
      <w:lvlText w:val="%1"/>
      <w:lvlJc w:val="left"/>
      <w:pPr>
        <w:ind w:left="360" w:hanging="360"/>
      </w:pPr>
      <w:rPr>
        <w:rFonts w:hint="default"/>
      </w:rPr>
    </w:lvl>
    <w:lvl w:ilvl="1">
      <w:start w:val="3"/>
      <w:numFmt w:val="decimal"/>
      <w:lvlText w:val="%1.%2"/>
      <w:lvlJc w:val="left"/>
      <w:pPr>
        <w:ind w:left="783" w:hanging="360"/>
      </w:pPr>
      <w:rPr>
        <w:rFonts w:hint="default"/>
      </w:rPr>
    </w:lvl>
    <w:lvl w:ilvl="2">
      <w:start w:val="1"/>
      <w:numFmt w:val="decimal"/>
      <w:lvlText w:val="%1.%2.%3"/>
      <w:lvlJc w:val="left"/>
      <w:pPr>
        <w:ind w:left="1566" w:hanging="720"/>
      </w:pPr>
      <w:rPr>
        <w:rFonts w:hint="default"/>
      </w:rPr>
    </w:lvl>
    <w:lvl w:ilvl="3">
      <w:start w:val="1"/>
      <w:numFmt w:val="decimal"/>
      <w:lvlText w:val="%1.%2.%3.%4"/>
      <w:lvlJc w:val="left"/>
      <w:pPr>
        <w:ind w:left="1989" w:hanging="720"/>
      </w:pPr>
      <w:rPr>
        <w:rFonts w:hint="default"/>
      </w:rPr>
    </w:lvl>
    <w:lvl w:ilvl="4">
      <w:start w:val="1"/>
      <w:numFmt w:val="decimal"/>
      <w:lvlText w:val="%1.%2.%3.%4.%5"/>
      <w:lvlJc w:val="left"/>
      <w:pPr>
        <w:ind w:left="2772" w:hanging="1080"/>
      </w:pPr>
      <w:rPr>
        <w:rFonts w:hint="default"/>
      </w:rPr>
    </w:lvl>
    <w:lvl w:ilvl="5">
      <w:start w:val="1"/>
      <w:numFmt w:val="decimal"/>
      <w:lvlText w:val="%1.%2.%3.%4.%5.%6"/>
      <w:lvlJc w:val="left"/>
      <w:pPr>
        <w:ind w:left="3195" w:hanging="1080"/>
      </w:pPr>
      <w:rPr>
        <w:rFonts w:hint="default"/>
      </w:rPr>
    </w:lvl>
    <w:lvl w:ilvl="6">
      <w:start w:val="1"/>
      <w:numFmt w:val="decimal"/>
      <w:lvlText w:val="%1.%2.%3.%4.%5.%6.%7"/>
      <w:lvlJc w:val="left"/>
      <w:pPr>
        <w:ind w:left="3978" w:hanging="1440"/>
      </w:pPr>
      <w:rPr>
        <w:rFonts w:hint="default"/>
      </w:rPr>
    </w:lvl>
    <w:lvl w:ilvl="7">
      <w:start w:val="1"/>
      <w:numFmt w:val="decimal"/>
      <w:lvlText w:val="%1.%2.%3.%4.%5.%6.%7.%8"/>
      <w:lvlJc w:val="left"/>
      <w:pPr>
        <w:ind w:left="4401" w:hanging="1440"/>
      </w:pPr>
      <w:rPr>
        <w:rFonts w:hint="default"/>
      </w:rPr>
    </w:lvl>
    <w:lvl w:ilvl="8">
      <w:start w:val="1"/>
      <w:numFmt w:val="decimal"/>
      <w:lvlText w:val="%1.%2.%3.%4.%5.%6.%7.%8.%9"/>
      <w:lvlJc w:val="left"/>
      <w:pPr>
        <w:ind w:left="5184" w:hanging="1800"/>
      </w:pPr>
      <w:rPr>
        <w:rFonts w:hint="default"/>
      </w:rPr>
    </w:lvl>
  </w:abstractNum>
  <w:abstractNum w:abstractNumId="32" w15:restartNumberingAfterBreak="0">
    <w:nsid w:val="74AD5D7E"/>
    <w:multiLevelType w:val="hybridMultilevel"/>
    <w:tmpl w:val="D5C2FD80"/>
    <w:lvl w:ilvl="0" w:tplc="04090001">
      <w:start w:val="1"/>
      <w:numFmt w:val="bullet"/>
      <w:lvlText w:val=""/>
      <w:lvlJc w:val="left"/>
      <w:pPr>
        <w:ind w:left="783" w:hanging="360"/>
      </w:pPr>
      <w:rPr>
        <w:rFonts w:ascii="Symbol" w:hAnsi="Symbol" w:hint="default"/>
      </w:rPr>
    </w:lvl>
    <w:lvl w:ilvl="1" w:tplc="04090003">
      <w:start w:val="1"/>
      <w:numFmt w:val="bullet"/>
      <w:lvlText w:val="o"/>
      <w:lvlJc w:val="left"/>
      <w:pPr>
        <w:ind w:left="1503" w:hanging="360"/>
      </w:pPr>
      <w:rPr>
        <w:rFonts w:ascii="Courier New" w:hAnsi="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33" w15:restartNumberingAfterBreak="0">
    <w:nsid w:val="7C0D637E"/>
    <w:multiLevelType w:val="multilevel"/>
    <w:tmpl w:val="5810B86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7F5659C2"/>
    <w:multiLevelType w:val="hybridMultilevel"/>
    <w:tmpl w:val="50A891D4"/>
    <w:lvl w:ilvl="0" w:tplc="DF021140">
      <w:start w:val="1"/>
      <w:numFmt w:val="bullet"/>
      <w:lvlText w:val="§"/>
      <w:lvlJc w:val="left"/>
      <w:pPr>
        <w:tabs>
          <w:tab w:val="num" w:pos="720"/>
        </w:tabs>
        <w:ind w:left="720" w:hanging="360"/>
      </w:pPr>
      <w:rPr>
        <w:rFonts w:ascii="Wingdings" w:hAnsi="Wingdings" w:hint="default"/>
      </w:rPr>
    </w:lvl>
    <w:lvl w:ilvl="1" w:tplc="2AF0BE7C">
      <w:numFmt w:val="bullet"/>
      <w:lvlText w:val="§"/>
      <w:lvlJc w:val="left"/>
      <w:pPr>
        <w:tabs>
          <w:tab w:val="num" w:pos="1440"/>
        </w:tabs>
        <w:ind w:left="1440" w:hanging="360"/>
      </w:pPr>
      <w:rPr>
        <w:rFonts w:ascii="Wingdings" w:hAnsi="Wingdings" w:hint="default"/>
      </w:rPr>
    </w:lvl>
    <w:lvl w:ilvl="2" w:tplc="4D261D0A" w:tentative="1">
      <w:start w:val="1"/>
      <w:numFmt w:val="bullet"/>
      <w:lvlText w:val="§"/>
      <w:lvlJc w:val="left"/>
      <w:pPr>
        <w:tabs>
          <w:tab w:val="num" w:pos="2160"/>
        </w:tabs>
        <w:ind w:left="2160" w:hanging="360"/>
      </w:pPr>
      <w:rPr>
        <w:rFonts w:ascii="Wingdings" w:hAnsi="Wingdings" w:hint="default"/>
      </w:rPr>
    </w:lvl>
    <w:lvl w:ilvl="3" w:tplc="7938FD9E" w:tentative="1">
      <w:start w:val="1"/>
      <w:numFmt w:val="bullet"/>
      <w:lvlText w:val="§"/>
      <w:lvlJc w:val="left"/>
      <w:pPr>
        <w:tabs>
          <w:tab w:val="num" w:pos="2880"/>
        </w:tabs>
        <w:ind w:left="2880" w:hanging="360"/>
      </w:pPr>
      <w:rPr>
        <w:rFonts w:ascii="Wingdings" w:hAnsi="Wingdings" w:hint="default"/>
      </w:rPr>
    </w:lvl>
    <w:lvl w:ilvl="4" w:tplc="45FAF8EC" w:tentative="1">
      <w:start w:val="1"/>
      <w:numFmt w:val="bullet"/>
      <w:lvlText w:val="§"/>
      <w:lvlJc w:val="left"/>
      <w:pPr>
        <w:tabs>
          <w:tab w:val="num" w:pos="3600"/>
        </w:tabs>
        <w:ind w:left="3600" w:hanging="360"/>
      </w:pPr>
      <w:rPr>
        <w:rFonts w:ascii="Wingdings" w:hAnsi="Wingdings" w:hint="default"/>
      </w:rPr>
    </w:lvl>
    <w:lvl w:ilvl="5" w:tplc="34C0F81C" w:tentative="1">
      <w:start w:val="1"/>
      <w:numFmt w:val="bullet"/>
      <w:lvlText w:val="§"/>
      <w:lvlJc w:val="left"/>
      <w:pPr>
        <w:tabs>
          <w:tab w:val="num" w:pos="4320"/>
        </w:tabs>
        <w:ind w:left="4320" w:hanging="360"/>
      </w:pPr>
      <w:rPr>
        <w:rFonts w:ascii="Wingdings" w:hAnsi="Wingdings" w:hint="default"/>
      </w:rPr>
    </w:lvl>
    <w:lvl w:ilvl="6" w:tplc="D682F250" w:tentative="1">
      <w:start w:val="1"/>
      <w:numFmt w:val="bullet"/>
      <w:lvlText w:val="§"/>
      <w:lvlJc w:val="left"/>
      <w:pPr>
        <w:tabs>
          <w:tab w:val="num" w:pos="5040"/>
        </w:tabs>
        <w:ind w:left="5040" w:hanging="360"/>
      </w:pPr>
      <w:rPr>
        <w:rFonts w:ascii="Wingdings" w:hAnsi="Wingdings" w:hint="default"/>
      </w:rPr>
    </w:lvl>
    <w:lvl w:ilvl="7" w:tplc="6A42DC9E" w:tentative="1">
      <w:start w:val="1"/>
      <w:numFmt w:val="bullet"/>
      <w:lvlText w:val="§"/>
      <w:lvlJc w:val="left"/>
      <w:pPr>
        <w:tabs>
          <w:tab w:val="num" w:pos="5760"/>
        </w:tabs>
        <w:ind w:left="5760" w:hanging="360"/>
      </w:pPr>
      <w:rPr>
        <w:rFonts w:ascii="Wingdings" w:hAnsi="Wingdings" w:hint="default"/>
      </w:rPr>
    </w:lvl>
    <w:lvl w:ilvl="8" w:tplc="459A8212"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FE369A5"/>
    <w:multiLevelType w:val="hybridMultilevel"/>
    <w:tmpl w:val="3B3020AA"/>
    <w:lvl w:ilvl="0" w:tplc="9A94A772">
      <w:start w:val="1"/>
      <w:numFmt w:val="bullet"/>
      <w:lvlText w:val="o"/>
      <w:lvlJc w:val="left"/>
      <w:pPr>
        <w:tabs>
          <w:tab w:val="num" w:pos="720"/>
        </w:tabs>
        <w:ind w:left="720" w:hanging="360"/>
      </w:pPr>
      <w:rPr>
        <w:rFonts w:ascii="Courier New" w:hAnsi="Courier New" w:hint="default"/>
      </w:rPr>
    </w:lvl>
    <w:lvl w:ilvl="1" w:tplc="386010AC">
      <w:start w:val="1"/>
      <w:numFmt w:val="bullet"/>
      <w:lvlText w:val="o"/>
      <w:lvlJc w:val="left"/>
      <w:pPr>
        <w:tabs>
          <w:tab w:val="num" w:pos="1440"/>
        </w:tabs>
        <w:ind w:left="1440" w:hanging="360"/>
      </w:pPr>
      <w:rPr>
        <w:rFonts w:ascii="Courier New" w:hAnsi="Courier New" w:hint="default"/>
      </w:rPr>
    </w:lvl>
    <w:lvl w:ilvl="2" w:tplc="1A045EF0" w:tentative="1">
      <w:start w:val="1"/>
      <w:numFmt w:val="bullet"/>
      <w:lvlText w:val="o"/>
      <w:lvlJc w:val="left"/>
      <w:pPr>
        <w:tabs>
          <w:tab w:val="num" w:pos="2160"/>
        </w:tabs>
        <w:ind w:left="2160" w:hanging="360"/>
      </w:pPr>
      <w:rPr>
        <w:rFonts w:ascii="Courier New" w:hAnsi="Courier New" w:hint="default"/>
      </w:rPr>
    </w:lvl>
    <w:lvl w:ilvl="3" w:tplc="82428AC2" w:tentative="1">
      <w:start w:val="1"/>
      <w:numFmt w:val="bullet"/>
      <w:lvlText w:val="o"/>
      <w:lvlJc w:val="left"/>
      <w:pPr>
        <w:tabs>
          <w:tab w:val="num" w:pos="2880"/>
        </w:tabs>
        <w:ind w:left="2880" w:hanging="360"/>
      </w:pPr>
      <w:rPr>
        <w:rFonts w:ascii="Courier New" w:hAnsi="Courier New" w:hint="default"/>
      </w:rPr>
    </w:lvl>
    <w:lvl w:ilvl="4" w:tplc="D9BA4A46" w:tentative="1">
      <w:start w:val="1"/>
      <w:numFmt w:val="bullet"/>
      <w:lvlText w:val="o"/>
      <w:lvlJc w:val="left"/>
      <w:pPr>
        <w:tabs>
          <w:tab w:val="num" w:pos="3600"/>
        </w:tabs>
        <w:ind w:left="3600" w:hanging="360"/>
      </w:pPr>
      <w:rPr>
        <w:rFonts w:ascii="Courier New" w:hAnsi="Courier New" w:hint="default"/>
      </w:rPr>
    </w:lvl>
    <w:lvl w:ilvl="5" w:tplc="F3A48CA8" w:tentative="1">
      <w:start w:val="1"/>
      <w:numFmt w:val="bullet"/>
      <w:lvlText w:val="o"/>
      <w:lvlJc w:val="left"/>
      <w:pPr>
        <w:tabs>
          <w:tab w:val="num" w:pos="4320"/>
        </w:tabs>
        <w:ind w:left="4320" w:hanging="360"/>
      </w:pPr>
      <w:rPr>
        <w:rFonts w:ascii="Courier New" w:hAnsi="Courier New" w:hint="default"/>
      </w:rPr>
    </w:lvl>
    <w:lvl w:ilvl="6" w:tplc="77768B72" w:tentative="1">
      <w:start w:val="1"/>
      <w:numFmt w:val="bullet"/>
      <w:lvlText w:val="o"/>
      <w:lvlJc w:val="left"/>
      <w:pPr>
        <w:tabs>
          <w:tab w:val="num" w:pos="5040"/>
        </w:tabs>
        <w:ind w:left="5040" w:hanging="360"/>
      </w:pPr>
      <w:rPr>
        <w:rFonts w:ascii="Courier New" w:hAnsi="Courier New" w:hint="default"/>
      </w:rPr>
    </w:lvl>
    <w:lvl w:ilvl="7" w:tplc="058053C8" w:tentative="1">
      <w:start w:val="1"/>
      <w:numFmt w:val="bullet"/>
      <w:lvlText w:val="o"/>
      <w:lvlJc w:val="left"/>
      <w:pPr>
        <w:tabs>
          <w:tab w:val="num" w:pos="5760"/>
        </w:tabs>
        <w:ind w:left="5760" w:hanging="360"/>
      </w:pPr>
      <w:rPr>
        <w:rFonts w:ascii="Courier New" w:hAnsi="Courier New" w:hint="default"/>
      </w:rPr>
    </w:lvl>
    <w:lvl w:ilvl="8" w:tplc="75EC4DF0" w:tentative="1">
      <w:start w:val="1"/>
      <w:numFmt w:val="bullet"/>
      <w:lvlText w:val="o"/>
      <w:lvlJc w:val="left"/>
      <w:pPr>
        <w:tabs>
          <w:tab w:val="num" w:pos="6480"/>
        </w:tabs>
        <w:ind w:left="6480" w:hanging="360"/>
      </w:pPr>
      <w:rPr>
        <w:rFonts w:ascii="Courier New" w:hAnsi="Courier New" w:hint="default"/>
      </w:rPr>
    </w:lvl>
  </w:abstractNum>
  <w:num w:numId="1" w16cid:durableId="371539952">
    <w:abstractNumId w:val="12"/>
  </w:num>
  <w:num w:numId="2" w16cid:durableId="1700206829">
    <w:abstractNumId w:val="18"/>
  </w:num>
  <w:num w:numId="3" w16cid:durableId="895167972">
    <w:abstractNumId w:val="10"/>
  </w:num>
  <w:num w:numId="4" w16cid:durableId="1011759564">
    <w:abstractNumId w:val="4"/>
  </w:num>
  <w:num w:numId="5" w16cid:durableId="489059889">
    <w:abstractNumId w:val="20"/>
  </w:num>
  <w:num w:numId="6" w16cid:durableId="1701126935">
    <w:abstractNumId w:val="4"/>
  </w:num>
  <w:num w:numId="7" w16cid:durableId="419986843">
    <w:abstractNumId w:val="4"/>
  </w:num>
  <w:num w:numId="8" w16cid:durableId="1427532695">
    <w:abstractNumId w:val="4"/>
  </w:num>
  <w:num w:numId="9" w16cid:durableId="948315411">
    <w:abstractNumId w:val="4"/>
  </w:num>
  <w:num w:numId="10" w16cid:durableId="2010908290">
    <w:abstractNumId w:val="4"/>
  </w:num>
  <w:num w:numId="11" w16cid:durableId="716471788">
    <w:abstractNumId w:val="20"/>
  </w:num>
  <w:num w:numId="12" w16cid:durableId="594440341">
    <w:abstractNumId w:val="28"/>
  </w:num>
  <w:num w:numId="13" w16cid:durableId="1305890725">
    <w:abstractNumId w:val="29"/>
  </w:num>
  <w:num w:numId="14" w16cid:durableId="713969061">
    <w:abstractNumId w:val="14"/>
  </w:num>
  <w:num w:numId="15" w16cid:durableId="2078554703">
    <w:abstractNumId w:val="9"/>
  </w:num>
  <w:num w:numId="16" w16cid:durableId="1162812332">
    <w:abstractNumId w:val="0"/>
  </w:num>
  <w:num w:numId="17" w16cid:durableId="1785080030">
    <w:abstractNumId w:val="32"/>
  </w:num>
  <w:num w:numId="18" w16cid:durableId="2048067803">
    <w:abstractNumId w:val="27"/>
  </w:num>
  <w:num w:numId="19" w16cid:durableId="49546599">
    <w:abstractNumId w:val="26"/>
  </w:num>
  <w:num w:numId="20" w16cid:durableId="734396645">
    <w:abstractNumId w:val="17"/>
  </w:num>
  <w:num w:numId="21" w16cid:durableId="1003313599">
    <w:abstractNumId w:val="31"/>
  </w:num>
  <w:num w:numId="22" w16cid:durableId="371851782">
    <w:abstractNumId w:val="15"/>
  </w:num>
  <w:num w:numId="23" w16cid:durableId="707678830">
    <w:abstractNumId w:val="8"/>
  </w:num>
  <w:num w:numId="24" w16cid:durableId="1072048075">
    <w:abstractNumId w:val="2"/>
  </w:num>
  <w:num w:numId="25" w16cid:durableId="464739074">
    <w:abstractNumId w:val="13"/>
  </w:num>
  <w:num w:numId="26" w16cid:durableId="1170949525">
    <w:abstractNumId w:val="6"/>
  </w:num>
  <w:num w:numId="27" w16cid:durableId="1625304080">
    <w:abstractNumId w:val="24"/>
  </w:num>
  <w:num w:numId="28" w16cid:durableId="52580483">
    <w:abstractNumId w:val="33"/>
  </w:num>
  <w:num w:numId="29" w16cid:durableId="856576396">
    <w:abstractNumId w:val="1"/>
  </w:num>
  <w:num w:numId="30" w16cid:durableId="729964753">
    <w:abstractNumId w:val="23"/>
  </w:num>
  <w:num w:numId="31" w16cid:durableId="1089543388">
    <w:abstractNumId w:val="16"/>
  </w:num>
  <w:num w:numId="32" w16cid:durableId="621348326">
    <w:abstractNumId w:val="22"/>
  </w:num>
  <w:num w:numId="33" w16cid:durableId="672682586">
    <w:abstractNumId w:val="7"/>
  </w:num>
  <w:num w:numId="34" w16cid:durableId="1467312328">
    <w:abstractNumId w:val="5"/>
  </w:num>
  <w:num w:numId="35" w16cid:durableId="555166525">
    <w:abstractNumId w:val="11"/>
  </w:num>
  <w:num w:numId="36" w16cid:durableId="264582959">
    <w:abstractNumId w:val="3"/>
  </w:num>
  <w:num w:numId="37" w16cid:durableId="1458790131">
    <w:abstractNumId w:val="25"/>
  </w:num>
  <w:num w:numId="38" w16cid:durableId="961770445">
    <w:abstractNumId w:val="35"/>
  </w:num>
  <w:num w:numId="39" w16cid:durableId="1248617419">
    <w:abstractNumId w:val="34"/>
  </w:num>
  <w:num w:numId="40" w16cid:durableId="1380009268">
    <w:abstractNumId w:val="30"/>
  </w:num>
  <w:num w:numId="41" w16cid:durableId="1385449131">
    <w:abstractNumId w:val="19"/>
  </w:num>
  <w:num w:numId="42" w16cid:durableId="7278005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71D9"/>
    <w:rsid w:val="000307A4"/>
    <w:rsid w:val="0004388F"/>
    <w:rsid w:val="000503CF"/>
    <w:rsid w:val="00057EB1"/>
    <w:rsid w:val="00066E40"/>
    <w:rsid w:val="00076B17"/>
    <w:rsid w:val="0009624A"/>
    <w:rsid w:val="000D1FE6"/>
    <w:rsid w:val="000D44E8"/>
    <w:rsid w:val="001171D9"/>
    <w:rsid w:val="00160360"/>
    <w:rsid w:val="0016448C"/>
    <w:rsid w:val="00180E41"/>
    <w:rsid w:val="001A1354"/>
    <w:rsid w:val="001C521F"/>
    <w:rsid w:val="001F748D"/>
    <w:rsid w:val="00205EBC"/>
    <w:rsid w:val="00213E9D"/>
    <w:rsid w:val="00275909"/>
    <w:rsid w:val="002875AD"/>
    <w:rsid w:val="0030066D"/>
    <w:rsid w:val="00357E0C"/>
    <w:rsid w:val="00361C4C"/>
    <w:rsid w:val="003B4A9C"/>
    <w:rsid w:val="003C3D3D"/>
    <w:rsid w:val="003E3865"/>
    <w:rsid w:val="003E53F7"/>
    <w:rsid w:val="003F52BD"/>
    <w:rsid w:val="00401AA9"/>
    <w:rsid w:val="0041560A"/>
    <w:rsid w:val="00425764"/>
    <w:rsid w:val="00454823"/>
    <w:rsid w:val="0047418B"/>
    <w:rsid w:val="004C76C7"/>
    <w:rsid w:val="004D1241"/>
    <w:rsid w:val="004D3773"/>
    <w:rsid w:val="004E2A11"/>
    <w:rsid w:val="00550A90"/>
    <w:rsid w:val="005A07F8"/>
    <w:rsid w:val="005E3CCC"/>
    <w:rsid w:val="0061480B"/>
    <w:rsid w:val="00631F18"/>
    <w:rsid w:val="00633932"/>
    <w:rsid w:val="00645F9C"/>
    <w:rsid w:val="006644B1"/>
    <w:rsid w:val="00683725"/>
    <w:rsid w:val="006A73E2"/>
    <w:rsid w:val="006C7468"/>
    <w:rsid w:val="007076B4"/>
    <w:rsid w:val="00731542"/>
    <w:rsid w:val="00732CF3"/>
    <w:rsid w:val="007C2853"/>
    <w:rsid w:val="007D1A15"/>
    <w:rsid w:val="007E1F67"/>
    <w:rsid w:val="007E1FF7"/>
    <w:rsid w:val="007F0C60"/>
    <w:rsid w:val="007F28A0"/>
    <w:rsid w:val="008302E1"/>
    <w:rsid w:val="00830345"/>
    <w:rsid w:val="00873C0F"/>
    <w:rsid w:val="00883ED2"/>
    <w:rsid w:val="008C1A9D"/>
    <w:rsid w:val="008D3D7C"/>
    <w:rsid w:val="008E1EA2"/>
    <w:rsid w:val="009046E6"/>
    <w:rsid w:val="00906BE5"/>
    <w:rsid w:val="00957522"/>
    <w:rsid w:val="00964837"/>
    <w:rsid w:val="009649EF"/>
    <w:rsid w:val="00993451"/>
    <w:rsid w:val="009A1934"/>
    <w:rsid w:val="009A4D99"/>
    <w:rsid w:val="009B3FD6"/>
    <w:rsid w:val="009E1613"/>
    <w:rsid w:val="009E6D78"/>
    <w:rsid w:val="00A02528"/>
    <w:rsid w:val="00A401E8"/>
    <w:rsid w:val="00A44194"/>
    <w:rsid w:val="00A52C7B"/>
    <w:rsid w:val="00A7036B"/>
    <w:rsid w:val="00A812B6"/>
    <w:rsid w:val="00A90322"/>
    <w:rsid w:val="00A975B1"/>
    <w:rsid w:val="00AD513B"/>
    <w:rsid w:val="00AE1899"/>
    <w:rsid w:val="00AE71B7"/>
    <w:rsid w:val="00AF48AB"/>
    <w:rsid w:val="00B230A2"/>
    <w:rsid w:val="00B72D0F"/>
    <w:rsid w:val="00B867CE"/>
    <w:rsid w:val="00B91090"/>
    <w:rsid w:val="00BB03F1"/>
    <w:rsid w:val="00BD74DB"/>
    <w:rsid w:val="00C01C57"/>
    <w:rsid w:val="00C8220B"/>
    <w:rsid w:val="00C94392"/>
    <w:rsid w:val="00CC72D6"/>
    <w:rsid w:val="00D36B5F"/>
    <w:rsid w:val="00D45251"/>
    <w:rsid w:val="00D8391E"/>
    <w:rsid w:val="00DD5766"/>
    <w:rsid w:val="00DE0E2F"/>
    <w:rsid w:val="00E25EFA"/>
    <w:rsid w:val="00E37429"/>
    <w:rsid w:val="00E52E20"/>
    <w:rsid w:val="00E54F96"/>
    <w:rsid w:val="00E653C7"/>
    <w:rsid w:val="00E77F3C"/>
    <w:rsid w:val="00E94748"/>
    <w:rsid w:val="00EF1A7C"/>
    <w:rsid w:val="00F45E12"/>
    <w:rsid w:val="00F54F53"/>
    <w:rsid w:val="00F63931"/>
    <w:rsid w:val="00FA013B"/>
    <w:rsid w:val="00FE6A9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6D0CA9"/>
  <w15:chartTrackingRefBased/>
  <w15:docId w15:val="{CEFC92B0-43C8-9E48-94A8-11C628B07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CA"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71D9"/>
  </w:style>
  <w:style w:type="paragraph" w:styleId="Heading1">
    <w:name w:val="heading 1"/>
    <w:basedOn w:val="Normal"/>
    <w:next w:val="Normal"/>
    <w:link w:val="Heading1Char"/>
    <w:rsid w:val="00B72D0F"/>
    <w:pPr>
      <w:keepNext/>
      <w:keepLines/>
      <w:spacing w:before="400" w:after="120" w:line="276" w:lineRule="auto"/>
      <w:outlineLvl w:val="0"/>
    </w:pPr>
    <w:rPr>
      <w:rFonts w:ascii="Times New Roman" w:eastAsia="Arial" w:hAnsi="Times New Roman" w:cs="Arial"/>
      <w:szCs w:val="40"/>
      <w:lang w:val="en" w:eastAsia="en-CA"/>
    </w:rPr>
  </w:style>
  <w:style w:type="paragraph" w:styleId="Heading2">
    <w:name w:val="heading 2"/>
    <w:aliases w:val="1.1. Heading 2"/>
    <w:basedOn w:val="Normal"/>
    <w:next w:val="Normal"/>
    <w:link w:val="Heading2Char"/>
    <w:autoRedefine/>
    <w:uiPriority w:val="9"/>
    <w:unhideWhenUsed/>
    <w:qFormat/>
    <w:rsid w:val="00E54F96"/>
    <w:pPr>
      <w:keepNext/>
      <w:keepLines/>
      <w:numPr>
        <w:ilvl w:val="2"/>
        <w:numId w:val="36"/>
      </w:numPr>
      <w:spacing w:line="480" w:lineRule="auto"/>
      <w:outlineLvl w:val="1"/>
    </w:pPr>
    <w:rPr>
      <w:rFonts w:ascii="Times New Roman" w:eastAsiaTheme="majorEastAsia" w:hAnsi="Times New Roman" w:cstheme="majorBidi"/>
      <w:color w:val="000000" w:themeColor="text1"/>
      <w:szCs w:val="26"/>
    </w:rPr>
  </w:style>
  <w:style w:type="paragraph" w:styleId="Heading3">
    <w:name w:val="heading 3"/>
    <w:aliases w:val="1.6.1. Heading 3"/>
    <w:basedOn w:val="Chapterlevel2"/>
    <w:next w:val="Normal"/>
    <w:link w:val="Heading3Char"/>
    <w:uiPriority w:val="9"/>
    <w:unhideWhenUsed/>
    <w:qFormat/>
    <w:rsid w:val="00B72D0F"/>
    <w:pPr>
      <w:numPr>
        <w:ilvl w:val="2"/>
        <w:numId w:val="12"/>
      </w:numPr>
      <w:spacing w:before="280" w:after="240"/>
      <w:ind w:left="0" w:firstLine="0"/>
      <w:outlineLvl w:val="2"/>
    </w:pPr>
    <w:rPr>
      <w:i/>
      <w:kern w:val="2"/>
      <w14:ligatures w14:val="standardContextual"/>
    </w:rPr>
  </w:style>
  <w:style w:type="paragraph" w:styleId="Heading4">
    <w:name w:val="heading 4"/>
    <w:basedOn w:val="Normal"/>
    <w:next w:val="Normal"/>
    <w:link w:val="Heading4Char"/>
    <w:uiPriority w:val="9"/>
    <w:semiHidden/>
    <w:unhideWhenUsed/>
    <w:qFormat/>
    <w:rsid w:val="00D8391E"/>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ListTable3-Accent3">
    <w:name w:val="List Table 3 Accent 3"/>
    <w:basedOn w:val="TableNormal"/>
    <w:uiPriority w:val="48"/>
    <w:rsid w:val="00DE0E2F"/>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character" w:customStyle="1" w:styleId="Heading1Char">
    <w:name w:val="Heading 1 Char"/>
    <w:link w:val="Heading1"/>
    <w:rsid w:val="00CC72D6"/>
    <w:rPr>
      <w:rFonts w:ascii="Times New Roman" w:eastAsia="Arial" w:hAnsi="Times New Roman" w:cs="Arial"/>
      <w:szCs w:val="40"/>
      <w:lang w:val="en" w:eastAsia="en-CA"/>
    </w:rPr>
  </w:style>
  <w:style w:type="paragraph" w:customStyle="1" w:styleId="Style3">
    <w:name w:val="Style3"/>
    <w:basedOn w:val="Normal"/>
    <w:autoRedefine/>
    <w:qFormat/>
    <w:rsid w:val="00CC72D6"/>
    <w:rPr>
      <w:rFonts w:ascii="Times New Roman" w:hAnsi="Times New Roman" w:cs="Times New Roman"/>
    </w:rPr>
  </w:style>
  <w:style w:type="paragraph" w:styleId="Subtitle">
    <w:name w:val="Subtitle"/>
    <w:basedOn w:val="Normal"/>
    <w:next w:val="Normal"/>
    <w:link w:val="SubtitleChar"/>
    <w:autoRedefine/>
    <w:qFormat/>
    <w:rsid w:val="005A07F8"/>
    <w:pPr>
      <w:numPr>
        <w:ilvl w:val="1"/>
        <w:numId w:val="3"/>
      </w:numPr>
      <w:spacing w:after="160" w:line="259" w:lineRule="auto"/>
      <w:ind w:left="1146"/>
    </w:pPr>
    <w:rPr>
      <w:rFonts w:ascii="Times New Roman" w:eastAsiaTheme="minorEastAsia" w:hAnsi="Times New Roman"/>
      <w:spacing w:val="15"/>
      <w:szCs w:val="22"/>
    </w:rPr>
  </w:style>
  <w:style w:type="character" w:customStyle="1" w:styleId="SubtitleChar">
    <w:name w:val="Subtitle Char"/>
    <w:basedOn w:val="DefaultParagraphFont"/>
    <w:link w:val="Subtitle"/>
    <w:rsid w:val="005A07F8"/>
    <w:rPr>
      <w:rFonts w:ascii="Times New Roman" w:eastAsiaTheme="minorEastAsia" w:hAnsi="Times New Roman"/>
      <w:spacing w:val="15"/>
      <w:szCs w:val="22"/>
    </w:rPr>
  </w:style>
  <w:style w:type="numbering" w:customStyle="1" w:styleId="Chapter">
    <w:name w:val="Chapter"/>
    <w:uiPriority w:val="99"/>
    <w:rsid w:val="005A07F8"/>
    <w:pPr>
      <w:numPr>
        <w:numId w:val="2"/>
      </w:numPr>
    </w:pPr>
  </w:style>
  <w:style w:type="character" w:customStyle="1" w:styleId="ChapterChar">
    <w:name w:val="Chapter Char"/>
    <w:basedOn w:val="Heading1Char"/>
    <w:rsid w:val="0030066D"/>
    <w:rPr>
      <w:rFonts w:ascii="Times New Roman" w:eastAsiaTheme="majorEastAsia" w:hAnsi="Times New Roman" w:cstheme="majorBidi"/>
      <w:b/>
      <w:color w:val="000000" w:themeColor="text1"/>
      <w:sz w:val="32"/>
      <w:szCs w:val="32"/>
      <w:lang w:val="en" w:eastAsia="en-CA"/>
    </w:rPr>
  </w:style>
  <w:style w:type="paragraph" w:customStyle="1" w:styleId="Chapterlevel2">
    <w:name w:val="Chapter level 2"/>
    <w:basedOn w:val="Heading2"/>
    <w:next w:val="Heading2"/>
    <w:autoRedefine/>
    <w:qFormat/>
    <w:rsid w:val="00E54F96"/>
    <w:pPr>
      <w:numPr>
        <w:ilvl w:val="1"/>
      </w:numPr>
      <w:tabs>
        <w:tab w:val="decimal" w:pos="1701"/>
      </w:tabs>
    </w:pPr>
    <w:rPr>
      <w:kern w:val="0"/>
      <w14:ligatures w14:val="none"/>
    </w:rPr>
  </w:style>
  <w:style w:type="character" w:customStyle="1" w:styleId="Heading2Char">
    <w:name w:val="Heading 2 Char"/>
    <w:aliases w:val="1.1. Heading 2 Char"/>
    <w:basedOn w:val="DefaultParagraphFont"/>
    <w:link w:val="Heading2"/>
    <w:uiPriority w:val="9"/>
    <w:rsid w:val="00E54F96"/>
    <w:rPr>
      <w:rFonts w:ascii="Times New Roman" w:eastAsiaTheme="majorEastAsia" w:hAnsi="Times New Roman" w:cstheme="majorBidi"/>
      <w:color w:val="000000" w:themeColor="text1"/>
      <w:szCs w:val="26"/>
    </w:rPr>
  </w:style>
  <w:style w:type="character" w:customStyle="1" w:styleId="Heading3Char">
    <w:name w:val="Heading 3 Char"/>
    <w:aliases w:val="1.6.1. Heading 3 Char"/>
    <w:basedOn w:val="DefaultParagraphFont"/>
    <w:link w:val="Heading3"/>
    <w:uiPriority w:val="9"/>
    <w:rsid w:val="00B72D0F"/>
    <w:rPr>
      <w:rFonts w:ascii="Times New Roman" w:eastAsiaTheme="majorEastAsia" w:hAnsi="Times New Roman" w:cstheme="majorBidi"/>
      <w:i/>
      <w:color w:val="000000" w:themeColor="text1"/>
      <w:szCs w:val="26"/>
    </w:rPr>
  </w:style>
  <w:style w:type="paragraph" w:styleId="Revision">
    <w:name w:val="Revision"/>
    <w:hidden/>
    <w:uiPriority w:val="99"/>
    <w:semiHidden/>
    <w:rsid w:val="007C2853"/>
  </w:style>
  <w:style w:type="paragraph" w:styleId="ListParagraph">
    <w:name w:val="List Paragraph"/>
    <w:basedOn w:val="Normal"/>
    <w:uiPriority w:val="34"/>
    <w:qFormat/>
    <w:rsid w:val="00160360"/>
    <w:pPr>
      <w:ind w:left="720"/>
      <w:contextualSpacing/>
    </w:pPr>
  </w:style>
  <w:style w:type="paragraph" w:styleId="Footer">
    <w:name w:val="footer"/>
    <w:basedOn w:val="Normal"/>
    <w:link w:val="FooterChar"/>
    <w:uiPriority w:val="99"/>
    <w:unhideWhenUsed/>
    <w:rsid w:val="00A02528"/>
    <w:pPr>
      <w:tabs>
        <w:tab w:val="center" w:pos="4680"/>
        <w:tab w:val="right" w:pos="9360"/>
      </w:tabs>
    </w:pPr>
  </w:style>
  <w:style w:type="character" w:customStyle="1" w:styleId="FooterChar">
    <w:name w:val="Footer Char"/>
    <w:basedOn w:val="DefaultParagraphFont"/>
    <w:link w:val="Footer"/>
    <w:uiPriority w:val="99"/>
    <w:rsid w:val="00A02528"/>
  </w:style>
  <w:style w:type="character" w:styleId="PageNumber">
    <w:name w:val="page number"/>
    <w:basedOn w:val="DefaultParagraphFont"/>
    <w:uiPriority w:val="99"/>
    <w:semiHidden/>
    <w:unhideWhenUsed/>
    <w:rsid w:val="00A02528"/>
  </w:style>
  <w:style w:type="paragraph" w:styleId="NormalWeb">
    <w:name w:val="Normal (Web)"/>
    <w:basedOn w:val="Normal"/>
    <w:uiPriority w:val="99"/>
    <w:semiHidden/>
    <w:unhideWhenUsed/>
    <w:rsid w:val="003B4A9C"/>
    <w:rPr>
      <w:rFonts w:ascii="Times New Roman" w:hAnsi="Times New Roman" w:cs="Times New Roman"/>
    </w:rPr>
  </w:style>
  <w:style w:type="paragraph" w:styleId="Bibliography">
    <w:name w:val="Bibliography"/>
    <w:basedOn w:val="Normal"/>
    <w:next w:val="Normal"/>
    <w:uiPriority w:val="37"/>
    <w:unhideWhenUsed/>
    <w:rsid w:val="00906BE5"/>
    <w:pPr>
      <w:tabs>
        <w:tab w:val="left" w:pos="380"/>
      </w:tabs>
      <w:spacing w:after="240"/>
      <w:ind w:left="384" w:hanging="384"/>
    </w:pPr>
  </w:style>
  <w:style w:type="character" w:customStyle="1" w:styleId="Heading4Char">
    <w:name w:val="Heading 4 Char"/>
    <w:basedOn w:val="DefaultParagraphFont"/>
    <w:link w:val="Heading4"/>
    <w:uiPriority w:val="9"/>
    <w:semiHidden/>
    <w:rsid w:val="00D8391E"/>
    <w:rPr>
      <w:rFonts w:asciiTheme="majorHAnsi" w:eastAsiaTheme="majorEastAsia" w:hAnsiTheme="majorHAnsi" w:cstheme="majorBidi"/>
      <w:i/>
      <w:iCs/>
      <w:color w:val="2F5496" w:themeColor="accent1" w:themeShade="BF"/>
    </w:rPr>
  </w:style>
  <w:style w:type="table" w:styleId="TableGrid">
    <w:name w:val="Table Grid"/>
    <w:basedOn w:val="TableNormal"/>
    <w:uiPriority w:val="39"/>
    <w:rsid w:val="00BD74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191411">
      <w:bodyDiv w:val="1"/>
      <w:marLeft w:val="0"/>
      <w:marRight w:val="0"/>
      <w:marTop w:val="0"/>
      <w:marBottom w:val="0"/>
      <w:divBdr>
        <w:top w:val="none" w:sz="0" w:space="0" w:color="auto"/>
        <w:left w:val="none" w:sz="0" w:space="0" w:color="auto"/>
        <w:bottom w:val="none" w:sz="0" w:space="0" w:color="auto"/>
        <w:right w:val="none" w:sz="0" w:space="0" w:color="auto"/>
      </w:divBdr>
    </w:div>
    <w:div w:id="213931016">
      <w:bodyDiv w:val="1"/>
      <w:marLeft w:val="0"/>
      <w:marRight w:val="0"/>
      <w:marTop w:val="0"/>
      <w:marBottom w:val="0"/>
      <w:divBdr>
        <w:top w:val="none" w:sz="0" w:space="0" w:color="auto"/>
        <w:left w:val="none" w:sz="0" w:space="0" w:color="auto"/>
        <w:bottom w:val="none" w:sz="0" w:space="0" w:color="auto"/>
        <w:right w:val="none" w:sz="0" w:space="0" w:color="auto"/>
      </w:divBdr>
      <w:divsChild>
        <w:div w:id="1462963291">
          <w:marLeft w:val="0"/>
          <w:marRight w:val="0"/>
          <w:marTop w:val="0"/>
          <w:marBottom w:val="0"/>
          <w:divBdr>
            <w:top w:val="none" w:sz="0" w:space="0" w:color="auto"/>
            <w:left w:val="none" w:sz="0" w:space="0" w:color="auto"/>
            <w:bottom w:val="none" w:sz="0" w:space="0" w:color="auto"/>
            <w:right w:val="none" w:sz="0" w:space="0" w:color="auto"/>
          </w:divBdr>
          <w:divsChild>
            <w:div w:id="1246259433">
              <w:marLeft w:val="0"/>
              <w:marRight w:val="0"/>
              <w:marTop w:val="0"/>
              <w:marBottom w:val="0"/>
              <w:divBdr>
                <w:top w:val="none" w:sz="0" w:space="0" w:color="auto"/>
                <w:left w:val="none" w:sz="0" w:space="0" w:color="auto"/>
                <w:bottom w:val="none" w:sz="0" w:space="0" w:color="auto"/>
                <w:right w:val="none" w:sz="0" w:space="0" w:color="auto"/>
              </w:divBdr>
              <w:divsChild>
                <w:div w:id="1621262133">
                  <w:marLeft w:val="0"/>
                  <w:marRight w:val="0"/>
                  <w:marTop w:val="0"/>
                  <w:marBottom w:val="0"/>
                  <w:divBdr>
                    <w:top w:val="none" w:sz="0" w:space="0" w:color="auto"/>
                    <w:left w:val="none" w:sz="0" w:space="0" w:color="auto"/>
                    <w:bottom w:val="none" w:sz="0" w:space="0" w:color="auto"/>
                    <w:right w:val="none" w:sz="0" w:space="0" w:color="auto"/>
                  </w:divBdr>
                  <w:divsChild>
                    <w:div w:id="1414009730">
                      <w:marLeft w:val="0"/>
                      <w:marRight w:val="0"/>
                      <w:marTop w:val="0"/>
                      <w:marBottom w:val="0"/>
                      <w:divBdr>
                        <w:top w:val="none" w:sz="0" w:space="0" w:color="auto"/>
                        <w:left w:val="none" w:sz="0" w:space="0" w:color="auto"/>
                        <w:bottom w:val="none" w:sz="0" w:space="0" w:color="auto"/>
                        <w:right w:val="none" w:sz="0" w:space="0" w:color="auto"/>
                      </w:divBdr>
                      <w:divsChild>
                        <w:div w:id="1045521287">
                          <w:marLeft w:val="0"/>
                          <w:marRight w:val="0"/>
                          <w:marTop w:val="0"/>
                          <w:marBottom w:val="0"/>
                          <w:divBdr>
                            <w:top w:val="none" w:sz="0" w:space="0" w:color="auto"/>
                            <w:left w:val="none" w:sz="0" w:space="0" w:color="auto"/>
                            <w:bottom w:val="none" w:sz="0" w:space="0" w:color="auto"/>
                            <w:right w:val="none" w:sz="0" w:space="0" w:color="auto"/>
                          </w:divBdr>
                          <w:divsChild>
                            <w:div w:id="1665162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0212341">
      <w:bodyDiv w:val="1"/>
      <w:marLeft w:val="0"/>
      <w:marRight w:val="0"/>
      <w:marTop w:val="0"/>
      <w:marBottom w:val="0"/>
      <w:divBdr>
        <w:top w:val="none" w:sz="0" w:space="0" w:color="auto"/>
        <w:left w:val="none" w:sz="0" w:space="0" w:color="auto"/>
        <w:bottom w:val="none" w:sz="0" w:space="0" w:color="auto"/>
        <w:right w:val="none" w:sz="0" w:space="0" w:color="auto"/>
      </w:divBdr>
    </w:div>
    <w:div w:id="284435405">
      <w:bodyDiv w:val="1"/>
      <w:marLeft w:val="0"/>
      <w:marRight w:val="0"/>
      <w:marTop w:val="0"/>
      <w:marBottom w:val="0"/>
      <w:divBdr>
        <w:top w:val="none" w:sz="0" w:space="0" w:color="auto"/>
        <w:left w:val="none" w:sz="0" w:space="0" w:color="auto"/>
        <w:bottom w:val="none" w:sz="0" w:space="0" w:color="auto"/>
        <w:right w:val="none" w:sz="0" w:space="0" w:color="auto"/>
      </w:divBdr>
    </w:div>
    <w:div w:id="290553777">
      <w:bodyDiv w:val="1"/>
      <w:marLeft w:val="0"/>
      <w:marRight w:val="0"/>
      <w:marTop w:val="0"/>
      <w:marBottom w:val="0"/>
      <w:divBdr>
        <w:top w:val="none" w:sz="0" w:space="0" w:color="auto"/>
        <w:left w:val="none" w:sz="0" w:space="0" w:color="auto"/>
        <w:bottom w:val="none" w:sz="0" w:space="0" w:color="auto"/>
        <w:right w:val="none" w:sz="0" w:space="0" w:color="auto"/>
      </w:divBdr>
    </w:div>
    <w:div w:id="325938008">
      <w:bodyDiv w:val="1"/>
      <w:marLeft w:val="0"/>
      <w:marRight w:val="0"/>
      <w:marTop w:val="0"/>
      <w:marBottom w:val="0"/>
      <w:divBdr>
        <w:top w:val="none" w:sz="0" w:space="0" w:color="auto"/>
        <w:left w:val="none" w:sz="0" w:space="0" w:color="auto"/>
        <w:bottom w:val="none" w:sz="0" w:space="0" w:color="auto"/>
        <w:right w:val="none" w:sz="0" w:space="0" w:color="auto"/>
      </w:divBdr>
    </w:div>
    <w:div w:id="344747473">
      <w:bodyDiv w:val="1"/>
      <w:marLeft w:val="0"/>
      <w:marRight w:val="0"/>
      <w:marTop w:val="0"/>
      <w:marBottom w:val="0"/>
      <w:divBdr>
        <w:top w:val="none" w:sz="0" w:space="0" w:color="auto"/>
        <w:left w:val="none" w:sz="0" w:space="0" w:color="auto"/>
        <w:bottom w:val="none" w:sz="0" w:space="0" w:color="auto"/>
        <w:right w:val="none" w:sz="0" w:space="0" w:color="auto"/>
      </w:divBdr>
      <w:divsChild>
        <w:div w:id="53282266">
          <w:marLeft w:val="0"/>
          <w:marRight w:val="0"/>
          <w:marTop w:val="0"/>
          <w:marBottom w:val="0"/>
          <w:divBdr>
            <w:top w:val="none" w:sz="0" w:space="0" w:color="auto"/>
            <w:left w:val="none" w:sz="0" w:space="0" w:color="auto"/>
            <w:bottom w:val="none" w:sz="0" w:space="0" w:color="auto"/>
            <w:right w:val="none" w:sz="0" w:space="0" w:color="auto"/>
          </w:divBdr>
          <w:divsChild>
            <w:div w:id="2131781613">
              <w:marLeft w:val="0"/>
              <w:marRight w:val="0"/>
              <w:marTop w:val="0"/>
              <w:marBottom w:val="0"/>
              <w:divBdr>
                <w:top w:val="none" w:sz="0" w:space="0" w:color="auto"/>
                <w:left w:val="none" w:sz="0" w:space="0" w:color="auto"/>
                <w:bottom w:val="none" w:sz="0" w:space="0" w:color="auto"/>
                <w:right w:val="none" w:sz="0" w:space="0" w:color="auto"/>
              </w:divBdr>
              <w:divsChild>
                <w:div w:id="514660053">
                  <w:marLeft w:val="0"/>
                  <w:marRight w:val="0"/>
                  <w:marTop w:val="0"/>
                  <w:marBottom w:val="0"/>
                  <w:divBdr>
                    <w:top w:val="none" w:sz="0" w:space="0" w:color="auto"/>
                    <w:left w:val="none" w:sz="0" w:space="0" w:color="auto"/>
                    <w:bottom w:val="none" w:sz="0" w:space="0" w:color="auto"/>
                    <w:right w:val="none" w:sz="0" w:space="0" w:color="auto"/>
                  </w:divBdr>
                  <w:divsChild>
                    <w:div w:id="1389958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7041055">
          <w:marLeft w:val="0"/>
          <w:marRight w:val="0"/>
          <w:marTop w:val="0"/>
          <w:marBottom w:val="0"/>
          <w:divBdr>
            <w:top w:val="none" w:sz="0" w:space="0" w:color="auto"/>
            <w:left w:val="none" w:sz="0" w:space="0" w:color="auto"/>
            <w:bottom w:val="none" w:sz="0" w:space="0" w:color="auto"/>
            <w:right w:val="none" w:sz="0" w:space="0" w:color="auto"/>
          </w:divBdr>
          <w:divsChild>
            <w:div w:id="942801804">
              <w:marLeft w:val="0"/>
              <w:marRight w:val="0"/>
              <w:marTop w:val="0"/>
              <w:marBottom w:val="0"/>
              <w:divBdr>
                <w:top w:val="none" w:sz="0" w:space="0" w:color="auto"/>
                <w:left w:val="none" w:sz="0" w:space="0" w:color="auto"/>
                <w:bottom w:val="none" w:sz="0" w:space="0" w:color="auto"/>
                <w:right w:val="none" w:sz="0" w:space="0" w:color="auto"/>
              </w:divBdr>
              <w:divsChild>
                <w:div w:id="1734696424">
                  <w:marLeft w:val="0"/>
                  <w:marRight w:val="0"/>
                  <w:marTop w:val="0"/>
                  <w:marBottom w:val="0"/>
                  <w:divBdr>
                    <w:top w:val="none" w:sz="0" w:space="0" w:color="auto"/>
                    <w:left w:val="none" w:sz="0" w:space="0" w:color="auto"/>
                    <w:bottom w:val="none" w:sz="0" w:space="0" w:color="auto"/>
                    <w:right w:val="none" w:sz="0" w:space="0" w:color="auto"/>
                  </w:divBdr>
                  <w:divsChild>
                    <w:div w:id="1925645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1079259">
      <w:bodyDiv w:val="1"/>
      <w:marLeft w:val="0"/>
      <w:marRight w:val="0"/>
      <w:marTop w:val="0"/>
      <w:marBottom w:val="0"/>
      <w:divBdr>
        <w:top w:val="none" w:sz="0" w:space="0" w:color="auto"/>
        <w:left w:val="none" w:sz="0" w:space="0" w:color="auto"/>
        <w:bottom w:val="none" w:sz="0" w:space="0" w:color="auto"/>
        <w:right w:val="none" w:sz="0" w:space="0" w:color="auto"/>
      </w:divBdr>
      <w:divsChild>
        <w:div w:id="1462960914">
          <w:marLeft w:val="0"/>
          <w:marRight w:val="0"/>
          <w:marTop w:val="0"/>
          <w:marBottom w:val="0"/>
          <w:divBdr>
            <w:top w:val="none" w:sz="0" w:space="0" w:color="auto"/>
            <w:left w:val="none" w:sz="0" w:space="0" w:color="auto"/>
            <w:bottom w:val="none" w:sz="0" w:space="0" w:color="auto"/>
            <w:right w:val="none" w:sz="0" w:space="0" w:color="auto"/>
          </w:divBdr>
          <w:divsChild>
            <w:div w:id="1469007779">
              <w:marLeft w:val="0"/>
              <w:marRight w:val="0"/>
              <w:marTop w:val="0"/>
              <w:marBottom w:val="0"/>
              <w:divBdr>
                <w:top w:val="none" w:sz="0" w:space="0" w:color="auto"/>
                <w:left w:val="none" w:sz="0" w:space="0" w:color="auto"/>
                <w:bottom w:val="none" w:sz="0" w:space="0" w:color="auto"/>
                <w:right w:val="none" w:sz="0" w:space="0" w:color="auto"/>
              </w:divBdr>
              <w:divsChild>
                <w:div w:id="2117092706">
                  <w:marLeft w:val="0"/>
                  <w:marRight w:val="0"/>
                  <w:marTop w:val="0"/>
                  <w:marBottom w:val="0"/>
                  <w:divBdr>
                    <w:top w:val="none" w:sz="0" w:space="0" w:color="auto"/>
                    <w:left w:val="none" w:sz="0" w:space="0" w:color="auto"/>
                    <w:bottom w:val="none" w:sz="0" w:space="0" w:color="auto"/>
                    <w:right w:val="none" w:sz="0" w:space="0" w:color="auto"/>
                  </w:divBdr>
                  <w:divsChild>
                    <w:div w:id="56246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7634857">
          <w:marLeft w:val="0"/>
          <w:marRight w:val="0"/>
          <w:marTop w:val="0"/>
          <w:marBottom w:val="0"/>
          <w:divBdr>
            <w:top w:val="none" w:sz="0" w:space="0" w:color="auto"/>
            <w:left w:val="none" w:sz="0" w:space="0" w:color="auto"/>
            <w:bottom w:val="none" w:sz="0" w:space="0" w:color="auto"/>
            <w:right w:val="none" w:sz="0" w:space="0" w:color="auto"/>
          </w:divBdr>
          <w:divsChild>
            <w:div w:id="1631936677">
              <w:marLeft w:val="0"/>
              <w:marRight w:val="0"/>
              <w:marTop w:val="0"/>
              <w:marBottom w:val="0"/>
              <w:divBdr>
                <w:top w:val="none" w:sz="0" w:space="0" w:color="auto"/>
                <w:left w:val="none" w:sz="0" w:space="0" w:color="auto"/>
                <w:bottom w:val="none" w:sz="0" w:space="0" w:color="auto"/>
                <w:right w:val="none" w:sz="0" w:space="0" w:color="auto"/>
              </w:divBdr>
              <w:divsChild>
                <w:div w:id="1018897653">
                  <w:marLeft w:val="0"/>
                  <w:marRight w:val="0"/>
                  <w:marTop w:val="0"/>
                  <w:marBottom w:val="0"/>
                  <w:divBdr>
                    <w:top w:val="none" w:sz="0" w:space="0" w:color="auto"/>
                    <w:left w:val="none" w:sz="0" w:space="0" w:color="auto"/>
                    <w:bottom w:val="none" w:sz="0" w:space="0" w:color="auto"/>
                    <w:right w:val="none" w:sz="0" w:space="0" w:color="auto"/>
                  </w:divBdr>
                  <w:divsChild>
                    <w:div w:id="1503426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4150940">
      <w:bodyDiv w:val="1"/>
      <w:marLeft w:val="0"/>
      <w:marRight w:val="0"/>
      <w:marTop w:val="0"/>
      <w:marBottom w:val="0"/>
      <w:divBdr>
        <w:top w:val="none" w:sz="0" w:space="0" w:color="auto"/>
        <w:left w:val="none" w:sz="0" w:space="0" w:color="auto"/>
        <w:bottom w:val="none" w:sz="0" w:space="0" w:color="auto"/>
        <w:right w:val="none" w:sz="0" w:space="0" w:color="auto"/>
      </w:divBdr>
    </w:div>
    <w:div w:id="447283598">
      <w:bodyDiv w:val="1"/>
      <w:marLeft w:val="0"/>
      <w:marRight w:val="0"/>
      <w:marTop w:val="0"/>
      <w:marBottom w:val="0"/>
      <w:divBdr>
        <w:top w:val="none" w:sz="0" w:space="0" w:color="auto"/>
        <w:left w:val="none" w:sz="0" w:space="0" w:color="auto"/>
        <w:bottom w:val="none" w:sz="0" w:space="0" w:color="auto"/>
        <w:right w:val="none" w:sz="0" w:space="0" w:color="auto"/>
      </w:divBdr>
    </w:div>
    <w:div w:id="535502990">
      <w:bodyDiv w:val="1"/>
      <w:marLeft w:val="0"/>
      <w:marRight w:val="0"/>
      <w:marTop w:val="0"/>
      <w:marBottom w:val="0"/>
      <w:divBdr>
        <w:top w:val="none" w:sz="0" w:space="0" w:color="auto"/>
        <w:left w:val="none" w:sz="0" w:space="0" w:color="auto"/>
        <w:bottom w:val="none" w:sz="0" w:space="0" w:color="auto"/>
        <w:right w:val="none" w:sz="0" w:space="0" w:color="auto"/>
      </w:divBdr>
      <w:divsChild>
        <w:div w:id="802848055">
          <w:marLeft w:val="1166"/>
          <w:marRight w:val="0"/>
          <w:marTop w:val="0"/>
          <w:marBottom w:val="0"/>
          <w:divBdr>
            <w:top w:val="none" w:sz="0" w:space="0" w:color="auto"/>
            <w:left w:val="none" w:sz="0" w:space="0" w:color="auto"/>
            <w:bottom w:val="none" w:sz="0" w:space="0" w:color="auto"/>
            <w:right w:val="none" w:sz="0" w:space="0" w:color="auto"/>
          </w:divBdr>
        </w:div>
        <w:div w:id="928659653">
          <w:marLeft w:val="547"/>
          <w:marRight w:val="0"/>
          <w:marTop w:val="0"/>
          <w:marBottom w:val="0"/>
          <w:divBdr>
            <w:top w:val="none" w:sz="0" w:space="0" w:color="auto"/>
            <w:left w:val="none" w:sz="0" w:space="0" w:color="auto"/>
            <w:bottom w:val="none" w:sz="0" w:space="0" w:color="auto"/>
            <w:right w:val="none" w:sz="0" w:space="0" w:color="auto"/>
          </w:divBdr>
        </w:div>
        <w:div w:id="763571020">
          <w:marLeft w:val="547"/>
          <w:marRight w:val="0"/>
          <w:marTop w:val="0"/>
          <w:marBottom w:val="0"/>
          <w:divBdr>
            <w:top w:val="none" w:sz="0" w:space="0" w:color="auto"/>
            <w:left w:val="none" w:sz="0" w:space="0" w:color="auto"/>
            <w:bottom w:val="none" w:sz="0" w:space="0" w:color="auto"/>
            <w:right w:val="none" w:sz="0" w:space="0" w:color="auto"/>
          </w:divBdr>
        </w:div>
        <w:div w:id="1822193802">
          <w:marLeft w:val="1166"/>
          <w:marRight w:val="0"/>
          <w:marTop w:val="0"/>
          <w:marBottom w:val="0"/>
          <w:divBdr>
            <w:top w:val="none" w:sz="0" w:space="0" w:color="auto"/>
            <w:left w:val="none" w:sz="0" w:space="0" w:color="auto"/>
            <w:bottom w:val="none" w:sz="0" w:space="0" w:color="auto"/>
            <w:right w:val="none" w:sz="0" w:space="0" w:color="auto"/>
          </w:divBdr>
        </w:div>
        <w:div w:id="515771363">
          <w:marLeft w:val="547"/>
          <w:marRight w:val="0"/>
          <w:marTop w:val="0"/>
          <w:marBottom w:val="0"/>
          <w:divBdr>
            <w:top w:val="none" w:sz="0" w:space="0" w:color="auto"/>
            <w:left w:val="none" w:sz="0" w:space="0" w:color="auto"/>
            <w:bottom w:val="none" w:sz="0" w:space="0" w:color="auto"/>
            <w:right w:val="none" w:sz="0" w:space="0" w:color="auto"/>
          </w:divBdr>
        </w:div>
        <w:div w:id="1216696327">
          <w:marLeft w:val="1166"/>
          <w:marRight w:val="0"/>
          <w:marTop w:val="0"/>
          <w:marBottom w:val="0"/>
          <w:divBdr>
            <w:top w:val="none" w:sz="0" w:space="0" w:color="auto"/>
            <w:left w:val="none" w:sz="0" w:space="0" w:color="auto"/>
            <w:bottom w:val="none" w:sz="0" w:space="0" w:color="auto"/>
            <w:right w:val="none" w:sz="0" w:space="0" w:color="auto"/>
          </w:divBdr>
        </w:div>
        <w:div w:id="670134871">
          <w:marLeft w:val="1166"/>
          <w:marRight w:val="0"/>
          <w:marTop w:val="0"/>
          <w:marBottom w:val="0"/>
          <w:divBdr>
            <w:top w:val="none" w:sz="0" w:space="0" w:color="auto"/>
            <w:left w:val="none" w:sz="0" w:space="0" w:color="auto"/>
            <w:bottom w:val="none" w:sz="0" w:space="0" w:color="auto"/>
            <w:right w:val="none" w:sz="0" w:space="0" w:color="auto"/>
          </w:divBdr>
        </w:div>
        <w:div w:id="1254365165">
          <w:marLeft w:val="547"/>
          <w:marRight w:val="0"/>
          <w:marTop w:val="0"/>
          <w:marBottom w:val="0"/>
          <w:divBdr>
            <w:top w:val="none" w:sz="0" w:space="0" w:color="auto"/>
            <w:left w:val="none" w:sz="0" w:space="0" w:color="auto"/>
            <w:bottom w:val="none" w:sz="0" w:space="0" w:color="auto"/>
            <w:right w:val="none" w:sz="0" w:space="0" w:color="auto"/>
          </w:divBdr>
        </w:div>
        <w:div w:id="108818528">
          <w:marLeft w:val="1166"/>
          <w:marRight w:val="0"/>
          <w:marTop w:val="0"/>
          <w:marBottom w:val="0"/>
          <w:divBdr>
            <w:top w:val="none" w:sz="0" w:space="0" w:color="auto"/>
            <w:left w:val="none" w:sz="0" w:space="0" w:color="auto"/>
            <w:bottom w:val="none" w:sz="0" w:space="0" w:color="auto"/>
            <w:right w:val="none" w:sz="0" w:space="0" w:color="auto"/>
          </w:divBdr>
        </w:div>
        <w:div w:id="784039615">
          <w:marLeft w:val="547"/>
          <w:marRight w:val="0"/>
          <w:marTop w:val="0"/>
          <w:marBottom w:val="0"/>
          <w:divBdr>
            <w:top w:val="none" w:sz="0" w:space="0" w:color="auto"/>
            <w:left w:val="none" w:sz="0" w:space="0" w:color="auto"/>
            <w:bottom w:val="none" w:sz="0" w:space="0" w:color="auto"/>
            <w:right w:val="none" w:sz="0" w:space="0" w:color="auto"/>
          </w:divBdr>
        </w:div>
      </w:divsChild>
    </w:div>
    <w:div w:id="554321766">
      <w:bodyDiv w:val="1"/>
      <w:marLeft w:val="0"/>
      <w:marRight w:val="0"/>
      <w:marTop w:val="0"/>
      <w:marBottom w:val="0"/>
      <w:divBdr>
        <w:top w:val="none" w:sz="0" w:space="0" w:color="auto"/>
        <w:left w:val="none" w:sz="0" w:space="0" w:color="auto"/>
        <w:bottom w:val="none" w:sz="0" w:space="0" w:color="auto"/>
        <w:right w:val="none" w:sz="0" w:space="0" w:color="auto"/>
      </w:divBdr>
    </w:div>
    <w:div w:id="561058922">
      <w:bodyDiv w:val="1"/>
      <w:marLeft w:val="0"/>
      <w:marRight w:val="0"/>
      <w:marTop w:val="0"/>
      <w:marBottom w:val="0"/>
      <w:divBdr>
        <w:top w:val="none" w:sz="0" w:space="0" w:color="auto"/>
        <w:left w:val="none" w:sz="0" w:space="0" w:color="auto"/>
        <w:bottom w:val="none" w:sz="0" w:space="0" w:color="auto"/>
        <w:right w:val="none" w:sz="0" w:space="0" w:color="auto"/>
      </w:divBdr>
    </w:div>
    <w:div w:id="764616983">
      <w:bodyDiv w:val="1"/>
      <w:marLeft w:val="0"/>
      <w:marRight w:val="0"/>
      <w:marTop w:val="0"/>
      <w:marBottom w:val="0"/>
      <w:divBdr>
        <w:top w:val="none" w:sz="0" w:space="0" w:color="auto"/>
        <w:left w:val="none" w:sz="0" w:space="0" w:color="auto"/>
        <w:bottom w:val="none" w:sz="0" w:space="0" w:color="auto"/>
        <w:right w:val="none" w:sz="0" w:space="0" w:color="auto"/>
      </w:divBdr>
    </w:div>
    <w:div w:id="919489515">
      <w:bodyDiv w:val="1"/>
      <w:marLeft w:val="0"/>
      <w:marRight w:val="0"/>
      <w:marTop w:val="0"/>
      <w:marBottom w:val="0"/>
      <w:divBdr>
        <w:top w:val="none" w:sz="0" w:space="0" w:color="auto"/>
        <w:left w:val="none" w:sz="0" w:space="0" w:color="auto"/>
        <w:bottom w:val="none" w:sz="0" w:space="0" w:color="auto"/>
        <w:right w:val="none" w:sz="0" w:space="0" w:color="auto"/>
      </w:divBdr>
    </w:div>
    <w:div w:id="955528309">
      <w:bodyDiv w:val="1"/>
      <w:marLeft w:val="0"/>
      <w:marRight w:val="0"/>
      <w:marTop w:val="0"/>
      <w:marBottom w:val="0"/>
      <w:divBdr>
        <w:top w:val="none" w:sz="0" w:space="0" w:color="auto"/>
        <w:left w:val="none" w:sz="0" w:space="0" w:color="auto"/>
        <w:bottom w:val="none" w:sz="0" w:space="0" w:color="auto"/>
        <w:right w:val="none" w:sz="0" w:space="0" w:color="auto"/>
      </w:divBdr>
    </w:div>
    <w:div w:id="960724236">
      <w:bodyDiv w:val="1"/>
      <w:marLeft w:val="0"/>
      <w:marRight w:val="0"/>
      <w:marTop w:val="0"/>
      <w:marBottom w:val="0"/>
      <w:divBdr>
        <w:top w:val="none" w:sz="0" w:space="0" w:color="auto"/>
        <w:left w:val="none" w:sz="0" w:space="0" w:color="auto"/>
        <w:bottom w:val="none" w:sz="0" w:space="0" w:color="auto"/>
        <w:right w:val="none" w:sz="0" w:space="0" w:color="auto"/>
      </w:divBdr>
    </w:div>
    <w:div w:id="1155146913">
      <w:bodyDiv w:val="1"/>
      <w:marLeft w:val="0"/>
      <w:marRight w:val="0"/>
      <w:marTop w:val="0"/>
      <w:marBottom w:val="0"/>
      <w:divBdr>
        <w:top w:val="none" w:sz="0" w:space="0" w:color="auto"/>
        <w:left w:val="none" w:sz="0" w:space="0" w:color="auto"/>
        <w:bottom w:val="none" w:sz="0" w:space="0" w:color="auto"/>
        <w:right w:val="none" w:sz="0" w:space="0" w:color="auto"/>
      </w:divBdr>
    </w:div>
    <w:div w:id="1182278028">
      <w:bodyDiv w:val="1"/>
      <w:marLeft w:val="0"/>
      <w:marRight w:val="0"/>
      <w:marTop w:val="0"/>
      <w:marBottom w:val="0"/>
      <w:divBdr>
        <w:top w:val="none" w:sz="0" w:space="0" w:color="auto"/>
        <w:left w:val="none" w:sz="0" w:space="0" w:color="auto"/>
        <w:bottom w:val="none" w:sz="0" w:space="0" w:color="auto"/>
        <w:right w:val="none" w:sz="0" w:space="0" w:color="auto"/>
      </w:divBdr>
    </w:div>
    <w:div w:id="1258440824">
      <w:bodyDiv w:val="1"/>
      <w:marLeft w:val="0"/>
      <w:marRight w:val="0"/>
      <w:marTop w:val="0"/>
      <w:marBottom w:val="0"/>
      <w:divBdr>
        <w:top w:val="none" w:sz="0" w:space="0" w:color="auto"/>
        <w:left w:val="none" w:sz="0" w:space="0" w:color="auto"/>
        <w:bottom w:val="none" w:sz="0" w:space="0" w:color="auto"/>
        <w:right w:val="none" w:sz="0" w:space="0" w:color="auto"/>
      </w:divBdr>
    </w:div>
    <w:div w:id="1274635949">
      <w:bodyDiv w:val="1"/>
      <w:marLeft w:val="0"/>
      <w:marRight w:val="0"/>
      <w:marTop w:val="0"/>
      <w:marBottom w:val="0"/>
      <w:divBdr>
        <w:top w:val="none" w:sz="0" w:space="0" w:color="auto"/>
        <w:left w:val="none" w:sz="0" w:space="0" w:color="auto"/>
        <w:bottom w:val="none" w:sz="0" w:space="0" w:color="auto"/>
        <w:right w:val="none" w:sz="0" w:space="0" w:color="auto"/>
      </w:divBdr>
    </w:div>
    <w:div w:id="1411006271">
      <w:bodyDiv w:val="1"/>
      <w:marLeft w:val="0"/>
      <w:marRight w:val="0"/>
      <w:marTop w:val="0"/>
      <w:marBottom w:val="0"/>
      <w:divBdr>
        <w:top w:val="none" w:sz="0" w:space="0" w:color="auto"/>
        <w:left w:val="none" w:sz="0" w:space="0" w:color="auto"/>
        <w:bottom w:val="none" w:sz="0" w:space="0" w:color="auto"/>
        <w:right w:val="none" w:sz="0" w:space="0" w:color="auto"/>
      </w:divBdr>
      <w:divsChild>
        <w:div w:id="1689525505">
          <w:marLeft w:val="0"/>
          <w:marRight w:val="0"/>
          <w:marTop w:val="0"/>
          <w:marBottom w:val="0"/>
          <w:divBdr>
            <w:top w:val="none" w:sz="0" w:space="0" w:color="auto"/>
            <w:left w:val="none" w:sz="0" w:space="0" w:color="auto"/>
            <w:bottom w:val="none" w:sz="0" w:space="0" w:color="auto"/>
            <w:right w:val="none" w:sz="0" w:space="0" w:color="auto"/>
          </w:divBdr>
          <w:divsChild>
            <w:div w:id="360519788">
              <w:marLeft w:val="0"/>
              <w:marRight w:val="0"/>
              <w:marTop w:val="0"/>
              <w:marBottom w:val="0"/>
              <w:divBdr>
                <w:top w:val="none" w:sz="0" w:space="0" w:color="auto"/>
                <w:left w:val="none" w:sz="0" w:space="0" w:color="auto"/>
                <w:bottom w:val="none" w:sz="0" w:space="0" w:color="auto"/>
                <w:right w:val="none" w:sz="0" w:space="0" w:color="auto"/>
              </w:divBdr>
              <w:divsChild>
                <w:div w:id="1573002763">
                  <w:marLeft w:val="0"/>
                  <w:marRight w:val="0"/>
                  <w:marTop w:val="0"/>
                  <w:marBottom w:val="0"/>
                  <w:divBdr>
                    <w:top w:val="none" w:sz="0" w:space="0" w:color="auto"/>
                    <w:left w:val="none" w:sz="0" w:space="0" w:color="auto"/>
                    <w:bottom w:val="none" w:sz="0" w:space="0" w:color="auto"/>
                    <w:right w:val="none" w:sz="0" w:space="0" w:color="auto"/>
                  </w:divBdr>
                  <w:divsChild>
                    <w:div w:id="163964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6007654">
          <w:marLeft w:val="0"/>
          <w:marRight w:val="0"/>
          <w:marTop w:val="0"/>
          <w:marBottom w:val="0"/>
          <w:divBdr>
            <w:top w:val="none" w:sz="0" w:space="0" w:color="auto"/>
            <w:left w:val="none" w:sz="0" w:space="0" w:color="auto"/>
            <w:bottom w:val="none" w:sz="0" w:space="0" w:color="auto"/>
            <w:right w:val="none" w:sz="0" w:space="0" w:color="auto"/>
          </w:divBdr>
          <w:divsChild>
            <w:div w:id="1347559667">
              <w:marLeft w:val="0"/>
              <w:marRight w:val="0"/>
              <w:marTop w:val="0"/>
              <w:marBottom w:val="0"/>
              <w:divBdr>
                <w:top w:val="none" w:sz="0" w:space="0" w:color="auto"/>
                <w:left w:val="none" w:sz="0" w:space="0" w:color="auto"/>
                <w:bottom w:val="none" w:sz="0" w:space="0" w:color="auto"/>
                <w:right w:val="none" w:sz="0" w:space="0" w:color="auto"/>
              </w:divBdr>
              <w:divsChild>
                <w:div w:id="1068915333">
                  <w:marLeft w:val="0"/>
                  <w:marRight w:val="0"/>
                  <w:marTop w:val="0"/>
                  <w:marBottom w:val="0"/>
                  <w:divBdr>
                    <w:top w:val="none" w:sz="0" w:space="0" w:color="auto"/>
                    <w:left w:val="none" w:sz="0" w:space="0" w:color="auto"/>
                    <w:bottom w:val="none" w:sz="0" w:space="0" w:color="auto"/>
                    <w:right w:val="none" w:sz="0" w:space="0" w:color="auto"/>
                  </w:divBdr>
                  <w:divsChild>
                    <w:div w:id="1062143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3715893">
      <w:bodyDiv w:val="1"/>
      <w:marLeft w:val="0"/>
      <w:marRight w:val="0"/>
      <w:marTop w:val="0"/>
      <w:marBottom w:val="0"/>
      <w:divBdr>
        <w:top w:val="none" w:sz="0" w:space="0" w:color="auto"/>
        <w:left w:val="none" w:sz="0" w:space="0" w:color="auto"/>
        <w:bottom w:val="none" w:sz="0" w:space="0" w:color="auto"/>
        <w:right w:val="none" w:sz="0" w:space="0" w:color="auto"/>
      </w:divBdr>
    </w:div>
    <w:div w:id="1521429594">
      <w:bodyDiv w:val="1"/>
      <w:marLeft w:val="0"/>
      <w:marRight w:val="0"/>
      <w:marTop w:val="0"/>
      <w:marBottom w:val="0"/>
      <w:divBdr>
        <w:top w:val="none" w:sz="0" w:space="0" w:color="auto"/>
        <w:left w:val="none" w:sz="0" w:space="0" w:color="auto"/>
        <w:bottom w:val="none" w:sz="0" w:space="0" w:color="auto"/>
        <w:right w:val="none" w:sz="0" w:space="0" w:color="auto"/>
      </w:divBdr>
    </w:div>
    <w:div w:id="1568997691">
      <w:bodyDiv w:val="1"/>
      <w:marLeft w:val="0"/>
      <w:marRight w:val="0"/>
      <w:marTop w:val="0"/>
      <w:marBottom w:val="0"/>
      <w:divBdr>
        <w:top w:val="none" w:sz="0" w:space="0" w:color="auto"/>
        <w:left w:val="none" w:sz="0" w:space="0" w:color="auto"/>
        <w:bottom w:val="none" w:sz="0" w:space="0" w:color="auto"/>
        <w:right w:val="none" w:sz="0" w:space="0" w:color="auto"/>
      </w:divBdr>
    </w:div>
    <w:div w:id="1648238963">
      <w:bodyDiv w:val="1"/>
      <w:marLeft w:val="0"/>
      <w:marRight w:val="0"/>
      <w:marTop w:val="0"/>
      <w:marBottom w:val="0"/>
      <w:divBdr>
        <w:top w:val="none" w:sz="0" w:space="0" w:color="auto"/>
        <w:left w:val="none" w:sz="0" w:space="0" w:color="auto"/>
        <w:bottom w:val="none" w:sz="0" w:space="0" w:color="auto"/>
        <w:right w:val="none" w:sz="0" w:space="0" w:color="auto"/>
      </w:divBdr>
      <w:divsChild>
        <w:div w:id="1110203294">
          <w:marLeft w:val="0"/>
          <w:marRight w:val="0"/>
          <w:marTop w:val="0"/>
          <w:marBottom w:val="0"/>
          <w:divBdr>
            <w:top w:val="none" w:sz="0" w:space="0" w:color="auto"/>
            <w:left w:val="none" w:sz="0" w:space="0" w:color="auto"/>
            <w:bottom w:val="none" w:sz="0" w:space="0" w:color="auto"/>
            <w:right w:val="none" w:sz="0" w:space="0" w:color="auto"/>
          </w:divBdr>
          <w:divsChild>
            <w:div w:id="1616866994">
              <w:marLeft w:val="0"/>
              <w:marRight w:val="0"/>
              <w:marTop w:val="0"/>
              <w:marBottom w:val="0"/>
              <w:divBdr>
                <w:top w:val="none" w:sz="0" w:space="0" w:color="auto"/>
                <w:left w:val="none" w:sz="0" w:space="0" w:color="auto"/>
                <w:bottom w:val="none" w:sz="0" w:space="0" w:color="auto"/>
                <w:right w:val="none" w:sz="0" w:space="0" w:color="auto"/>
              </w:divBdr>
              <w:divsChild>
                <w:div w:id="1145389053">
                  <w:marLeft w:val="0"/>
                  <w:marRight w:val="0"/>
                  <w:marTop w:val="0"/>
                  <w:marBottom w:val="0"/>
                  <w:divBdr>
                    <w:top w:val="none" w:sz="0" w:space="0" w:color="auto"/>
                    <w:left w:val="none" w:sz="0" w:space="0" w:color="auto"/>
                    <w:bottom w:val="none" w:sz="0" w:space="0" w:color="auto"/>
                    <w:right w:val="none" w:sz="0" w:space="0" w:color="auto"/>
                  </w:divBdr>
                  <w:divsChild>
                    <w:div w:id="897472543">
                      <w:marLeft w:val="0"/>
                      <w:marRight w:val="0"/>
                      <w:marTop w:val="0"/>
                      <w:marBottom w:val="0"/>
                      <w:divBdr>
                        <w:top w:val="none" w:sz="0" w:space="0" w:color="auto"/>
                        <w:left w:val="none" w:sz="0" w:space="0" w:color="auto"/>
                        <w:bottom w:val="none" w:sz="0" w:space="0" w:color="auto"/>
                        <w:right w:val="none" w:sz="0" w:space="0" w:color="auto"/>
                      </w:divBdr>
                      <w:divsChild>
                        <w:div w:id="803155108">
                          <w:marLeft w:val="0"/>
                          <w:marRight w:val="0"/>
                          <w:marTop w:val="0"/>
                          <w:marBottom w:val="0"/>
                          <w:divBdr>
                            <w:top w:val="none" w:sz="0" w:space="0" w:color="auto"/>
                            <w:left w:val="none" w:sz="0" w:space="0" w:color="auto"/>
                            <w:bottom w:val="none" w:sz="0" w:space="0" w:color="auto"/>
                            <w:right w:val="none" w:sz="0" w:space="0" w:color="auto"/>
                          </w:divBdr>
                          <w:divsChild>
                            <w:div w:id="335767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2047821">
      <w:bodyDiv w:val="1"/>
      <w:marLeft w:val="0"/>
      <w:marRight w:val="0"/>
      <w:marTop w:val="0"/>
      <w:marBottom w:val="0"/>
      <w:divBdr>
        <w:top w:val="none" w:sz="0" w:space="0" w:color="auto"/>
        <w:left w:val="none" w:sz="0" w:space="0" w:color="auto"/>
        <w:bottom w:val="none" w:sz="0" w:space="0" w:color="auto"/>
        <w:right w:val="none" w:sz="0" w:space="0" w:color="auto"/>
      </w:divBdr>
      <w:divsChild>
        <w:div w:id="1169104159">
          <w:marLeft w:val="0"/>
          <w:marRight w:val="0"/>
          <w:marTop w:val="0"/>
          <w:marBottom w:val="0"/>
          <w:divBdr>
            <w:top w:val="none" w:sz="0" w:space="0" w:color="auto"/>
            <w:left w:val="none" w:sz="0" w:space="0" w:color="auto"/>
            <w:bottom w:val="none" w:sz="0" w:space="0" w:color="auto"/>
            <w:right w:val="none" w:sz="0" w:space="0" w:color="auto"/>
          </w:divBdr>
          <w:divsChild>
            <w:div w:id="1788039149">
              <w:marLeft w:val="0"/>
              <w:marRight w:val="0"/>
              <w:marTop w:val="0"/>
              <w:marBottom w:val="0"/>
              <w:divBdr>
                <w:top w:val="none" w:sz="0" w:space="0" w:color="auto"/>
                <w:left w:val="none" w:sz="0" w:space="0" w:color="auto"/>
                <w:bottom w:val="none" w:sz="0" w:space="0" w:color="auto"/>
                <w:right w:val="none" w:sz="0" w:space="0" w:color="auto"/>
              </w:divBdr>
              <w:divsChild>
                <w:div w:id="328489096">
                  <w:marLeft w:val="0"/>
                  <w:marRight w:val="0"/>
                  <w:marTop w:val="0"/>
                  <w:marBottom w:val="0"/>
                  <w:divBdr>
                    <w:top w:val="none" w:sz="0" w:space="0" w:color="auto"/>
                    <w:left w:val="none" w:sz="0" w:space="0" w:color="auto"/>
                    <w:bottom w:val="none" w:sz="0" w:space="0" w:color="auto"/>
                    <w:right w:val="none" w:sz="0" w:space="0" w:color="auto"/>
                  </w:divBdr>
                  <w:divsChild>
                    <w:div w:id="1741706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022700">
          <w:marLeft w:val="0"/>
          <w:marRight w:val="0"/>
          <w:marTop w:val="0"/>
          <w:marBottom w:val="0"/>
          <w:divBdr>
            <w:top w:val="none" w:sz="0" w:space="0" w:color="auto"/>
            <w:left w:val="none" w:sz="0" w:space="0" w:color="auto"/>
            <w:bottom w:val="none" w:sz="0" w:space="0" w:color="auto"/>
            <w:right w:val="none" w:sz="0" w:space="0" w:color="auto"/>
          </w:divBdr>
          <w:divsChild>
            <w:div w:id="588782097">
              <w:marLeft w:val="0"/>
              <w:marRight w:val="0"/>
              <w:marTop w:val="0"/>
              <w:marBottom w:val="0"/>
              <w:divBdr>
                <w:top w:val="none" w:sz="0" w:space="0" w:color="auto"/>
                <w:left w:val="none" w:sz="0" w:space="0" w:color="auto"/>
                <w:bottom w:val="none" w:sz="0" w:space="0" w:color="auto"/>
                <w:right w:val="none" w:sz="0" w:space="0" w:color="auto"/>
              </w:divBdr>
              <w:divsChild>
                <w:div w:id="2030451497">
                  <w:marLeft w:val="0"/>
                  <w:marRight w:val="0"/>
                  <w:marTop w:val="0"/>
                  <w:marBottom w:val="0"/>
                  <w:divBdr>
                    <w:top w:val="none" w:sz="0" w:space="0" w:color="auto"/>
                    <w:left w:val="none" w:sz="0" w:space="0" w:color="auto"/>
                    <w:bottom w:val="none" w:sz="0" w:space="0" w:color="auto"/>
                    <w:right w:val="none" w:sz="0" w:space="0" w:color="auto"/>
                  </w:divBdr>
                  <w:divsChild>
                    <w:div w:id="1080063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3005682">
      <w:bodyDiv w:val="1"/>
      <w:marLeft w:val="0"/>
      <w:marRight w:val="0"/>
      <w:marTop w:val="0"/>
      <w:marBottom w:val="0"/>
      <w:divBdr>
        <w:top w:val="none" w:sz="0" w:space="0" w:color="auto"/>
        <w:left w:val="none" w:sz="0" w:space="0" w:color="auto"/>
        <w:bottom w:val="none" w:sz="0" w:space="0" w:color="auto"/>
        <w:right w:val="none" w:sz="0" w:space="0" w:color="auto"/>
      </w:divBdr>
    </w:div>
    <w:div w:id="1975327572">
      <w:bodyDiv w:val="1"/>
      <w:marLeft w:val="0"/>
      <w:marRight w:val="0"/>
      <w:marTop w:val="0"/>
      <w:marBottom w:val="0"/>
      <w:divBdr>
        <w:top w:val="none" w:sz="0" w:space="0" w:color="auto"/>
        <w:left w:val="none" w:sz="0" w:space="0" w:color="auto"/>
        <w:bottom w:val="none" w:sz="0" w:space="0" w:color="auto"/>
        <w:right w:val="none" w:sz="0" w:space="0" w:color="auto"/>
      </w:divBdr>
    </w:div>
    <w:div w:id="1979727266">
      <w:bodyDiv w:val="1"/>
      <w:marLeft w:val="0"/>
      <w:marRight w:val="0"/>
      <w:marTop w:val="0"/>
      <w:marBottom w:val="0"/>
      <w:divBdr>
        <w:top w:val="none" w:sz="0" w:space="0" w:color="auto"/>
        <w:left w:val="none" w:sz="0" w:space="0" w:color="auto"/>
        <w:bottom w:val="none" w:sz="0" w:space="0" w:color="auto"/>
        <w:right w:val="none" w:sz="0" w:space="0" w:color="auto"/>
      </w:divBdr>
    </w:div>
    <w:div w:id="2001228194">
      <w:bodyDiv w:val="1"/>
      <w:marLeft w:val="0"/>
      <w:marRight w:val="0"/>
      <w:marTop w:val="0"/>
      <w:marBottom w:val="0"/>
      <w:divBdr>
        <w:top w:val="none" w:sz="0" w:space="0" w:color="auto"/>
        <w:left w:val="none" w:sz="0" w:space="0" w:color="auto"/>
        <w:bottom w:val="none" w:sz="0" w:space="0" w:color="auto"/>
        <w:right w:val="none" w:sz="0" w:space="0" w:color="auto"/>
      </w:divBdr>
    </w:div>
    <w:div w:id="2089424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13190</Words>
  <Characters>75184</Characters>
  <Application>Microsoft Office Word</Application>
  <DocSecurity>0</DocSecurity>
  <Lines>626</Lines>
  <Paragraphs>176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Rosiane Simeon</dc:creator>
  <cp:keywords/>
  <dc:description/>
  <cp:lastModifiedBy>Rosiane Simeon</cp:lastModifiedBy>
  <cp:revision>2</cp:revision>
  <dcterms:created xsi:type="dcterms:W3CDTF">2025-02-21T15:41:00Z</dcterms:created>
  <dcterms:modified xsi:type="dcterms:W3CDTF">2025-02-21T15:41:00Z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zotero-version="6.0.37"&gt;&lt;session id="L9FErT6I"/&gt;&lt;style id="http://www.zotero.org/styles/vancouver" locale="en-US" hasBibliography="1" bibliographyStyleHasBeenSet="1"/&gt;&lt;prefs&gt;&lt;pref name="fieldType" value="Field"/&gt;&lt;pref name="automati</vt:lpwstr>
  </property>
  <property fmtid="{D5CDD505-2E9C-101B-9397-08002B2CF9AE}" pid="3" name="ZOTERO_PREF_2">
    <vt:lpwstr>cJournalAbbreviations" value="true"/&gt;&lt;/prefs&gt;&lt;/data&gt;</vt:lpwstr>
  </property>
</Properties>
</file>