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7A861FD" w14:textId="3D50EE87" w:rsidR="00BA32DC" w:rsidRDefault="00BA32DC" w:rsidP="00BA32DC">
      <w:pPr>
        <w:pStyle w:val="Heading2"/>
        <w:spacing w:line="480" w:lineRule="auto"/>
        <w:jc w:val="both"/>
        <w:rPr>
          <w:rFonts w:ascii="Times New Roman" w:hAnsi="Times New Roman" w:cs="Times New Roman"/>
          <w:b/>
          <w:bCs/>
          <w:color w:val="auto"/>
          <w:sz w:val="22"/>
          <w:szCs w:val="22"/>
          <w:lang w:val="en-GB"/>
        </w:rPr>
      </w:pPr>
      <w:r>
        <w:rPr>
          <w:rFonts w:ascii="Times New Roman" w:hAnsi="Times New Roman" w:cs="Times New Roman"/>
          <w:b/>
          <w:bCs/>
          <w:color w:val="auto"/>
          <w:sz w:val="22"/>
          <w:szCs w:val="22"/>
          <w:lang w:val="en-GB"/>
        </w:rPr>
        <w:t xml:space="preserve">Supplementary </w:t>
      </w:r>
      <w:r w:rsidR="003A3556">
        <w:rPr>
          <w:rFonts w:ascii="Times New Roman" w:hAnsi="Times New Roman" w:cs="Times New Roman"/>
          <w:b/>
          <w:bCs/>
          <w:color w:val="auto"/>
          <w:sz w:val="22"/>
          <w:szCs w:val="22"/>
          <w:lang w:val="en-GB"/>
        </w:rPr>
        <w:t>Material</w:t>
      </w:r>
      <w:r>
        <w:rPr>
          <w:rFonts w:ascii="Times New Roman" w:hAnsi="Times New Roman" w:cs="Times New Roman"/>
          <w:b/>
          <w:bCs/>
          <w:color w:val="auto"/>
          <w:sz w:val="22"/>
          <w:szCs w:val="22"/>
          <w:lang w:val="en-GB"/>
        </w:rPr>
        <w:t xml:space="preserve"> </w:t>
      </w:r>
      <w:r w:rsidR="009E3128">
        <w:rPr>
          <w:rFonts w:ascii="Times New Roman" w:hAnsi="Times New Roman" w:cs="Times New Roman"/>
          <w:b/>
          <w:bCs/>
          <w:color w:val="auto"/>
          <w:sz w:val="22"/>
          <w:szCs w:val="22"/>
          <w:lang w:val="en-GB"/>
        </w:rPr>
        <w:t>1</w:t>
      </w:r>
    </w:p>
    <w:p w14:paraId="40CB82C2" w14:textId="77777777" w:rsidR="006C2831" w:rsidRDefault="006C2831" w:rsidP="006C2831">
      <w:pPr>
        <w:jc w:val="both"/>
        <w:rPr>
          <w:color w:val="000000"/>
          <w:sz w:val="28"/>
          <w:szCs w:val="28"/>
        </w:rPr>
      </w:pPr>
    </w:p>
    <w:p w14:paraId="669E5E92" w14:textId="117496D7" w:rsidR="006C2831" w:rsidRPr="006C2831" w:rsidRDefault="006C2831" w:rsidP="006C2831">
      <w:pPr>
        <w:jc w:val="both"/>
        <w:rPr>
          <w:i/>
          <w:iCs/>
          <w:color w:val="000000"/>
          <w:sz w:val="22"/>
          <w:szCs w:val="22"/>
        </w:rPr>
      </w:pPr>
      <w:proofErr w:type="spellStart"/>
      <w:r w:rsidRPr="006C2831">
        <w:rPr>
          <w:i/>
          <w:iCs/>
          <w:color w:val="000000"/>
          <w:sz w:val="22"/>
          <w:szCs w:val="22"/>
        </w:rPr>
        <w:t>Glossary</w:t>
      </w:r>
      <w:proofErr w:type="spellEnd"/>
    </w:p>
    <w:p w14:paraId="4E136F20" w14:textId="77777777" w:rsidR="006C2831" w:rsidRPr="006C2831" w:rsidRDefault="006C2831" w:rsidP="006C2831">
      <w:pPr>
        <w:jc w:val="both"/>
        <w:rPr>
          <w:rFonts w:eastAsia="Times New Roman"/>
          <w:color w:val="000000"/>
          <w:sz w:val="22"/>
          <w:szCs w:val="22"/>
          <w:lang w:eastAsia="en-GB"/>
        </w:rPr>
      </w:pPr>
    </w:p>
    <w:tbl>
      <w:tblPr>
        <w:tblW w:w="9630" w:type="dxa"/>
        <w:tblLayout w:type="fixed"/>
        <w:tblLook w:val="0400" w:firstRow="0" w:lastRow="0" w:firstColumn="0" w:lastColumn="0" w:noHBand="0" w:noVBand="1"/>
      </w:tblPr>
      <w:tblGrid>
        <w:gridCol w:w="1761"/>
        <w:gridCol w:w="7869"/>
      </w:tblGrid>
      <w:tr w:rsidR="006C2831" w:rsidRPr="006C2831" w14:paraId="40F48914" w14:textId="77777777" w:rsidTr="006C2831">
        <w:trPr>
          <w:trHeight w:val="547"/>
        </w:trPr>
        <w:tc>
          <w:tcPr>
            <w:tcW w:w="9628" w:type="dxa"/>
            <w:gridSpan w:val="2"/>
            <w:tcBorders>
              <w:top w:val="single" w:sz="4" w:space="0" w:color="000000"/>
              <w:left w:val="single" w:sz="4" w:space="0" w:color="000000"/>
              <w:bottom w:val="single" w:sz="4" w:space="0" w:color="000000"/>
              <w:right w:val="single" w:sz="4" w:space="0" w:color="000000"/>
            </w:tcBorders>
            <w:shd w:val="clear" w:color="auto" w:fill="F2F2F2"/>
            <w:tcMar>
              <w:top w:w="0" w:type="dxa"/>
              <w:left w:w="70" w:type="dxa"/>
              <w:bottom w:w="0" w:type="dxa"/>
              <w:right w:w="70" w:type="dxa"/>
            </w:tcMar>
            <w:vAlign w:val="center"/>
            <w:hideMark/>
          </w:tcPr>
          <w:p w14:paraId="649EF39C" w14:textId="77777777" w:rsidR="006C2831" w:rsidRPr="006C2831" w:rsidRDefault="006C2831">
            <w:pPr>
              <w:jc w:val="center"/>
              <w:rPr>
                <w:rFonts w:eastAsia="Times New Roman"/>
                <w:sz w:val="22"/>
                <w:szCs w:val="22"/>
              </w:rPr>
            </w:pPr>
            <w:proofErr w:type="spellStart"/>
            <w:r w:rsidRPr="006C2831">
              <w:rPr>
                <w:b/>
                <w:color w:val="000000"/>
                <w:sz w:val="22"/>
                <w:szCs w:val="22"/>
              </w:rPr>
              <w:t>Organizational</w:t>
            </w:r>
            <w:proofErr w:type="spellEnd"/>
            <w:r w:rsidRPr="006C2831">
              <w:rPr>
                <w:b/>
                <w:color w:val="000000"/>
                <w:sz w:val="22"/>
                <w:szCs w:val="22"/>
              </w:rPr>
              <w:t xml:space="preserve"> models</w:t>
            </w:r>
          </w:p>
        </w:tc>
      </w:tr>
      <w:tr w:rsidR="006C2831" w:rsidRPr="00B52667" w14:paraId="5036BFA4" w14:textId="77777777" w:rsidTr="006C2831">
        <w:trPr>
          <w:trHeight w:val="20"/>
        </w:trPr>
        <w:tc>
          <w:tcPr>
            <w:tcW w:w="1761"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14:paraId="003BA334" w14:textId="77777777" w:rsidR="006C2831" w:rsidRPr="006C2831" w:rsidRDefault="006C2831">
            <w:pPr>
              <w:rPr>
                <w:rFonts w:eastAsia="Times New Roman"/>
                <w:sz w:val="22"/>
                <w:szCs w:val="22"/>
              </w:rPr>
            </w:pPr>
            <w:r w:rsidRPr="006C2831">
              <w:rPr>
                <w:color w:val="000000"/>
                <w:sz w:val="22"/>
                <w:szCs w:val="22"/>
              </w:rPr>
              <w:t>Independent group </w:t>
            </w:r>
          </w:p>
        </w:tc>
        <w:tc>
          <w:tcPr>
            <w:tcW w:w="7867"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14:paraId="0AF0BAB1" w14:textId="77777777" w:rsidR="006C2831" w:rsidRPr="006C2831" w:rsidRDefault="006C2831">
            <w:pPr>
              <w:rPr>
                <w:rFonts w:eastAsia="Times New Roman"/>
                <w:sz w:val="22"/>
                <w:szCs w:val="22"/>
                <w:lang w:val="en-GB"/>
              </w:rPr>
            </w:pPr>
            <w:r w:rsidRPr="006C2831">
              <w:rPr>
                <w:color w:val="000000"/>
                <w:sz w:val="22"/>
                <w:szCs w:val="22"/>
                <w:lang w:val="en-GB"/>
              </w:rPr>
              <w:t xml:space="preserve">these units operate within the hospital as an “independent group” that provides support for management decisions in </w:t>
            </w:r>
            <w:proofErr w:type="gramStart"/>
            <w:r w:rsidRPr="006C2831">
              <w:rPr>
                <w:color w:val="000000"/>
                <w:sz w:val="22"/>
                <w:szCs w:val="22"/>
                <w:lang w:val="en-GB"/>
              </w:rPr>
              <w:t>a fairly informal</w:t>
            </w:r>
            <w:proofErr w:type="gramEnd"/>
            <w:r w:rsidRPr="006C2831">
              <w:rPr>
                <w:color w:val="000000"/>
                <w:sz w:val="22"/>
                <w:szCs w:val="22"/>
                <w:lang w:val="en-GB"/>
              </w:rPr>
              <w:t xml:space="preserve"> way.</w:t>
            </w:r>
          </w:p>
        </w:tc>
      </w:tr>
      <w:tr w:rsidR="006C2831" w:rsidRPr="00B52667" w14:paraId="10327776" w14:textId="77777777" w:rsidTr="006C2831">
        <w:trPr>
          <w:trHeight w:val="20"/>
        </w:trPr>
        <w:tc>
          <w:tcPr>
            <w:tcW w:w="1761"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14:paraId="5F62C64A" w14:textId="77777777" w:rsidR="006C2831" w:rsidRPr="006C2831" w:rsidRDefault="006C2831">
            <w:pPr>
              <w:rPr>
                <w:rFonts w:eastAsia="Times New Roman"/>
                <w:sz w:val="22"/>
                <w:szCs w:val="22"/>
                <w:lang w:val="en-GB"/>
              </w:rPr>
            </w:pPr>
            <w:r w:rsidRPr="006C2831">
              <w:rPr>
                <w:color w:val="000000"/>
                <w:sz w:val="22"/>
                <w:szCs w:val="22"/>
                <w:lang w:val="en-GB"/>
              </w:rPr>
              <w:t>Integrated-essential HB-HTA unit</w:t>
            </w:r>
          </w:p>
        </w:tc>
        <w:tc>
          <w:tcPr>
            <w:tcW w:w="7867"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14:paraId="6B5DFFFD" w14:textId="77777777" w:rsidR="006C2831" w:rsidRPr="006C2831" w:rsidRDefault="006C2831">
            <w:pPr>
              <w:rPr>
                <w:rFonts w:eastAsia="Times New Roman"/>
                <w:sz w:val="22"/>
                <w:szCs w:val="22"/>
                <w:lang w:val="en-GB"/>
              </w:rPr>
            </w:pPr>
            <w:r w:rsidRPr="006C2831">
              <w:rPr>
                <w:color w:val="000000"/>
                <w:sz w:val="22"/>
                <w:szCs w:val="22"/>
                <w:lang w:val="en-GB"/>
              </w:rPr>
              <w:t xml:space="preserve">these are units of small size, with a limited number of staff members, but who </w:t>
            </w:r>
            <w:proofErr w:type="gramStart"/>
            <w:r w:rsidRPr="006C2831">
              <w:rPr>
                <w:color w:val="000000"/>
                <w:sz w:val="22"/>
                <w:szCs w:val="22"/>
                <w:lang w:val="en-GB"/>
              </w:rPr>
              <w:t>are able to</w:t>
            </w:r>
            <w:proofErr w:type="gramEnd"/>
            <w:r w:rsidRPr="006C2831">
              <w:rPr>
                <w:color w:val="000000"/>
                <w:sz w:val="22"/>
                <w:szCs w:val="22"/>
                <w:lang w:val="en-GB"/>
              </w:rPr>
              <w:t xml:space="preserve"> involve many other actors and “allies” in their activities.</w:t>
            </w:r>
          </w:p>
        </w:tc>
      </w:tr>
      <w:tr w:rsidR="006C2831" w:rsidRPr="00B52667" w14:paraId="73B5EE7F" w14:textId="77777777" w:rsidTr="006C2831">
        <w:trPr>
          <w:trHeight w:val="20"/>
        </w:trPr>
        <w:tc>
          <w:tcPr>
            <w:tcW w:w="1761"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14:paraId="7B1DA8BB" w14:textId="77777777" w:rsidR="006C2831" w:rsidRPr="006C2831" w:rsidRDefault="006C2831">
            <w:pPr>
              <w:rPr>
                <w:rFonts w:eastAsia="Times New Roman"/>
                <w:sz w:val="22"/>
                <w:szCs w:val="22"/>
                <w:lang w:val="en-GB"/>
              </w:rPr>
            </w:pPr>
            <w:r w:rsidRPr="006C2831">
              <w:rPr>
                <w:color w:val="000000"/>
                <w:sz w:val="22"/>
                <w:szCs w:val="22"/>
                <w:lang w:val="en-GB"/>
              </w:rPr>
              <w:t>Stand-alone HB-HTA units </w:t>
            </w:r>
          </w:p>
        </w:tc>
        <w:tc>
          <w:tcPr>
            <w:tcW w:w="7867"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14:paraId="3BDEF6FC" w14:textId="77777777" w:rsidR="006C2831" w:rsidRPr="006C2831" w:rsidRDefault="006C2831">
            <w:pPr>
              <w:rPr>
                <w:rFonts w:eastAsia="Times New Roman"/>
                <w:sz w:val="22"/>
                <w:szCs w:val="22"/>
                <w:lang w:val="en-GB"/>
              </w:rPr>
            </w:pPr>
            <w:r w:rsidRPr="006C2831">
              <w:rPr>
                <w:color w:val="000000"/>
                <w:sz w:val="22"/>
                <w:szCs w:val="22"/>
                <w:lang w:val="en-GB"/>
              </w:rPr>
              <w:t>units with usually highly formalised and specialised procedures, acting internally within hospitals and not strongly influenced by the national or regional HTA organisations.</w:t>
            </w:r>
          </w:p>
        </w:tc>
      </w:tr>
      <w:tr w:rsidR="006C2831" w:rsidRPr="00B52667" w14:paraId="64795966" w14:textId="77777777" w:rsidTr="006C2831">
        <w:trPr>
          <w:trHeight w:val="20"/>
        </w:trPr>
        <w:tc>
          <w:tcPr>
            <w:tcW w:w="1761"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14:paraId="258B6CE2" w14:textId="77777777" w:rsidR="006C2831" w:rsidRPr="006C2831" w:rsidRDefault="006C2831">
            <w:pPr>
              <w:rPr>
                <w:rFonts w:eastAsia="Times New Roman"/>
                <w:sz w:val="22"/>
                <w:szCs w:val="22"/>
                <w:lang w:val="en-GB"/>
              </w:rPr>
            </w:pPr>
            <w:r w:rsidRPr="006C2831">
              <w:rPr>
                <w:color w:val="000000"/>
                <w:sz w:val="22"/>
                <w:szCs w:val="22"/>
                <w:lang w:val="en-GB"/>
              </w:rPr>
              <w:t>Integrated-specialised HB-HTA unit</w:t>
            </w:r>
          </w:p>
        </w:tc>
        <w:tc>
          <w:tcPr>
            <w:tcW w:w="7867"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14:paraId="70DCDF8F" w14:textId="77777777" w:rsidR="006C2831" w:rsidRPr="006C2831" w:rsidRDefault="006C2831">
            <w:pPr>
              <w:rPr>
                <w:rFonts w:eastAsia="Times New Roman"/>
                <w:sz w:val="22"/>
                <w:szCs w:val="22"/>
                <w:lang w:val="en-GB"/>
              </w:rPr>
            </w:pPr>
            <w:r w:rsidRPr="006C2831">
              <w:rPr>
                <w:color w:val="000000"/>
                <w:sz w:val="22"/>
                <w:szCs w:val="22"/>
                <w:lang w:val="en-GB"/>
              </w:rPr>
              <w:t>the functions of the HB-HTA unit are influenced by formal collaboration with the national or regional HTA agency. In general, the involvement of HB-HTA units in the technology adoption process is considered advisable and the HTA-based recommendations are closely followed by hospital decision-makers.</w:t>
            </w:r>
          </w:p>
        </w:tc>
      </w:tr>
      <w:tr w:rsidR="006C2831" w:rsidRPr="00B52667" w14:paraId="03A5CFE6" w14:textId="77777777" w:rsidTr="006C2831">
        <w:trPr>
          <w:trHeight w:val="547"/>
        </w:trPr>
        <w:tc>
          <w:tcPr>
            <w:tcW w:w="9628" w:type="dxa"/>
            <w:gridSpan w:val="2"/>
            <w:tcBorders>
              <w:top w:val="single" w:sz="4" w:space="0" w:color="000000"/>
              <w:left w:val="single" w:sz="4" w:space="0" w:color="000000"/>
              <w:bottom w:val="single" w:sz="4" w:space="0" w:color="000000"/>
              <w:right w:val="single" w:sz="4" w:space="0" w:color="000000"/>
            </w:tcBorders>
            <w:shd w:val="clear" w:color="auto" w:fill="F2F2F2"/>
            <w:tcMar>
              <w:top w:w="0" w:type="dxa"/>
              <w:left w:w="70" w:type="dxa"/>
              <w:bottom w:w="0" w:type="dxa"/>
              <w:right w:w="70" w:type="dxa"/>
            </w:tcMar>
            <w:vAlign w:val="center"/>
            <w:hideMark/>
          </w:tcPr>
          <w:p w14:paraId="1E677FFD" w14:textId="77777777" w:rsidR="006C2831" w:rsidRPr="006C2831" w:rsidRDefault="006C2831">
            <w:pPr>
              <w:jc w:val="center"/>
              <w:rPr>
                <w:rFonts w:eastAsia="Times New Roman"/>
                <w:sz w:val="22"/>
                <w:szCs w:val="22"/>
                <w:lang w:val="en-GB"/>
              </w:rPr>
            </w:pPr>
            <w:r w:rsidRPr="006C2831">
              <w:rPr>
                <w:b/>
                <w:color w:val="000000"/>
                <w:sz w:val="22"/>
                <w:szCs w:val="22"/>
                <w:lang w:val="en-GB"/>
              </w:rPr>
              <w:t>Steps of the decision-making process</w:t>
            </w:r>
          </w:p>
        </w:tc>
      </w:tr>
      <w:tr w:rsidR="006C2831" w:rsidRPr="00B52667" w14:paraId="47052F82" w14:textId="77777777" w:rsidTr="006C2831">
        <w:trPr>
          <w:trHeight w:val="20"/>
        </w:trPr>
        <w:tc>
          <w:tcPr>
            <w:tcW w:w="1761"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14:paraId="0B256CDF" w14:textId="77777777" w:rsidR="006C2831" w:rsidRPr="006C2831" w:rsidRDefault="006C2831">
            <w:pPr>
              <w:rPr>
                <w:rFonts w:eastAsia="Times New Roman"/>
                <w:sz w:val="22"/>
                <w:szCs w:val="22"/>
              </w:rPr>
            </w:pPr>
            <w:r w:rsidRPr="006C2831">
              <w:rPr>
                <w:color w:val="000000"/>
                <w:sz w:val="22"/>
                <w:szCs w:val="22"/>
              </w:rPr>
              <w:t>Step 1</w:t>
            </w:r>
          </w:p>
        </w:tc>
        <w:tc>
          <w:tcPr>
            <w:tcW w:w="7867"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14:paraId="35CE50F9" w14:textId="77777777" w:rsidR="006C2831" w:rsidRPr="006C2831" w:rsidRDefault="006C2831">
            <w:pPr>
              <w:rPr>
                <w:rFonts w:eastAsia="Times New Roman"/>
                <w:sz w:val="22"/>
                <w:szCs w:val="22"/>
                <w:lang w:val="en-GB"/>
              </w:rPr>
            </w:pPr>
            <w:r w:rsidRPr="006C2831">
              <w:rPr>
                <w:color w:val="000000"/>
                <w:sz w:val="22"/>
                <w:szCs w:val="22"/>
                <w:lang w:val="en-GB"/>
              </w:rPr>
              <w:t>preliminary analysis of the clinical needs (e.g. burden of disease, number of patients that require treatment, available treatment options).</w:t>
            </w:r>
          </w:p>
        </w:tc>
      </w:tr>
      <w:tr w:rsidR="006C2831" w:rsidRPr="00B52667" w14:paraId="1089A1E4" w14:textId="77777777" w:rsidTr="006C2831">
        <w:trPr>
          <w:trHeight w:val="20"/>
        </w:trPr>
        <w:tc>
          <w:tcPr>
            <w:tcW w:w="1761"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14:paraId="2CFC59E8" w14:textId="77777777" w:rsidR="006C2831" w:rsidRPr="006C2831" w:rsidRDefault="006C2831">
            <w:pPr>
              <w:rPr>
                <w:rFonts w:eastAsia="Times New Roman"/>
                <w:sz w:val="22"/>
                <w:szCs w:val="22"/>
              </w:rPr>
            </w:pPr>
            <w:r w:rsidRPr="006C2831">
              <w:rPr>
                <w:color w:val="000000"/>
                <w:sz w:val="22"/>
                <w:szCs w:val="22"/>
              </w:rPr>
              <w:t>Step 2</w:t>
            </w:r>
          </w:p>
        </w:tc>
        <w:tc>
          <w:tcPr>
            <w:tcW w:w="7867"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14:paraId="6811DE4A" w14:textId="77777777" w:rsidR="006C2831" w:rsidRPr="006C2831" w:rsidRDefault="006C2831">
            <w:pPr>
              <w:rPr>
                <w:rFonts w:eastAsia="Times New Roman"/>
                <w:sz w:val="22"/>
                <w:szCs w:val="22"/>
                <w:lang w:val="en-GB"/>
              </w:rPr>
            </w:pPr>
            <w:r w:rsidRPr="006C2831">
              <w:rPr>
                <w:color w:val="000000"/>
                <w:sz w:val="22"/>
                <w:szCs w:val="22"/>
                <w:lang w:val="en-GB"/>
              </w:rPr>
              <w:t>evaluation of appropriate setting (level of care) in which the technology is to be used, economic and organisational impact of adopting the technology as well as definition of requisites for tenders.</w:t>
            </w:r>
          </w:p>
        </w:tc>
      </w:tr>
      <w:tr w:rsidR="006C2831" w:rsidRPr="006C2831" w14:paraId="7883636C" w14:textId="77777777" w:rsidTr="006C2831">
        <w:trPr>
          <w:trHeight w:val="20"/>
        </w:trPr>
        <w:tc>
          <w:tcPr>
            <w:tcW w:w="1761"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14:paraId="0B14559D" w14:textId="77777777" w:rsidR="006C2831" w:rsidRPr="006C2831" w:rsidRDefault="006C2831">
            <w:pPr>
              <w:rPr>
                <w:rFonts w:eastAsia="Times New Roman"/>
                <w:sz w:val="22"/>
                <w:szCs w:val="22"/>
              </w:rPr>
            </w:pPr>
            <w:r w:rsidRPr="006C2831">
              <w:rPr>
                <w:color w:val="000000"/>
                <w:sz w:val="22"/>
                <w:szCs w:val="22"/>
              </w:rPr>
              <w:t>Step 3</w:t>
            </w:r>
          </w:p>
        </w:tc>
        <w:tc>
          <w:tcPr>
            <w:tcW w:w="7867"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14:paraId="26251AD7" w14:textId="77777777" w:rsidR="006C2831" w:rsidRPr="006C2831" w:rsidRDefault="006C2831">
            <w:pPr>
              <w:rPr>
                <w:rFonts w:eastAsia="Times New Roman"/>
                <w:sz w:val="22"/>
                <w:szCs w:val="22"/>
              </w:rPr>
            </w:pPr>
            <w:r w:rsidRPr="006C2831">
              <w:rPr>
                <w:color w:val="000000"/>
                <w:sz w:val="22"/>
                <w:szCs w:val="22"/>
              </w:rPr>
              <w:t xml:space="preserve">market </w:t>
            </w:r>
            <w:proofErr w:type="spellStart"/>
            <w:r w:rsidRPr="006C2831">
              <w:rPr>
                <w:color w:val="000000"/>
                <w:sz w:val="22"/>
                <w:szCs w:val="22"/>
              </w:rPr>
              <w:t>analysis</w:t>
            </w:r>
            <w:proofErr w:type="spellEnd"/>
            <w:r w:rsidRPr="006C2831">
              <w:rPr>
                <w:color w:val="000000"/>
                <w:sz w:val="22"/>
                <w:szCs w:val="22"/>
              </w:rPr>
              <w:t xml:space="preserve"> and </w:t>
            </w:r>
            <w:proofErr w:type="spellStart"/>
            <w:r w:rsidRPr="006C2831">
              <w:rPr>
                <w:color w:val="000000"/>
                <w:sz w:val="22"/>
                <w:szCs w:val="22"/>
              </w:rPr>
              <w:t>consultation</w:t>
            </w:r>
            <w:proofErr w:type="spellEnd"/>
            <w:r w:rsidRPr="006C2831">
              <w:rPr>
                <w:color w:val="000000"/>
                <w:sz w:val="22"/>
                <w:szCs w:val="22"/>
              </w:rPr>
              <w:t>.</w:t>
            </w:r>
          </w:p>
        </w:tc>
      </w:tr>
      <w:tr w:rsidR="006C2831" w:rsidRPr="006C2831" w14:paraId="70E9E753" w14:textId="77777777" w:rsidTr="006C2831">
        <w:trPr>
          <w:trHeight w:val="20"/>
        </w:trPr>
        <w:tc>
          <w:tcPr>
            <w:tcW w:w="1761"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14:paraId="638A24B6" w14:textId="77777777" w:rsidR="006C2831" w:rsidRPr="006C2831" w:rsidRDefault="006C2831">
            <w:pPr>
              <w:rPr>
                <w:rFonts w:eastAsia="Times New Roman"/>
                <w:sz w:val="22"/>
                <w:szCs w:val="22"/>
              </w:rPr>
            </w:pPr>
            <w:r w:rsidRPr="006C2831">
              <w:rPr>
                <w:color w:val="000000"/>
                <w:sz w:val="22"/>
                <w:szCs w:val="22"/>
              </w:rPr>
              <w:t>Step 4</w:t>
            </w:r>
          </w:p>
        </w:tc>
        <w:tc>
          <w:tcPr>
            <w:tcW w:w="7867"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14:paraId="45AF4B55" w14:textId="77777777" w:rsidR="006C2831" w:rsidRPr="006C2831" w:rsidRDefault="006C2831">
            <w:pPr>
              <w:rPr>
                <w:rFonts w:eastAsia="Times New Roman"/>
                <w:sz w:val="22"/>
                <w:szCs w:val="22"/>
              </w:rPr>
            </w:pPr>
            <w:proofErr w:type="spellStart"/>
            <w:r w:rsidRPr="006C2831">
              <w:rPr>
                <w:color w:val="000000"/>
                <w:sz w:val="22"/>
                <w:szCs w:val="22"/>
              </w:rPr>
              <w:t>choice</w:t>
            </w:r>
            <w:proofErr w:type="spellEnd"/>
            <w:r w:rsidRPr="006C2831">
              <w:rPr>
                <w:color w:val="000000"/>
                <w:sz w:val="22"/>
                <w:szCs w:val="22"/>
              </w:rPr>
              <w:t xml:space="preserve"> of procurement procedure.</w:t>
            </w:r>
          </w:p>
        </w:tc>
      </w:tr>
      <w:tr w:rsidR="006C2831" w:rsidRPr="00B52667" w14:paraId="076EA7B8" w14:textId="77777777" w:rsidTr="006C2831">
        <w:trPr>
          <w:trHeight w:val="20"/>
        </w:trPr>
        <w:tc>
          <w:tcPr>
            <w:tcW w:w="1761"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14:paraId="585C471F" w14:textId="77777777" w:rsidR="006C2831" w:rsidRPr="006C2831" w:rsidRDefault="006C2831">
            <w:pPr>
              <w:rPr>
                <w:rFonts w:eastAsia="Times New Roman"/>
                <w:sz w:val="22"/>
                <w:szCs w:val="22"/>
              </w:rPr>
            </w:pPr>
            <w:r w:rsidRPr="006C2831">
              <w:rPr>
                <w:color w:val="000000"/>
                <w:sz w:val="22"/>
                <w:szCs w:val="22"/>
              </w:rPr>
              <w:t>Step 5</w:t>
            </w:r>
          </w:p>
        </w:tc>
        <w:tc>
          <w:tcPr>
            <w:tcW w:w="7867"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14:paraId="672166B9" w14:textId="77777777" w:rsidR="006C2831" w:rsidRPr="006C2831" w:rsidRDefault="006C2831">
            <w:pPr>
              <w:rPr>
                <w:rFonts w:eastAsia="Times New Roman"/>
                <w:sz w:val="22"/>
                <w:szCs w:val="22"/>
                <w:lang w:val="en-GB"/>
              </w:rPr>
            </w:pPr>
            <w:r w:rsidRPr="006C2831">
              <w:rPr>
                <w:color w:val="000000"/>
                <w:sz w:val="22"/>
                <w:szCs w:val="22"/>
                <w:lang w:val="en-GB"/>
              </w:rPr>
              <w:t>analysis of the offers received and the final decision.</w:t>
            </w:r>
          </w:p>
        </w:tc>
      </w:tr>
      <w:tr w:rsidR="006C2831" w:rsidRPr="00B52667" w14:paraId="5B93A2E1" w14:textId="77777777" w:rsidTr="006C2831">
        <w:trPr>
          <w:trHeight w:val="20"/>
        </w:trPr>
        <w:tc>
          <w:tcPr>
            <w:tcW w:w="1761"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14:paraId="3B24EF86" w14:textId="77777777" w:rsidR="006C2831" w:rsidRPr="006C2831" w:rsidRDefault="006C2831">
            <w:pPr>
              <w:rPr>
                <w:rFonts w:eastAsia="Times New Roman"/>
                <w:sz w:val="22"/>
                <w:szCs w:val="22"/>
              </w:rPr>
            </w:pPr>
            <w:r w:rsidRPr="006C2831">
              <w:rPr>
                <w:color w:val="000000"/>
                <w:sz w:val="22"/>
                <w:szCs w:val="22"/>
              </w:rPr>
              <w:t>Step 6</w:t>
            </w:r>
          </w:p>
        </w:tc>
        <w:tc>
          <w:tcPr>
            <w:tcW w:w="7867"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14:paraId="1305AB91" w14:textId="77777777" w:rsidR="006C2831" w:rsidRPr="006C2831" w:rsidRDefault="006C2831">
            <w:pPr>
              <w:rPr>
                <w:rFonts w:eastAsia="Times New Roman"/>
                <w:sz w:val="22"/>
                <w:szCs w:val="22"/>
                <w:lang w:val="en-GB"/>
              </w:rPr>
            </w:pPr>
            <w:r w:rsidRPr="006C2831">
              <w:rPr>
                <w:color w:val="000000"/>
                <w:sz w:val="22"/>
                <w:szCs w:val="22"/>
                <w:lang w:val="en-GB"/>
              </w:rPr>
              <w:t>the procurement and logistics associated with the introduction of the technology</w:t>
            </w:r>
          </w:p>
        </w:tc>
      </w:tr>
      <w:tr w:rsidR="006C2831" w:rsidRPr="00B52667" w14:paraId="4DED502A" w14:textId="77777777" w:rsidTr="006C2831">
        <w:trPr>
          <w:trHeight w:val="20"/>
        </w:trPr>
        <w:tc>
          <w:tcPr>
            <w:tcW w:w="1761"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14:paraId="49DC7D56" w14:textId="77777777" w:rsidR="006C2831" w:rsidRPr="006C2831" w:rsidRDefault="006C2831">
            <w:pPr>
              <w:rPr>
                <w:rFonts w:eastAsia="Times New Roman"/>
                <w:sz w:val="22"/>
                <w:szCs w:val="22"/>
              </w:rPr>
            </w:pPr>
            <w:r w:rsidRPr="006C2831">
              <w:rPr>
                <w:color w:val="000000"/>
                <w:sz w:val="22"/>
                <w:szCs w:val="22"/>
              </w:rPr>
              <w:t>Step 7</w:t>
            </w:r>
          </w:p>
        </w:tc>
        <w:tc>
          <w:tcPr>
            <w:tcW w:w="7867"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14:paraId="2AC11FCA" w14:textId="77777777" w:rsidR="006C2831" w:rsidRPr="006C2831" w:rsidRDefault="006C2831">
            <w:pPr>
              <w:rPr>
                <w:rFonts w:eastAsia="Times New Roman"/>
                <w:sz w:val="22"/>
                <w:szCs w:val="22"/>
                <w:lang w:val="en-GB"/>
              </w:rPr>
            </w:pPr>
            <w:r w:rsidRPr="006C2831">
              <w:rPr>
                <w:color w:val="000000"/>
                <w:sz w:val="22"/>
                <w:szCs w:val="22"/>
                <w:lang w:val="en-GB"/>
              </w:rPr>
              <w:t>analysis finalized to the disinvestment of technology</w:t>
            </w:r>
          </w:p>
        </w:tc>
      </w:tr>
      <w:tr w:rsidR="006C2831" w:rsidRPr="006C2831" w14:paraId="56B02DD8" w14:textId="77777777" w:rsidTr="006C2831">
        <w:trPr>
          <w:trHeight w:val="20"/>
        </w:trPr>
        <w:tc>
          <w:tcPr>
            <w:tcW w:w="1761"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14:paraId="2429358C" w14:textId="77777777" w:rsidR="006C2831" w:rsidRPr="006C2831" w:rsidRDefault="006C2831">
            <w:pPr>
              <w:rPr>
                <w:rFonts w:eastAsia="Times New Roman"/>
                <w:sz w:val="22"/>
                <w:szCs w:val="22"/>
              </w:rPr>
            </w:pPr>
            <w:r w:rsidRPr="006C2831">
              <w:rPr>
                <w:color w:val="000000"/>
                <w:sz w:val="22"/>
                <w:szCs w:val="22"/>
              </w:rPr>
              <w:t>Step 8</w:t>
            </w:r>
          </w:p>
        </w:tc>
        <w:tc>
          <w:tcPr>
            <w:tcW w:w="7867"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14:paraId="5BF810FA" w14:textId="77777777" w:rsidR="006C2831" w:rsidRPr="006C2831" w:rsidRDefault="006C2831">
            <w:pPr>
              <w:rPr>
                <w:rFonts w:eastAsia="Times New Roman"/>
                <w:sz w:val="22"/>
                <w:szCs w:val="22"/>
              </w:rPr>
            </w:pPr>
            <w:proofErr w:type="spellStart"/>
            <w:r w:rsidRPr="006C2831">
              <w:rPr>
                <w:color w:val="000000"/>
                <w:sz w:val="22"/>
                <w:szCs w:val="22"/>
              </w:rPr>
              <w:t>decision</w:t>
            </w:r>
            <w:proofErr w:type="spellEnd"/>
            <w:r w:rsidRPr="006C2831">
              <w:rPr>
                <w:color w:val="000000"/>
                <w:sz w:val="22"/>
                <w:szCs w:val="22"/>
              </w:rPr>
              <w:t xml:space="preserve"> </w:t>
            </w:r>
            <w:proofErr w:type="spellStart"/>
            <w:r w:rsidRPr="006C2831">
              <w:rPr>
                <w:color w:val="000000"/>
                <w:sz w:val="22"/>
                <w:szCs w:val="22"/>
              </w:rPr>
              <w:t>about</w:t>
            </w:r>
            <w:proofErr w:type="spellEnd"/>
            <w:r w:rsidRPr="006C2831">
              <w:rPr>
                <w:color w:val="000000"/>
                <w:sz w:val="22"/>
                <w:szCs w:val="22"/>
              </w:rPr>
              <w:t xml:space="preserve"> </w:t>
            </w:r>
            <w:proofErr w:type="spellStart"/>
            <w:r w:rsidRPr="006C2831">
              <w:rPr>
                <w:color w:val="000000"/>
                <w:sz w:val="22"/>
                <w:szCs w:val="22"/>
              </w:rPr>
              <w:t>disinvestment</w:t>
            </w:r>
            <w:proofErr w:type="spellEnd"/>
            <w:r w:rsidRPr="006C2831">
              <w:rPr>
                <w:color w:val="000000"/>
                <w:sz w:val="22"/>
                <w:szCs w:val="22"/>
              </w:rPr>
              <w:t>.</w:t>
            </w:r>
          </w:p>
        </w:tc>
      </w:tr>
      <w:tr w:rsidR="006C2831" w:rsidRPr="006C2831" w14:paraId="69BAC352" w14:textId="77777777" w:rsidTr="006C2831">
        <w:trPr>
          <w:trHeight w:val="547"/>
        </w:trPr>
        <w:tc>
          <w:tcPr>
            <w:tcW w:w="9628" w:type="dxa"/>
            <w:gridSpan w:val="2"/>
            <w:tcBorders>
              <w:top w:val="single" w:sz="4" w:space="0" w:color="000000"/>
              <w:left w:val="single" w:sz="4" w:space="0" w:color="000000"/>
              <w:bottom w:val="single" w:sz="4" w:space="0" w:color="000000"/>
              <w:right w:val="single" w:sz="4" w:space="0" w:color="000000"/>
            </w:tcBorders>
            <w:shd w:val="clear" w:color="auto" w:fill="F2F2F2"/>
            <w:tcMar>
              <w:top w:w="0" w:type="dxa"/>
              <w:left w:w="70" w:type="dxa"/>
              <w:bottom w:w="0" w:type="dxa"/>
              <w:right w:w="70" w:type="dxa"/>
            </w:tcMar>
            <w:vAlign w:val="center"/>
            <w:hideMark/>
          </w:tcPr>
          <w:p w14:paraId="3FDBAE4E" w14:textId="77777777" w:rsidR="006C2831" w:rsidRPr="006C2831" w:rsidRDefault="006C2831">
            <w:pPr>
              <w:jc w:val="center"/>
              <w:rPr>
                <w:rFonts w:eastAsia="Times New Roman"/>
                <w:sz w:val="22"/>
                <w:szCs w:val="22"/>
              </w:rPr>
            </w:pPr>
            <w:r w:rsidRPr="006C2831">
              <w:rPr>
                <w:b/>
                <w:color w:val="000000"/>
                <w:sz w:val="22"/>
                <w:szCs w:val="22"/>
              </w:rPr>
              <w:t>HB-HTA Outputs</w:t>
            </w:r>
          </w:p>
        </w:tc>
      </w:tr>
      <w:tr w:rsidR="006C2831" w:rsidRPr="00B52667" w14:paraId="58924CFE" w14:textId="77777777" w:rsidTr="006C2831">
        <w:trPr>
          <w:trHeight w:val="20"/>
        </w:trPr>
        <w:tc>
          <w:tcPr>
            <w:tcW w:w="1761"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14:paraId="3CE40A97" w14:textId="77777777" w:rsidR="006C2831" w:rsidRPr="006C2831" w:rsidRDefault="006C2831">
            <w:pPr>
              <w:rPr>
                <w:rFonts w:eastAsia="Times New Roman"/>
                <w:sz w:val="22"/>
                <w:szCs w:val="22"/>
              </w:rPr>
            </w:pPr>
            <w:r w:rsidRPr="006C2831">
              <w:rPr>
                <w:color w:val="000000"/>
                <w:sz w:val="22"/>
                <w:szCs w:val="22"/>
              </w:rPr>
              <w:t xml:space="preserve">Mini or </w:t>
            </w:r>
            <w:proofErr w:type="spellStart"/>
            <w:r w:rsidRPr="006C2831">
              <w:rPr>
                <w:color w:val="000000"/>
                <w:sz w:val="22"/>
                <w:szCs w:val="22"/>
              </w:rPr>
              <w:t>rapid</w:t>
            </w:r>
            <w:proofErr w:type="spellEnd"/>
            <w:r w:rsidRPr="006C2831">
              <w:rPr>
                <w:color w:val="000000"/>
                <w:sz w:val="22"/>
                <w:szCs w:val="22"/>
              </w:rPr>
              <w:t xml:space="preserve"> HTA report</w:t>
            </w:r>
          </w:p>
        </w:tc>
        <w:tc>
          <w:tcPr>
            <w:tcW w:w="7867"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14:paraId="1377089E" w14:textId="77777777" w:rsidR="006C2831" w:rsidRPr="006C2831" w:rsidRDefault="006C2831">
            <w:pPr>
              <w:rPr>
                <w:rFonts w:eastAsia="Times New Roman"/>
                <w:sz w:val="22"/>
                <w:szCs w:val="22"/>
                <w:lang w:val="en-GB"/>
              </w:rPr>
            </w:pPr>
            <w:r w:rsidRPr="006C2831">
              <w:rPr>
                <w:color w:val="000000"/>
                <w:sz w:val="22"/>
                <w:szCs w:val="22"/>
                <w:lang w:val="en-GB"/>
              </w:rPr>
              <w:t>short and structured assessment of the prerequisites for and consequences of using a specific health technology for a specific group of patients at hospital level.</w:t>
            </w:r>
          </w:p>
        </w:tc>
      </w:tr>
      <w:tr w:rsidR="006C2831" w:rsidRPr="00B52667" w14:paraId="1FFCE321" w14:textId="77777777" w:rsidTr="006C2831">
        <w:trPr>
          <w:trHeight w:val="20"/>
        </w:trPr>
        <w:tc>
          <w:tcPr>
            <w:tcW w:w="1761"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14:paraId="7FA0A3EE" w14:textId="77777777" w:rsidR="006C2831" w:rsidRPr="006C2831" w:rsidRDefault="006C2831">
            <w:pPr>
              <w:rPr>
                <w:rFonts w:eastAsia="Times New Roman"/>
                <w:sz w:val="22"/>
                <w:szCs w:val="22"/>
              </w:rPr>
            </w:pPr>
            <w:r w:rsidRPr="006C2831">
              <w:rPr>
                <w:color w:val="000000"/>
                <w:sz w:val="22"/>
                <w:szCs w:val="22"/>
              </w:rPr>
              <w:t>Full HB-HTA</w:t>
            </w:r>
          </w:p>
        </w:tc>
        <w:tc>
          <w:tcPr>
            <w:tcW w:w="7867"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14:paraId="50BDE4BC" w14:textId="77777777" w:rsidR="006C2831" w:rsidRPr="006C2831" w:rsidRDefault="006C2831">
            <w:pPr>
              <w:rPr>
                <w:rFonts w:eastAsia="Times New Roman"/>
                <w:sz w:val="22"/>
                <w:szCs w:val="22"/>
                <w:lang w:val="en-GB"/>
              </w:rPr>
            </w:pPr>
            <w:r w:rsidRPr="006C2831">
              <w:rPr>
                <w:color w:val="000000"/>
                <w:sz w:val="22"/>
                <w:szCs w:val="22"/>
                <w:lang w:val="en-GB"/>
              </w:rPr>
              <w:t>a comprehensive, interdisciplinary, systematic assessment of the prerequisites for and consequences of using a specific health technology for a specific group of patients at hospital level.</w:t>
            </w:r>
          </w:p>
        </w:tc>
      </w:tr>
      <w:tr w:rsidR="006C2831" w:rsidRPr="00B52667" w14:paraId="7B276E9D" w14:textId="77777777" w:rsidTr="006C2831">
        <w:trPr>
          <w:trHeight w:val="20"/>
        </w:trPr>
        <w:tc>
          <w:tcPr>
            <w:tcW w:w="1761"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14:paraId="43A232DE" w14:textId="77777777" w:rsidR="006C2831" w:rsidRPr="006C2831" w:rsidRDefault="006C2831">
            <w:pPr>
              <w:rPr>
                <w:rFonts w:eastAsia="Times New Roman"/>
                <w:sz w:val="22"/>
                <w:szCs w:val="22"/>
              </w:rPr>
            </w:pPr>
            <w:r w:rsidRPr="006C2831">
              <w:rPr>
                <w:color w:val="000000"/>
                <w:sz w:val="22"/>
                <w:szCs w:val="22"/>
              </w:rPr>
              <w:t xml:space="preserve">Horizon </w:t>
            </w:r>
            <w:proofErr w:type="spellStart"/>
            <w:r w:rsidRPr="006C2831">
              <w:rPr>
                <w:color w:val="000000"/>
                <w:sz w:val="22"/>
                <w:szCs w:val="22"/>
              </w:rPr>
              <w:t>scan</w:t>
            </w:r>
            <w:proofErr w:type="spellEnd"/>
          </w:p>
        </w:tc>
        <w:tc>
          <w:tcPr>
            <w:tcW w:w="7867"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14:paraId="40864C3C" w14:textId="77777777" w:rsidR="006C2831" w:rsidRPr="006C2831" w:rsidRDefault="006C2831">
            <w:pPr>
              <w:rPr>
                <w:rFonts w:eastAsia="Times New Roman"/>
                <w:sz w:val="22"/>
                <w:szCs w:val="22"/>
                <w:lang w:val="en-GB"/>
              </w:rPr>
            </w:pPr>
            <w:r w:rsidRPr="006C2831">
              <w:rPr>
                <w:color w:val="000000"/>
                <w:sz w:val="22"/>
                <w:szCs w:val="22"/>
                <w:lang w:val="en-GB"/>
              </w:rPr>
              <w:t>high-level summary of a new or emerging health technology likely to have a significant impact on the delivery of health care.</w:t>
            </w:r>
          </w:p>
        </w:tc>
      </w:tr>
      <w:tr w:rsidR="006C2831" w:rsidRPr="00B52667" w14:paraId="26ACB812" w14:textId="77777777" w:rsidTr="006C2831">
        <w:trPr>
          <w:trHeight w:val="20"/>
        </w:trPr>
        <w:tc>
          <w:tcPr>
            <w:tcW w:w="1761"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14:paraId="32CB6E8D" w14:textId="77777777" w:rsidR="006C2831" w:rsidRPr="006C2831" w:rsidRDefault="006C2831">
            <w:pPr>
              <w:rPr>
                <w:rFonts w:eastAsia="Times New Roman"/>
                <w:sz w:val="22"/>
                <w:szCs w:val="22"/>
              </w:rPr>
            </w:pPr>
            <w:r w:rsidRPr="006C2831">
              <w:rPr>
                <w:color w:val="000000"/>
                <w:sz w:val="22"/>
                <w:szCs w:val="22"/>
              </w:rPr>
              <w:t>Reference Lists</w:t>
            </w:r>
          </w:p>
        </w:tc>
        <w:tc>
          <w:tcPr>
            <w:tcW w:w="7867"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14:paraId="415CF841" w14:textId="77777777" w:rsidR="006C2831" w:rsidRPr="006C2831" w:rsidRDefault="006C2831">
            <w:pPr>
              <w:rPr>
                <w:rFonts w:eastAsia="Times New Roman"/>
                <w:sz w:val="22"/>
                <w:szCs w:val="22"/>
                <w:lang w:val="en-GB"/>
              </w:rPr>
            </w:pPr>
            <w:r w:rsidRPr="006C2831">
              <w:rPr>
                <w:color w:val="000000"/>
                <w:sz w:val="22"/>
                <w:szCs w:val="22"/>
                <w:lang w:val="en-GB"/>
              </w:rPr>
              <w:t>bibliographies of existing evidence on a specific topic, arranged by the hierarchy of evidence.</w:t>
            </w:r>
          </w:p>
        </w:tc>
      </w:tr>
    </w:tbl>
    <w:p w14:paraId="4B1E57F1" w14:textId="77777777" w:rsidR="006C2831" w:rsidRPr="006C2831" w:rsidRDefault="006C2831" w:rsidP="006C2831">
      <w:pPr>
        <w:rPr>
          <w:rFonts w:eastAsia="Times New Roman"/>
          <w:sz w:val="22"/>
          <w:szCs w:val="22"/>
          <w:lang w:val="en-US"/>
        </w:rPr>
      </w:pPr>
    </w:p>
    <w:p w14:paraId="66208460" w14:textId="77777777" w:rsidR="006C2831" w:rsidRPr="006C2831" w:rsidRDefault="006C2831" w:rsidP="006C2831">
      <w:pPr>
        <w:spacing w:line="360" w:lineRule="auto"/>
        <w:jc w:val="both"/>
        <w:rPr>
          <w:rFonts w:ascii="Calibri" w:eastAsia="Calibri" w:hAnsi="Calibri" w:cs="Calibri"/>
          <w:sz w:val="22"/>
          <w:szCs w:val="22"/>
          <w:lang w:val="en-GB"/>
        </w:rPr>
      </w:pPr>
    </w:p>
    <w:p w14:paraId="4DE73B98" w14:textId="77777777" w:rsidR="00B52667" w:rsidRDefault="00B52667" w:rsidP="006C2831">
      <w:pPr>
        <w:rPr>
          <w:b/>
          <w:bCs/>
          <w:lang w:val="en-GB"/>
        </w:rPr>
      </w:pPr>
      <w:r w:rsidRPr="00B52667">
        <w:rPr>
          <w:b/>
          <w:bCs/>
          <w:lang w:val="en-GB"/>
        </w:rPr>
        <w:t>Reference</w:t>
      </w:r>
    </w:p>
    <w:p w14:paraId="45D55A31" w14:textId="6763486C" w:rsidR="00B52667" w:rsidRPr="00B52667" w:rsidRDefault="00B52667" w:rsidP="00B52667">
      <w:pPr>
        <w:pStyle w:val="ListParagraph"/>
        <w:numPr>
          <w:ilvl w:val="0"/>
          <w:numId w:val="1"/>
        </w:numPr>
        <w:rPr>
          <w:lang w:val="en-GB"/>
        </w:rPr>
      </w:pPr>
      <w:r w:rsidRPr="00B52667">
        <w:rPr>
          <w:b/>
          <w:bCs/>
          <w:lang w:val="en-GB"/>
        </w:rPr>
        <w:t xml:space="preserve"> </w:t>
      </w:r>
      <w:proofErr w:type="spellStart"/>
      <w:r w:rsidRPr="00B52667">
        <w:rPr>
          <w:b/>
          <w:bCs/>
          <w:lang w:val="en-GB"/>
        </w:rPr>
        <w:t>AdHopHTA</w:t>
      </w:r>
      <w:proofErr w:type="spellEnd"/>
      <w:r w:rsidRPr="00B52667">
        <w:rPr>
          <w:b/>
          <w:bCs/>
          <w:lang w:val="en-GB"/>
        </w:rPr>
        <w:t xml:space="preserve"> Project</w:t>
      </w:r>
      <w:r w:rsidRPr="00B52667">
        <w:rPr>
          <w:lang w:val="en-GB"/>
        </w:rPr>
        <w:t xml:space="preserve">. [Internet] </w:t>
      </w:r>
      <w:proofErr w:type="gramStart"/>
      <w:r w:rsidRPr="00B52667">
        <w:rPr>
          <w:lang w:val="en-GB"/>
        </w:rPr>
        <w:t>The</w:t>
      </w:r>
      <w:proofErr w:type="gramEnd"/>
      <w:r w:rsidRPr="00B52667">
        <w:rPr>
          <w:lang w:val="en-GB"/>
        </w:rPr>
        <w:t xml:space="preserve"> </w:t>
      </w:r>
      <w:proofErr w:type="spellStart"/>
      <w:r w:rsidRPr="00B52667">
        <w:rPr>
          <w:lang w:val="en-GB"/>
        </w:rPr>
        <w:t>AdHopHTA</w:t>
      </w:r>
      <w:proofErr w:type="spellEnd"/>
      <w:r w:rsidRPr="00B52667">
        <w:rPr>
          <w:lang w:val="en-GB"/>
        </w:rPr>
        <w:t xml:space="preserve"> handbook: a handbook of hospital-based Health Technology Assessment (HB-HTA); c2015. [cited 2023 sept 20] Available from: </w:t>
      </w:r>
      <w:hyperlink r:id="rId7" w:history="1">
        <w:r w:rsidRPr="00B52667">
          <w:rPr>
            <w:rStyle w:val="Hyperlink"/>
            <w:lang w:val="en-GB"/>
          </w:rPr>
          <w:t>https://www.adhophta.eu/handbook</w:t>
        </w:r>
      </w:hyperlink>
      <w:r w:rsidRPr="00B52667">
        <w:rPr>
          <w:lang w:val="en-GB"/>
        </w:rPr>
        <w:t xml:space="preserve"> </w:t>
      </w:r>
    </w:p>
    <w:p w14:paraId="61D29347" w14:textId="24F1F314" w:rsidR="006C2831" w:rsidRPr="00B52667" w:rsidRDefault="006C2831" w:rsidP="00B52667">
      <w:pPr>
        <w:pStyle w:val="ListParagraph"/>
        <w:rPr>
          <w:b/>
          <w:bCs/>
          <w:lang w:val="en-GB"/>
        </w:rPr>
      </w:pPr>
    </w:p>
    <w:sectPr w:rsidR="006C2831" w:rsidRPr="00B52667" w:rsidSect="00F05904">
      <w:footerReference w:type="default" r:id="rId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1CC80C5" w14:textId="77777777" w:rsidR="00A03E74" w:rsidRDefault="00A03E74" w:rsidP="008E3C27">
      <w:r>
        <w:separator/>
      </w:r>
    </w:p>
  </w:endnote>
  <w:endnote w:type="continuationSeparator" w:id="0">
    <w:p w14:paraId="54AECCDA" w14:textId="77777777" w:rsidR="00A03E74" w:rsidRDefault="00A03E74" w:rsidP="008E3C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709576571"/>
      <w:docPartObj>
        <w:docPartGallery w:val="Page Numbers (Bottom of Page)"/>
        <w:docPartUnique/>
      </w:docPartObj>
    </w:sdtPr>
    <w:sdtContent>
      <w:p w14:paraId="57A43EDC" w14:textId="1BCEE2AB" w:rsidR="008E3C27" w:rsidRDefault="008E3C27">
        <w:pPr>
          <w:pStyle w:val="Footer"/>
          <w:jc w:val="right"/>
        </w:pPr>
        <w:r>
          <w:fldChar w:fldCharType="begin"/>
        </w:r>
        <w:r>
          <w:instrText>PAGE   \* MERGEFORMAT</w:instrText>
        </w:r>
        <w:r>
          <w:fldChar w:fldCharType="separate"/>
        </w:r>
        <w:r>
          <w:rPr>
            <w:lang w:val="en-GB"/>
          </w:rPr>
          <w:t>2</w:t>
        </w:r>
        <w:r>
          <w:fldChar w:fldCharType="end"/>
        </w:r>
      </w:p>
    </w:sdtContent>
  </w:sdt>
  <w:p w14:paraId="0F35F8FB" w14:textId="77777777" w:rsidR="008E3C27" w:rsidRDefault="008E3C2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366411A" w14:textId="77777777" w:rsidR="00A03E74" w:rsidRDefault="00A03E74" w:rsidP="008E3C27">
      <w:r>
        <w:separator/>
      </w:r>
    </w:p>
  </w:footnote>
  <w:footnote w:type="continuationSeparator" w:id="0">
    <w:p w14:paraId="42210CF9" w14:textId="77777777" w:rsidR="00A03E74" w:rsidRDefault="00A03E74" w:rsidP="008E3C2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01056FA"/>
    <w:multiLevelType w:val="multilevel"/>
    <w:tmpl w:val="F75076F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5B547F2B"/>
    <w:multiLevelType w:val="hybridMultilevel"/>
    <w:tmpl w:val="B3FEA35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371808507">
    <w:abstractNumId w:val="1"/>
  </w:num>
  <w:num w:numId="2" w16cid:durableId="147340112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283"/>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2639A"/>
    <w:rsid w:val="001C3C03"/>
    <w:rsid w:val="003A3556"/>
    <w:rsid w:val="00421C79"/>
    <w:rsid w:val="00567D89"/>
    <w:rsid w:val="005B6E09"/>
    <w:rsid w:val="006C2831"/>
    <w:rsid w:val="007F1802"/>
    <w:rsid w:val="00841B2B"/>
    <w:rsid w:val="008E3C27"/>
    <w:rsid w:val="008F71B0"/>
    <w:rsid w:val="009E3128"/>
    <w:rsid w:val="00A03E74"/>
    <w:rsid w:val="00B52667"/>
    <w:rsid w:val="00B87D35"/>
    <w:rsid w:val="00BA32DC"/>
    <w:rsid w:val="00CD55D9"/>
    <w:rsid w:val="00E82B5D"/>
    <w:rsid w:val="00EE6F89"/>
    <w:rsid w:val="00F05904"/>
    <w:rsid w:val="00F2639A"/>
    <w:rsid w:val="00FA75CD"/>
    <w:rsid w:val="00FD27EA"/>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2A5D02"/>
  <w15:chartTrackingRefBased/>
  <w15:docId w15:val="{2220DA24-9B4C-4DCE-B942-2411E28247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it-IT"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A32DC"/>
    <w:pPr>
      <w:spacing w:after="0" w:line="240" w:lineRule="auto"/>
    </w:pPr>
    <w:rPr>
      <w:rFonts w:ascii="Times New Roman" w:eastAsiaTheme="minorEastAsia" w:hAnsi="Times New Roman" w:cs="Times New Roman"/>
      <w:kern w:val="0"/>
      <w:sz w:val="24"/>
      <w:szCs w:val="24"/>
      <w:lang w:eastAsia="it-IT"/>
      <w14:ligatures w14:val="none"/>
    </w:rPr>
  </w:style>
  <w:style w:type="paragraph" w:styleId="Heading2">
    <w:name w:val="heading 2"/>
    <w:basedOn w:val="Normal"/>
    <w:next w:val="Normal"/>
    <w:link w:val="Heading2Char"/>
    <w:uiPriority w:val="9"/>
    <w:unhideWhenUsed/>
    <w:qFormat/>
    <w:rsid w:val="00BA32DC"/>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BA32DC"/>
    <w:rPr>
      <w:rFonts w:asciiTheme="majorHAnsi" w:eastAsiaTheme="majorEastAsia" w:hAnsiTheme="majorHAnsi" w:cstheme="majorBidi"/>
      <w:color w:val="2F5496" w:themeColor="accent1" w:themeShade="BF"/>
      <w:kern w:val="0"/>
      <w:sz w:val="26"/>
      <w:szCs w:val="26"/>
      <w:lang w:eastAsia="it-IT"/>
      <w14:ligatures w14:val="none"/>
    </w:rPr>
  </w:style>
  <w:style w:type="character" w:styleId="Hyperlink">
    <w:name w:val="Hyperlink"/>
    <w:basedOn w:val="DefaultParagraphFont"/>
    <w:uiPriority w:val="99"/>
    <w:unhideWhenUsed/>
    <w:rsid w:val="00BA32DC"/>
    <w:rPr>
      <w:color w:val="0563C1" w:themeColor="hyperlink"/>
      <w:u w:val="single"/>
    </w:rPr>
  </w:style>
  <w:style w:type="table" w:styleId="TableGrid">
    <w:name w:val="Table Grid"/>
    <w:basedOn w:val="TableNormal"/>
    <w:uiPriority w:val="39"/>
    <w:rsid w:val="00BA32DC"/>
    <w:pPr>
      <w:spacing w:after="0" w:line="240" w:lineRule="auto"/>
    </w:pPr>
    <w:rPr>
      <w:kern w:val="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PlainTable2">
    <w:name w:val="Plain Table 2"/>
    <w:basedOn w:val="TableNormal"/>
    <w:uiPriority w:val="42"/>
    <w:rsid w:val="00B87D35"/>
    <w:pPr>
      <w:spacing w:after="0" w:line="240" w:lineRule="auto"/>
    </w:pPr>
    <w:rPr>
      <w:kern w:val="0"/>
      <w14:ligatures w14:val="none"/>
    </w:rPr>
    <w:tblPr>
      <w:tblStyleRowBandSize w:val="1"/>
      <w:tblStyleColBandSize w:val="1"/>
      <w:tblInd w:w="0" w:type="nil"/>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paragraph" w:styleId="Header">
    <w:name w:val="header"/>
    <w:basedOn w:val="Normal"/>
    <w:link w:val="HeaderChar"/>
    <w:uiPriority w:val="99"/>
    <w:unhideWhenUsed/>
    <w:rsid w:val="008E3C27"/>
    <w:pPr>
      <w:tabs>
        <w:tab w:val="center" w:pos="4819"/>
        <w:tab w:val="right" w:pos="9638"/>
      </w:tabs>
    </w:pPr>
  </w:style>
  <w:style w:type="character" w:customStyle="1" w:styleId="HeaderChar">
    <w:name w:val="Header Char"/>
    <w:basedOn w:val="DefaultParagraphFont"/>
    <w:link w:val="Header"/>
    <w:uiPriority w:val="99"/>
    <w:rsid w:val="008E3C27"/>
    <w:rPr>
      <w:rFonts w:ascii="Times New Roman" w:eastAsiaTheme="minorEastAsia" w:hAnsi="Times New Roman" w:cs="Times New Roman"/>
      <w:kern w:val="0"/>
      <w:sz w:val="24"/>
      <w:szCs w:val="24"/>
      <w:lang w:eastAsia="it-IT"/>
      <w14:ligatures w14:val="none"/>
    </w:rPr>
  </w:style>
  <w:style w:type="paragraph" w:styleId="Footer">
    <w:name w:val="footer"/>
    <w:basedOn w:val="Normal"/>
    <w:link w:val="FooterChar"/>
    <w:uiPriority w:val="99"/>
    <w:unhideWhenUsed/>
    <w:rsid w:val="008E3C27"/>
    <w:pPr>
      <w:tabs>
        <w:tab w:val="center" w:pos="4819"/>
        <w:tab w:val="right" w:pos="9638"/>
      </w:tabs>
    </w:pPr>
  </w:style>
  <w:style w:type="character" w:customStyle="1" w:styleId="FooterChar">
    <w:name w:val="Footer Char"/>
    <w:basedOn w:val="DefaultParagraphFont"/>
    <w:link w:val="Footer"/>
    <w:uiPriority w:val="99"/>
    <w:rsid w:val="008E3C27"/>
    <w:rPr>
      <w:rFonts w:ascii="Times New Roman" w:eastAsiaTheme="minorEastAsia" w:hAnsi="Times New Roman" w:cs="Times New Roman"/>
      <w:kern w:val="0"/>
      <w:sz w:val="24"/>
      <w:szCs w:val="24"/>
      <w:lang w:eastAsia="it-IT"/>
      <w14:ligatures w14:val="none"/>
    </w:rPr>
  </w:style>
  <w:style w:type="paragraph" w:styleId="ListParagraph">
    <w:name w:val="List Paragraph"/>
    <w:basedOn w:val="Normal"/>
    <w:uiPriority w:val="34"/>
    <w:qFormat/>
    <w:rsid w:val="00B52667"/>
    <w:pPr>
      <w:ind w:left="720"/>
      <w:contextualSpacing/>
    </w:pPr>
  </w:style>
  <w:style w:type="character" w:styleId="UnresolvedMention">
    <w:name w:val="Unresolved Mention"/>
    <w:basedOn w:val="DefaultParagraphFont"/>
    <w:uiPriority w:val="99"/>
    <w:semiHidden/>
    <w:unhideWhenUsed/>
    <w:rsid w:val="00B5266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85082377">
      <w:bodyDiv w:val="1"/>
      <w:marLeft w:val="0"/>
      <w:marRight w:val="0"/>
      <w:marTop w:val="0"/>
      <w:marBottom w:val="0"/>
      <w:divBdr>
        <w:top w:val="none" w:sz="0" w:space="0" w:color="auto"/>
        <w:left w:val="none" w:sz="0" w:space="0" w:color="auto"/>
        <w:bottom w:val="none" w:sz="0" w:space="0" w:color="auto"/>
        <w:right w:val="none" w:sz="0" w:space="0" w:color="auto"/>
      </w:divBdr>
    </w:div>
    <w:div w:id="388918800">
      <w:bodyDiv w:val="1"/>
      <w:marLeft w:val="0"/>
      <w:marRight w:val="0"/>
      <w:marTop w:val="0"/>
      <w:marBottom w:val="0"/>
      <w:divBdr>
        <w:top w:val="none" w:sz="0" w:space="0" w:color="auto"/>
        <w:left w:val="none" w:sz="0" w:space="0" w:color="auto"/>
        <w:bottom w:val="none" w:sz="0" w:space="0" w:color="auto"/>
        <w:right w:val="none" w:sz="0" w:space="0" w:color="auto"/>
      </w:divBdr>
    </w:div>
    <w:div w:id="455101952">
      <w:bodyDiv w:val="1"/>
      <w:marLeft w:val="0"/>
      <w:marRight w:val="0"/>
      <w:marTop w:val="0"/>
      <w:marBottom w:val="0"/>
      <w:divBdr>
        <w:top w:val="none" w:sz="0" w:space="0" w:color="auto"/>
        <w:left w:val="none" w:sz="0" w:space="0" w:color="auto"/>
        <w:bottom w:val="none" w:sz="0" w:space="0" w:color="auto"/>
        <w:right w:val="none" w:sz="0" w:space="0" w:color="auto"/>
      </w:divBdr>
    </w:div>
    <w:div w:id="1098061510">
      <w:bodyDiv w:val="1"/>
      <w:marLeft w:val="0"/>
      <w:marRight w:val="0"/>
      <w:marTop w:val="0"/>
      <w:marBottom w:val="0"/>
      <w:divBdr>
        <w:top w:val="none" w:sz="0" w:space="0" w:color="auto"/>
        <w:left w:val="none" w:sz="0" w:space="0" w:color="auto"/>
        <w:bottom w:val="none" w:sz="0" w:space="0" w:color="auto"/>
        <w:right w:val="none" w:sz="0" w:space="0" w:color="auto"/>
      </w:divBdr>
    </w:div>
    <w:div w:id="12639965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s://www.adhophta.eu/handboo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387</Words>
  <Characters>2208</Characters>
  <Application>Microsoft Office Word</Application>
  <DocSecurity>0</DocSecurity>
  <Lines>18</Lines>
  <Paragraphs>5</Paragraphs>
  <ScaleCrop>false</ScaleCrop>
  <Company/>
  <LinksUpToDate>false</LinksUpToDate>
  <CharactersWithSpaces>2590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Papavero Sara Consilia (saraconsilia.papavero)</dc:creator>
  <cp:keywords/>
  <dc:description/>
  <cp:lastModifiedBy>Papavero Sara Consilia (saraconsilia.papavero)</cp:lastModifiedBy>
  <cp:revision>2</cp:revision>
  <dcterms:created xsi:type="dcterms:W3CDTF">2025-01-14T08:32:00Z</dcterms:created>
  <dcterms:modified xsi:type="dcterms:W3CDTF">2025-01-14T08:32:00Z</dcterms:modified>
</cp:coreProperties>
</file>