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kern w:val="2"/>
          <w:sz w:val="24"/>
          <w:szCs w:val="24"/>
          <w:lang w:val="en-CA"/>
        </w:rPr>
        <w:id w:val="82808074"/>
        <w:docPartObj>
          <w:docPartGallery w:val="Table of Contents"/>
          <w:docPartUnique/>
        </w:docPartObj>
      </w:sdtPr>
      <w:sdtEndPr>
        <w:rPr>
          <w:b/>
          <w:bCs/>
          <w:noProof/>
        </w:rPr>
      </w:sdtEndPr>
      <w:sdtContent>
        <w:p w14:paraId="1B870978" w14:textId="6540CFFB" w:rsidR="00D85F53" w:rsidRPr="00B516B0" w:rsidRDefault="00D85F53">
          <w:pPr>
            <w:pStyle w:val="TOCHeading"/>
            <w:rPr>
              <w:rFonts w:ascii="Times New Roman" w:hAnsi="Times New Roman" w:cs="Times New Roman"/>
              <w:sz w:val="24"/>
              <w:szCs w:val="24"/>
            </w:rPr>
          </w:pPr>
          <w:r w:rsidRPr="00B516B0">
            <w:rPr>
              <w:rFonts w:ascii="Times New Roman" w:hAnsi="Times New Roman" w:cs="Times New Roman"/>
              <w:sz w:val="24"/>
              <w:szCs w:val="24"/>
            </w:rPr>
            <w:t>Contents</w:t>
          </w:r>
        </w:p>
        <w:p w14:paraId="43786163" w14:textId="44577BF6" w:rsidR="00A93E46" w:rsidRPr="00A93E46" w:rsidRDefault="00D85F53">
          <w:pPr>
            <w:pStyle w:val="TOC1"/>
            <w:tabs>
              <w:tab w:val="right" w:leader="dot" w:pos="9350"/>
            </w:tabs>
            <w:rPr>
              <w:rFonts w:ascii="Times New Roman" w:eastAsiaTheme="minorEastAsia" w:hAnsi="Times New Roman" w:cs="Times New Roman"/>
              <w:noProof/>
              <w:sz w:val="24"/>
              <w:szCs w:val="24"/>
              <w:lang w:eastAsia="en-CA"/>
            </w:rPr>
          </w:pPr>
          <w:r w:rsidRPr="00A93E46">
            <w:rPr>
              <w:rFonts w:ascii="Times New Roman" w:hAnsi="Times New Roman" w:cs="Times New Roman"/>
              <w:sz w:val="24"/>
              <w:szCs w:val="24"/>
            </w:rPr>
            <w:fldChar w:fldCharType="begin"/>
          </w:r>
          <w:r w:rsidRPr="00A93E46">
            <w:rPr>
              <w:rFonts w:ascii="Times New Roman" w:hAnsi="Times New Roman" w:cs="Times New Roman"/>
              <w:sz w:val="24"/>
              <w:szCs w:val="24"/>
            </w:rPr>
            <w:instrText xml:space="preserve"> TOC \o "1-3" \h \z \u </w:instrText>
          </w:r>
          <w:r w:rsidRPr="00A93E46">
            <w:rPr>
              <w:rFonts w:ascii="Times New Roman" w:hAnsi="Times New Roman" w:cs="Times New Roman"/>
              <w:sz w:val="24"/>
              <w:szCs w:val="24"/>
            </w:rPr>
            <w:fldChar w:fldCharType="separate"/>
          </w:r>
          <w:hyperlink w:anchor="_Toc154070437" w:history="1">
            <w:r w:rsidR="00A93E46" w:rsidRPr="00A93E46">
              <w:rPr>
                <w:rStyle w:val="Hyperlink"/>
                <w:rFonts w:ascii="Times New Roman" w:hAnsi="Times New Roman" w:cs="Times New Roman"/>
                <w:noProof/>
                <w:sz w:val="24"/>
                <w:szCs w:val="24"/>
              </w:rPr>
              <w:t>Figure S1. Alternate treatment pathways among those with mild psoriasis (panel A) and those with severe psoriasis (panel B).</w:t>
            </w:r>
            <w:r w:rsidR="00A93E46" w:rsidRPr="00A93E46">
              <w:rPr>
                <w:rFonts w:ascii="Times New Roman" w:hAnsi="Times New Roman" w:cs="Times New Roman"/>
                <w:noProof/>
                <w:webHidden/>
                <w:sz w:val="24"/>
                <w:szCs w:val="24"/>
              </w:rPr>
              <w:tab/>
            </w:r>
            <w:r w:rsidR="00A93E46" w:rsidRPr="00A93E46">
              <w:rPr>
                <w:rFonts w:ascii="Times New Roman" w:hAnsi="Times New Roman" w:cs="Times New Roman"/>
                <w:noProof/>
                <w:webHidden/>
                <w:sz w:val="24"/>
                <w:szCs w:val="24"/>
              </w:rPr>
              <w:fldChar w:fldCharType="begin"/>
            </w:r>
            <w:r w:rsidR="00A93E46" w:rsidRPr="00A93E46">
              <w:rPr>
                <w:rFonts w:ascii="Times New Roman" w:hAnsi="Times New Roman" w:cs="Times New Roman"/>
                <w:noProof/>
                <w:webHidden/>
                <w:sz w:val="24"/>
                <w:szCs w:val="24"/>
              </w:rPr>
              <w:instrText xml:space="preserve"> PAGEREF _Toc154070437 \h </w:instrText>
            </w:r>
            <w:r w:rsidR="00A93E46" w:rsidRPr="00A93E46">
              <w:rPr>
                <w:rFonts w:ascii="Times New Roman" w:hAnsi="Times New Roman" w:cs="Times New Roman"/>
                <w:noProof/>
                <w:webHidden/>
                <w:sz w:val="24"/>
                <w:szCs w:val="24"/>
              </w:rPr>
            </w:r>
            <w:r w:rsidR="00A93E46" w:rsidRPr="00A93E46">
              <w:rPr>
                <w:rFonts w:ascii="Times New Roman" w:hAnsi="Times New Roman" w:cs="Times New Roman"/>
                <w:noProof/>
                <w:webHidden/>
                <w:sz w:val="24"/>
                <w:szCs w:val="24"/>
              </w:rPr>
              <w:fldChar w:fldCharType="separate"/>
            </w:r>
            <w:r w:rsidR="00A93E46" w:rsidRPr="00A93E46">
              <w:rPr>
                <w:rFonts w:ascii="Times New Roman" w:hAnsi="Times New Roman" w:cs="Times New Roman"/>
                <w:noProof/>
                <w:webHidden/>
                <w:sz w:val="24"/>
                <w:szCs w:val="24"/>
              </w:rPr>
              <w:t>2</w:t>
            </w:r>
            <w:r w:rsidR="00A93E46" w:rsidRPr="00A93E46">
              <w:rPr>
                <w:rFonts w:ascii="Times New Roman" w:hAnsi="Times New Roman" w:cs="Times New Roman"/>
                <w:noProof/>
                <w:webHidden/>
                <w:sz w:val="24"/>
                <w:szCs w:val="24"/>
              </w:rPr>
              <w:fldChar w:fldCharType="end"/>
            </w:r>
          </w:hyperlink>
        </w:p>
        <w:p w14:paraId="7C3CEB01" w14:textId="08593512" w:rsidR="00A93E46" w:rsidRPr="00A93E46" w:rsidRDefault="00A93E46">
          <w:pPr>
            <w:pStyle w:val="TOC1"/>
            <w:tabs>
              <w:tab w:val="right" w:leader="dot" w:pos="9350"/>
            </w:tabs>
            <w:rPr>
              <w:rFonts w:ascii="Times New Roman" w:eastAsiaTheme="minorEastAsia" w:hAnsi="Times New Roman" w:cs="Times New Roman"/>
              <w:noProof/>
              <w:sz w:val="24"/>
              <w:szCs w:val="24"/>
              <w:lang w:eastAsia="en-CA"/>
            </w:rPr>
          </w:pPr>
          <w:hyperlink w:anchor="_Toc154070438" w:history="1">
            <w:r w:rsidRPr="00A93E46">
              <w:rPr>
                <w:rStyle w:val="Hyperlink"/>
                <w:rFonts w:ascii="Times New Roman" w:hAnsi="Times New Roman" w:cs="Times New Roman"/>
                <w:noProof/>
                <w:sz w:val="24"/>
                <w:szCs w:val="24"/>
              </w:rPr>
              <w:t>Table S1. Model parameters altered in scenario analyses.</w:t>
            </w:r>
            <w:r w:rsidRPr="00A93E46">
              <w:rPr>
                <w:rFonts w:ascii="Times New Roman" w:hAnsi="Times New Roman" w:cs="Times New Roman"/>
                <w:noProof/>
                <w:webHidden/>
                <w:sz w:val="24"/>
                <w:szCs w:val="24"/>
              </w:rPr>
              <w:tab/>
            </w:r>
            <w:r w:rsidRPr="00A93E46">
              <w:rPr>
                <w:rFonts w:ascii="Times New Roman" w:hAnsi="Times New Roman" w:cs="Times New Roman"/>
                <w:noProof/>
                <w:webHidden/>
                <w:sz w:val="24"/>
                <w:szCs w:val="24"/>
              </w:rPr>
              <w:fldChar w:fldCharType="begin"/>
            </w:r>
            <w:r w:rsidRPr="00A93E46">
              <w:rPr>
                <w:rFonts w:ascii="Times New Roman" w:hAnsi="Times New Roman" w:cs="Times New Roman"/>
                <w:noProof/>
                <w:webHidden/>
                <w:sz w:val="24"/>
                <w:szCs w:val="24"/>
              </w:rPr>
              <w:instrText xml:space="preserve"> PAGEREF _Toc154070438 \h </w:instrText>
            </w:r>
            <w:r w:rsidRPr="00A93E46">
              <w:rPr>
                <w:rFonts w:ascii="Times New Roman" w:hAnsi="Times New Roman" w:cs="Times New Roman"/>
                <w:noProof/>
                <w:webHidden/>
                <w:sz w:val="24"/>
                <w:szCs w:val="24"/>
              </w:rPr>
            </w:r>
            <w:r w:rsidRPr="00A93E46">
              <w:rPr>
                <w:rFonts w:ascii="Times New Roman" w:hAnsi="Times New Roman" w:cs="Times New Roman"/>
                <w:noProof/>
                <w:webHidden/>
                <w:sz w:val="24"/>
                <w:szCs w:val="24"/>
              </w:rPr>
              <w:fldChar w:fldCharType="separate"/>
            </w:r>
            <w:r w:rsidRPr="00A93E46">
              <w:rPr>
                <w:rFonts w:ascii="Times New Roman" w:hAnsi="Times New Roman" w:cs="Times New Roman"/>
                <w:noProof/>
                <w:webHidden/>
                <w:sz w:val="24"/>
                <w:szCs w:val="24"/>
              </w:rPr>
              <w:t>3</w:t>
            </w:r>
            <w:r w:rsidRPr="00A93E46">
              <w:rPr>
                <w:rFonts w:ascii="Times New Roman" w:hAnsi="Times New Roman" w:cs="Times New Roman"/>
                <w:noProof/>
                <w:webHidden/>
                <w:sz w:val="24"/>
                <w:szCs w:val="24"/>
              </w:rPr>
              <w:fldChar w:fldCharType="end"/>
            </w:r>
          </w:hyperlink>
        </w:p>
        <w:p w14:paraId="48106F9D" w14:textId="13229897" w:rsidR="00A93E46" w:rsidRPr="00A93E46" w:rsidRDefault="00A93E46">
          <w:pPr>
            <w:pStyle w:val="TOC1"/>
            <w:tabs>
              <w:tab w:val="right" w:leader="dot" w:pos="9350"/>
            </w:tabs>
            <w:rPr>
              <w:rFonts w:ascii="Times New Roman" w:eastAsiaTheme="minorEastAsia" w:hAnsi="Times New Roman" w:cs="Times New Roman"/>
              <w:noProof/>
              <w:sz w:val="24"/>
              <w:szCs w:val="24"/>
              <w:lang w:eastAsia="en-CA"/>
            </w:rPr>
          </w:pPr>
          <w:hyperlink w:anchor="_Toc154070439" w:history="1">
            <w:r w:rsidRPr="00A93E46">
              <w:rPr>
                <w:rStyle w:val="Hyperlink"/>
                <w:rFonts w:ascii="Times New Roman" w:hAnsi="Times New Roman" w:cs="Times New Roman"/>
                <w:noProof/>
                <w:sz w:val="24"/>
                <w:szCs w:val="24"/>
              </w:rPr>
              <w:t>Figure S2. Tornado diagram showing the ten most influential model parameters in one-way sensitivity analyses. Red line represents the base case ICER. Abbreviations: MTX = methotrexate, LEF = leflunomide, HAQ = health assessment questionnaire.</w:t>
            </w:r>
            <w:r w:rsidRPr="00A93E46">
              <w:rPr>
                <w:rFonts w:ascii="Times New Roman" w:hAnsi="Times New Roman" w:cs="Times New Roman"/>
                <w:noProof/>
                <w:webHidden/>
                <w:sz w:val="24"/>
                <w:szCs w:val="24"/>
              </w:rPr>
              <w:tab/>
            </w:r>
            <w:r w:rsidRPr="00A93E46">
              <w:rPr>
                <w:rFonts w:ascii="Times New Roman" w:hAnsi="Times New Roman" w:cs="Times New Roman"/>
                <w:noProof/>
                <w:webHidden/>
                <w:sz w:val="24"/>
                <w:szCs w:val="24"/>
              </w:rPr>
              <w:fldChar w:fldCharType="begin"/>
            </w:r>
            <w:r w:rsidRPr="00A93E46">
              <w:rPr>
                <w:rFonts w:ascii="Times New Roman" w:hAnsi="Times New Roman" w:cs="Times New Roman"/>
                <w:noProof/>
                <w:webHidden/>
                <w:sz w:val="24"/>
                <w:szCs w:val="24"/>
              </w:rPr>
              <w:instrText xml:space="preserve"> PAGEREF _Toc154070439 \h </w:instrText>
            </w:r>
            <w:r w:rsidRPr="00A93E46">
              <w:rPr>
                <w:rFonts w:ascii="Times New Roman" w:hAnsi="Times New Roman" w:cs="Times New Roman"/>
                <w:noProof/>
                <w:webHidden/>
                <w:sz w:val="24"/>
                <w:szCs w:val="24"/>
              </w:rPr>
            </w:r>
            <w:r w:rsidRPr="00A93E46">
              <w:rPr>
                <w:rFonts w:ascii="Times New Roman" w:hAnsi="Times New Roman" w:cs="Times New Roman"/>
                <w:noProof/>
                <w:webHidden/>
                <w:sz w:val="24"/>
                <w:szCs w:val="24"/>
              </w:rPr>
              <w:fldChar w:fldCharType="separate"/>
            </w:r>
            <w:r w:rsidRPr="00A93E46">
              <w:rPr>
                <w:rFonts w:ascii="Times New Roman" w:hAnsi="Times New Roman" w:cs="Times New Roman"/>
                <w:noProof/>
                <w:webHidden/>
                <w:sz w:val="24"/>
                <w:szCs w:val="24"/>
              </w:rPr>
              <w:t>4</w:t>
            </w:r>
            <w:r w:rsidRPr="00A93E46">
              <w:rPr>
                <w:rFonts w:ascii="Times New Roman" w:hAnsi="Times New Roman" w:cs="Times New Roman"/>
                <w:noProof/>
                <w:webHidden/>
                <w:sz w:val="24"/>
                <w:szCs w:val="24"/>
              </w:rPr>
              <w:fldChar w:fldCharType="end"/>
            </w:r>
          </w:hyperlink>
        </w:p>
        <w:p w14:paraId="3996A364" w14:textId="4985BB74" w:rsidR="00A93E46" w:rsidRPr="00A93E46" w:rsidRDefault="00A93E46">
          <w:pPr>
            <w:pStyle w:val="TOC1"/>
            <w:tabs>
              <w:tab w:val="right" w:leader="dot" w:pos="9350"/>
            </w:tabs>
            <w:rPr>
              <w:rFonts w:ascii="Times New Roman" w:eastAsiaTheme="minorEastAsia" w:hAnsi="Times New Roman" w:cs="Times New Roman"/>
              <w:noProof/>
              <w:sz w:val="24"/>
              <w:szCs w:val="24"/>
              <w:lang w:eastAsia="en-CA"/>
            </w:rPr>
          </w:pPr>
          <w:hyperlink w:anchor="_Toc154070440" w:history="1">
            <w:r w:rsidRPr="00A93E46">
              <w:rPr>
                <w:rStyle w:val="Hyperlink"/>
                <w:rFonts w:ascii="Times New Roman" w:hAnsi="Times New Roman" w:cs="Times New Roman"/>
                <w:noProof/>
                <w:sz w:val="24"/>
                <w:szCs w:val="24"/>
              </w:rPr>
              <w:t>Figure S3. Cost-effectiveness acceptability curve showing the probability that the biomarker is cost-effective at various willingness-to-pay thresholds.</w:t>
            </w:r>
            <w:r w:rsidRPr="00A93E46">
              <w:rPr>
                <w:rFonts w:ascii="Times New Roman" w:hAnsi="Times New Roman" w:cs="Times New Roman"/>
                <w:noProof/>
                <w:webHidden/>
                <w:sz w:val="24"/>
                <w:szCs w:val="24"/>
              </w:rPr>
              <w:tab/>
            </w:r>
            <w:r w:rsidRPr="00A93E46">
              <w:rPr>
                <w:rFonts w:ascii="Times New Roman" w:hAnsi="Times New Roman" w:cs="Times New Roman"/>
                <w:noProof/>
                <w:webHidden/>
                <w:sz w:val="24"/>
                <w:szCs w:val="24"/>
              </w:rPr>
              <w:fldChar w:fldCharType="begin"/>
            </w:r>
            <w:r w:rsidRPr="00A93E46">
              <w:rPr>
                <w:rFonts w:ascii="Times New Roman" w:hAnsi="Times New Roman" w:cs="Times New Roman"/>
                <w:noProof/>
                <w:webHidden/>
                <w:sz w:val="24"/>
                <w:szCs w:val="24"/>
              </w:rPr>
              <w:instrText xml:space="preserve"> PAGEREF _Toc154070440 \h </w:instrText>
            </w:r>
            <w:r w:rsidRPr="00A93E46">
              <w:rPr>
                <w:rFonts w:ascii="Times New Roman" w:hAnsi="Times New Roman" w:cs="Times New Roman"/>
                <w:noProof/>
                <w:webHidden/>
                <w:sz w:val="24"/>
                <w:szCs w:val="24"/>
              </w:rPr>
            </w:r>
            <w:r w:rsidRPr="00A93E46">
              <w:rPr>
                <w:rFonts w:ascii="Times New Roman" w:hAnsi="Times New Roman" w:cs="Times New Roman"/>
                <w:noProof/>
                <w:webHidden/>
                <w:sz w:val="24"/>
                <w:szCs w:val="24"/>
              </w:rPr>
              <w:fldChar w:fldCharType="separate"/>
            </w:r>
            <w:r w:rsidRPr="00A93E46">
              <w:rPr>
                <w:rFonts w:ascii="Times New Roman" w:hAnsi="Times New Roman" w:cs="Times New Roman"/>
                <w:noProof/>
                <w:webHidden/>
                <w:sz w:val="24"/>
                <w:szCs w:val="24"/>
              </w:rPr>
              <w:t>5</w:t>
            </w:r>
            <w:r w:rsidRPr="00A93E46">
              <w:rPr>
                <w:rFonts w:ascii="Times New Roman" w:hAnsi="Times New Roman" w:cs="Times New Roman"/>
                <w:noProof/>
                <w:webHidden/>
                <w:sz w:val="24"/>
                <w:szCs w:val="24"/>
              </w:rPr>
              <w:fldChar w:fldCharType="end"/>
            </w:r>
          </w:hyperlink>
        </w:p>
        <w:p w14:paraId="6307067F" w14:textId="6D438020" w:rsidR="00A93E46" w:rsidRPr="00A93E46" w:rsidRDefault="00A93E46">
          <w:pPr>
            <w:pStyle w:val="TOC1"/>
            <w:tabs>
              <w:tab w:val="right" w:leader="dot" w:pos="9350"/>
            </w:tabs>
            <w:rPr>
              <w:rFonts w:ascii="Times New Roman" w:eastAsiaTheme="minorEastAsia" w:hAnsi="Times New Roman" w:cs="Times New Roman"/>
              <w:noProof/>
              <w:sz w:val="24"/>
              <w:szCs w:val="24"/>
              <w:lang w:eastAsia="en-CA"/>
            </w:rPr>
          </w:pPr>
          <w:hyperlink w:anchor="_Toc154070441" w:history="1">
            <w:r w:rsidRPr="00A93E46">
              <w:rPr>
                <w:rStyle w:val="Hyperlink"/>
                <w:rFonts w:ascii="Times New Roman" w:hAnsi="Times New Roman" w:cs="Times New Roman"/>
                <w:iCs/>
                <w:noProof/>
                <w:sz w:val="24"/>
                <w:szCs w:val="24"/>
              </w:rPr>
              <w:t>REFERENCES</w:t>
            </w:r>
            <w:r w:rsidRPr="00A93E46">
              <w:rPr>
                <w:rFonts w:ascii="Times New Roman" w:hAnsi="Times New Roman" w:cs="Times New Roman"/>
                <w:noProof/>
                <w:webHidden/>
                <w:sz w:val="24"/>
                <w:szCs w:val="24"/>
              </w:rPr>
              <w:tab/>
            </w:r>
            <w:r w:rsidRPr="00A93E46">
              <w:rPr>
                <w:rFonts w:ascii="Times New Roman" w:hAnsi="Times New Roman" w:cs="Times New Roman"/>
                <w:noProof/>
                <w:webHidden/>
                <w:sz w:val="24"/>
                <w:szCs w:val="24"/>
              </w:rPr>
              <w:fldChar w:fldCharType="begin"/>
            </w:r>
            <w:r w:rsidRPr="00A93E46">
              <w:rPr>
                <w:rFonts w:ascii="Times New Roman" w:hAnsi="Times New Roman" w:cs="Times New Roman"/>
                <w:noProof/>
                <w:webHidden/>
                <w:sz w:val="24"/>
                <w:szCs w:val="24"/>
              </w:rPr>
              <w:instrText xml:space="preserve"> PAGEREF _Toc154070441 \h </w:instrText>
            </w:r>
            <w:r w:rsidRPr="00A93E46">
              <w:rPr>
                <w:rFonts w:ascii="Times New Roman" w:hAnsi="Times New Roman" w:cs="Times New Roman"/>
                <w:noProof/>
                <w:webHidden/>
                <w:sz w:val="24"/>
                <w:szCs w:val="24"/>
              </w:rPr>
            </w:r>
            <w:r w:rsidRPr="00A93E46">
              <w:rPr>
                <w:rFonts w:ascii="Times New Roman" w:hAnsi="Times New Roman" w:cs="Times New Roman"/>
                <w:noProof/>
                <w:webHidden/>
                <w:sz w:val="24"/>
                <w:szCs w:val="24"/>
              </w:rPr>
              <w:fldChar w:fldCharType="separate"/>
            </w:r>
            <w:r w:rsidRPr="00A93E46">
              <w:rPr>
                <w:rFonts w:ascii="Times New Roman" w:hAnsi="Times New Roman" w:cs="Times New Roman"/>
                <w:noProof/>
                <w:webHidden/>
                <w:sz w:val="24"/>
                <w:szCs w:val="24"/>
              </w:rPr>
              <w:t>6</w:t>
            </w:r>
            <w:r w:rsidRPr="00A93E46">
              <w:rPr>
                <w:rFonts w:ascii="Times New Roman" w:hAnsi="Times New Roman" w:cs="Times New Roman"/>
                <w:noProof/>
                <w:webHidden/>
                <w:sz w:val="24"/>
                <w:szCs w:val="24"/>
              </w:rPr>
              <w:fldChar w:fldCharType="end"/>
            </w:r>
          </w:hyperlink>
        </w:p>
        <w:p w14:paraId="26831291" w14:textId="1F9127CE" w:rsidR="00D85F53" w:rsidRPr="00B516B0" w:rsidRDefault="00D85F53">
          <w:pPr>
            <w:rPr>
              <w:rFonts w:ascii="Times New Roman" w:hAnsi="Times New Roman" w:cs="Times New Roman"/>
              <w:sz w:val="24"/>
              <w:szCs w:val="24"/>
            </w:rPr>
          </w:pPr>
          <w:r w:rsidRPr="00A93E46">
            <w:rPr>
              <w:rFonts w:ascii="Times New Roman" w:hAnsi="Times New Roman" w:cs="Times New Roman"/>
              <w:b/>
              <w:bCs/>
              <w:noProof/>
              <w:sz w:val="24"/>
              <w:szCs w:val="24"/>
            </w:rPr>
            <w:fldChar w:fldCharType="end"/>
          </w:r>
        </w:p>
      </w:sdtContent>
    </w:sdt>
    <w:p w14:paraId="73081A93" w14:textId="77777777" w:rsidR="00D85F53" w:rsidRPr="00B516B0" w:rsidRDefault="00D85F53">
      <w:pPr>
        <w:rPr>
          <w:rFonts w:ascii="Times New Roman" w:hAnsi="Times New Roman" w:cs="Times New Roman"/>
          <w:sz w:val="24"/>
          <w:szCs w:val="24"/>
        </w:rPr>
      </w:pPr>
    </w:p>
    <w:p w14:paraId="5B0331D0" w14:textId="77777777" w:rsidR="00D85F53" w:rsidRPr="00B516B0" w:rsidRDefault="00D85F53">
      <w:pPr>
        <w:rPr>
          <w:rFonts w:ascii="Times New Roman" w:hAnsi="Times New Roman" w:cs="Times New Roman"/>
          <w:sz w:val="24"/>
          <w:szCs w:val="24"/>
        </w:rPr>
      </w:pPr>
    </w:p>
    <w:p w14:paraId="63BA1D40" w14:textId="77777777" w:rsidR="00D85F53" w:rsidRPr="00B516B0" w:rsidRDefault="00D85F53">
      <w:pPr>
        <w:rPr>
          <w:rFonts w:ascii="Times New Roman" w:hAnsi="Times New Roman" w:cs="Times New Roman"/>
          <w:sz w:val="24"/>
          <w:szCs w:val="24"/>
        </w:rPr>
      </w:pPr>
    </w:p>
    <w:p w14:paraId="215E554F" w14:textId="77777777" w:rsidR="00D85F53" w:rsidRPr="00B516B0" w:rsidRDefault="00D85F53">
      <w:pPr>
        <w:rPr>
          <w:rFonts w:ascii="Times New Roman" w:hAnsi="Times New Roman" w:cs="Times New Roman"/>
          <w:sz w:val="24"/>
          <w:szCs w:val="24"/>
        </w:rPr>
      </w:pPr>
      <w:r w:rsidRPr="00B516B0">
        <w:rPr>
          <w:rFonts w:ascii="Times New Roman" w:hAnsi="Times New Roman" w:cs="Times New Roman"/>
          <w:sz w:val="24"/>
          <w:szCs w:val="24"/>
        </w:rPr>
        <w:br w:type="page"/>
      </w:r>
    </w:p>
    <w:p w14:paraId="5AE21886" w14:textId="76010D0B" w:rsidR="000B40C8" w:rsidRPr="00B516B0" w:rsidRDefault="00A93E46">
      <w:pPr>
        <w:rPr>
          <w:rFonts w:ascii="Times New Roman" w:hAnsi="Times New Roman" w:cs="Times New Roman"/>
          <w:sz w:val="24"/>
          <w:szCs w:val="24"/>
        </w:rPr>
      </w:pPr>
      <w:r>
        <w:rPr>
          <w:rFonts w:ascii="Times New Roman" w:hAnsi="Times New Roman" w:cs="Times New Roman"/>
          <w:noProof/>
          <w:sz w:val="24"/>
          <w:szCs w:val="24"/>
        </w:rPr>
        <w:lastRenderedPageBreak/>
        <w:pict w14:anchorId="6AD8FF37">
          <v:shapetype id="_x0000_t202" coordsize="21600,21600" o:spt="202" path="m,l,21600r21600,l21600,xe">
            <v:stroke joinstyle="miter"/>
            <v:path gradientshapeok="t" o:connecttype="rect"/>
          </v:shapetype>
          <v:shape id="Text Box 2" o:spid="_x0000_s1026" type="#_x0000_t202" style="position:absolute;margin-left:-5pt;margin-top:6.1pt;width:16.5pt;height:16.7pt;z-index:251659264;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14:paraId="5794E555" w14:textId="036D95D0" w:rsidR="00D85F53" w:rsidRPr="00D85F53" w:rsidRDefault="00D85F53" w:rsidP="00D85F53">
                  <w:pPr>
                    <w:jc w:val="center"/>
                    <w:rPr>
                      <w:sz w:val="16"/>
                      <w:szCs w:val="16"/>
                    </w:rPr>
                  </w:pPr>
                  <w:r w:rsidRPr="00D85F53">
                    <w:rPr>
                      <w:sz w:val="16"/>
                      <w:szCs w:val="16"/>
                    </w:rPr>
                    <w:t>A</w:t>
                  </w:r>
                </w:p>
              </w:txbxContent>
            </v:textbox>
          </v:shape>
        </w:pict>
      </w:r>
      <w:r>
        <w:rPr>
          <w:rFonts w:ascii="Times New Roman" w:hAnsi="Times New Roman" w:cs="Times New Roman"/>
          <w:noProof/>
          <w:sz w:val="24"/>
          <w:szCs w:val="24"/>
        </w:rPr>
        <w:pict w14:anchorId="055A7A1A">
          <v:shape id="_x0000_s1027" type="#_x0000_t202" style="position:absolute;margin-left:-5pt;margin-top:151.35pt;width:24.7pt;height:17.15pt;z-index:251661312;visibility:visible;mso-wrap-distance-left:9pt;mso-wrap-distance-top:3.6pt;mso-wrap-distance-right:9pt;mso-wrap-distance-bottom:3.6pt;mso-position-horizontal-relative:text;mso-position-vertical-relative:text;mso-width-relative:margin;mso-height-relative:margin;v-text-anchor:top" stroked="f">
            <v:textbox>
              <w:txbxContent>
                <w:p w14:paraId="38CE87CE" w14:textId="2A7E9C89" w:rsidR="00D85F53" w:rsidRPr="00D85F53" w:rsidRDefault="00D85F53">
                  <w:pPr>
                    <w:rPr>
                      <w:sz w:val="16"/>
                      <w:szCs w:val="16"/>
                    </w:rPr>
                  </w:pPr>
                  <w:r w:rsidRPr="00D85F53">
                    <w:rPr>
                      <w:sz w:val="16"/>
                      <w:szCs w:val="16"/>
                    </w:rPr>
                    <w:t>B</w:t>
                  </w:r>
                </w:p>
              </w:txbxContent>
            </v:textbox>
          </v:shape>
        </w:pict>
      </w:r>
      <w:r w:rsidR="00D85F53" w:rsidRPr="00B516B0">
        <w:rPr>
          <w:rFonts w:ascii="Times New Roman" w:hAnsi="Times New Roman" w:cs="Times New Roman"/>
          <w:noProof/>
          <w:sz w:val="24"/>
          <w:szCs w:val="24"/>
          <w:lang w:val="en-US"/>
        </w:rPr>
        <w:drawing>
          <wp:inline distT="0" distB="0" distL="0" distR="0" wp14:anchorId="2375A44B" wp14:editId="0720DE85">
            <wp:extent cx="5937250" cy="1714500"/>
            <wp:effectExtent l="0" t="0" r="0" b="0"/>
            <wp:docPr id="108003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7250" cy="1714500"/>
                    </a:xfrm>
                    <a:prstGeom prst="rect">
                      <a:avLst/>
                    </a:prstGeom>
                    <a:noFill/>
                    <a:ln>
                      <a:noFill/>
                    </a:ln>
                  </pic:spPr>
                </pic:pic>
              </a:graphicData>
            </a:graphic>
          </wp:inline>
        </w:drawing>
      </w:r>
    </w:p>
    <w:p w14:paraId="4C720A7D" w14:textId="44592286" w:rsidR="00D85F53" w:rsidRPr="00B516B0" w:rsidRDefault="00D85F53">
      <w:pPr>
        <w:rPr>
          <w:rFonts w:ascii="Times New Roman" w:hAnsi="Times New Roman" w:cs="Times New Roman"/>
          <w:sz w:val="24"/>
          <w:szCs w:val="24"/>
        </w:rPr>
      </w:pPr>
      <w:r w:rsidRPr="00B516B0">
        <w:rPr>
          <w:rFonts w:ascii="Times New Roman" w:hAnsi="Times New Roman" w:cs="Times New Roman"/>
          <w:noProof/>
          <w:sz w:val="24"/>
          <w:szCs w:val="24"/>
          <w:lang w:val="en-US"/>
        </w:rPr>
        <w:drawing>
          <wp:inline distT="0" distB="0" distL="0" distR="0" wp14:anchorId="2A8E5170" wp14:editId="30D6F89A">
            <wp:extent cx="5937250" cy="1714500"/>
            <wp:effectExtent l="0" t="0" r="0" b="0"/>
            <wp:docPr id="2038738480" name="Picture 1"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38480" name="Picture 1" descr="A picture containing text, screenshot, line, 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250" cy="1714500"/>
                    </a:xfrm>
                    <a:prstGeom prst="rect">
                      <a:avLst/>
                    </a:prstGeom>
                    <a:noFill/>
                    <a:ln>
                      <a:noFill/>
                    </a:ln>
                  </pic:spPr>
                </pic:pic>
              </a:graphicData>
            </a:graphic>
          </wp:inline>
        </w:drawing>
      </w:r>
    </w:p>
    <w:p w14:paraId="5F6CD6DF" w14:textId="70DED8BA" w:rsidR="00D85F53" w:rsidRPr="00B516B0" w:rsidRDefault="00D85F53" w:rsidP="00D85F53">
      <w:pPr>
        <w:pStyle w:val="Caption"/>
        <w:rPr>
          <w:rFonts w:ascii="Times New Roman" w:hAnsi="Times New Roman" w:cs="Times New Roman"/>
          <w:iCs w:val="0"/>
          <w:color w:val="auto"/>
          <w:sz w:val="24"/>
          <w:szCs w:val="24"/>
        </w:rPr>
      </w:pPr>
      <w:bookmarkStart w:id="0" w:name="_Toc154070437"/>
      <w:r w:rsidRPr="00B516B0">
        <w:rPr>
          <w:rStyle w:val="Heading1Char"/>
          <w:i/>
          <w:iCs w:val="0"/>
          <w:color w:val="auto"/>
        </w:rPr>
        <w:t>Figure S1. Alternate treatment pathways among those with mild psoriasis (panel A) and those with severe psoriasis (panel B).</w:t>
      </w:r>
      <w:bookmarkEnd w:id="0"/>
      <w:r w:rsidRPr="00B516B0">
        <w:rPr>
          <w:rFonts w:ascii="Times New Roman" w:hAnsi="Times New Roman" w:cs="Times New Roman"/>
          <w:iCs w:val="0"/>
          <w:color w:val="auto"/>
          <w:sz w:val="24"/>
          <w:szCs w:val="24"/>
        </w:rPr>
        <w:t xml:space="preserve"> Treatment consequences that result from testing positive (top), testing negative (middle), and no testing (bottom). </w:t>
      </w:r>
      <w:r w:rsidR="00AE1F2D" w:rsidRPr="0017755E">
        <w:rPr>
          <w:rFonts w:ascii="Times New Roman" w:hAnsi="Times New Roman" w:cs="Times New Roman"/>
          <w:iCs w:val="0"/>
          <w:color w:val="auto"/>
          <w:sz w:val="24"/>
          <w:szCs w:val="24"/>
        </w:rPr>
        <w:t>Abbreviations: TP = true positive, FP = false positive, TN = true negative, FN = false negative, PsA = psoriatic arthritis, Dx = diagnosis, Tx = treatment, HAQ = health assessment questionnaire.</w:t>
      </w:r>
    </w:p>
    <w:p w14:paraId="2F90C1F0" w14:textId="4D5AFEB9" w:rsidR="00D85F53" w:rsidRPr="00B516B0" w:rsidRDefault="00D85F53">
      <w:pPr>
        <w:rPr>
          <w:rFonts w:ascii="Times New Roman" w:hAnsi="Times New Roman" w:cs="Times New Roman"/>
          <w:sz w:val="24"/>
          <w:szCs w:val="24"/>
        </w:rPr>
      </w:pPr>
      <w:r w:rsidRPr="00B516B0">
        <w:rPr>
          <w:rFonts w:ascii="Times New Roman" w:hAnsi="Times New Roman" w:cs="Times New Roman"/>
          <w:sz w:val="24"/>
          <w:szCs w:val="24"/>
        </w:rPr>
        <w:br w:type="page"/>
      </w:r>
    </w:p>
    <w:p w14:paraId="36EACFD5" w14:textId="271402E9" w:rsidR="00D85F53" w:rsidRPr="00B516B0" w:rsidRDefault="00D85F53" w:rsidP="00D85F53">
      <w:pPr>
        <w:pStyle w:val="Heading1"/>
      </w:pPr>
      <w:bookmarkStart w:id="1" w:name="_Toc154070438"/>
      <w:r w:rsidRPr="00B516B0">
        <w:lastRenderedPageBreak/>
        <w:t>Table S1. Model parameters altered in scenario analyses.</w:t>
      </w:r>
      <w:bookmarkEnd w:id="1"/>
    </w:p>
    <w:tbl>
      <w:tblPr>
        <w:tblStyle w:val="TableGrid"/>
        <w:tblW w:w="0" w:type="auto"/>
        <w:tblLook w:val="04A0" w:firstRow="1" w:lastRow="0" w:firstColumn="1" w:lastColumn="0" w:noHBand="0" w:noVBand="1"/>
      </w:tblPr>
      <w:tblGrid>
        <w:gridCol w:w="3178"/>
        <w:gridCol w:w="3178"/>
        <w:gridCol w:w="3178"/>
      </w:tblGrid>
      <w:tr w:rsidR="00712B28" w:rsidRPr="00B516B0" w14:paraId="26F90257" w14:textId="77777777" w:rsidTr="00712B28">
        <w:trPr>
          <w:trHeight w:val="274"/>
        </w:trPr>
        <w:tc>
          <w:tcPr>
            <w:tcW w:w="3178" w:type="dxa"/>
          </w:tcPr>
          <w:p w14:paraId="5EAB9A0C" w14:textId="77777777" w:rsidR="00712B28" w:rsidRPr="00B516B0" w:rsidRDefault="00712B28" w:rsidP="00D85F53">
            <w:pPr>
              <w:rPr>
                <w:rFonts w:ascii="Times New Roman" w:hAnsi="Times New Roman" w:cs="Times New Roman"/>
                <w:sz w:val="24"/>
                <w:szCs w:val="24"/>
              </w:rPr>
            </w:pPr>
          </w:p>
        </w:tc>
        <w:tc>
          <w:tcPr>
            <w:tcW w:w="3178" w:type="dxa"/>
          </w:tcPr>
          <w:p w14:paraId="09C60AB2" w14:textId="25984597"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Mild psoriasis</w:t>
            </w:r>
          </w:p>
        </w:tc>
        <w:tc>
          <w:tcPr>
            <w:tcW w:w="3178" w:type="dxa"/>
          </w:tcPr>
          <w:p w14:paraId="0D94F7F4" w14:textId="3EC7FE21"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Severe Psoriasis</w:t>
            </w:r>
          </w:p>
        </w:tc>
      </w:tr>
      <w:tr w:rsidR="00712B28" w:rsidRPr="00B516B0" w14:paraId="7ACB68C0" w14:textId="77777777" w:rsidTr="00712B28">
        <w:trPr>
          <w:trHeight w:val="274"/>
        </w:trPr>
        <w:tc>
          <w:tcPr>
            <w:tcW w:w="3178" w:type="dxa"/>
          </w:tcPr>
          <w:p w14:paraId="39DB8E03" w14:textId="5A59AF4A"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Prevalence</w:t>
            </w:r>
          </w:p>
        </w:tc>
        <w:tc>
          <w:tcPr>
            <w:tcW w:w="3178" w:type="dxa"/>
          </w:tcPr>
          <w:p w14:paraId="5BE51FE7" w14:textId="4B6041EC"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 xml:space="preserve">10.1% </w:t>
            </w:r>
            <w:r w:rsidRPr="00B516B0">
              <w:rPr>
                <w:rFonts w:ascii="Times New Roman" w:hAnsi="Times New Roman" w:cs="Times New Roman"/>
                <w:sz w:val="24"/>
                <w:szCs w:val="24"/>
              </w:rPr>
              <w:fldChar w:fldCharType="begin"/>
            </w:r>
            <w:r w:rsidRPr="00B516B0">
              <w:rPr>
                <w:rFonts w:ascii="Times New Roman" w:hAnsi="Times New Roman" w:cs="Times New Roman"/>
                <w:sz w:val="24"/>
                <w:szCs w:val="24"/>
              </w:rPr>
              <w:instrText xml:space="preserve"> ADDIN ZOTERO_ITEM CSL_CITATION {"citationID":"BCtcfoSo","properties":{"formattedCitation":"(1)","plainCitation":"(1)","noteIndex":0},"citationItems":[{"id":2346,"uris":["http://zotero.org/users/10590964/items/PSNJSCCS"],"itemData":{"id":2346,"type":"article-journal","abstract":"Background\nSkin psoriasis precedes the onset of psoriatic arthritis (PsA) in 84% of patients with psoriasis. Dermatologists have an important role to screen psoriasis patients for PsA. The efficiency of PsA screening remains unknown.\nObjective\nWe sought to determine the point prevalence of undiagnosed PsA in patients with psoriasis using a systematic search of the literature and meta-analysis.\nMethods\nPubMed, Cochrane, and Embase database searches yielded 394 studies for review. No study aimed to determine the prevalence of undiagnosed PsA in patients with psoriasis. We assumed that the prevalence of newly diagnosed PsA in patients with psoriasis at the time they seek medical care could be a sound estimate of this value. Seven epidemiological studies and 5 studies on PsA screening questionnaires allowed us to clearly identify patients with newly diagnosed PsA and were selected for review.\nResults\nThe prevalence of undiagnosed PsA was 15.5% when all studies were considered and 10.1% when only epidemiological studies were considered.\nLimitations\nData were obtained from studies not designed to address the question at hand. Heterogeneity was high (I2 = 96.86%), and therefore a random effects model was used.\nConclusion\nThe high prevalence of undiagnosed PsA in patients with psoriasis adds to the recommendation that dermatologists need to screen all patients with psoriasis for PsA.","container-title":"Journal of the American Academy of Dermatology","DOI":"10.1016/j.jaad.2015.05.001","ISSN":"0190-9622","issue":"2","journalAbbreviation":"Journal of the American Academy of Dermatology","language":"en","page":"242-248","source":"ScienceDirect","title":"Prevalence of undiagnosed psoriatic arthritis among psoriasis patients: Systematic review and meta-analysis","title-short":"Prevalence of undiagnosed psoriatic arthritis among psoriasis patients","volume":"73","author":[{"family":"Villani","given":"Axel Patrice"},{"family":"Rouzaud","given":"Marie"},{"family":"Sevrain","given":"Morgane"},{"family":"Barnetche","given":"Thomas"},{"family":"Paul","given":"Carle"},{"family":"Richard","given":"Marie-Aleth"},{"family":"Beylot-Barry","given":"Marie"},{"family":"Misery","given":"Laurent"},{"family":"Joly","given":"Pascal"},{"family":"Le Maitre","given":"Michel"},{"family":"Aractingi","given":"Selim"},{"family":"Aubin","given":"François"},{"family":"Cantagrel","given":"Alain"},{"family":"Ortonne","given":"Jean-Paul"},{"family":"Jullien","given":"Denis"}],"issued":{"date-parts":[["2015",8,1]]}}}],"schema":"https://github.com/citation-style-language/schema/raw/master/csl-citation.json"} </w:instrText>
            </w:r>
            <w:r w:rsidRPr="00B516B0">
              <w:rPr>
                <w:rFonts w:ascii="Times New Roman" w:hAnsi="Times New Roman" w:cs="Times New Roman"/>
                <w:sz w:val="24"/>
                <w:szCs w:val="24"/>
              </w:rPr>
              <w:fldChar w:fldCharType="separate"/>
            </w:r>
            <w:r w:rsidRPr="00B516B0">
              <w:rPr>
                <w:rFonts w:ascii="Times New Roman" w:hAnsi="Times New Roman" w:cs="Times New Roman"/>
                <w:sz w:val="24"/>
                <w:szCs w:val="24"/>
              </w:rPr>
              <w:t>(1)</w:t>
            </w:r>
            <w:r w:rsidRPr="00B516B0">
              <w:rPr>
                <w:rFonts w:ascii="Times New Roman" w:hAnsi="Times New Roman" w:cs="Times New Roman"/>
                <w:sz w:val="24"/>
                <w:szCs w:val="24"/>
              </w:rPr>
              <w:fldChar w:fldCharType="end"/>
            </w:r>
          </w:p>
        </w:tc>
        <w:tc>
          <w:tcPr>
            <w:tcW w:w="3178" w:type="dxa"/>
          </w:tcPr>
          <w:p w14:paraId="0005D510" w14:textId="7AC787F5"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 xml:space="preserve">20.6% </w:t>
            </w:r>
            <w:r w:rsidRPr="00B516B0">
              <w:rPr>
                <w:rFonts w:ascii="Times New Roman" w:hAnsi="Times New Roman" w:cs="Times New Roman"/>
                <w:sz w:val="24"/>
                <w:szCs w:val="24"/>
              </w:rPr>
              <w:fldChar w:fldCharType="begin"/>
            </w:r>
            <w:r w:rsidRPr="00B516B0">
              <w:rPr>
                <w:rFonts w:ascii="Times New Roman" w:hAnsi="Times New Roman" w:cs="Times New Roman"/>
                <w:sz w:val="24"/>
                <w:szCs w:val="24"/>
              </w:rPr>
              <w:instrText xml:space="preserve"> ADDIN ZOTERO_ITEM CSL_CITATION {"citationID":"CLVh7IQd","properties":{"formattedCitation":"(2)","plainCitation":"(2)","noteIndex":0},"citationItems":[{"id":2903,"uris":["http://zotero.org/users/10590964/items/7NELFMNN"],"itemData":{"id":2903,"type":"article-journal","abstract":"BACKGROUND: Because psoriatic arthritis (PsA) usually develops years after the first manifestation of skin symptoms, in many cases the initial diagnosis of PsA depends on the dermatologist.\nOBJECTIVES: To investigate the prevalence and clinical pattern of PsA in a daily practice population of patients with psoriasis.\nMETHODS: Patients were enrolled in an observational prospective cross-sectional cohort study at 48 community and academic centres. Demographic and medical parameters were recorded, including severity of skin symptoms (Psoriasis Area and Severity Index, PASI), previous and current treatments, concomitant diseases, and the impact of psoriasis on productivity and health-related quality of life (Dermatology Life Quality Index, DLQI). Patients with joint symptoms were referred to a rheumatologist for diagnosis and to record the activity and pattern of arthritis.\nRESULTS: Among 1511 patients 20.6% had PsA; in 85% of the cases PsA was newly diagnosed. Of these patients more than 95% had active arthritis and 53.0% had five or more joints affected. Polyarthritis (58.7%) was the most common manifestation pattern, followed by oligoarthritis (31.6%) and arthritis mutilans (4.9%). Distal interphalangeal involvement was present in 41.0% and dactylitis in 23.7% of the patients. Compared with patients without arthritis, patients with PsA had more severe skin symptoms (mean PASI 14.3 vs. 11.5), a lower quality of life (mean DLQI 11.6 vs. 7.7) and greater impairment of productivity parameters.\nCONCLUSIONS: The findings are consistent with a high prevalence of undiagnosed cases of active PsA among patients with psoriasis seen by dermatologists. As many of these patients also have significant skin symptoms, treatment strategies are required that are equally effective in the control of skin and joint symptoms of psoriasis.","container-title":"The British Journal of Dermatology","DOI":"10.1111/j.1365-2133.2008.09023.x","ISSN":"1365-2133","issue":"5","journalAbbreviation":"Br J Dermatol","language":"eng","note":"PMID: 19210498","page":"1040-1047","source":"PubMed","title":"Epidemiology and clinical pattern of psoriatic arthritis in Germany: a prospective interdisciplinary epidemiological study of 1511 patients with plaque-type psoriasis","title-short":"Epidemiology and clinical pattern of psoriatic arthritis in Germany","volume":"160","author":[{"family":"Reich","given":"K."},{"family":"Krüger","given":"K."},{"family":"Mössner","given":"R."},{"family":"Augustin","given":"M."}],"issued":{"date-parts":[["2009",5]]}}}],"schema":"https://github.com/citation-style-language/schema/raw/master/csl-citation.json"} </w:instrText>
            </w:r>
            <w:r w:rsidRPr="00B516B0">
              <w:rPr>
                <w:rFonts w:ascii="Times New Roman" w:hAnsi="Times New Roman" w:cs="Times New Roman"/>
                <w:sz w:val="24"/>
                <w:szCs w:val="24"/>
              </w:rPr>
              <w:fldChar w:fldCharType="separate"/>
            </w:r>
            <w:r w:rsidRPr="00B516B0">
              <w:rPr>
                <w:rFonts w:ascii="Times New Roman" w:hAnsi="Times New Roman" w:cs="Times New Roman"/>
                <w:sz w:val="24"/>
                <w:szCs w:val="24"/>
              </w:rPr>
              <w:t>(2)</w:t>
            </w:r>
            <w:r w:rsidRPr="00B516B0">
              <w:rPr>
                <w:rFonts w:ascii="Times New Roman" w:hAnsi="Times New Roman" w:cs="Times New Roman"/>
                <w:sz w:val="24"/>
                <w:szCs w:val="24"/>
              </w:rPr>
              <w:fldChar w:fldCharType="end"/>
            </w:r>
          </w:p>
        </w:tc>
      </w:tr>
      <w:tr w:rsidR="00712B28" w:rsidRPr="00B516B0" w14:paraId="19CFA133" w14:textId="77777777" w:rsidTr="00712B28">
        <w:trPr>
          <w:trHeight w:val="287"/>
        </w:trPr>
        <w:tc>
          <w:tcPr>
            <w:tcW w:w="3178" w:type="dxa"/>
          </w:tcPr>
          <w:p w14:paraId="687E98D1" w14:textId="56F55C94"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Baseline PASI</w:t>
            </w:r>
          </w:p>
        </w:tc>
        <w:tc>
          <w:tcPr>
            <w:tcW w:w="3178" w:type="dxa"/>
          </w:tcPr>
          <w:p w14:paraId="7503C78A" w14:textId="46CDE189"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 xml:space="preserve">3.5 </w:t>
            </w:r>
            <w:r w:rsidRPr="00B516B0">
              <w:rPr>
                <w:rFonts w:ascii="Times New Roman" w:hAnsi="Times New Roman" w:cs="Times New Roman"/>
                <w:sz w:val="24"/>
                <w:szCs w:val="24"/>
              </w:rPr>
              <w:fldChar w:fldCharType="begin"/>
            </w:r>
            <w:r w:rsidRPr="00B516B0">
              <w:rPr>
                <w:rFonts w:ascii="Times New Roman" w:hAnsi="Times New Roman" w:cs="Times New Roman"/>
                <w:sz w:val="24"/>
                <w:szCs w:val="24"/>
              </w:rPr>
              <w:instrText xml:space="preserve"> ADDIN ZOTERO_ITEM CSL_CITATION {"citationID":"dWp9TLA3","properties":{"formattedCitation":"(3)","plainCitation":"(3)","noteIndex":0},"citationItems":[{"id":2373,"uris":["http://zotero.org/users/10590964/items/5PDRPEJB"],"itemData":{"id":2373,"type":"article-journal","abstract":"Objective Screening psoriasis patients for psoriatic arthritis (PsA) is intended to identify patients at earlier stages of the disease. Early treatment is expected to slow disease progression and delay the need for biologic therapy. Our objective was to determine the cost-effectiveness of screening for PsA in patients with psoriasis in Canada. Methods A Markov model was built to estimate the costs and quality-adjusted life years (QALYs) of screening tools for PsA in psoriasis patients. The screening tools included the Toronto Psoriatic Arthritis Screen, Psoriasis Epidemiology Screening Tool, Psoriatic Arthritis Screening and Evaluation, and Early Psoriatic Arthritis Screening Questionnaire (EARP) questionnaires. States of health were defined by disability levels as measured by the Health Assessment Questionnaire. State transitions were modeled based on annual disease progression. Incremental cost-effectiveness ratios and incremental net monetary benefits were estimated. Sensitivity analyses were undertaken to account for parameter uncertainty and to test model assumptions. Results Screening was cost-effective compared to no screening. The EARP tool had the lowest total cost ($2,000 per patient per year saved compared to no screening) and the highest total QALYs (additional 0.18 per patient compared to no screening). The results were most sensitive to test accuracy and the efficacy of disease-modifying antirheumatic drugs (DMARDs). No screening was cost-effective (at $50,000 per QALY) relative to screening when DMARDs failed to slow disease progression. Conclusion If early therapy with DMARDs delays biologic treatment, implementing screening in patients with psoriasis in Canada is expected to represent a cost savings of $220 million per year and improve the quality of life.","container-title":"Arthritis Care &amp; Research","DOI":"10.1002/acr.24110","ISSN":"2151-4658","issue":"2","language":"en","note":"_eprint: https://onlinelibrary.wiley.com/doi/pdf/10.1002/acr.24110","page":"266-274","source":"Wiley Online Library","title":"Model to Determine the Cost-Effectiveness of Screening Psoriasis Patients for Psoriatic Arthritis","volume":"73","author":[{"family":"Iragorri","given":"Nicolas"},{"family":"Hazlewood","given":"Glen"},{"family":"Manns","given":"Braden"},{"family":"Bojke","given":"Laura"},{"family":"Spackman","given":"Eldon"},{"family":"Early Detection to Improve Outcome in People With Undiagnosed Psoriatic Arthritis Study Group","given":""}],"issued":{"date-parts":[["2021"]]}}}],"schema":"https://github.com/citation-style-language/schema/raw/master/csl-citation.json"} </w:instrText>
            </w:r>
            <w:r w:rsidRPr="00B516B0">
              <w:rPr>
                <w:rFonts w:ascii="Times New Roman" w:hAnsi="Times New Roman" w:cs="Times New Roman"/>
                <w:sz w:val="24"/>
                <w:szCs w:val="24"/>
              </w:rPr>
              <w:fldChar w:fldCharType="separate"/>
            </w:r>
            <w:r w:rsidRPr="00B516B0">
              <w:rPr>
                <w:rFonts w:ascii="Times New Roman" w:hAnsi="Times New Roman" w:cs="Times New Roman"/>
                <w:sz w:val="24"/>
                <w:szCs w:val="24"/>
              </w:rPr>
              <w:t>(3)</w:t>
            </w:r>
            <w:r w:rsidRPr="00B516B0">
              <w:rPr>
                <w:rFonts w:ascii="Times New Roman" w:hAnsi="Times New Roman" w:cs="Times New Roman"/>
                <w:sz w:val="24"/>
                <w:szCs w:val="24"/>
              </w:rPr>
              <w:fldChar w:fldCharType="end"/>
            </w:r>
          </w:p>
        </w:tc>
        <w:tc>
          <w:tcPr>
            <w:tcW w:w="3178" w:type="dxa"/>
          </w:tcPr>
          <w:p w14:paraId="2D0AFE6F" w14:textId="6F7C2028"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12 (assumption)</w:t>
            </w:r>
          </w:p>
        </w:tc>
      </w:tr>
      <w:tr w:rsidR="00712B28" w:rsidRPr="00B516B0" w14:paraId="08128F22" w14:textId="77777777" w:rsidTr="00712B28">
        <w:trPr>
          <w:trHeight w:val="274"/>
        </w:trPr>
        <w:tc>
          <w:tcPr>
            <w:tcW w:w="3178" w:type="dxa"/>
          </w:tcPr>
          <w:p w14:paraId="4D67CFD5" w14:textId="1BA6F7F8" w:rsidR="00712B28" w:rsidRPr="00B516B0" w:rsidRDefault="00712B28" w:rsidP="00712B28">
            <w:pPr>
              <w:rPr>
                <w:rFonts w:ascii="Times New Roman" w:hAnsi="Times New Roman" w:cs="Times New Roman"/>
                <w:sz w:val="24"/>
                <w:szCs w:val="24"/>
              </w:rPr>
            </w:pPr>
            <w:r w:rsidRPr="00B516B0">
              <w:rPr>
                <w:rFonts w:ascii="Times New Roman" w:hAnsi="Times New Roman" w:cs="Times New Roman"/>
                <w:sz w:val="24"/>
                <w:szCs w:val="24"/>
              </w:rPr>
              <w:t>Baseline HAQ</w:t>
            </w:r>
          </w:p>
        </w:tc>
        <w:tc>
          <w:tcPr>
            <w:tcW w:w="3178" w:type="dxa"/>
          </w:tcPr>
          <w:p w14:paraId="7C60FD33" w14:textId="73BFEE44" w:rsidR="00712B28" w:rsidRPr="00B516B0" w:rsidRDefault="00712B28" w:rsidP="00712B28">
            <w:pPr>
              <w:rPr>
                <w:rFonts w:ascii="Times New Roman" w:hAnsi="Times New Roman" w:cs="Times New Roman"/>
                <w:sz w:val="24"/>
                <w:szCs w:val="24"/>
              </w:rPr>
            </w:pPr>
            <w:r w:rsidRPr="00B516B0">
              <w:rPr>
                <w:rFonts w:ascii="Times New Roman" w:hAnsi="Times New Roman" w:cs="Times New Roman"/>
                <w:sz w:val="24"/>
                <w:szCs w:val="24"/>
              </w:rPr>
              <w:t xml:space="preserve">0 </w:t>
            </w:r>
            <w:r w:rsidRPr="00B516B0">
              <w:rPr>
                <w:rFonts w:ascii="Times New Roman" w:hAnsi="Times New Roman" w:cs="Times New Roman"/>
                <w:sz w:val="24"/>
                <w:szCs w:val="24"/>
              </w:rPr>
              <w:fldChar w:fldCharType="begin"/>
            </w:r>
            <w:r w:rsidRPr="00B516B0">
              <w:rPr>
                <w:rFonts w:ascii="Times New Roman" w:hAnsi="Times New Roman" w:cs="Times New Roman"/>
                <w:sz w:val="24"/>
                <w:szCs w:val="24"/>
              </w:rPr>
              <w:instrText xml:space="preserve"> ADDIN ZOTERO_ITEM CSL_CITATION {"citationID":"xmsvtBIj","properties":{"formattedCitation":"(3)","plainCitation":"(3)","noteIndex":0},"citationItems":[{"id":2373,"uris":["http://zotero.org/users/10590964/items/5PDRPEJB"],"itemData":{"id":2373,"type":"article-journal","abstract":"Objective Screening psoriasis patients for psoriatic arthritis (PsA) is intended to identify patients at earlier stages of the disease. Early treatment is expected to slow disease progression and delay the need for biologic therapy. Our objective was to determine the cost-effectiveness of screening for PsA in patients with psoriasis in Canada. Methods A Markov model was built to estimate the costs and quality-adjusted life years (QALYs) of screening tools for PsA in psoriasis patients. The screening tools included the Toronto Psoriatic Arthritis Screen, Psoriasis Epidemiology Screening Tool, Psoriatic Arthritis Screening and Evaluation, and Early Psoriatic Arthritis Screening Questionnaire (EARP) questionnaires. States of health were defined by disability levels as measured by the Health Assessment Questionnaire. State transitions were modeled based on annual disease progression. Incremental cost-effectiveness ratios and incremental net monetary benefits were estimated. Sensitivity analyses were undertaken to account for parameter uncertainty and to test model assumptions. Results Screening was cost-effective compared to no screening. The EARP tool had the lowest total cost ($2,000 per patient per year saved compared to no screening) and the highest total QALYs (additional 0.18 per patient compared to no screening). The results were most sensitive to test accuracy and the efficacy of disease-modifying antirheumatic drugs (DMARDs). No screening was cost-effective (at $50,000 per QALY) relative to screening when DMARDs failed to slow disease progression. Conclusion If early therapy with DMARDs delays biologic treatment, implementing screening in patients with psoriasis in Canada is expected to represent a cost savings of $220 million per year and improve the quality of life.","container-title":"Arthritis Care &amp; Research","DOI":"10.1002/acr.24110","ISSN":"2151-4658","issue":"2","language":"en","note":"_eprint: https://onlinelibrary.wiley.com/doi/pdf/10.1002/acr.24110","page":"266-274","source":"Wiley Online Library","title":"Model to Determine the Cost-Effectiveness of Screening Psoriasis Patients for Psoriatic Arthritis","volume":"73","author":[{"family":"Iragorri","given":"Nicolas"},{"family":"Hazlewood","given":"Glen"},{"family":"Manns","given":"Braden"},{"family":"Bojke","given":"Laura"},{"family":"Spackman","given":"Eldon"},{"family":"Early Detection to Improve Outcome in People With Undiagnosed Psoriatic Arthritis Study Group","given":""}],"issued":{"date-parts":[["2021"]]}}}],"schema":"https://github.com/citation-style-language/schema/raw/master/csl-citation.json"} </w:instrText>
            </w:r>
            <w:r w:rsidRPr="00B516B0">
              <w:rPr>
                <w:rFonts w:ascii="Times New Roman" w:hAnsi="Times New Roman" w:cs="Times New Roman"/>
                <w:sz w:val="24"/>
                <w:szCs w:val="24"/>
              </w:rPr>
              <w:fldChar w:fldCharType="separate"/>
            </w:r>
            <w:r w:rsidRPr="00B516B0">
              <w:rPr>
                <w:rFonts w:ascii="Times New Roman" w:hAnsi="Times New Roman" w:cs="Times New Roman"/>
                <w:sz w:val="24"/>
                <w:szCs w:val="24"/>
              </w:rPr>
              <w:t>(3)</w:t>
            </w:r>
            <w:r w:rsidRPr="00B516B0">
              <w:rPr>
                <w:rFonts w:ascii="Times New Roman" w:hAnsi="Times New Roman" w:cs="Times New Roman"/>
                <w:sz w:val="24"/>
                <w:szCs w:val="24"/>
              </w:rPr>
              <w:fldChar w:fldCharType="end"/>
            </w:r>
          </w:p>
        </w:tc>
        <w:tc>
          <w:tcPr>
            <w:tcW w:w="3178" w:type="dxa"/>
          </w:tcPr>
          <w:p w14:paraId="2FDE8EA1" w14:textId="4D82535C" w:rsidR="00712B28" w:rsidRPr="00B516B0" w:rsidRDefault="00712B28" w:rsidP="00712B28">
            <w:pPr>
              <w:rPr>
                <w:rFonts w:ascii="Times New Roman" w:hAnsi="Times New Roman" w:cs="Times New Roman"/>
                <w:sz w:val="24"/>
                <w:szCs w:val="24"/>
              </w:rPr>
            </w:pPr>
            <w:r w:rsidRPr="00B516B0">
              <w:rPr>
                <w:rFonts w:ascii="Times New Roman" w:hAnsi="Times New Roman" w:cs="Times New Roman"/>
                <w:sz w:val="24"/>
                <w:szCs w:val="24"/>
              </w:rPr>
              <w:t>0.5 (assumption)</w:t>
            </w:r>
          </w:p>
        </w:tc>
      </w:tr>
      <w:tr w:rsidR="00712B28" w:rsidRPr="00B516B0" w14:paraId="6581BA8F" w14:textId="77777777" w:rsidTr="00712B28">
        <w:trPr>
          <w:trHeight w:val="837"/>
        </w:trPr>
        <w:tc>
          <w:tcPr>
            <w:tcW w:w="3178" w:type="dxa"/>
          </w:tcPr>
          <w:p w14:paraId="06EA87A9" w14:textId="3C4E60E7"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Probability of accepting treatment change following positive test</w:t>
            </w:r>
          </w:p>
        </w:tc>
        <w:tc>
          <w:tcPr>
            <w:tcW w:w="3178" w:type="dxa"/>
          </w:tcPr>
          <w:p w14:paraId="67CB9F8A" w14:textId="08A85F89"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90% (assumption)</w:t>
            </w:r>
          </w:p>
        </w:tc>
        <w:tc>
          <w:tcPr>
            <w:tcW w:w="3178" w:type="dxa"/>
          </w:tcPr>
          <w:p w14:paraId="09B45085" w14:textId="663FED24"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95% (assumption)</w:t>
            </w:r>
          </w:p>
        </w:tc>
      </w:tr>
      <w:tr w:rsidR="00712B28" w:rsidRPr="00B516B0" w14:paraId="5F9C3257" w14:textId="77777777" w:rsidTr="00712B28">
        <w:trPr>
          <w:trHeight w:val="562"/>
        </w:trPr>
        <w:tc>
          <w:tcPr>
            <w:tcW w:w="3178" w:type="dxa"/>
          </w:tcPr>
          <w:p w14:paraId="22BAAA99" w14:textId="0BBD1863"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 xml:space="preserve">Probability of </w:t>
            </w:r>
            <w:proofErr w:type="spellStart"/>
            <w:r w:rsidRPr="00B516B0">
              <w:rPr>
                <w:rFonts w:ascii="Times New Roman" w:hAnsi="Times New Roman" w:cs="Times New Roman"/>
                <w:sz w:val="24"/>
                <w:szCs w:val="24"/>
              </w:rPr>
              <w:t>PsO</w:t>
            </w:r>
            <w:proofErr w:type="spellEnd"/>
            <w:r w:rsidRPr="00B516B0">
              <w:rPr>
                <w:rFonts w:ascii="Times New Roman" w:hAnsi="Times New Roman" w:cs="Times New Roman"/>
                <w:sz w:val="24"/>
                <w:szCs w:val="24"/>
              </w:rPr>
              <w:t xml:space="preserve"> progressing</w:t>
            </w:r>
          </w:p>
        </w:tc>
        <w:tc>
          <w:tcPr>
            <w:tcW w:w="3178" w:type="dxa"/>
          </w:tcPr>
          <w:p w14:paraId="2D98A9DC" w14:textId="3A45FB7D"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 xml:space="preserve">3.1% </w:t>
            </w:r>
            <w:r w:rsidRPr="00B516B0">
              <w:rPr>
                <w:rFonts w:ascii="Times New Roman" w:hAnsi="Times New Roman" w:cs="Times New Roman"/>
                <w:sz w:val="24"/>
                <w:szCs w:val="24"/>
              </w:rPr>
              <w:fldChar w:fldCharType="begin"/>
            </w:r>
            <w:r w:rsidRPr="00B516B0">
              <w:rPr>
                <w:rFonts w:ascii="Times New Roman" w:hAnsi="Times New Roman" w:cs="Times New Roman"/>
                <w:sz w:val="24"/>
                <w:szCs w:val="24"/>
              </w:rPr>
              <w:instrText xml:space="preserve"> ADDIN ZOTERO_ITEM CSL_CITATION {"citationID":"fcvMTt05","properties":{"formattedCitation":"(4)","plainCitation":"(4)","noteIndex":0},"citationItems":[{"id":2365,"uris":["http://zotero.org/users/10590964/items/ECN6K7TA"],"itemData":{"id":2365,"type":"article-journal","abstract":"To assess patient compliance with psoriasis treatment.Open prospective study. Patients with psoriasis were examined and completed a brief medical and social history, a compliance assessment sheet, and the Dermatology Life Quality Index (DLQI). Patients were reexamined at 3 months, and their actual treatment use was assessed and compared with the expected use. Medication adherence was assessed by direct questioning.Dermatology outpatient clinic.Two hundred ninety-four patients fulfilled the inclusion criteria, and 201 completed the study.Adherence with topical and oral therapies, using objective and self-reporting methods and description of factors affecting compliance.The overall mean ± SD medication adherence was 60.6% ± 33.0% (range, 0%-169%). The mean ± SD DLQI in the study was 17.4 ± 8.9 (range, 0-30). There was a highly significant negative correlation (r = −0.92) between these variables. Being female, married, employed, and not paying for prescriptions were characteristics associated with increased medication adherence and a lower DLQI. Medication adherence was greater for topical or combined therapy, for once-daily treatment, and for first-time use of treatment. Adverse effects reduced compliance. The major reasons for missing treatment were drinking alcohol, being fed up, forgetfulness, and being too busy. Patients with facial disease and with more extensive disease had lower medication adherence.A range of disease-related and social factors may affect compliance with psoriasis treatment. The inversely proportional relationship between DLQI and medication adherence reflects the interaction of physical and psychological factors, as well as perceived treatment failure.&lt;!--\n\n--&gt;","container-title":"Archives of Dermatology","DOI":"10.1001/archderm.140.4.408","ISSN":"0003-987X","issue":"4","journalAbbreviation":"Archives of Dermatology","page":"408-414","source":"Silverchair","title":"Objective Assessment of Compliance With Psoriasis Treatment","volume":"140","author":[{"family":"Zaghloul","given":"Sameh Said"},{"family":"Goodfield","given":"Mark Jeremy David"}],"issued":{"date-parts":[["2004",4,1]]}}}],"schema":"https://github.com/citation-style-language/schema/raw/master/csl-citation.json"} </w:instrText>
            </w:r>
            <w:r w:rsidRPr="00B516B0">
              <w:rPr>
                <w:rFonts w:ascii="Times New Roman" w:hAnsi="Times New Roman" w:cs="Times New Roman"/>
                <w:sz w:val="24"/>
                <w:szCs w:val="24"/>
              </w:rPr>
              <w:fldChar w:fldCharType="separate"/>
            </w:r>
            <w:r w:rsidRPr="00B516B0">
              <w:rPr>
                <w:rFonts w:ascii="Times New Roman" w:hAnsi="Times New Roman" w:cs="Times New Roman"/>
                <w:sz w:val="24"/>
                <w:szCs w:val="24"/>
              </w:rPr>
              <w:t>(4)</w:t>
            </w:r>
            <w:r w:rsidRPr="00B516B0">
              <w:rPr>
                <w:rFonts w:ascii="Times New Roman" w:hAnsi="Times New Roman" w:cs="Times New Roman"/>
                <w:sz w:val="24"/>
                <w:szCs w:val="24"/>
              </w:rPr>
              <w:fldChar w:fldCharType="end"/>
            </w:r>
          </w:p>
        </w:tc>
        <w:tc>
          <w:tcPr>
            <w:tcW w:w="3178" w:type="dxa"/>
          </w:tcPr>
          <w:p w14:paraId="54B93111" w14:textId="7661DF2F" w:rsidR="00712B28" w:rsidRPr="00B516B0" w:rsidRDefault="00712B28" w:rsidP="00D85F53">
            <w:pPr>
              <w:rPr>
                <w:rFonts w:ascii="Times New Roman" w:hAnsi="Times New Roman" w:cs="Times New Roman"/>
                <w:sz w:val="24"/>
                <w:szCs w:val="24"/>
              </w:rPr>
            </w:pPr>
            <w:r w:rsidRPr="00B516B0">
              <w:rPr>
                <w:rFonts w:ascii="Times New Roman" w:hAnsi="Times New Roman" w:cs="Times New Roman"/>
                <w:sz w:val="24"/>
                <w:szCs w:val="24"/>
              </w:rPr>
              <w:t>0% (assumption)</w:t>
            </w:r>
          </w:p>
        </w:tc>
      </w:tr>
    </w:tbl>
    <w:p w14:paraId="010117EB" w14:textId="7435DA9C" w:rsidR="00712B28" w:rsidRPr="00B516B0" w:rsidRDefault="00712B28" w:rsidP="00D85F53">
      <w:pPr>
        <w:rPr>
          <w:rFonts w:ascii="Times New Roman" w:hAnsi="Times New Roman" w:cs="Times New Roman"/>
          <w:sz w:val="24"/>
          <w:szCs w:val="24"/>
        </w:rPr>
      </w:pPr>
    </w:p>
    <w:p w14:paraId="511084C9" w14:textId="77777777" w:rsidR="00712B28" w:rsidRPr="00B516B0" w:rsidRDefault="00712B28">
      <w:pPr>
        <w:rPr>
          <w:rFonts w:ascii="Times New Roman" w:hAnsi="Times New Roman" w:cs="Times New Roman"/>
          <w:sz w:val="24"/>
          <w:szCs w:val="24"/>
        </w:rPr>
      </w:pPr>
      <w:r w:rsidRPr="00B516B0">
        <w:rPr>
          <w:rFonts w:ascii="Times New Roman" w:hAnsi="Times New Roman" w:cs="Times New Roman"/>
          <w:sz w:val="24"/>
          <w:szCs w:val="24"/>
        </w:rPr>
        <w:br w:type="page"/>
      </w:r>
    </w:p>
    <w:p w14:paraId="1927D895" w14:textId="3D84E483" w:rsidR="003C32F6" w:rsidRPr="00B516B0" w:rsidRDefault="00A93E46" w:rsidP="00D85F5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53B33BC" wp14:editId="5BAF4702">
            <wp:extent cx="5937250" cy="3587750"/>
            <wp:effectExtent l="0" t="0" r="0" b="0"/>
            <wp:docPr id="801102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7250" cy="3587750"/>
                    </a:xfrm>
                    <a:prstGeom prst="rect">
                      <a:avLst/>
                    </a:prstGeom>
                    <a:noFill/>
                    <a:ln>
                      <a:noFill/>
                    </a:ln>
                  </pic:spPr>
                </pic:pic>
              </a:graphicData>
            </a:graphic>
          </wp:inline>
        </w:drawing>
      </w:r>
    </w:p>
    <w:p w14:paraId="4E0C1334" w14:textId="4F9448E3" w:rsidR="003E0251" w:rsidRDefault="00712B28" w:rsidP="003E0251">
      <w:pPr>
        <w:pStyle w:val="Heading1"/>
      </w:pPr>
      <w:bookmarkStart w:id="2" w:name="_Toc154070439"/>
      <w:r w:rsidRPr="00B516B0">
        <w:t>Figure S2.</w:t>
      </w:r>
      <w:r w:rsidR="00E513C4" w:rsidRPr="00B516B0">
        <w:t xml:space="preserve"> </w:t>
      </w:r>
      <w:r w:rsidR="00A93E46" w:rsidRPr="0050086C">
        <w:t>Tornado diagram showing the ten most influential model parameters in one-way sensitivity analyses. Red line represents the base case ICER. Abbreviations: MTX = methotrexate, LEF = leflunomide, HAQ = health assessment questionnaire.</w:t>
      </w:r>
      <w:bookmarkEnd w:id="2"/>
    </w:p>
    <w:p w14:paraId="49983F7E" w14:textId="70C89D43" w:rsidR="004F1233" w:rsidRDefault="004F1233">
      <w:r>
        <w:br w:type="page"/>
      </w:r>
    </w:p>
    <w:p w14:paraId="3017640A" w14:textId="1621BE72" w:rsidR="004F1233" w:rsidRDefault="004F1233" w:rsidP="004F1233">
      <w:r w:rsidRPr="00B516B0">
        <w:rPr>
          <w:rFonts w:ascii="Times New Roman" w:hAnsi="Times New Roman" w:cs="Times New Roman"/>
          <w:noProof/>
          <w:sz w:val="24"/>
          <w:szCs w:val="24"/>
          <w:lang w:val="en-US"/>
        </w:rPr>
        <w:lastRenderedPageBreak/>
        <w:drawing>
          <wp:inline distT="0" distB="0" distL="0" distR="0" wp14:anchorId="74BDD67B" wp14:editId="31DA1343">
            <wp:extent cx="5914409" cy="3643062"/>
            <wp:effectExtent l="0" t="0" r="0" b="0"/>
            <wp:docPr id="1139446928" name="Picture 4"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46928" name="Picture 4" descr="A graph with a line going u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90" cy="3656355"/>
                    </a:xfrm>
                    <a:prstGeom prst="rect">
                      <a:avLst/>
                    </a:prstGeom>
                    <a:noFill/>
                  </pic:spPr>
                </pic:pic>
              </a:graphicData>
            </a:graphic>
          </wp:inline>
        </w:drawing>
      </w:r>
    </w:p>
    <w:p w14:paraId="1317D4CE" w14:textId="34171E1F" w:rsidR="004F1233" w:rsidRDefault="004F1233" w:rsidP="004F1233">
      <w:pPr>
        <w:pStyle w:val="Heading1"/>
      </w:pPr>
      <w:bookmarkStart w:id="3" w:name="_Toc154070440"/>
      <w:r w:rsidRPr="00B516B0">
        <w:t>Figure S</w:t>
      </w:r>
      <w:r>
        <w:t>3</w:t>
      </w:r>
      <w:r w:rsidRPr="00B516B0">
        <w:t>. Cost-effectiveness acceptability curve showing the probability that the biomarker is cost-effective at various willingness-to-pay thresholds.</w:t>
      </w:r>
      <w:bookmarkEnd w:id="3"/>
    </w:p>
    <w:p w14:paraId="2FBD7AAC" w14:textId="77777777" w:rsidR="004F1233" w:rsidRPr="004F1233" w:rsidRDefault="004F1233" w:rsidP="004F1233"/>
    <w:p w14:paraId="4DE25F4B" w14:textId="77777777" w:rsidR="003E0251" w:rsidRPr="00B516B0" w:rsidRDefault="003E0251">
      <w:pPr>
        <w:rPr>
          <w:rFonts w:ascii="Times New Roman" w:hAnsi="Times New Roman" w:cs="Times New Roman"/>
          <w:i/>
          <w:kern w:val="0"/>
          <w:sz w:val="24"/>
          <w:szCs w:val="24"/>
        </w:rPr>
      </w:pPr>
      <w:r w:rsidRPr="00B516B0">
        <w:rPr>
          <w:rFonts w:ascii="Times New Roman" w:hAnsi="Times New Roman" w:cs="Times New Roman"/>
          <w:sz w:val="24"/>
          <w:szCs w:val="24"/>
        </w:rPr>
        <w:br w:type="page"/>
      </w:r>
    </w:p>
    <w:p w14:paraId="538B0159" w14:textId="3D68DA54" w:rsidR="003E0251" w:rsidRPr="00B516B0" w:rsidRDefault="003E0251" w:rsidP="003E0251">
      <w:pPr>
        <w:pStyle w:val="Heading1"/>
        <w:rPr>
          <w:i w:val="0"/>
          <w:iCs/>
        </w:rPr>
      </w:pPr>
      <w:bookmarkStart w:id="4" w:name="_Toc154070441"/>
      <w:r w:rsidRPr="00B516B0">
        <w:rPr>
          <w:i w:val="0"/>
          <w:iCs/>
        </w:rPr>
        <w:lastRenderedPageBreak/>
        <w:t>REFERENCES</w:t>
      </w:r>
      <w:bookmarkEnd w:id="4"/>
      <w:r w:rsidRPr="00B516B0">
        <w:rPr>
          <w:i w:val="0"/>
          <w:iCs/>
        </w:rPr>
        <w:t xml:space="preserve"> </w:t>
      </w:r>
    </w:p>
    <w:p w14:paraId="5509221D" w14:textId="77777777" w:rsidR="003E0251" w:rsidRPr="00B516B0" w:rsidRDefault="003E0251" w:rsidP="003E0251">
      <w:pPr>
        <w:pStyle w:val="Bibliography"/>
        <w:rPr>
          <w:rFonts w:ascii="Times New Roman" w:hAnsi="Times New Roman" w:cs="Times New Roman"/>
          <w:sz w:val="24"/>
          <w:szCs w:val="24"/>
        </w:rPr>
      </w:pPr>
      <w:r w:rsidRPr="00B516B0">
        <w:rPr>
          <w:rFonts w:ascii="Times New Roman" w:hAnsi="Times New Roman" w:cs="Times New Roman"/>
          <w:b/>
          <w:bCs/>
          <w:sz w:val="24"/>
          <w:szCs w:val="24"/>
        </w:rPr>
        <w:fldChar w:fldCharType="begin"/>
      </w:r>
      <w:r w:rsidRPr="00B516B0">
        <w:rPr>
          <w:rFonts w:ascii="Times New Roman" w:hAnsi="Times New Roman" w:cs="Times New Roman"/>
          <w:b/>
          <w:bCs/>
          <w:sz w:val="24"/>
          <w:szCs w:val="24"/>
        </w:rPr>
        <w:instrText xml:space="preserve"> ADDIN ZOTERO_BIBL {"uncited":[],"omitted":[],"custom":[]} CSL_BIBLIOGRAPHY </w:instrText>
      </w:r>
      <w:r w:rsidRPr="00B516B0">
        <w:rPr>
          <w:rFonts w:ascii="Times New Roman" w:hAnsi="Times New Roman" w:cs="Times New Roman"/>
          <w:b/>
          <w:bCs/>
          <w:sz w:val="24"/>
          <w:szCs w:val="24"/>
        </w:rPr>
        <w:fldChar w:fldCharType="separate"/>
      </w:r>
      <w:r w:rsidRPr="00B516B0">
        <w:rPr>
          <w:rFonts w:ascii="Times New Roman" w:hAnsi="Times New Roman" w:cs="Times New Roman"/>
          <w:sz w:val="24"/>
          <w:szCs w:val="24"/>
        </w:rPr>
        <w:t>1.</w:t>
      </w:r>
      <w:r w:rsidRPr="00B516B0">
        <w:rPr>
          <w:rFonts w:ascii="Times New Roman" w:hAnsi="Times New Roman" w:cs="Times New Roman"/>
          <w:sz w:val="24"/>
          <w:szCs w:val="24"/>
        </w:rPr>
        <w:tab/>
        <w:t xml:space="preserve">Villani AP, Rouzaud M, Sevrain M, Barnetche T, Paul C, Richard MA, et al. Prevalence of undiagnosed psoriatic arthritis among psoriasis patients: Systematic review and meta-analysis. Journal of the American Academy of Dermatology. 2015 Aug 1;73(2):242–8. </w:t>
      </w:r>
    </w:p>
    <w:p w14:paraId="5A6EA327" w14:textId="77777777" w:rsidR="003E0251" w:rsidRPr="00B516B0" w:rsidRDefault="003E0251" w:rsidP="003E0251">
      <w:pPr>
        <w:pStyle w:val="Bibliography"/>
        <w:rPr>
          <w:rFonts w:ascii="Times New Roman" w:hAnsi="Times New Roman" w:cs="Times New Roman"/>
          <w:sz w:val="24"/>
          <w:szCs w:val="24"/>
        </w:rPr>
      </w:pPr>
      <w:r w:rsidRPr="00B516B0">
        <w:rPr>
          <w:rFonts w:ascii="Times New Roman" w:hAnsi="Times New Roman" w:cs="Times New Roman"/>
          <w:sz w:val="24"/>
          <w:szCs w:val="24"/>
        </w:rPr>
        <w:t>2.</w:t>
      </w:r>
      <w:r w:rsidRPr="00B516B0">
        <w:rPr>
          <w:rFonts w:ascii="Times New Roman" w:hAnsi="Times New Roman" w:cs="Times New Roman"/>
          <w:sz w:val="24"/>
          <w:szCs w:val="24"/>
        </w:rPr>
        <w:tab/>
        <w:t xml:space="preserve">Reich K, Krüger K, Mössner R, Augustin M. Epidemiology and clinical pattern of psoriatic arthritis in Germany: a prospective interdisciplinary epidemiological study of 1511 patients with plaque-type psoriasis. Br J Dermatol. 2009 May;160(5):1040–7. </w:t>
      </w:r>
    </w:p>
    <w:p w14:paraId="6175E93B" w14:textId="77777777" w:rsidR="003E0251" w:rsidRPr="00B516B0" w:rsidRDefault="003E0251" w:rsidP="003E0251">
      <w:pPr>
        <w:pStyle w:val="Bibliography"/>
        <w:rPr>
          <w:rFonts w:ascii="Times New Roman" w:hAnsi="Times New Roman" w:cs="Times New Roman"/>
          <w:sz w:val="24"/>
          <w:szCs w:val="24"/>
        </w:rPr>
      </w:pPr>
      <w:r w:rsidRPr="00B516B0">
        <w:rPr>
          <w:rFonts w:ascii="Times New Roman" w:hAnsi="Times New Roman" w:cs="Times New Roman"/>
          <w:sz w:val="24"/>
          <w:szCs w:val="24"/>
        </w:rPr>
        <w:t>3.</w:t>
      </w:r>
      <w:r w:rsidRPr="00B516B0">
        <w:rPr>
          <w:rFonts w:ascii="Times New Roman" w:hAnsi="Times New Roman" w:cs="Times New Roman"/>
          <w:sz w:val="24"/>
          <w:szCs w:val="24"/>
        </w:rPr>
        <w:tab/>
        <w:t xml:space="preserve">Iragorri N, Hazlewood G, Manns B, Bojke L, Spackman E, Early Detection to Improve Outcome in People With Undiagnosed Psoriatic Arthritis Study Group. Model to Determine the Cost-Effectiveness of Screening Psoriasis Patients for Psoriatic Arthritis. Arthritis Care &amp; Research. 2021;73(2):266–74. </w:t>
      </w:r>
    </w:p>
    <w:p w14:paraId="03816304" w14:textId="77777777" w:rsidR="003E0251" w:rsidRPr="00B516B0" w:rsidRDefault="003E0251" w:rsidP="003E0251">
      <w:pPr>
        <w:pStyle w:val="Bibliography"/>
        <w:rPr>
          <w:rFonts w:ascii="Times New Roman" w:hAnsi="Times New Roman" w:cs="Times New Roman"/>
          <w:sz w:val="24"/>
          <w:szCs w:val="24"/>
        </w:rPr>
      </w:pPr>
      <w:r w:rsidRPr="00B516B0">
        <w:rPr>
          <w:rFonts w:ascii="Times New Roman" w:hAnsi="Times New Roman" w:cs="Times New Roman"/>
          <w:sz w:val="24"/>
          <w:szCs w:val="24"/>
        </w:rPr>
        <w:t>4.</w:t>
      </w:r>
      <w:r w:rsidRPr="00B516B0">
        <w:rPr>
          <w:rFonts w:ascii="Times New Roman" w:hAnsi="Times New Roman" w:cs="Times New Roman"/>
          <w:sz w:val="24"/>
          <w:szCs w:val="24"/>
        </w:rPr>
        <w:tab/>
        <w:t xml:space="preserve">Zaghloul SS, Goodfield MJD. Objective Assessment of Compliance With Psoriasis Treatment. Archives of Dermatology. 2004 Apr 1;140(4):408–14. </w:t>
      </w:r>
    </w:p>
    <w:p w14:paraId="7EAAEC4C" w14:textId="0779DD71" w:rsidR="003E0251" w:rsidRPr="00B516B0" w:rsidRDefault="003E0251" w:rsidP="003E0251">
      <w:pPr>
        <w:rPr>
          <w:rFonts w:ascii="Times New Roman" w:hAnsi="Times New Roman" w:cs="Times New Roman"/>
          <w:b/>
          <w:bCs/>
          <w:sz w:val="24"/>
          <w:szCs w:val="24"/>
        </w:rPr>
      </w:pPr>
      <w:r w:rsidRPr="00B516B0">
        <w:rPr>
          <w:rFonts w:ascii="Times New Roman" w:hAnsi="Times New Roman" w:cs="Times New Roman"/>
          <w:b/>
          <w:bCs/>
          <w:sz w:val="24"/>
          <w:szCs w:val="24"/>
        </w:rPr>
        <w:fldChar w:fldCharType="end"/>
      </w:r>
    </w:p>
    <w:sectPr w:rsidR="003E0251" w:rsidRPr="00B516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5F53"/>
    <w:rsid w:val="000B40C8"/>
    <w:rsid w:val="00204DD2"/>
    <w:rsid w:val="00243D59"/>
    <w:rsid w:val="00290667"/>
    <w:rsid w:val="00295316"/>
    <w:rsid w:val="00304E52"/>
    <w:rsid w:val="00311909"/>
    <w:rsid w:val="00342CE0"/>
    <w:rsid w:val="003435A1"/>
    <w:rsid w:val="003C32F6"/>
    <w:rsid w:val="003E0251"/>
    <w:rsid w:val="00474726"/>
    <w:rsid w:val="004D3ED8"/>
    <w:rsid w:val="004F1233"/>
    <w:rsid w:val="0051436F"/>
    <w:rsid w:val="005C4722"/>
    <w:rsid w:val="005C75D1"/>
    <w:rsid w:val="006259B2"/>
    <w:rsid w:val="00632F9C"/>
    <w:rsid w:val="006F18E1"/>
    <w:rsid w:val="00712B28"/>
    <w:rsid w:val="00747098"/>
    <w:rsid w:val="00860622"/>
    <w:rsid w:val="009120A8"/>
    <w:rsid w:val="009153C6"/>
    <w:rsid w:val="009A7829"/>
    <w:rsid w:val="00A93E46"/>
    <w:rsid w:val="00AE1F2D"/>
    <w:rsid w:val="00B26985"/>
    <w:rsid w:val="00B516B0"/>
    <w:rsid w:val="00C14463"/>
    <w:rsid w:val="00D85F53"/>
    <w:rsid w:val="00E513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strokecolor="none"/>
    </o:shapedefaults>
    <o:shapelayout v:ext="edit">
      <o:idmap v:ext="edit" data="1"/>
    </o:shapelayout>
  </w:shapeDefaults>
  <w:decimalSymbol w:val="."/>
  <w:listSeparator w:val=","/>
  <w14:docId w14:val="0B4B8F9A"/>
  <w15:chartTrackingRefBased/>
  <w15:docId w15:val="{AF98CB36-EACC-4389-B7A7-16CA1F97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Caption"/>
    <w:next w:val="Normal"/>
    <w:link w:val="Heading1Char"/>
    <w:uiPriority w:val="9"/>
    <w:qFormat/>
    <w:rsid w:val="00D85F53"/>
    <w:pPr>
      <w:outlineLvl w:val="0"/>
    </w:pPr>
    <w:rPr>
      <w:rFonts w:ascii="Times New Roman" w:hAnsi="Times New Roman" w:cs="Times New Roman"/>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5F53"/>
    <w:pPr>
      <w:spacing w:after="200" w:line="240" w:lineRule="auto"/>
    </w:pPr>
    <w:rPr>
      <w:i/>
      <w:iCs/>
      <w:color w:val="44546A" w:themeColor="text2"/>
      <w:kern w:val="0"/>
      <w:sz w:val="18"/>
      <w:szCs w:val="18"/>
    </w:rPr>
  </w:style>
  <w:style w:type="character" w:customStyle="1" w:styleId="Heading1Char">
    <w:name w:val="Heading 1 Char"/>
    <w:basedOn w:val="DefaultParagraphFont"/>
    <w:link w:val="Heading1"/>
    <w:uiPriority w:val="9"/>
    <w:rsid w:val="00D85F53"/>
    <w:rPr>
      <w:rFonts w:ascii="Times New Roman" w:hAnsi="Times New Roman" w:cs="Times New Roman"/>
      <w:i/>
      <w:kern w:val="0"/>
      <w:sz w:val="24"/>
      <w:szCs w:val="24"/>
    </w:rPr>
  </w:style>
  <w:style w:type="paragraph" w:styleId="TOCHeading">
    <w:name w:val="TOC Heading"/>
    <w:basedOn w:val="Heading1"/>
    <w:next w:val="Normal"/>
    <w:uiPriority w:val="39"/>
    <w:unhideWhenUsed/>
    <w:qFormat/>
    <w:rsid w:val="00D85F53"/>
    <w:pPr>
      <w:keepNext/>
      <w:keepLines/>
      <w:spacing w:before="240" w:after="0" w:line="259" w:lineRule="auto"/>
      <w:outlineLvl w:val="9"/>
    </w:pPr>
    <w:rPr>
      <w:rFonts w:asciiTheme="majorHAnsi" w:eastAsiaTheme="majorEastAsia" w:hAnsiTheme="majorHAnsi" w:cstheme="majorBidi"/>
      <w:i w:val="0"/>
      <w:color w:val="2F5496" w:themeColor="accent1" w:themeShade="BF"/>
      <w:sz w:val="32"/>
      <w:szCs w:val="32"/>
      <w:lang w:val="en-US"/>
    </w:rPr>
  </w:style>
  <w:style w:type="paragraph" w:styleId="TOC1">
    <w:name w:val="toc 1"/>
    <w:basedOn w:val="Normal"/>
    <w:next w:val="Normal"/>
    <w:autoRedefine/>
    <w:uiPriority w:val="39"/>
    <w:unhideWhenUsed/>
    <w:rsid w:val="00D85F53"/>
    <w:pPr>
      <w:spacing w:after="100"/>
    </w:pPr>
  </w:style>
  <w:style w:type="character" w:styleId="Hyperlink">
    <w:name w:val="Hyperlink"/>
    <w:basedOn w:val="DefaultParagraphFont"/>
    <w:uiPriority w:val="99"/>
    <w:unhideWhenUsed/>
    <w:rsid w:val="00D85F53"/>
    <w:rPr>
      <w:color w:val="0563C1" w:themeColor="hyperlink"/>
      <w:u w:val="single"/>
    </w:rPr>
  </w:style>
  <w:style w:type="table" w:styleId="TableGrid">
    <w:name w:val="Table Grid"/>
    <w:basedOn w:val="TableNormal"/>
    <w:uiPriority w:val="39"/>
    <w:rsid w:val="00D8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1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B5DB-20E5-41DC-A011-07AEFE85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2861</Words>
  <Characters>14510</Characters>
  <Application>Microsoft Office Word</Application>
  <DocSecurity>0</DocSecurity>
  <Lines>558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Tam</dc:creator>
  <cp:keywords/>
  <dc:description/>
  <cp:lastModifiedBy>Alex Tam</cp:lastModifiedBy>
  <cp:revision>5</cp:revision>
  <dcterms:created xsi:type="dcterms:W3CDTF">2023-06-23T20:17:00Z</dcterms:created>
  <dcterms:modified xsi:type="dcterms:W3CDTF">2023-12-22T01:00:00Z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id="VVkuPEJd"/&gt;&lt;style id="http://www.zotero.org/styles/vancouver" locale="en-US" hasBibliography="1" bibliographyStyleHasBeenSet="1"/&gt;&lt;prefs&gt;&lt;pref name="fieldType" value="Field"/&gt;&lt;/prefs&gt;&lt;/data&gt;</vt:lpwstr>
  </property>
</Properties>
</file>