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56422" w14:textId="3DF97090" w:rsidR="00073E08" w:rsidRPr="00073E08" w:rsidRDefault="00BD231C" w:rsidP="00073E08">
      <w:pPr>
        <w:pStyle w:val="Kop1"/>
        <w:numPr>
          <w:ilvl w:val="0"/>
          <w:numId w:val="0"/>
        </w:numPr>
        <w:rPr>
          <w:sz w:val="28"/>
          <w:szCs w:val="32"/>
          <w:u w:val="single"/>
          <w:lang w:val="en-US"/>
        </w:rPr>
      </w:pPr>
      <w:r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Supplementary</w:t>
      </w:r>
      <w:r w:rsidRPr="00073E08">
        <w:rPr>
          <w:b/>
          <w:bCs/>
          <w:sz w:val="28"/>
          <w:szCs w:val="32"/>
          <w:u w:val="single"/>
          <w:lang w:val="en-US"/>
        </w:rPr>
        <w:t xml:space="preserve"> </w:t>
      </w:r>
      <w:r w:rsidR="000130BE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F</w:t>
      </w:r>
      <w:r w:rsidR="000130BE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 xml:space="preserve">ile </w:t>
      </w:r>
      <w:r w:rsidR="00D06710">
        <w:rPr>
          <w:b/>
          <w:bCs/>
          <w:sz w:val="28"/>
          <w:szCs w:val="32"/>
          <w:u w:val="single"/>
          <w:lang w:val="en-US"/>
        </w:rPr>
        <w:t>3</w:t>
      </w:r>
      <w:r w:rsidR="00073E08" w:rsidRPr="00073E08">
        <w:rPr>
          <w:b/>
          <w:bCs/>
          <w:sz w:val="28"/>
          <w:szCs w:val="32"/>
          <w:u w:val="single"/>
          <w:lang w:val="en-US"/>
        </w:rPr>
        <w:t>:</w:t>
      </w:r>
      <w:r w:rsidR="00073E08" w:rsidRPr="00073E08">
        <w:rPr>
          <w:sz w:val="28"/>
          <w:szCs w:val="32"/>
          <w:u w:val="single"/>
          <w:lang w:val="en-US"/>
        </w:rPr>
        <w:t xml:space="preserve"> Handling missing data</w:t>
      </w:r>
    </w:p>
    <w:p w14:paraId="1EAC315C" w14:textId="5EDA9EEA" w:rsidR="00073E08" w:rsidRPr="003F237D" w:rsidRDefault="00073E08" w:rsidP="00073E08">
      <w:pPr>
        <w:pStyle w:val="Kop1"/>
        <w:numPr>
          <w:ilvl w:val="0"/>
          <w:numId w:val="0"/>
        </w:numPr>
        <w:rPr>
          <w:sz w:val="21"/>
          <w:szCs w:val="22"/>
          <w:lang w:val="en-GB"/>
        </w:rPr>
      </w:pPr>
      <w:r w:rsidRPr="003F237D">
        <w:rPr>
          <w:sz w:val="21"/>
          <w:szCs w:val="22"/>
        </w:rPr>
        <w:t>Missing data were handled following the guidance described in Faria et al.</w:t>
      </w:r>
      <w:r w:rsidRPr="003F237D">
        <w:rPr>
          <w:sz w:val="21"/>
          <w:szCs w:val="22"/>
          <w:lang w:val="en-US"/>
        </w:rPr>
        <w:t>,</w:t>
      </w:r>
      <w:r w:rsidRPr="003F237D">
        <w:rPr>
          <w:sz w:val="21"/>
          <w:szCs w:val="22"/>
        </w:rPr>
        <w:t xml:space="preserve"> </w:t>
      </w:r>
      <w:r w:rsidRPr="003F237D">
        <w:rPr>
          <w:sz w:val="21"/>
          <w:szCs w:val="22"/>
        </w:rPr>
        <w:fldChar w:fldCharType="begin"/>
      </w:r>
      <w:r w:rsidR="00C01E18" w:rsidRPr="003F237D">
        <w:rPr>
          <w:sz w:val="21"/>
          <w:szCs w:val="22"/>
        </w:rPr>
        <w:instrText xml:space="preserve"> ADDIN EN.CITE &lt;EndNote&gt;&lt;Cite&gt;&lt;Author&gt;Faria&lt;/Author&gt;&lt;Year&gt;2014&lt;/Year&gt;&lt;RecNum&gt;64&lt;/RecNum&gt;&lt;DisplayText&gt;(1)&lt;/DisplayText&gt;&lt;record&gt;&lt;rec-number&gt;64&lt;/rec-number&gt;&lt;foreign-keys&gt;&lt;key app="EN" db-id="exd2twesradrwuesz9qvszdkfsffppv2ees2" timestamp="1670511798" guid="e7ad464a-1ff0-4fa9-ac1f-db7ff1b5f7c8"&gt;64&lt;/key&gt;&lt;/foreign-keys&gt;&lt;ref-type name="Journal Article"&gt;17&lt;/ref-type&gt;&lt;contributors&gt;&lt;authors&gt;&lt;author&gt;Faria, R.&lt;/author&gt;&lt;author&gt;Gomes, M.&lt;/author&gt;&lt;author&gt;Epstein, D.&lt;/author&gt;&lt;author&gt;White, I. R.&lt;/author&gt;&lt;/authors&gt;&lt;/contributors&gt;&lt;auth-address&gt;Centre for Health Economics, University of York, Heslington, York, YO10 5DD, UK, rita.nevesdefaria@york.ac.uk.&lt;/auth-address&gt;&lt;titles&gt;&lt;title&gt;A guide to handling missing data in cost-effectiveness analysis conducted within randomised controlled trials&lt;/title&gt;&lt;secondary-title&gt;Pharmacoeconomics&lt;/secondary-title&gt;&lt;/titles&gt;&lt;periodical&gt;&lt;full-title&gt;Pharmacoeconomics&lt;/full-title&gt;&lt;/periodical&gt;&lt;pages&gt;1157-70&lt;/pages&gt;&lt;volume&gt;32&lt;/volume&gt;&lt;number&gt;12&lt;/number&gt;&lt;keywords&gt;&lt;keyword&gt;Cost-Benefit Analysis/*methods&lt;/keyword&gt;&lt;keyword&gt;Humans&lt;/keyword&gt;&lt;keyword&gt;Randomized Controlled Trials as Topic/*methods&lt;/keyword&gt;&lt;keyword&gt;Statistics as Topic/*standards&lt;/keyword&gt;&lt;/keywords&gt;&lt;dates&gt;&lt;year&gt;2014&lt;/year&gt;&lt;pub-dates&gt;&lt;date&gt;Dec&lt;/date&gt;&lt;/pub-dates&gt;&lt;/dates&gt;&lt;isbn&gt;1179-2027 (Electronic)&amp;#xD;1170-7690 (Print)&amp;#xD;1170-7690 (Linking)&lt;/isbn&gt;&lt;accession-num&gt;25069632&lt;/accession-num&gt;&lt;urls&gt;&lt;related-urls&gt;&lt;url&gt;https://www.ncbi.nlm.nih.gov/pubmed/25069632&lt;/url&gt;&lt;/related-urls&gt;&lt;/urls&gt;&lt;custom2&gt;PMC4244574&lt;/custom2&gt;&lt;electronic-resource-num&gt;10.1007/s40273-014-0193-3&lt;/electronic-resource-num&gt;&lt;remote-database-name&gt;Medline&lt;/remote-database-name&gt;&lt;remote-database-provider&gt;NLM&lt;/remote-database-provider&gt;&lt;/record&gt;&lt;/Cite&gt;&lt;/EndNote&gt;</w:instrText>
      </w:r>
      <w:r w:rsidRPr="003F237D">
        <w:rPr>
          <w:sz w:val="21"/>
          <w:szCs w:val="22"/>
        </w:rPr>
        <w:fldChar w:fldCharType="separate"/>
      </w:r>
      <w:r w:rsidR="00C01E18" w:rsidRPr="003F237D">
        <w:rPr>
          <w:noProof/>
          <w:sz w:val="21"/>
          <w:szCs w:val="22"/>
        </w:rPr>
        <w:t>(1)</w:t>
      </w:r>
      <w:r w:rsidRPr="003F237D">
        <w:rPr>
          <w:sz w:val="21"/>
          <w:szCs w:val="22"/>
        </w:rPr>
        <w:fldChar w:fldCharType="end"/>
      </w:r>
      <w:r w:rsidRPr="003F237D">
        <w:rPr>
          <w:sz w:val="21"/>
          <w:szCs w:val="22"/>
        </w:rPr>
        <w:t xml:space="preserve">. </w:t>
      </w:r>
      <w:r w:rsidRPr="003F237D">
        <w:rPr>
          <w:sz w:val="21"/>
          <w:szCs w:val="22"/>
          <w:lang w:val="en-US"/>
        </w:rPr>
        <w:t xml:space="preserve">Missing values were imputed using multiple </w:t>
      </w:r>
      <w:r w:rsidR="00BF0F26">
        <w:rPr>
          <w:sz w:val="21"/>
          <w:szCs w:val="22"/>
          <w:lang w:val="en-US"/>
        </w:rPr>
        <w:t>imputations</w:t>
      </w:r>
      <w:r w:rsidRPr="003F237D">
        <w:rPr>
          <w:sz w:val="21"/>
          <w:szCs w:val="22"/>
          <w:lang w:val="en-US"/>
        </w:rPr>
        <w:t xml:space="preserve"> at the endpoint level, specifically for total </w:t>
      </w:r>
      <w:r w:rsidR="001C77F8">
        <w:rPr>
          <w:sz w:val="21"/>
          <w:szCs w:val="22"/>
          <w:lang w:val="en-US"/>
        </w:rPr>
        <w:t xml:space="preserve">healthcare and non-healthcare </w:t>
      </w:r>
      <w:r w:rsidRPr="003F237D">
        <w:rPr>
          <w:sz w:val="21"/>
          <w:szCs w:val="22"/>
          <w:lang w:val="en-US"/>
        </w:rPr>
        <w:t xml:space="preserve">costs, utilities, and total </w:t>
      </w:r>
      <w:r w:rsidR="001C77F8">
        <w:rPr>
          <w:sz w:val="21"/>
          <w:szCs w:val="22"/>
          <w:lang w:val="en-US"/>
        </w:rPr>
        <w:t xml:space="preserve">anxiety and depression </w:t>
      </w:r>
      <w:r w:rsidRPr="003F237D">
        <w:rPr>
          <w:sz w:val="21"/>
          <w:szCs w:val="22"/>
          <w:lang w:val="en-US"/>
        </w:rPr>
        <w:t>HADS scores. Briggs et al. indicate this as an appropriate method when missing data patterns are relatively simple and the missing data rates are similar across cost items</w:t>
      </w:r>
      <w:r w:rsidR="00BA1757">
        <w:rPr>
          <w:sz w:val="21"/>
          <w:szCs w:val="22"/>
          <w:lang w:val="en-US"/>
        </w:rPr>
        <w:t xml:space="preserve"> </w:t>
      </w:r>
      <w:r w:rsidRPr="003F237D">
        <w:rPr>
          <w:sz w:val="21"/>
          <w:szCs w:val="22"/>
          <w:lang w:val="en-US"/>
        </w:rPr>
        <w:fldChar w:fldCharType="begin"/>
      </w:r>
      <w:r w:rsidR="00C01E18" w:rsidRPr="003F237D">
        <w:rPr>
          <w:sz w:val="21"/>
          <w:szCs w:val="22"/>
          <w:lang w:val="en-US"/>
        </w:rPr>
        <w:instrText xml:space="preserve"> ADDIN EN.CITE &lt;EndNote&gt;&lt;Cite&gt;&lt;Author&gt;Briggs&lt;/Author&gt;&lt;Year&gt;2003&lt;/Year&gt;&lt;RecNum&gt;108&lt;/RecNum&gt;&lt;DisplayText&gt;(2)&lt;/DisplayText&gt;&lt;record&gt;&lt;rec-number&gt;108&lt;/rec-number&gt;&lt;foreign-keys&gt;&lt;key app="EN" db-id="exd2twesradrwuesz9qvszdkfsffppv2ees2" timestamp="1685027078" guid="9dade472-ed51-462d-9dfd-3c2d97ca9898"&gt;108&lt;/key&gt;&lt;/foreign-keys&gt;&lt;ref-type name="Journal Article"&gt;17&lt;/ref-type&gt;&lt;contributors&gt;&lt;authors&gt;&lt;author&gt;Briggs, A.&lt;/author&gt;&lt;author&gt;Clark, T.&lt;/author&gt;&lt;author&gt;Wolstenholme, J.&lt;/author&gt;&lt;author&gt;Clarke, P.&lt;/author&gt;&lt;/authors&gt;&lt;/contributors&gt;&lt;auth-address&gt;Health Economics Research Centre, University of Oxford, Institute of Health Sciences, Headington, UK. andrew.biggs@ihs.oc.ac.uk&lt;/auth-address&gt;&lt;titles&gt;&lt;title&gt;Missing... presumed at random: cost-analysis of incomplete data&lt;/title&gt;&lt;secondary-title&gt;Health Econ&lt;/secondary-title&gt;&lt;/titles&gt;&lt;periodical&gt;&lt;full-title&gt;Health Econ&lt;/full-title&gt;&lt;/periodical&gt;&lt;pages&gt;377-92&lt;/pages&gt;&lt;volume&gt;12&lt;/volume&gt;&lt;number&gt;5&lt;/number&gt;&lt;keywords&gt;&lt;keyword&gt;Algorithms&lt;/keyword&gt;&lt;keyword&gt;Bayes Theorem&lt;/keyword&gt;&lt;keyword&gt;Costs and Cost Analysis&lt;/keyword&gt;&lt;keyword&gt;*Data Interpretation, Statistical&lt;/keyword&gt;&lt;keyword&gt;Diabetes Mellitus, Type 2/therapy&lt;/keyword&gt;&lt;keyword&gt;Efficiency&lt;/keyword&gt;&lt;keyword&gt;Humans&lt;/keyword&gt;&lt;keyword&gt;Laser Therapy/statistics &amp;amp; numerical data&lt;/keyword&gt;&lt;keyword&gt;Length of Stay/statistics &amp;amp; numerical data&lt;/keyword&gt;&lt;keyword&gt;Likelihood Functions&lt;/keyword&gt;&lt;keyword&gt;Male&lt;/keyword&gt;&lt;keyword&gt;Patient Dropouts&lt;/keyword&gt;&lt;keyword&gt;Randomized Controlled Trials as Topic/economics/*statistics &amp;amp; numerical data&lt;/keyword&gt;&lt;keyword&gt;*Research Design&lt;/keyword&gt;&lt;keyword&gt;Transurethral Resection of Prostate/statistics &amp;amp; numerical data&lt;/keyword&gt;&lt;/keywords&gt;&lt;dates&gt;&lt;year&gt;2003&lt;/year&gt;&lt;pub-dates&gt;&lt;date&gt;May&lt;/date&gt;&lt;/pub-dates&gt;&lt;/dates&gt;&lt;isbn&gt;1057-9230 (Print)&amp;#xD;1057-9230&lt;/isbn&gt;&lt;accession-num&gt;12720255&lt;/accession-num&gt;&lt;urls&gt;&lt;/urls&gt;&lt;electronic-resource-num&gt;10.1002/hec.766&lt;/electronic-resource-num&gt;&lt;remote-database-provider&gt;NLM&lt;/remote-database-provider&gt;&lt;language&gt;eng&lt;/language&gt;&lt;/record&gt;&lt;/Cite&gt;&lt;/EndNote&gt;</w:instrText>
      </w:r>
      <w:r w:rsidRPr="003F237D">
        <w:rPr>
          <w:sz w:val="21"/>
          <w:szCs w:val="22"/>
          <w:lang w:val="en-US"/>
        </w:rPr>
        <w:fldChar w:fldCharType="separate"/>
      </w:r>
      <w:r w:rsidR="00C01E18" w:rsidRPr="003F237D">
        <w:rPr>
          <w:noProof/>
          <w:sz w:val="21"/>
          <w:szCs w:val="22"/>
          <w:lang w:val="en-US"/>
        </w:rPr>
        <w:t>(2)</w:t>
      </w:r>
      <w:r w:rsidRPr="003F237D">
        <w:rPr>
          <w:sz w:val="21"/>
          <w:szCs w:val="22"/>
          <w:lang w:val="en-US"/>
        </w:rPr>
        <w:fldChar w:fldCharType="end"/>
      </w:r>
      <w:r w:rsidR="00BA1757">
        <w:rPr>
          <w:sz w:val="21"/>
          <w:szCs w:val="22"/>
          <w:lang w:val="en-US"/>
        </w:rPr>
        <w:t xml:space="preserve">, </w:t>
      </w:r>
      <w:r w:rsidR="00BA1757" w:rsidRPr="003F237D">
        <w:rPr>
          <w:sz w:val="21"/>
          <w:szCs w:val="22"/>
          <w:lang w:val="en-US"/>
        </w:rPr>
        <w:t>which was the case for this study as there were less than 2% missing single items</w:t>
      </w:r>
      <w:r w:rsidR="00BA1757">
        <w:rPr>
          <w:sz w:val="21"/>
          <w:szCs w:val="22"/>
          <w:lang w:val="en-US"/>
        </w:rPr>
        <w:t xml:space="preserve"> (n=5) </w:t>
      </w:r>
      <w:r w:rsidR="00BF0F26">
        <w:rPr>
          <w:sz w:val="21"/>
          <w:szCs w:val="22"/>
          <w:lang w:val="en-US"/>
        </w:rPr>
        <w:t>across</w:t>
      </w:r>
      <w:r w:rsidR="00BA1757">
        <w:rPr>
          <w:sz w:val="21"/>
          <w:szCs w:val="22"/>
          <w:lang w:val="en-US"/>
        </w:rPr>
        <w:t xml:space="preserve"> all baseline and follow-up observations</w:t>
      </w:r>
      <w:r w:rsidRPr="003F237D">
        <w:rPr>
          <w:sz w:val="21"/>
          <w:szCs w:val="22"/>
          <w:lang w:val="en-US"/>
        </w:rPr>
        <w:t>. Initially, the missing data were tested and classified as either “missing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not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at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random, “missing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at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random”, or “missing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completely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at</w:t>
      </w:r>
      <w:r w:rsidR="001C77F8">
        <w:rPr>
          <w:sz w:val="21"/>
          <w:szCs w:val="22"/>
          <w:lang w:val="en-US"/>
        </w:rPr>
        <w:t>-</w:t>
      </w:r>
      <w:r w:rsidRPr="003F237D">
        <w:rPr>
          <w:sz w:val="21"/>
          <w:szCs w:val="22"/>
          <w:lang w:val="en-US"/>
        </w:rPr>
        <w:t>random</w:t>
      </w:r>
      <w:r w:rsidR="001C77F8">
        <w:rPr>
          <w:sz w:val="21"/>
          <w:szCs w:val="22"/>
          <w:lang w:val="en-US"/>
        </w:rPr>
        <w:t>”</w:t>
      </w:r>
      <w:r w:rsidRPr="003F237D">
        <w:rPr>
          <w:sz w:val="21"/>
          <w:szCs w:val="22"/>
          <w:lang w:val="en-US"/>
        </w:rPr>
        <w:t xml:space="preserve">. Logistic regression analyses were conducted to test the association of missing endpoints with baseline covariates (age, sex, and baseline HADS) and follow-up characteristics (follow-up costs, utilities, and HADS). </w:t>
      </w:r>
      <w:r w:rsidRPr="003F237D">
        <w:rPr>
          <w:sz w:val="21"/>
          <w:szCs w:val="22"/>
        </w:rPr>
        <w:t xml:space="preserve">The </w:t>
      </w:r>
      <w:r w:rsidR="0085622D" w:rsidRPr="0085622D">
        <w:rPr>
          <w:sz w:val="21"/>
          <w:szCs w:val="22"/>
          <w:lang w:val="en-US"/>
        </w:rPr>
        <w:t>multiple imp</w:t>
      </w:r>
      <w:r w:rsidR="0085622D">
        <w:rPr>
          <w:sz w:val="21"/>
          <w:szCs w:val="22"/>
          <w:lang w:val="en-US"/>
        </w:rPr>
        <w:t>utation</w:t>
      </w:r>
      <w:r w:rsidRPr="003F237D">
        <w:rPr>
          <w:sz w:val="21"/>
          <w:szCs w:val="22"/>
        </w:rPr>
        <w:t xml:space="preserve"> process involved chained equations using predictive mean matching </w:t>
      </w:r>
      <w:r w:rsidRPr="003F237D">
        <w:rPr>
          <w:sz w:val="21"/>
          <w:szCs w:val="22"/>
          <w:lang w:val="en-US"/>
        </w:rPr>
        <w:t>to</w:t>
      </w:r>
      <w:r w:rsidRPr="003F237D">
        <w:rPr>
          <w:sz w:val="21"/>
          <w:szCs w:val="22"/>
        </w:rPr>
        <w:t xml:space="preserve"> imput</w:t>
      </w:r>
      <w:r w:rsidRPr="003F237D">
        <w:rPr>
          <w:sz w:val="21"/>
          <w:szCs w:val="22"/>
          <w:lang w:val="en-US"/>
        </w:rPr>
        <w:t xml:space="preserve">e </w:t>
      </w:r>
      <w:r w:rsidRPr="003F237D">
        <w:rPr>
          <w:sz w:val="21"/>
          <w:szCs w:val="22"/>
        </w:rPr>
        <w:t>the endpoint</w:t>
      </w:r>
      <w:r w:rsidR="001C77F8" w:rsidRPr="001C77F8">
        <w:rPr>
          <w:sz w:val="21"/>
          <w:szCs w:val="22"/>
          <w:lang w:val="en-US"/>
        </w:rPr>
        <w:t xml:space="preserve"> </w:t>
      </w:r>
      <w:r w:rsidR="001C77F8">
        <w:rPr>
          <w:sz w:val="21"/>
          <w:szCs w:val="22"/>
          <w:lang w:val="en-US"/>
        </w:rPr>
        <w:t>outcomes</w:t>
      </w:r>
      <w:r w:rsidRPr="003F237D">
        <w:rPr>
          <w:sz w:val="21"/>
          <w:szCs w:val="22"/>
        </w:rPr>
        <w:t xml:space="preserve"> and </w:t>
      </w:r>
      <w:r w:rsidRPr="003F237D">
        <w:rPr>
          <w:sz w:val="21"/>
          <w:szCs w:val="22"/>
          <w:lang w:val="en-US"/>
        </w:rPr>
        <w:t xml:space="preserve">it </w:t>
      </w:r>
      <w:r w:rsidRPr="003F237D">
        <w:rPr>
          <w:sz w:val="21"/>
          <w:szCs w:val="22"/>
        </w:rPr>
        <w:t xml:space="preserve">was stratified by study arm </w:t>
      </w:r>
      <w:r w:rsidRPr="003F237D">
        <w:rPr>
          <w:sz w:val="21"/>
          <w:szCs w:val="22"/>
        </w:rPr>
        <w:fldChar w:fldCharType="begin"/>
      </w:r>
      <w:r w:rsidR="00C01E18" w:rsidRPr="003F237D">
        <w:rPr>
          <w:sz w:val="21"/>
          <w:szCs w:val="22"/>
        </w:rPr>
        <w:instrText xml:space="preserve"> ADDIN EN.CITE &lt;EndNote&gt;&lt;Cite&gt;&lt;Author&gt;White&lt;/Author&gt;&lt;Year&gt;2011&lt;/Year&gt;&lt;RecNum&gt;106&lt;/RecNum&gt;&lt;DisplayText&gt;(3)&lt;/DisplayText&gt;&lt;record&gt;&lt;rec-number&gt;106&lt;/rec-number&gt;&lt;foreign-keys&gt;&lt;key app="EN" db-id="exd2twesradrwuesz9qvszdkfsffppv2ees2" timestamp="1685026579" guid="403be807-d849-4983-96be-bdc63380a5a6"&gt;106&lt;/key&gt;&lt;/foreign-keys&gt;&lt;ref-type name="Journal Article"&gt;17&lt;/ref-type&gt;&lt;contributors&gt;&lt;authors&gt;&lt;author&gt;White, I. R.&lt;/author&gt;&lt;author&gt;Royston, P.&lt;/author&gt;&lt;author&gt;Wood, A. M.&lt;/author&gt;&lt;/authors&gt;&lt;/contributors&gt;&lt;auth-address&gt;MRC Biostatistics Unit, Institute of Public Health, Robinson Way, Cambridge CB2 0SR, U.K.. ian.white@mrc-bsu.cam.ac.uk.&lt;/auth-address&gt;&lt;titles&gt;&lt;title&gt;Multiple imputation using chained equations: Issues and guidance for practice&lt;/title&gt;&lt;secondary-title&gt;Stat Med&lt;/secondary-title&gt;&lt;/titles&gt;&lt;periodical&gt;&lt;full-title&gt;Stat Med&lt;/full-title&gt;&lt;/periodical&gt;&lt;pages&gt;377-99&lt;/pages&gt;&lt;volume&gt;30&lt;/volume&gt;&lt;number&gt;4&lt;/number&gt;&lt;edition&gt;20101130&lt;/edition&gt;&lt;keywords&gt;&lt;keyword&gt;Adolescent&lt;/keyword&gt;&lt;keyword&gt;Adult&lt;/keyword&gt;&lt;keyword&gt;Aged&lt;/keyword&gt;&lt;keyword&gt;Cardiovascular Diseases/epidemiology&lt;/keyword&gt;&lt;keyword&gt;Cholesterol/blood&lt;/keyword&gt;&lt;keyword&gt;Female&lt;/keyword&gt;&lt;keyword&gt;Humans&lt;/keyword&gt;&lt;keyword&gt;Lipoproteins, HDL/blood&lt;/keyword&gt;&lt;keyword&gt;Mental Health/*statistics &amp;amp; numerical data&lt;/keyword&gt;&lt;keyword&gt;Middle Aged&lt;/keyword&gt;&lt;keyword&gt;*Models, Statistical&lt;/keyword&gt;&lt;keyword&gt;Multicenter Studies as Topic&lt;/keyword&gt;&lt;keyword&gt;Young Adult&lt;/keyword&gt;&lt;/keywords&gt;&lt;dates&gt;&lt;year&gt;2011&lt;/year&gt;&lt;pub-dates&gt;&lt;date&gt;Feb 20&lt;/date&gt;&lt;/pub-dates&gt;&lt;/dates&gt;&lt;isbn&gt;0277-6715&lt;/isbn&gt;&lt;accession-num&gt;21225900&lt;/accession-num&gt;&lt;urls&gt;&lt;/urls&gt;&lt;electronic-resource-num&gt;10.1002/sim.4067&lt;/electronic-resource-num&gt;&lt;remote-database-provider&gt;NLM&lt;/remote-database-provider&gt;&lt;language&gt;eng&lt;/language&gt;&lt;/record&gt;&lt;/Cite&gt;&lt;/EndNote&gt;</w:instrText>
      </w:r>
      <w:r w:rsidRPr="003F237D">
        <w:rPr>
          <w:sz w:val="21"/>
          <w:szCs w:val="22"/>
        </w:rPr>
        <w:fldChar w:fldCharType="separate"/>
      </w:r>
      <w:r w:rsidR="00C01E18" w:rsidRPr="003F237D">
        <w:rPr>
          <w:noProof/>
          <w:sz w:val="21"/>
          <w:szCs w:val="22"/>
        </w:rPr>
        <w:t>(3)</w:t>
      </w:r>
      <w:r w:rsidRPr="003F237D">
        <w:rPr>
          <w:sz w:val="21"/>
          <w:szCs w:val="22"/>
        </w:rPr>
        <w:fldChar w:fldCharType="end"/>
      </w:r>
      <w:r w:rsidRPr="003F237D">
        <w:rPr>
          <w:sz w:val="21"/>
          <w:szCs w:val="22"/>
        </w:rPr>
        <w:t xml:space="preserve">. </w:t>
      </w:r>
      <w:r w:rsidRPr="003F237D">
        <w:rPr>
          <w:sz w:val="21"/>
          <w:szCs w:val="22"/>
          <w:lang w:val="en-US"/>
        </w:rPr>
        <w:t>A</w:t>
      </w:r>
      <w:r w:rsidRPr="003F237D">
        <w:rPr>
          <w:sz w:val="21"/>
          <w:szCs w:val="22"/>
        </w:rPr>
        <w:t xml:space="preserve">ge, sex, education, marital status, HADS anxiety and depression scores, EQ5D utility, and </w:t>
      </w:r>
      <w:r w:rsidRPr="003F237D">
        <w:rPr>
          <w:sz w:val="21"/>
          <w:szCs w:val="22"/>
          <w:lang w:val="en-US"/>
        </w:rPr>
        <w:t>healthcare and non-</w:t>
      </w:r>
      <w:r w:rsidRPr="003F237D">
        <w:rPr>
          <w:sz w:val="21"/>
          <w:szCs w:val="22"/>
        </w:rPr>
        <w:t>healthcare costs at baseline</w:t>
      </w:r>
      <w:r w:rsidRPr="003F237D">
        <w:rPr>
          <w:sz w:val="21"/>
          <w:szCs w:val="22"/>
          <w:lang w:val="en-US"/>
        </w:rPr>
        <w:t xml:space="preserve"> were used as</w:t>
      </w:r>
      <w:r w:rsidRPr="003F237D">
        <w:rPr>
          <w:sz w:val="21"/>
          <w:szCs w:val="22"/>
        </w:rPr>
        <w:t xml:space="preserve"> baseline predictors in the </w:t>
      </w:r>
      <w:r w:rsidR="0085622D" w:rsidRPr="0085622D">
        <w:rPr>
          <w:sz w:val="21"/>
          <w:szCs w:val="22"/>
          <w:lang w:val="en-US"/>
        </w:rPr>
        <w:t xml:space="preserve">multiple </w:t>
      </w:r>
      <w:r w:rsidR="0085622D">
        <w:rPr>
          <w:sz w:val="21"/>
          <w:szCs w:val="22"/>
          <w:lang w:val="en-US"/>
        </w:rPr>
        <w:t>imputation</w:t>
      </w:r>
      <w:r w:rsidRPr="003F237D">
        <w:rPr>
          <w:sz w:val="21"/>
          <w:szCs w:val="22"/>
        </w:rPr>
        <w:t xml:space="preserve"> model: </w:t>
      </w:r>
      <w:r w:rsidRPr="003F237D">
        <w:rPr>
          <w:sz w:val="21"/>
          <w:szCs w:val="22"/>
          <w:lang w:val="en-US"/>
        </w:rPr>
        <w:t>A</w:t>
      </w:r>
      <w:r w:rsidRPr="003F237D">
        <w:rPr>
          <w:sz w:val="21"/>
          <w:szCs w:val="22"/>
        </w:rPr>
        <w:t xml:space="preserve"> total of 15 imputed datasets were generated, following the recommendation by White et al., which suggests creating imputed datasets in a quantity equal to the percentage of incomplete data observed during the trial </w:t>
      </w:r>
      <w:r w:rsidRPr="003F237D">
        <w:rPr>
          <w:sz w:val="21"/>
          <w:szCs w:val="22"/>
        </w:rPr>
        <w:fldChar w:fldCharType="begin"/>
      </w:r>
      <w:r w:rsidR="00C01E18" w:rsidRPr="003F237D">
        <w:rPr>
          <w:sz w:val="21"/>
          <w:szCs w:val="22"/>
        </w:rPr>
        <w:instrText xml:space="preserve"> ADDIN EN.CITE &lt;EndNote&gt;&lt;Cite&gt;&lt;Author&gt;White&lt;/Author&gt;&lt;Year&gt;2011&lt;/Year&gt;&lt;RecNum&gt;106&lt;/RecNum&gt;&lt;DisplayText&gt;(3)&lt;/DisplayText&gt;&lt;record&gt;&lt;rec-number&gt;106&lt;/rec-number&gt;&lt;foreign-keys&gt;&lt;key app="EN" db-id="exd2twesradrwuesz9qvszdkfsffppv2ees2" timestamp="1685026579" guid="403be807-d849-4983-96be-bdc63380a5a6"&gt;106&lt;/key&gt;&lt;/foreign-keys&gt;&lt;ref-type name="Journal Article"&gt;17&lt;/ref-type&gt;&lt;contributors&gt;&lt;authors&gt;&lt;author&gt;White, I. R.&lt;/author&gt;&lt;author&gt;Royston, P.&lt;/author&gt;&lt;author&gt;Wood, A. M.&lt;/author&gt;&lt;/authors&gt;&lt;/contributors&gt;&lt;auth-address&gt;MRC Biostatistics Unit, Institute of Public Health, Robinson Way, Cambridge CB2 0SR, U.K.. ian.white@mrc-bsu.cam.ac.uk.&lt;/auth-address&gt;&lt;titles&gt;&lt;title&gt;Multiple imputation using chained equations: Issues and guidance for practice&lt;/title&gt;&lt;secondary-title&gt;Stat Med&lt;/secondary-title&gt;&lt;/titles&gt;&lt;periodical&gt;&lt;full-title&gt;Stat Med&lt;/full-title&gt;&lt;/periodical&gt;&lt;pages&gt;377-99&lt;/pages&gt;&lt;volume&gt;30&lt;/volume&gt;&lt;number&gt;4&lt;/number&gt;&lt;edition&gt;20101130&lt;/edition&gt;&lt;keywords&gt;&lt;keyword&gt;Adolescent&lt;/keyword&gt;&lt;keyword&gt;Adult&lt;/keyword&gt;&lt;keyword&gt;Aged&lt;/keyword&gt;&lt;keyword&gt;Cardiovascular Diseases/epidemiology&lt;/keyword&gt;&lt;keyword&gt;Cholesterol/blood&lt;/keyword&gt;&lt;keyword&gt;Female&lt;/keyword&gt;&lt;keyword&gt;Humans&lt;/keyword&gt;&lt;keyword&gt;Lipoproteins, HDL/blood&lt;/keyword&gt;&lt;keyword&gt;Mental Health/*statistics &amp;amp; numerical data&lt;/keyword&gt;&lt;keyword&gt;Middle Aged&lt;/keyword&gt;&lt;keyword&gt;*Models, Statistical&lt;/keyword&gt;&lt;keyword&gt;Multicenter Studies as Topic&lt;/keyword&gt;&lt;keyword&gt;Young Adult&lt;/keyword&gt;&lt;/keywords&gt;&lt;dates&gt;&lt;year&gt;2011&lt;/year&gt;&lt;pub-dates&gt;&lt;date&gt;Feb 20&lt;/date&gt;&lt;/pub-dates&gt;&lt;/dates&gt;&lt;isbn&gt;0277-6715&lt;/isbn&gt;&lt;accession-num&gt;21225900&lt;/accession-num&gt;&lt;urls&gt;&lt;/urls&gt;&lt;electronic-resource-num&gt;10.1002/sim.4067&lt;/electronic-resource-num&gt;&lt;remote-database-provider&gt;NLM&lt;/remote-database-provider&gt;&lt;language&gt;eng&lt;/language&gt;&lt;/record&gt;&lt;/Cite&gt;&lt;/EndNote&gt;</w:instrText>
      </w:r>
      <w:r w:rsidRPr="003F237D">
        <w:rPr>
          <w:sz w:val="21"/>
          <w:szCs w:val="22"/>
        </w:rPr>
        <w:fldChar w:fldCharType="separate"/>
      </w:r>
      <w:r w:rsidR="00C01E18" w:rsidRPr="003F237D">
        <w:rPr>
          <w:noProof/>
          <w:sz w:val="21"/>
          <w:szCs w:val="22"/>
        </w:rPr>
        <w:t>(3)</w:t>
      </w:r>
      <w:r w:rsidRPr="003F237D">
        <w:rPr>
          <w:sz w:val="21"/>
          <w:szCs w:val="22"/>
        </w:rPr>
        <w:fldChar w:fldCharType="end"/>
      </w:r>
      <w:r w:rsidRPr="003F237D">
        <w:rPr>
          <w:sz w:val="21"/>
          <w:szCs w:val="22"/>
        </w:rPr>
        <w:t>.</w:t>
      </w:r>
      <w:r w:rsidRPr="003F237D">
        <w:rPr>
          <w:sz w:val="21"/>
          <w:szCs w:val="22"/>
          <w:lang w:val="en-US"/>
        </w:rPr>
        <w:t xml:space="preserve"> </w:t>
      </w:r>
      <w:r w:rsidRPr="003F237D">
        <w:rPr>
          <w:sz w:val="21"/>
          <w:szCs w:val="22"/>
          <w:lang w:val="en-GB"/>
        </w:rPr>
        <w:t xml:space="preserve">The STATA code of the </w:t>
      </w:r>
      <w:r w:rsidR="0085622D">
        <w:rPr>
          <w:sz w:val="21"/>
          <w:szCs w:val="22"/>
          <w:lang w:val="en-GB"/>
        </w:rPr>
        <w:t>multiple imputation</w:t>
      </w:r>
      <w:r w:rsidRPr="003F237D">
        <w:rPr>
          <w:sz w:val="21"/>
          <w:szCs w:val="22"/>
          <w:lang w:val="en-GB"/>
        </w:rPr>
        <w:t xml:space="preserve"> model can be consulted below.</w:t>
      </w:r>
    </w:p>
    <w:p w14:paraId="45162E58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rPr>
          <w:sz w:val="20"/>
          <w:szCs w:val="21"/>
          <w:u w:val="single"/>
          <w:lang w:val="en-US"/>
        </w:rPr>
      </w:pPr>
      <w:r w:rsidRPr="00073E08">
        <w:rPr>
          <w:sz w:val="20"/>
          <w:szCs w:val="21"/>
          <w:lang w:val="en-US"/>
        </w:rPr>
        <w:t xml:space="preserve">* </w:t>
      </w:r>
      <w:r w:rsidRPr="00073E08">
        <w:rPr>
          <w:sz w:val="20"/>
          <w:szCs w:val="21"/>
          <w:u w:val="single"/>
          <w:lang w:val="en-US"/>
        </w:rPr>
        <w:t>Set MI</w:t>
      </w:r>
    </w:p>
    <w:p w14:paraId="7EFCAF05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r w:rsidRPr="00073E08">
        <w:rPr>
          <w:sz w:val="20"/>
          <w:szCs w:val="21"/>
          <w:lang w:val="en-US"/>
        </w:rPr>
        <w:t xml:space="preserve">mi set </w:t>
      </w:r>
      <w:proofErr w:type="spellStart"/>
      <w:r w:rsidRPr="00073E08">
        <w:rPr>
          <w:color w:val="000000" w:themeColor="text1"/>
          <w:sz w:val="20"/>
          <w:szCs w:val="21"/>
          <w:lang w:val="en-US"/>
        </w:rPr>
        <w:t>flong</w:t>
      </w:r>
      <w:proofErr w:type="spellEnd"/>
    </w:p>
    <w:p w14:paraId="3ED356D7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r w:rsidRPr="00073E08">
        <w:rPr>
          <w:color w:val="000000" w:themeColor="text1"/>
          <w:sz w:val="20"/>
          <w:szCs w:val="21"/>
          <w:lang w:val="en-US"/>
        </w:rPr>
        <w:t xml:space="preserve">mi register imputed /// </w:t>
      </w:r>
    </w:p>
    <w:p w14:paraId="4CB7520B" w14:textId="43A67996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2FD344F7" w14:textId="6A2803C5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570990D2" w14:textId="21A9678C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2505A102" w14:textId="3488E71A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63FE7F99" w14:textId="09FC87ED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vertAlign w:val="subscript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3572016D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rPr>
          <w:color w:val="000000" w:themeColor="text1"/>
          <w:sz w:val="20"/>
          <w:szCs w:val="21"/>
          <w:vertAlign w:val="subscript"/>
          <w:lang w:val="en-US"/>
        </w:rPr>
      </w:pPr>
    </w:p>
    <w:p w14:paraId="71AD7B33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rPr>
          <w:color w:val="000000" w:themeColor="text1"/>
          <w:sz w:val="20"/>
          <w:szCs w:val="21"/>
          <w:u w:val="single"/>
          <w:lang w:val="en-US"/>
        </w:rPr>
      </w:pPr>
      <w:r w:rsidRPr="00073E08">
        <w:rPr>
          <w:color w:val="000000" w:themeColor="text1"/>
          <w:sz w:val="20"/>
          <w:szCs w:val="21"/>
          <w:lang w:val="en-US"/>
        </w:rPr>
        <w:t xml:space="preserve">* </w:t>
      </w:r>
      <w:r w:rsidRPr="00073E08">
        <w:rPr>
          <w:color w:val="000000" w:themeColor="text1"/>
          <w:sz w:val="20"/>
          <w:szCs w:val="21"/>
          <w:u w:val="single"/>
          <w:lang w:val="en-US"/>
        </w:rPr>
        <w:t>Impute</w:t>
      </w:r>
    </w:p>
    <w:p w14:paraId="275C541B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gramStart"/>
      <w:r w:rsidRPr="00073E08">
        <w:rPr>
          <w:color w:val="000000" w:themeColor="text1"/>
          <w:sz w:val="20"/>
          <w:szCs w:val="21"/>
          <w:lang w:val="en-US"/>
        </w:rPr>
        <w:t>mi</w:t>
      </w:r>
      <w:proofErr w:type="gramEnd"/>
      <w:r w:rsidRPr="00073E08">
        <w:rPr>
          <w:color w:val="000000" w:themeColor="text1"/>
          <w:sz w:val="20"/>
          <w:szCs w:val="21"/>
          <w:lang w:val="en-US"/>
        </w:rPr>
        <w:t xml:space="preserve"> impute chained ///</w:t>
      </w:r>
    </w:p>
    <w:p w14:paraId="1C135DF6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r w:rsidRPr="00073E08">
        <w:rPr>
          <w:color w:val="000000" w:themeColor="text1"/>
          <w:sz w:val="20"/>
          <w:szCs w:val="21"/>
          <w:lang w:val="en-US"/>
        </w:rPr>
        <w:t>(</w:t>
      </w:r>
      <w:proofErr w:type="spellStart"/>
      <w:r w:rsidRPr="00073E08">
        <w:rPr>
          <w:color w:val="000000" w:themeColor="text1"/>
          <w:sz w:val="20"/>
          <w:szCs w:val="21"/>
          <w:lang w:val="en-US"/>
        </w:rPr>
        <w:t>pmm</w:t>
      </w:r>
      <w:proofErr w:type="spellEnd"/>
      <w:r w:rsidRPr="00073E08">
        <w:rPr>
          <w:color w:val="000000" w:themeColor="text1"/>
          <w:sz w:val="20"/>
          <w:szCs w:val="21"/>
          <w:lang w:val="en-US"/>
        </w:rPr>
        <w:t xml:space="preserve">, </w:t>
      </w:r>
      <w:proofErr w:type="spellStart"/>
      <w:proofErr w:type="gramStart"/>
      <w:r w:rsidRPr="00073E08">
        <w:rPr>
          <w:color w:val="000000" w:themeColor="text1"/>
          <w:sz w:val="20"/>
          <w:szCs w:val="21"/>
          <w:lang w:val="en-US"/>
        </w:rPr>
        <w:t>knn</w:t>
      </w:r>
      <w:proofErr w:type="spellEnd"/>
      <w:r w:rsidRPr="00073E08">
        <w:rPr>
          <w:color w:val="000000" w:themeColor="text1"/>
          <w:sz w:val="20"/>
          <w:szCs w:val="21"/>
          <w:lang w:val="en-US"/>
        </w:rPr>
        <w:t>(</w:t>
      </w:r>
      <w:proofErr w:type="gramEnd"/>
      <w:r w:rsidRPr="00073E08">
        <w:rPr>
          <w:color w:val="000000" w:themeColor="text1"/>
          <w:sz w:val="20"/>
          <w:szCs w:val="21"/>
          <w:lang w:val="en-US"/>
        </w:rPr>
        <w:t>3))  ///</w:t>
      </w:r>
    </w:p>
    <w:p w14:paraId="2E086B27" w14:textId="15B3D278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proofErr w:type="gramStart"/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proofErr w:type="gram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1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14038745" w14:textId="625039A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proofErr w:type="gramStart"/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proofErr w:type="gram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2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66691C35" w14:textId="49664D70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0"/>
          <w:szCs w:val="21"/>
          <w:lang w:val="en-US"/>
        </w:rPr>
      </w:pP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anxiety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HADS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depression at T</w:t>
      </w:r>
      <w:proofErr w:type="gramStart"/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utility</w:t>
      </w:r>
      <w:proofErr w:type="spellEnd"/>
      <w:proofErr w:type="gram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healthcare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non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>-healthcare costs at T</w:t>
      </w:r>
      <w:r w:rsidR="00AD37E4">
        <w:rPr>
          <w:color w:val="000000" w:themeColor="text1"/>
          <w:sz w:val="20"/>
          <w:szCs w:val="21"/>
          <w:vertAlign w:val="subscript"/>
          <w:lang w:val="en-US"/>
        </w:rPr>
        <w:t>3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696C1BA8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2"/>
          <w:szCs w:val="22"/>
          <w:vertAlign w:val="subscript"/>
          <w:lang w:val="en-US"/>
        </w:rPr>
      </w:pPr>
      <w:r w:rsidRPr="00073E08">
        <w:rPr>
          <w:color w:val="000000" w:themeColor="text1"/>
          <w:sz w:val="22"/>
          <w:szCs w:val="22"/>
          <w:lang w:val="en-US"/>
        </w:rPr>
        <w:t xml:space="preserve">=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baseline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HADS anxiety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baseline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HADS depression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baseline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utility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baseline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healthcare costs</w:t>
      </w:r>
      <w:r w:rsidRPr="00073E08">
        <w:rPr>
          <w:color w:val="000000" w:themeColor="text1"/>
          <w:sz w:val="20"/>
          <w:szCs w:val="21"/>
          <w:lang w:val="en-US"/>
        </w:rPr>
        <w:t xml:space="preserve"> ///</w:t>
      </w:r>
    </w:p>
    <w:p w14:paraId="736DE647" w14:textId="77777777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color w:val="000000" w:themeColor="text1"/>
          <w:sz w:val="22"/>
          <w:szCs w:val="22"/>
          <w:vertAlign w:val="subscript"/>
          <w:lang w:val="en-US"/>
        </w:rPr>
      </w:pP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baseline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non-healthcare costs</w:t>
      </w:r>
      <w:r w:rsidRPr="00073E08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age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sex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educational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level </w:t>
      </w:r>
      <w:proofErr w:type="spellStart"/>
      <w:r w:rsidRPr="00073E08">
        <w:rPr>
          <w:b/>
          <w:bCs/>
          <w:color w:val="000000" w:themeColor="text1"/>
          <w:sz w:val="22"/>
          <w:szCs w:val="22"/>
          <w:lang w:val="en-US"/>
        </w:rPr>
        <w:t>var</w:t>
      </w:r>
      <w:r w:rsidRPr="00073E08">
        <w:rPr>
          <w:color w:val="000000" w:themeColor="text1"/>
          <w:sz w:val="22"/>
          <w:szCs w:val="22"/>
          <w:vertAlign w:val="subscript"/>
          <w:lang w:val="en-US"/>
        </w:rPr>
        <w:t>marital</w:t>
      </w:r>
      <w:proofErr w:type="spellEnd"/>
      <w:r w:rsidRPr="00073E08">
        <w:rPr>
          <w:color w:val="000000" w:themeColor="text1"/>
          <w:sz w:val="22"/>
          <w:szCs w:val="22"/>
          <w:vertAlign w:val="subscript"/>
          <w:lang w:val="en-US"/>
        </w:rPr>
        <w:t xml:space="preserve"> status</w:t>
      </w:r>
      <w:r w:rsidRPr="00073E08">
        <w:rPr>
          <w:color w:val="000000" w:themeColor="text1"/>
          <w:sz w:val="22"/>
          <w:szCs w:val="22"/>
          <w:lang w:val="en-US"/>
        </w:rPr>
        <w:t xml:space="preserve"> ///</w:t>
      </w:r>
    </w:p>
    <w:p w14:paraId="7F499AF7" w14:textId="13F67BD4" w:rsidR="00073E08" w:rsidRPr="00073E08" w:rsidRDefault="00073E08" w:rsidP="0007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firstLine="720"/>
        <w:rPr>
          <w:sz w:val="20"/>
          <w:szCs w:val="21"/>
          <w:lang w:val="en-US"/>
        </w:rPr>
      </w:pPr>
      <w:r w:rsidRPr="00073E08">
        <w:rPr>
          <w:color w:val="000000" w:themeColor="text1"/>
          <w:sz w:val="20"/>
          <w:szCs w:val="21"/>
          <w:lang w:val="en-US"/>
        </w:rPr>
        <w:t xml:space="preserve">, </w:t>
      </w:r>
      <w:proofErr w:type="gramStart"/>
      <w:r w:rsidRPr="00073E08">
        <w:rPr>
          <w:color w:val="000000" w:themeColor="text1"/>
          <w:sz w:val="20"/>
          <w:szCs w:val="21"/>
          <w:lang w:val="en-US"/>
        </w:rPr>
        <w:t>by(</w:t>
      </w:r>
      <w:proofErr w:type="spellStart"/>
      <w:proofErr w:type="gramEnd"/>
      <w:r w:rsidRPr="00073E08">
        <w:rPr>
          <w:b/>
          <w:bCs/>
          <w:color w:val="000000" w:themeColor="text1"/>
          <w:sz w:val="20"/>
          <w:szCs w:val="21"/>
          <w:lang w:val="en-US"/>
        </w:rPr>
        <w:t>var</w:t>
      </w:r>
      <w:r w:rsidRPr="00073E08">
        <w:rPr>
          <w:color w:val="000000" w:themeColor="text1"/>
          <w:sz w:val="20"/>
          <w:szCs w:val="21"/>
          <w:vertAlign w:val="subscript"/>
          <w:lang w:val="en-US"/>
        </w:rPr>
        <w:t>study</w:t>
      </w:r>
      <w:proofErr w:type="spellEnd"/>
      <w:r w:rsidRPr="00073E08">
        <w:rPr>
          <w:color w:val="000000" w:themeColor="text1"/>
          <w:sz w:val="20"/>
          <w:szCs w:val="21"/>
          <w:vertAlign w:val="subscript"/>
          <w:lang w:val="en-US"/>
        </w:rPr>
        <w:t xml:space="preserve"> arm</w:t>
      </w:r>
      <w:r w:rsidRPr="00073E08">
        <w:rPr>
          <w:color w:val="000000" w:themeColor="text1"/>
          <w:sz w:val="20"/>
          <w:szCs w:val="21"/>
          <w:lang w:val="en-US"/>
        </w:rPr>
        <w:t xml:space="preserve">) add(15) </w:t>
      </w:r>
      <w:proofErr w:type="spellStart"/>
      <w:r w:rsidRPr="00073E08">
        <w:rPr>
          <w:color w:val="000000" w:themeColor="text1"/>
          <w:sz w:val="20"/>
          <w:szCs w:val="21"/>
          <w:lang w:val="en-US"/>
        </w:rPr>
        <w:t>burnin</w:t>
      </w:r>
      <w:proofErr w:type="spellEnd"/>
      <w:r w:rsidRPr="00073E08">
        <w:rPr>
          <w:color w:val="000000" w:themeColor="text1"/>
          <w:sz w:val="20"/>
          <w:szCs w:val="21"/>
          <w:lang w:val="en-US"/>
        </w:rPr>
        <w:t xml:space="preserve">(20) </w:t>
      </w:r>
      <w:proofErr w:type="spellStart"/>
      <w:r w:rsidRPr="00073E08">
        <w:rPr>
          <w:color w:val="000000" w:themeColor="text1"/>
          <w:sz w:val="20"/>
          <w:szCs w:val="21"/>
          <w:lang w:val="en-US"/>
        </w:rPr>
        <w:t>rseed</w:t>
      </w:r>
      <w:proofErr w:type="spellEnd"/>
      <w:r w:rsidRPr="00073E08">
        <w:rPr>
          <w:sz w:val="20"/>
          <w:szCs w:val="21"/>
          <w:lang w:val="en-US"/>
        </w:rPr>
        <w:t xml:space="preserve">(10001) </w:t>
      </w:r>
      <w:proofErr w:type="spellStart"/>
      <w:r w:rsidRPr="00073E08">
        <w:rPr>
          <w:sz w:val="20"/>
          <w:szCs w:val="21"/>
          <w:lang w:val="en-US"/>
        </w:rPr>
        <w:t>chaindots</w:t>
      </w:r>
      <w:proofErr w:type="spellEnd"/>
      <w:r w:rsidRPr="00073E08">
        <w:rPr>
          <w:sz w:val="20"/>
          <w:szCs w:val="21"/>
          <w:lang w:val="en-US"/>
        </w:rPr>
        <w:t xml:space="preserve"> dots</w:t>
      </w:r>
    </w:p>
    <w:p w14:paraId="3029259A" w14:textId="7BDCE461" w:rsidR="003F237D" w:rsidRPr="001C77F8" w:rsidRDefault="00073E08" w:rsidP="001C77F8">
      <w:pPr>
        <w:pStyle w:val="Kop1"/>
        <w:numPr>
          <w:ilvl w:val="0"/>
          <w:numId w:val="0"/>
        </w:numPr>
        <w:spacing w:before="0" w:line="240" w:lineRule="auto"/>
        <w:ind w:left="-142"/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</w:pPr>
      <w:r w:rsidRPr="007722C4">
        <w:rPr>
          <w:rFonts w:ascii="Calibri" w:hAnsi="Calibri" w:cs="Calibri"/>
          <w:i/>
          <w:iCs/>
          <w:color w:val="000000"/>
          <w:sz w:val="16"/>
          <w:szCs w:val="16"/>
        </w:rPr>
        <w:t>Abbreviations: T</w:t>
      </w:r>
      <w:r w:rsidR="00AD37E4">
        <w:rPr>
          <w:rFonts w:ascii="Calibri" w:hAnsi="Calibri" w:cs="Calibri"/>
          <w:i/>
          <w:iCs/>
          <w:color w:val="000000"/>
          <w:sz w:val="16"/>
          <w:szCs w:val="16"/>
        </w:rPr>
        <w:t>1</w:t>
      </w:r>
      <w:r w:rsidRPr="007722C4">
        <w:rPr>
          <w:rFonts w:ascii="Calibri" w:hAnsi="Calibri" w:cs="Calibri"/>
          <w:i/>
          <w:iCs/>
          <w:color w:val="000000"/>
          <w:sz w:val="16"/>
          <w:szCs w:val="16"/>
        </w:rPr>
        <w:t xml:space="preserve"> = 3-month follow-up, </w:t>
      </w:r>
      <w:r w:rsidR="00AD37E4">
        <w:rPr>
          <w:rFonts w:ascii="Calibri" w:hAnsi="Calibri" w:cs="Calibri"/>
          <w:i/>
          <w:iCs/>
          <w:color w:val="000000"/>
          <w:sz w:val="16"/>
          <w:szCs w:val="16"/>
        </w:rPr>
        <w:t>T2</w:t>
      </w:r>
      <w:r w:rsidRPr="007722C4">
        <w:rPr>
          <w:rFonts w:ascii="Calibri" w:hAnsi="Calibri" w:cs="Calibri"/>
          <w:i/>
          <w:iCs/>
          <w:color w:val="000000"/>
          <w:sz w:val="16"/>
          <w:szCs w:val="16"/>
        </w:rPr>
        <w:t xml:space="preserve"> = 7-month follow-up</w:t>
      </w:r>
      <w:r w:rsidR="00C40765" w:rsidRPr="007722C4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>,</w:t>
      </w:r>
      <w:r w:rsidRPr="007722C4">
        <w:rPr>
          <w:rFonts w:ascii="Calibri" w:hAnsi="Calibri" w:cs="Calibri"/>
          <w:i/>
          <w:iCs/>
          <w:color w:val="000000"/>
          <w:sz w:val="16"/>
          <w:szCs w:val="16"/>
        </w:rPr>
        <w:t xml:space="preserve"> T</w:t>
      </w:r>
      <w:r w:rsidR="00AD37E4">
        <w:rPr>
          <w:rFonts w:ascii="Calibri" w:hAnsi="Calibri" w:cs="Calibri"/>
          <w:i/>
          <w:iCs/>
          <w:color w:val="000000"/>
          <w:sz w:val="16"/>
          <w:szCs w:val="16"/>
        </w:rPr>
        <w:t>3</w:t>
      </w:r>
      <w:r w:rsidRPr="007722C4">
        <w:rPr>
          <w:rFonts w:ascii="Calibri" w:hAnsi="Calibri" w:cs="Calibri"/>
          <w:i/>
          <w:iCs/>
          <w:color w:val="000000"/>
          <w:sz w:val="16"/>
          <w:szCs w:val="16"/>
        </w:rPr>
        <w:t xml:space="preserve"> = 12-month follow up</w:t>
      </w:r>
      <w:r w:rsidR="007722C4" w:rsidRPr="007722C4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 xml:space="preserve">, </w:t>
      </w:r>
      <w:r w:rsidR="00C40765" w:rsidRPr="007722C4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>MI = multiple imputation</w:t>
      </w:r>
      <w:r w:rsidR="003F237D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>,</w:t>
      </w:r>
      <w:r w:rsidR="007722C4" w:rsidRPr="007722C4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 xml:space="preserve"> var = variable</w:t>
      </w:r>
      <w:r w:rsidR="003F237D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 xml:space="preserve">, and </w:t>
      </w:r>
      <w:proofErr w:type="spellStart"/>
      <w:r w:rsidR="003F237D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>pmm</w:t>
      </w:r>
      <w:proofErr w:type="spellEnd"/>
      <w:r w:rsidR="003F237D">
        <w:rPr>
          <w:rFonts w:ascii="Calibri" w:hAnsi="Calibri" w:cs="Calibri"/>
          <w:i/>
          <w:iCs/>
          <w:color w:val="000000"/>
          <w:sz w:val="16"/>
          <w:szCs w:val="16"/>
          <w:lang w:val="en-US"/>
        </w:rPr>
        <w:t xml:space="preserve"> = predictive mean matching.</w:t>
      </w:r>
    </w:p>
    <w:p w14:paraId="0B754F6B" w14:textId="435B999F" w:rsidR="00073E08" w:rsidRPr="00073E08" w:rsidRDefault="001C77F8">
      <w:pPr>
        <w:rPr>
          <w:b/>
          <w:bCs/>
          <w:lang w:val="en-US"/>
        </w:rPr>
      </w:pPr>
      <w:r w:rsidRPr="00073E08">
        <w:rPr>
          <w:b/>
          <w:bCs/>
          <w:lang w:val="en-US"/>
        </w:rPr>
        <w:lastRenderedPageBreak/>
        <w:t>SOURCES</w:t>
      </w:r>
    </w:p>
    <w:p w14:paraId="41D83269" w14:textId="77777777" w:rsidR="00073E08" w:rsidRPr="00073E08" w:rsidRDefault="00073E08">
      <w:pPr>
        <w:rPr>
          <w:lang w:val="en-US"/>
        </w:rPr>
      </w:pPr>
    </w:p>
    <w:p w14:paraId="23DCC8A9" w14:textId="77777777" w:rsidR="00C01E18" w:rsidRPr="00C01E18" w:rsidRDefault="00073E08" w:rsidP="00C01E18">
      <w:pPr>
        <w:pStyle w:val="EndNoteBibliography"/>
        <w:rPr>
          <w:noProof/>
        </w:rPr>
      </w:pPr>
      <w:r>
        <w:rPr>
          <w:lang w:val="nl-BE"/>
        </w:rPr>
        <w:fldChar w:fldCharType="begin"/>
      </w:r>
      <w:r w:rsidRPr="003F237D">
        <w:instrText xml:space="preserve"> ADDIN EN.REFLIST </w:instrText>
      </w:r>
      <w:r>
        <w:rPr>
          <w:lang w:val="nl-BE"/>
        </w:rPr>
        <w:fldChar w:fldCharType="separate"/>
      </w:r>
      <w:r w:rsidR="00C01E18" w:rsidRPr="00C01E18">
        <w:rPr>
          <w:noProof/>
        </w:rPr>
        <w:t>1.</w:t>
      </w:r>
      <w:r w:rsidR="00C01E18" w:rsidRPr="00C01E18">
        <w:rPr>
          <w:noProof/>
        </w:rPr>
        <w:tab/>
        <w:t>Faria R, Gomes M, Epstein D, White IR. A guide to handling missing data in cost-effectiveness analysis conducted within randomised controlled trials. Pharmacoeconomics. 2014 Dec;32(12):1157-70.</w:t>
      </w:r>
    </w:p>
    <w:p w14:paraId="53C467F1" w14:textId="77777777" w:rsidR="00C01E18" w:rsidRPr="00C01E18" w:rsidRDefault="00C01E18" w:rsidP="00C01E18">
      <w:pPr>
        <w:pStyle w:val="EndNoteBibliography"/>
        <w:rPr>
          <w:noProof/>
        </w:rPr>
      </w:pPr>
      <w:r w:rsidRPr="00C01E18">
        <w:rPr>
          <w:noProof/>
        </w:rPr>
        <w:t>2.</w:t>
      </w:r>
      <w:r w:rsidRPr="00C01E18">
        <w:rPr>
          <w:noProof/>
        </w:rPr>
        <w:tab/>
        <w:t>Briggs A, Clark T, Wolstenholme J, Clarke P. Missing... presumed at random: cost-analysis of incomplete data. Health Econ. 2003 May;12(5):377-92.</w:t>
      </w:r>
    </w:p>
    <w:p w14:paraId="6286EB94" w14:textId="77777777" w:rsidR="00C01E18" w:rsidRPr="00C01E18" w:rsidRDefault="00C01E18" w:rsidP="00C01E18">
      <w:pPr>
        <w:pStyle w:val="EndNoteBibliography"/>
        <w:rPr>
          <w:noProof/>
        </w:rPr>
      </w:pPr>
      <w:r w:rsidRPr="00C01E18">
        <w:rPr>
          <w:noProof/>
        </w:rPr>
        <w:t>3.</w:t>
      </w:r>
      <w:r w:rsidRPr="00C01E18">
        <w:rPr>
          <w:noProof/>
        </w:rPr>
        <w:tab/>
        <w:t>White IR, Royston P, Wood AM. Multiple imputation using chained equations: Issues and guidance for practice. Stat Med. 2011 Feb 20;30(4):377-99.</w:t>
      </w:r>
    </w:p>
    <w:p w14:paraId="2F8533C5" w14:textId="30D47B32" w:rsidR="00F40183" w:rsidRPr="00073E08" w:rsidRDefault="00073E08">
      <w:pPr>
        <w:rPr>
          <w:lang w:val="nl-BE"/>
        </w:rPr>
      </w:pPr>
      <w:r>
        <w:rPr>
          <w:lang w:val="nl-BE"/>
        </w:rPr>
        <w:fldChar w:fldCharType="end"/>
      </w:r>
    </w:p>
    <w:sectPr w:rsidR="00F40183" w:rsidRPr="00073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B4793"/>
    <w:multiLevelType w:val="multilevel"/>
    <w:tmpl w:val="C19060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1935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CMJE Uniform Requirement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xd2twesradrwuesz9qvszdkfsffppv2ees2&quot;&gt;My EndNote Library_Sander&lt;record-ids&gt;&lt;item&gt;64&lt;/item&gt;&lt;item&gt;106&lt;/item&gt;&lt;item&gt;108&lt;/item&gt;&lt;/record-ids&gt;&lt;/item&gt;&lt;/Libraries&gt;"/>
  </w:docVars>
  <w:rsids>
    <w:rsidRoot w:val="00073E08"/>
    <w:rsid w:val="000130BE"/>
    <w:rsid w:val="00025495"/>
    <w:rsid w:val="000375B8"/>
    <w:rsid w:val="00073E08"/>
    <w:rsid w:val="000D56BB"/>
    <w:rsid w:val="00100160"/>
    <w:rsid w:val="001001AF"/>
    <w:rsid w:val="00125BE7"/>
    <w:rsid w:val="00164B6E"/>
    <w:rsid w:val="00193C9E"/>
    <w:rsid w:val="001C77F8"/>
    <w:rsid w:val="001D0482"/>
    <w:rsid w:val="00200EC4"/>
    <w:rsid w:val="002548BB"/>
    <w:rsid w:val="002654F2"/>
    <w:rsid w:val="002C23C0"/>
    <w:rsid w:val="002E3AD5"/>
    <w:rsid w:val="00300F3D"/>
    <w:rsid w:val="00372C01"/>
    <w:rsid w:val="003F237D"/>
    <w:rsid w:val="00422222"/>
    <w:rsid w:val="00491BE3"/>
    <w:rsid w:val="004B63B8"/>
    <w:rsid w:val="004E7AAD"/>
    <w:rsid w:val="004E7C8A"/>
    <w:rsid w:val="00516D8A"/>
    <w:rsid w:val="00566603"/>
    <w:rsid w:val="005A4F4A"/>
    <w:rsid w:val="005E1201"/>
    <w:rsid w:val="00603E99"/>
    <w:rsid w:val="00626E07"/>
    <w:rsid w:val="006818F0"/>
    <w:rsid w:val="006B697F"/>
    <w:rsid w:val="006E0515"/>
    <w:rsid w:val="006F3124"/>
    <w:rsid w:val="00723C21"/>
    <w:rsid w:val="00733320"/>
    <w:rsid w:val="007350D5"/>
    <w:rsid w:val="00744973"/>
    <w:rsid w:val="007557AA"/>
    <w:rsid w:val="007722C4"/>
    <w:rsid w:val="00773675"/>
    <w:rsid w:val="00774FB2"/>
    <w:rsid w:val="00780849"/>
    <w:rsid w:val="007A6417"/>
    <w:rsid w:val="00813B8E"/>
    <w:rsid w:val="00816D70"/>
    <w:rsid w:val="0085622D"/>
    <w:rsid w:val="008879AD"/>
    <w:rsid w:val="008B6BB1"/>
    <w:rsid w:val="008C1ADF"/>
    <w:rsid w:val="008E189F"/>
    <w:rsid w:val="008E72E4"/>
    <w:rsid w:val="008E797A"/>
    <w:rsid w:val="00952EAE"/>
    <w:rsid w:val="009A6362"/>
    <w:rsid w:val="00A14B4B"/>
    <w:rsid w:val="00A87C53"/>
    <w:rsid w:val="00AD1DD9"/>
    <w:rsid w:val="00AD37E4"/>
    <w:rsid w:val="00B22511"/>
    <w:rsid w:val="00B243E1"/>
    <w:rsid w:val="00B5545A"/>
    <w:rsid w:val="00B62276"/>
    <w:rsid w:val="00BA1757"/>
    <w:rsid w:val="00BD231C"/>
    <w:rsid w:val="00BD6694"/>
    <w:rsid w:val="00BF0F26"/>
    <w:rsid w:val="00C01E18"/>
    <w:rsid w:val="00C032DB"/>
    <w:rsid w:val="00C40765"/>
    <w:rsid w:val="00C46AAF"/>
    <w:rsid w:val="00C47197"/>
    <w:rsid w:val="00CB2C7A"/>
    <w:rsid w:val="00CE413A"/>
    <w:rsid w:val="00D06710"/>
    <w:rsid w:val="00D1694D"/>
    <w:rsid w:val="00D25CC5"/>
    <w:rsid w:val="00D5178C"/>
    <w:rsid w:val="00D7293B"/>
    <w:rsid w:val="00D7416A"/>
    <w:rsid w:val="00D811F1"/>
    <w:rsid w:val="00DB2B14"/>
    <w:rsid w:val="00DC4837"/>
    <w:rsid w:val="00DE073E"/>
    <w:rsid w:val="00DF1F29"/>
    <w:rsid w:val="00E432F7"/>
    <w:rsid w:val="00E64C95"/>
    <w:rsid w:val="00E75001"/>
    <w:rsid w:val="00E8640C"/>
    <w:rsid w:val="00EB3BC9"/>
    <w:rsid w:val="00ED410B"/>
    <w:rsid w:val="00ED549E"/>
    <w:rsid w:val="00F02A73"/>
    <w:rsid w:val="00F40183"/>
    <w:rsid w:val="00F75D9D"/>
    <w:rsid w:val="00F93B6C"/>
    <w:rsid w:val="00F97AD1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03E1"/>
  <w15:chartTrackingRefBased/>
  <w15:docId w15:val="{42E1B537-2CD6-EE4C-9DD6-48EBBA22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1">
    <w:name w:val="Kop 1"/>
    <w:basedOn w:val="Normal"/>
    <w:link w:val="Kop1Char"/>
    <w:rsid w:val="00073E08"/>
    <w:pPr>
      <w:numPr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2">
    <w:name w:val="Kop 2"/>
    <w:basedOn w:val="Normal"/>
    <w:rsid w:val="00073E08"/>
    <w:pPr>
      <w:numPr>
        <w:ilvl w:val="1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3">
    <w:name w:val="Kop 3"/>
    <w:basedOn w:val="Normal"/>
    <w:rsid w:val="00073E08"/>
    <w:pPr>
      <w:numPr>
        <w:ilvl w:val="2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4">
    <w:name w:val="Kop 4"/>
    <w:basedOn w:val="Normal"/>
    <w:rsid w:val="00073E08"/>
    <w:pPr>
      <w:numPr>
        <w:ilvl w:val="3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5">
    <w:name w:val="Kop 5"/>
    <w:basedOn w:val="Normal"/>
    <w:rsid w:val="00073E08"/>
    <w:pPr>
      <w:numPr>
        <w:ilvl w:val="4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6">
    <w:name w:val="Kop 6"/>
    <w:basedOn w:val="Normal"/>
    <w:rsid w:val="00073E08"/>
    <w:pPr>
      <w:numPr>
        <w:ilvl w:val="5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7">
    <w:name w:val="Kop 7"/>
    <w:basedOn w:val="Normal"/>
    <w:rsid w:val="00073E08"/>
    <w:pPr>
      <w:numPr>
        <w:ilvl w:val="6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8">
    <w:name w:val="Kop 8"/>
    <w:basedOn w:val="Normal"/>
    <w:rsid w:val="00073E08"/>
    <w:pPr>
      <w:numPr>
        <w:ilvl w:val="7"/>
        <w:numId w:val="1"/>
      </w:numPr>
      <w:spacing w:before="120" w:after="120" w:line="480" w:lineRule="auto"/>
      <w:jc w:val="both"/>
    </w:pPr>
    <w:rPr>
      <w:sz w:val="22"/>
    </w:rPr>
  </w:style>
  <w:style w:type="paragraph" w:customStyle="1" w:styleId="Kop9">
    <w:name w:val="Kop 9"/>
    <w:basedOn w:val="Normal"/>
    <w:rsid w:val="00073E08"/>
    <w:pPr>
      <w:numPr>
        <w:ilvl w:val="8"/>
        <w:numId w:val="1"/>
      </w:numPr>
      <w:spacing w:before="120" w:after="120" w:line="480" w:lineRule="auto"/>
      <w:jc w:val="both"/>
    </w:pPr>
    <w:rPr>
      <w:sz w:val="22"/>
    </w:rPr>
  </w:style>
  <w:style w:type="character" w:customStyle="1" w:styleId="Kop1Char">
    <w:name w:val="Kop 1 Char"/>
    <w:basedOn w:val="DefaultParagraphFont"/>
    <w:link w:val="Kop1"/>
    <w:rsid w:val="00073E08"/>
    <w:rPr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073E08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Kop1Char"/>
    <w:link w:val="EndNoteBibliographyTitle"/>
    <w:rsid w:val="00073E08"/>
    <w:rPr>
      <w:rFonts w:ascii="Calibri" w:hAnsi="Calibri" w:cs="Calibri"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3E08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Kop1Char"/>
    <w:link w:val="EndNoteBibliography"/>
    <w:rsid w:val="00073E08"/>
    <w:rPr>
      <w:rFonts w:ascii="Calibri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19</TotalTime>
  <Pages>2</Pages>
  <Words>1596</Words>
  <Characters>9101</Characters>
  <Application>Microsoft Office Word</Application>
  <DocSecurity>0</DocSecurity>
  <Lines>75</Lines>
  <Paragraphs>21</Paragraphs>
  <ScaleCrop>false</ScaleCrop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Osstyn, Sander (NP)</dc:creator>
  <cp:keywords/>
  <dc:description/>
  <cp:lastModifiedBy>Osstyn, Sander (NP)</cp:lastModifiedBy>
  <cp:revision>15</cp:revision>
  <dcterms:created xsi:type="dcterms:W3CDTF">2023-10-02T10:13:00Z</dcterms:created>
  <dcterms:modified xsi:type="dcterms:W3CDTF">2024-07-21T14:42:00Z</dcterms:modified>
</cp:coreProperties>
</file>