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DC00" w14:textId="3E68D487" w:rsidR="001038EE" w:rsidRPr="001038EE" w:rsidRDefault="000D6ABF" w:rsidP="001038EE">
      <w:pPr>
        <w:pStyle w:val="Kop1"/>
        <w:numPr>
          <w:ilvl w:val="0"/>
          <w:numId w:val="0"/>
        </w:numPr>
        <w:rPr>
          <w:sz w:val="28"/>
          <w:szCs w:val="32"/>
          <w:u w:val="single"/>
          <w:lang w:val="en-US"/>
        </w:rPr>
      </w:pPr>
      <w:r>
        <w:rPr>
          <w:rFonts w:ascii="Calibri" w:hAnsi="Calibri" w:cs="Calibri"/>
          <w:b/>
          <w:bCs/>
          <w:sz w:val="28"/>
          <w:szCs w:val="32"/>
          <w:u w:val="single"/>
          <w:lang w:val="en-US"/>
        </w:rPr>
        <w:t>Supplementary</w:t>
      </w:r>
      <w:r w:rsidRPr="00073E08">
        <w:rPr>
          <w:b/>
          <w:bCs/>
          <w:sz w:val="28"/>
          <w:szCs w:val="32"/>
          <w:u w:val="single"/>
          <w:lang w:val="en-US"/>
        </w:rPr>
        <w:t xml:space="preserve"> </w:t>
      </w:r>
      <w:r w:rsidR="000643CC">
        <w:rPr>
          <w:rFonts w:ascii="Calibri" w:hAnsi="Calibri" w:cs="Calibri"/>
          <w:b/>
          <w:bCs/>
          <w:sz w:val="28"/>
          <w:szCs w:val="32"/>
          <w:u w:val="single"/>
          <w:lang w:val="en-US"/>
        </w:rPr>
        <w:t>F</w:t>
      </w:r>
      <w:r w:rsidR="000643CC" w:rsidRPr="00BC6281">
        <w:rPr>
          <w:rFonts w:ascii="Calibri" w:hAnsi="Calibri" w:cs="Calibri"/>
          <w:b/>
          <w:bCs/>
          <w:sz w:val="28"/>
          <w:szCs w:val="32"/>
          <w:u w:val="single"/>
          <w:lang w:val="en-US"/>
        </w:rPr>
        <w:t xml:space="preserve">ile </w:t>
      </w:r>
      <w:r w:rsidR="00FE1F4D">
        <w:rPr>
          <w:b/>
          <w:bCs/>
          <w:sz w:val="28"/>
          <w:szCs w:val="32"/>
          <w:u w:val="single"/>
          <w:lang w:val="en-US"/>
        </w:rPr>
        <w:t>4</w:t>
      </w:r>
      <w:r w:rsidR="001038EE" w:rsidRPr="00073E08">
        <w:rPr>
          <w:b/>
          <w:bCs/>
          <w:sz w:val="28"/>
          <w:szCs w:val="32"/>
          <w:u w:val="single"/>
          <w:lang w:val="en-US"/>
        </w:rPr>
        <w:t>:</w:t>
      </w:r>
      <w:r w:rsidR="001038EE" w:rsidRPr="00073E08">
        <w:rPr>
          <w:sz w:val="28"/>
          <w:szCs w:val="32"/>
          <w:u w:val="single"/>
          <w:lang w:val="en-US"/>
        </w:rPr>
        <w:t xml:space="preserve"> </w:t>
      </w:r>
      <w:r w:rsidR="001038EE">
        <w:rPr>
          <w:sz w:val="28"/>
          <w:szCs w:val="32"/>
          <w:u w:val="single"/>
          <w:lang w:val="en-US"/>
        </w:rPr>
        <w:t xml:space="preserve">Intervention costs </w:t>
      </w:r>
    </w:p>
    <w:p w14:paraId="5A272588" w14:textId="14A17C90" w:rsidR="00F40183" w:rsidRDefault="002C33DD">
      <w:pPr>
        <w:rPr>
          <w:lang w:val="en-US"/>
        </w:rPr>
      </w:pPr>
      <w:r w:rsidRPr="00625972">
        <w:rPr>
          <w:bCs/>
          <w:lang w:val="en-US"/>
        </w:rPr>
        <w:t>The intervention costs</w:t>
      </w:r>
      <w:r w:rsidRPr="00906A43">
        <w:rPr>
          <w:lang w:val="en-US"/>
        </w:rPr>
        <w:t xml:space="preserve"> were calculated</w:t>
      </w:r>
      <w:r w:rsidRPr="00CF7876">
        <w:rPr>
          <w:lang w:val="en-US"/>
        </w:rPr>
        <w:t xml:space="preserve"> per participant by multiplying the number of </w:t>
      </w:r>
      <w:r w:rsidR="001B4D95">
        <w:rPr>
          <w:lang w:val="en-US"/>
        </w:rPr>
        <w:t xml:space="preserve">hourly </w:t>
      </w:r>
      <w:r w:rsidRPr="00CF7876">
        <w:rPr>
          <w:lang w:val="en-US"/>
        </w:rPr>
        <w:t xml:space="preserve">sessions in the </w:t>
      </w:r>
      <w:proofErr w:type="spellStart"/>
      <w:r w:rsidRPr="00CF7876">
        <w:rPr>
          <w:lang w:val="en-US"/>
        </w:rPr>
        <w:t>BrainACT</w:t>
      </w:r>
      <w:proofErr w:type="spellEnd"/>
      <w:r w:rsidRPr="00CF7876">
        <w:rPr>
          <w:lang w:val="en-US"/>
        </w:rPr>
        <w:t xml:space="preserve"> or active control intervention by the unit price of the corresponding type of care professional that delivered the sessions.</w:t>
      </w:r>
      <w:r>
        <w:rPr>
          <w:lang w:val="en-US"/>
        </w:rPr>
        <w:t xml:space="preserve"> </w:t>
      </w:r>
      <w:r w:rsidRPr="00CF7876">
        <w:rPr>
          <w:lang w:val="en-US"/>
        </w:rPr>
        <w:t>The unit prices</w:t>
      </w:r>
      <w:r w:rsidR="001B4D95">
        <w:rPr>
          <w:lang w:val="en-US"/>
        </w:rPr>
        <w:t xml:space="preserve"> for the different types of healthcare professionals who delivered the interventions</w:t>
      </w:r>
      <w:r w:rsidRPr="00CF7876">
        <w:rPr>
          <w:lang w:val="en-US"/>
        </w:rPr>
        <w:t xml:space="preserve"> </w:t>
      </w:r>
      <w:r>
        <w:rPr>
          <w:lang w:val="en-US"/>
        </w:rPr>
        <w:t xml:space="preserve">in euro (€) </w:t>
      </w:r>
      <w:r w:rsidRPr="00CF7876">
        <w:rPr>
          <w:lang w:val="en-US"/>
        </w:rPr>
        <w:t xml:space="preserve">were adopted from the </w:t>
      </w:r>
      <w:r w:rsidR="003C6DD6">
        <w:rPr>
          <w:lang w:val="en-US"/>
        </w:rPr>
        <w:t xml:space="preserve">2014 </w:t>
      </w:r>
      <w:r w:rsidRPr="00CF7876">
        <w:rPr>
          <w:lang w:val="en-US"/>
        </w:rPr>
        <w:t xml:space="preserve">Dutch guidelines </w:t>
      </w:r>
      <w:r w:rsidRPr="00CF7876">
        <w:rPr>
          <w:lang w:val="en-US"/>
        </w:rPr>
        <w:fldChar w:fldCharType="begin"/>
      </w:r>
      <w:r w:rsidR="003C6DD6">
        <w:rPr>
          <w:lang w:val="en-US"/>
        </w:rPr>
        <w:instrText xml:space="preserve"> ADDIN EN.CITE &lt;EndNote&gt;&lt;Cite&gt;&lt;Author&gt;Hakkaart&lt;/Author&gt;&lt;Year&gt;2016&lt;/Year&gt;&lt;RecNum&gt;51&lt;/RecNum&gt;&lt;DisplayText&gt;(1)&lt;/DisplayText&gt;&lt;record&gt;&lt;rec-number&gt;51&lt;/rec-number&gt;&lt;foreign-keys&gt;&lt;key app="EN" db-id="exd2twesradrwuesz9qvszdkfsffppv2ees2" timestamp="1670509876" guid="49a69659-9b7d-42ff-a0d7-e458926cb74c"&gt;51&lt;/key&gt;&lt;/foreign-keys&gt;&lt;ref-type name="Web Page"&gt;12&lt;/ref-type&gt;&lt;contributors&gt;&lt;authors&gt;&lt;author&gt;Leona Hakkaart&lt;/author&gt;&lt;author&gt;Naomi van der Linden&lt;/author&gt;&lt;author&gt;Clazien Bouwmans&lt;/author&gt;&lt;author&gt;Tim Kanters&lt;/author&gt;&lt;author&gt;Siok Swan Tan&lt;/author&gt;&lt;/authors&gt;&lt;/contributors&gt;&lt;titles&gt;&lt;title&gt;Richtlijn voor het uitvoeren van economische evaluaties in de gezondheidszorg&lt;/title&gt;&lt;/titles&gt;&lt;dates&gt;&lt;year&gt;2016&lt;/year&gt;&lt;/dates&gt;&lt;pub-location&gt;Rotterdam (NL)&lt;/pub-location&gt;&lt;publisher&gt;Zorginstituut Nederland&lt;/publisher&gt;&lt;urls&gt;&lt;related-urls&gt;&lt;url&gt;https://www.zorginstituutnederland.nl/publicaties/publicatie/2016/02/29/richtlijn-voor-het-uitvoeren-van-economische-evaluaties-in-de-gezondheidszorg&lt;/url&gt;&lt;/related-urls&gt;&lt;/urls&gt;&lt;/record&gt;&lt;/Cite&gt;&lt;/EndNote&gt;</w:instrText>
      </w:r>
      <w:r w:rsidRPr="00CF7876">
        <w:rPr>
          <w:lang w:val="en-US"/>
        </w:rPr>
        <w:fldChar w:fldCharType="separate"/>
      </w:r>
      <w:r w:rsidR="003C6DD6">
        <w:rPr>
          <w:noProof/>
          <w:lang w:val="en-US"/>
        </w:rPr>
        <w:t>(1)</w:t>
      </w:r>
      <w:r w:rsidRPr="00CF7876">
        <w:rPr>
          <w:lang w:val="en-US"/>
        </w:rPr>
        <w:fldChar w:fldCharType="end"/>
      </w:r>
      <w:r w:rsidRPr="00CF7876">
        <w:rPr>
          <w:lang w:val="en-US"/>
        </w:rPr>
        <w:t xml:space="preserve"> and inflation-adjusted (factor of 1.22) to 2022 using the Dutch consumer price index </w:t>
      </w:r>
      <w:r w:rsidRPr="00CF7876">
        <w:rPr>
          <w:lang w:val="en-US"/>
        </w:rPr>
        <w:fldChar w:fldCharType="begin"/>
      </w:r>
      <w:r w:rsidR="003C6DD6">
        <w:rPr>
          <w:lang w:val="en-US"/>
        </w:rPr>
        <w:instrText xml:space="preserve"> ADDIN EN.CITE &lt;EndNote&gt;&lt;Cite&gt;&lt;Author&gt;StatLine&lt;/Author&gt;&lt;Year&gt;2023&lt;/Year&gt;&lt;RecNum&gt;105&lt;/RecNum&gt;&lt;DisplayText&gt;(2)&lt;/DisplayText&gt;&lt;record&gt;&lt;rec-number&gt;105&lt;/rec-number&gt;&lt;foreign-keys&gt;&lt;key app="EN" db-id="exd2twesradrwuesz9qvszdkfsffppv2ees2" timestamp="1682184072" guid="d82ed628-4f9a-481f-880d-4af801168371"&gt;105&lt;/key&gt;&lt;/foreign-keys&gt;&lt;ref-type name="Web Page"&gt;12&lt;/ref-type&gt;&lt;contributors&gt;&lt;authors&gt;&lt;author&gt;StatLine,&lt;/author&gt;&lt;/authors&gt;&lt;/contributors&gt;&lt;titles&gt;&lt;title&gt;Consumentenprijzen; prijsindex 2015=100&lt;/title&gt;&lt;/titles&gt;&lt;dates&gt;&lt;year&gt;2023&lt;/year&gt;&lt;/dates&gt;&lt;urls&gt;&lt;related-urls&gt;&lt;url&gt;https://opendata.cbs.nl/statline#/CBS/nl/dataset/83131NED/table?ts=1659349970434&lt;/url&gt;&lt;/related-urls&gt;&lt;/urls&gt;&lt;/record&gt;&lt;/Cite&gt;&lt;/EndNote&gt;</w:instrText>
      </w:r>
      <w:r w:rsidRPr="00CF7876">
        <w:rPr>
          <w:lang w:val="en-US"/>
        </w:rPr>
        <w:fldChar w:fldCharType="separate"/>
      </w:r>
      <w:r w:rsidR="003C6DD6">
        <w:rPr>
          <w:noProof/>
          <w:lang w:val="en-US"/>
        </w:rPr>
        <w:t>(2)</w:t>
      </w:r>
      <w:r w:rsidRPr="00CF7876">
        <w:rPr>
          <w:lang w:val="en-US"/>
        </w:rPr>
        <w:fldChar w:fldCharType="end"/>
      </w:r>
      <w:r w:rsidRPr="00CF7876">
        <w:rPr>
          <w:lang w:val="en-US"/>
        </w:rPr>
        <w:t>.</w:t>
      </w:r>
      <w:r w:rsidR="001B4D95">
        <w:rPr>
          <w:lang w:val="en-US"/>
        </w:rPr>
        <w:t xml:space="preserve"> See Table 1 for an overview of the unit prices for healthcare professionals.</w:t>
      </w:r>
      <w:r w:rsidR="00625972">
        <w:rPr>
          <w:lang w:val="en-US"/>
        </w:rPr>
        <w:t xml:space="preserve"> Both the </w:t>
      </w:r>
      <w:proofErr w:type="spellStart"/>
      <w:r w:rsidR="00625972">
        <w:rPr>
          <w:lang w:val="en-US"/>
        </w:rPr>
        <w:t>BrainACT</w:t>
      </w:r>
      <w:proofErr w:type="spellEnd"/>
      <w:r w:rsidR="00625972">
        <w:rPr>
          <w:lang w:val="en-US"/>
        </w:rPr>
        <w:t xml:space="preserve"> intervention and comparator had a planned number of eight one-hour sessions per participant. However, not everyone received the planned number of sessions. </w:t>
      </w:r>
    </w:p>
    <w:p w14:paraId="780923E8" w14:textId="0DDD2550" w:rsidR="002C33DD" w:rsidRPr="00F454AE" w:rsidRDefault="002C33DD" w:rsidP="002C33DD">
      <w:pPr>
        <w:pStyle w:val="Kop1"/>
        <w:numPr>
          <w:ilvl w:val="0"/>
          <w:numId w:val="0"/>
        </w:numPr>
        <w:spacing w:before="0" w:after="0" w:line="240" w:lineRule="auto"/>
        <w:rPr>
          <w:lang w:val="en-US"/>
        </w:rPr>
      </w:pPr>
      <w:r w:rsidRPr="00F454AE">
        <w:rPr>
          <w:b/>
          <w:lang w:val="en-US"/>
        </w:rPr>
        <w:t>Table 1.</w:t>
      </w:r>
      <w:r w:rsidRPr="00F454AE">
        <w:rPr>
          <w:lang w:val="en-US"/>
        </w:rPr>
        <w:t xml:space="preserve"> Unit prices for </w:t>
      </w:r>
      <w:r>
        <w:rPr>
          <w:lang w:val="en-US"/>
        </w:rPr>
        <w:t>healthcare professionals who delivered the interventions.</w:t>
      </w:r>
    </w:p>
    <w:tbl>
      <w:tblPr>
        <w:tblW w:w="7107" w:type="dxa"/>
        <w:tblLook w:val="04A0" w:firstRow="1" w:lastRow="0" w:firstColumn="1" w:lastColumn="0" w:noHBand="0" w:noVBand="1"/>
      </w:tblPr>
      <w:tblGrid>
        <w:gridCol w:w="4264"/>
        <w:gridCol w:w="1106"/>
        <w:gridCol w:w="1737"/>
      </w:tblGrid>
      <w:tr w:rsidR="002C33DD" w:rsidRPr="00F62DED" w14:paraId="5CEB63C0" w14:textId="77777777" w:rsidTr="004822B5">
        <w:trPr>
          <w:trHeight w:val="680"/>
        </w:trPr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1B36947" w14:textId="4CBCF201" w:rsidR="002C33DD" w:rsidRPr="002C33DD" w:rsidRDefault="002C33DD" w:rsidP="004822B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are professional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ADA9526" w14:textId="77777777" w:rsidR="002C33DD" w:rsidRPr="00501D56" w:rsidRDefault="002C33DD" w:rsidP="004822B5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>Unit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E9889CE" w14:textId="0A4EF1EC" w:rsidR="002C33DD" w:rsidRPr="002C33DD" w:rsidRDefault="002C33DD" w:rsidP="004822B5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Cost per unit </w:t>
            </w: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(€, 20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22</w:t>
            </w:r>
            <w:r w:rsidRPr="00501D56">
              <w:rPr>
                <w:rFonts w:ascii="Calibri" w:hAnsi="Calibri" w:cs="Calibri"/>
                <w:color w:val="000000"/>
                <w:sz w:val="20"/>
                <w:szCs w:val="20"/>
              </w:rPr>
              <w:t>)*</w:t>
            </w:r>
          </w:p>
        </w:tc>
      </w:tr>
      <w:tr w:rsidR="002C33DD" w:rsidRPr="00F62DED" w14:paraId="0AE36E44" w14:textId="77777777" w:rsidTr="004822B5">
        <w:trPr>
          <w:trHeight w:val="320"/>
        </w:trPr>
        <w:tc>
          <w:tcPr>
            <w:tcW w:w="4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D5E9444" w14:textId="4559D34D" w:rsidR="002C33DD" w:rsidRPr="002C33DD" w:rsidRDefault="002C33DD" w:rsidP="004822B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proofErr w:type="spellStart"/>
            <w:r w:rsidRPr="002C33DD"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Medical</w:t>
            </w:r>
            <w:proofErr w:type="spellEnd"/>
            <w:r w:rsidRPr="002C33DD"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 xml:space="preserve"> assistent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06AD489" w14:textId="7D40D32D" w:rsidR="002C33DD" w:rsidRPr="002C33DD" w:rsidRDefault="002C33DD" w:rsidP="004822B5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Hours</w:t>
            </w:r>
            <w:proofErr w:type="spellEnd"/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D6871D2" w14:textId="1A83E4F5" w:rsidR="002C33DD" w:rsidRPr="00501D56" w:rsidRDefault="002C33DD" w:rsidP="004822B5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C33DD">
              <w:rPr>
                <w:rFonts w:ascii="Calibri" w:hAnsi="Calibri" w:cs="Calibri"/>
                <w:color w:val="000000"/>
                <w:sz w:val="20"/>
                <w:szCs w:val="20"/>
              </w:rPr>
              <w:t>40.3</w:t>
            </w:r>
          </w:p>
        </w:tc>
      </w:tr>
      <w:tr w:rsidR="002C33DD" w:rsidRPr="00F62DED" w14:paraId="6A13C356" w14:textId="77777777" w:rsidTr="004822B5">
        <w:trPr>
          <w:trHeight w:val="320"/>
        </w:trPr>
        <w:tc>
          <w:tcPr>
            <w:tcW w:w="4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60DA9" w14:textId="3E612B38" w:rsidR="002C33DD" w:rsidRPr="00501D56" w:rsidRDefault="002C33DD" w:rsidP="004822B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 xml:space="preserve">Basic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psychologist</w:t>
            </w:r>
            <w:proofErr w:type="spellEnd"/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6C1AB" w14:textId="63E28EFF" w:rsidR="002C33DD" w:rsidRPr="00501D56" w:rsidRDefault="002C33DD" w:rsidP="004822B5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Hours</w:t>
            </w:r>
            <w:proofErr w:type="spellEnd"/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09C94" w14:textId="5824CA95" w:rsidR="002C33DD" w:rsidRPr="00501D56" w:rsidRDefault="002C33DD" w:rsidP="004822B5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r w:rsidRPr="002C33DD"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78.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2</w:t>
            </w:r>
          </w:p>
        </w:tc>
      </w:tr>
      <w:tr w:rsidR="002C33DD" w:rsidRPr="00F62DED" w14:paraId="63CA48EE" w14:textId="77777777" w:rsidTr="004822B5">
        <w:trPr>
          <w:trHeight w:val="320"/>
        </w:trPr>
        <w:tc>
          <w:tcPr>
            <w:tcW w:w="4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9B7E6" w14:textId="623D65F2" w:rsidR="002C33DD" w:rsidRPr="002C33DD" w:rsidRDefault="002C33DD" w:rsidP="004822B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 xml:space="preserve">Health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psychologist</w:t>
            </w:r>
            <w:proofErr w:type="spellEnd"/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0BD7C" w14:textId="354FEAA3" w:rsidR="002C33DD" w:rsidRPr="00501D56" w:rsidRDefault="002C33DD" w:rsidP="004822B5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Hours</w:t>
            </w:r>
            <w:proofErr w:type="spellEnd"/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820A1A" w14:textId="6329E3BD" w:rsidR="002C33DD" w:rsidRPr="00501D56" w:rsidRDefault="002C33DD" w:rsidP="004822B5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r w:rsidRPr="002C33DD"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114.8</w:t>
            </w:r>
          </w:p>
        </w:tc>
      </w:tr>
      <w:tr w:rsidR="002C33DD" w:rsidRPr="00F62DED" w14:paraId="4120AF5F" w14:textId="77777777" w:rsidTr="004822B5">
        <w:trPr>
          <w:trHeight w:val="320"/>
        </w:trPr>
        <w:tc>
          <w:tcPr>
            <w:tcW w:w="4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5CC938" w14:textId="687CEB00" w:rsidR="002C33DD" w:rsidRPr="002C33DD" w:rsidRDefault="002C33DD" w:rsidP="004822B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  <w:lang w:val="nl-NL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Clinical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psychologist</w:t>
            </w:r>
            <w:proofErr w:type="spellEnd"/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CA065BA" w14:textId="6F5CEA02" w:rsidR="002C33DD" w:rsidRPr="00501D56" w:rsidRDefault="002C33DD" w:rsidP="004822B5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Hours</w:t>
            </w:r>
            <w:proofErr w:type="spellEnd"/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06B5820" w14:textId="02FCC4B3" w:rsidR="002C33DD" w:rsidRPr="00501D56" w:rsidRDefault="002C33DD" w:rsidP="004822B5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r w:rsidRPr="002C33DD"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114.8</w:t>
            </w:r>
          </w:p>
        </w:tc>
      </w:tr>
      <w:tr w:rsidR="002C33DD" w:rsidRPr="00F62DED" w14:paraId="2DD8CF0B" w14:textId="77777777" w:rsidTr="004822B5">
        <w:trPr>
          <w:trHeight w:val="320"/>
        </w:trPr>
        <w:tc>
          <w:tcPr>
            <w:tcW w:w="4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DF4B0FF" w14:textId="1B504308" w:rsidR="002C33DD" w:rsidRPr="002C33DD" w:rsidRDefault="002C33DD" w:rsidP="004822B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Occupational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therapist</w:t>
            </w:r>
            <w:proofErr w:type="spellEnd"/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F36E62D" w14:textId="05D4FFDE" w:rsidR="002C33DD" w:rsidRPr="00501D56" w:rsidRDefault="002C33DD" w:rsidP="004822B5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Hours</w:t>
            </w:r>
            <w:proofErr w:type="spellEnd"/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8292764" w14:textId="48634608" w:rsidR="002C33DD" w:rsidRPr="00501D56" w:rsidRDefault="002C33DD" w:rsidP="004822B5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r w:rsidRPr="002C33DD"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40.3</w:t>
            </w:r>
          </w:p>
        </w:tc>
      </w:tr>
      <w:tr w:rsidR="002C33DD" w:rsidRPr="00F62DED" w14:paraId="4EAF41B8" w14:textId="77777777" w:rsidTr="002C33DD">
        <w:trPr>
          <w:trHeight w:val="320"/>
        </w:trPr>
        <w:tc>
          <w:tcPr>
            <w:tcW w:w="426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1AC568" w14:textId="329929D0" w:rsidR="002C33DD" w:rsidRPr="002C33DD" w:rsidRDefault="002C33DD" w:rsidP="004822B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  <w:lang w:val="nl-NL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Cognitive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 xml:space="preserve"> trainer</w:t>
            </w: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13EE1D" w14:textId="30720CE7" w:rsidR="002C33DD" w:rsidRPr="00501D56" w:rsidRDefault="002C33DD" w:rsidP="004822B5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Hours</w:t>
            </w:r>
            <w:proofErr w:type="spellEnd"/>
          </w:p>
        </w:tc>
        <w:tc>
          <w:tcPr>
            <w:tcW w:w="173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2A560" w14:textId="63905DF9" w:rsidR="002C33DD" w:rsidRPr="00501D56" w:rsidRDefault="002C33DD" w:rsidP="004822B5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r w:rsidRPr="002C33DD"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40.3</w:t>
            </w:r>
          </w:p>
        </w:tc>
      </w:tr>
      <w:tr w:rsidR="002C33DD" w:rsidRPr="00F62DED" w14:paraId="7CDDE19E" w14:textId="77777777" w:rsidTr="002C33DD">
        <w:trPr>
          <w:trHeight w:val="320"/>
        </w:trPr>
        <w:tc>
          <w:tcPr>
            <w:tcW w:w="4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7914A0" w14:textId="156A7EBE" w:rsidR="002C33DD" w:rsidRPr="002C33DD" w:rsidRDefault="002C33DD" w:rsidP="004822B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Cognitive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rehabilitation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 xml:space="preserve"> </w:t>
            </w:r>
            <w:proofErr w:type="spellStart"/>
            <w:r w:rsidR="009219EA"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therapist</w:t>
            </w:r>
            <w:proofErr w:type="spellEnd"/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18FD5E" w14:textId="375FAC50" w:rsidR="002C33DD" w:rsidRPr="00501D56" w:rsidRDefault="002C33DD" w:rsidP="004822B5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  <w:t>Hours</w:t>
            </w:r>
            <w:proofErr w:type="spellEnd"/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BCBE4F" w14:textId="004DA860" w:rsidR="002C33DD" w:rsidRPr="00501D56" w:rsidRDefault="002C33DD" w:rsidP="004822B5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nl-NL"/>
              </w:rPr>
            </w:pPr>
            <w:r w:rsidRPr="002C33DD">
              <w:rPr>
                <w:rFonts w:ascii="Calibri" w:hAnsi="Calibri" w:cs="Calibri"/>
                <w:color w:val="000000"/>
                <w:sz w:val="20"/>
                <w:szCs w:val="20"/>
              </w:rPr>
              <w:t>40.3</w:t>
            </w:r>
          </w:p>
        </w:tc>
      </w:tr>
      <w:tr w:rsidR="002C33DD" w:rsidRPr="00F454AE" w14:paraId="55695655" w14:textId="77777777" w:rsidTr="002C33DD">
        <w:trPr>
          <w:trHeight w:val="320"/>
        </w:trPr>
        <w:tc>
          <w:tcPr>
            <w:tcW w:w="710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CED90A" w14:textId="62208D88" w:rsidR="002C33DD" w:rsidRPr="002C33DD" w:rsidRDefault="002C33DD" w:rsidP="004822B5">
            <w:pPr>
              <w:spacing w:before="0" w:after="0" w:line="240" w:lineRule="auto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 w:rsidRPr="00F454AE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*</w:t>
            </w: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val="en-US"/>
              </w:rPr>
              <w:t xml:space="preserve">Prices are adopted from the </w:t>
            </w:r>
            <w:r w:rsidRPr="00F454AE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Dutch guidelines for cost calculations in healthcare</w:t>
            </w: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.</w:t>
            </w:r>
            <w:r w:rsidRPr="002C33D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r w:rsidRPr="00F454AE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 xml:space="preserve">All unit prices are </w:t>
            </w:r>
            <w:r w:rsidRPr="00E823A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val="en-US"/>
              </w:rPr>
              <w:t>after</w:t>
            </w:r>
            <w:r w:rsidRPr="00F454AE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 xml:space="preserve"> inflation correction</w:t>
            </w:r>
            <w:r w:rsidRPr="00BA3063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val="en-US"/>
              </w:rPr>
              <w:t xml:space="preserve">from 2014 to 2022. </w:t>
            </w:r>
          </w:p>
        </w:tc>
      </w:tr>
    </w:tbl>
    <w:p w14:paraId="2C6E97CD" w14:textId="682FF270" w:rsidR="001B4D95" w:rsidRDefault="001B4D95" w:rsidP="009F03D7">
      <w:pPr>
        <w:spacing w:before="360"/>
        <w:rPr>
          <w:u w:val="single"/>
          <w:lang w:val="en-US"/>
        </w:rPr>
      </w:pPr>
      <w:r w:rsidRPr="001B4D95">
        <w:rPr>
          <w:u w:val="single"/>
          <w:lang w:val="en-US"/>
        </w:rPr>
        <w:t>Number of sessions</w:t>
      </w:r>
    </w:p>
    <w:p w14:paraId="497543C6" w14:textId="6210753D" w:rsidR="001B4D95" w:rsidRDefault="001B4D95">
      <w:pPr>
        <w:rPr>
          <w:lang w:val="en-US"/>
        </w:rPr>
      </w:pPr>
      <w:r w:rsidRPr="001B4D95">
        <w:rPr>
          <w:lang w:val="en-US"/>
        </w:rPr>
        <w:t xml:space="preserve">The number of sessions </w:t>
      </w:r>
      <w:r>
        <w:rPr>
          <w:lang w:val="en-US"/>
        </w:rPr>
        <w:t xml:space="preserve">varied per participant. In the </w:t>
      </w:r>
      <w:proofErr w:type="spellStart"/>
      <w:r>
        <w:rPr>
          <w:lang w:val="en-US"/>
        </w:rPr>
        <w:t>BrainACT</w:t>
      </w:r>
      <w:proofErr w:type="spellEnd"/>
      <w:r>
        <w:rPr>
          <w:lang w:val="en-US"/>
        </w:rPr>
        <w:t xml:space="preserve"> arm, </w:t>
      </w:r>
      <w:r w:rsidRPr="00C64BDC">
        <w:rPr>
          <w:lang w:val="en-US"/>
        </w:rPr>
        <w:t>participants attended a mean of 7.1 sessions (SD=2.2)</w:t>
      </w:r>
      <w:r>
        <w:rPr>
          <w:lang w:val="en-US"/>
        </w:rPr>
        <w:t xml:space="preserve"> and </w:t>
      </w:r>
      <w:r w:rsidRPr="00C64BDC">
        <w:rPr>
          <w:lang w:val="en-US"/>
        </w:rPr>
        <w:t>the active control arm had a mean of 6.5</w:t>
      </w:r>
      <w:r>
        <w:rPr>
          <w:lang w:val="en-US"/>
        </w:rPr>
        <w:t xml:space="preserve"> </w:t>
      </w:r>
      <w:r w:rsidRPr="00C64BDC">
        <w:rPr>
          <w:lang w:val="en-US"/>
        </w:rPr>
        <w:t>sessions (SD=2.5</w:t>
      </w:r>
      <w:r>
        <w:rPr>
          <w:lang w:val="en-US"/>
        </w:rPr>
        <w:t>).</w:t>
      </w:r>
    </w:p>
    <w:p w14:paraId="4D9974D6" w14:textId="3A5AA0BB" w:rsidR="001B4D95" w:rsidRPr="001B4D95" w:rsidRDefault="001B4D95">
      <w:pPr>
        <w:rPr>
          <w:u w:val="single"/>
          <w:lang w:val="en-US"/>
        </w:rPr>
      </w:pPr>
      <w:r w:rsidRPr="001B4D95">
        <w:rPr>
          <w:u w:val="single"/>
          <w:lang w:val="en-US"/>
        </w:rPr>
        <w:t xml:space="preserve">Healthcare professionals </w:t>
      </w:r>
    </w:p>
    <w:p w14:paraId="5A3798A4" w14:textId="0B8B1C4F" w:rsidR="009219EA" w:rsidRDefault="009219EA" w:rsidP="009219EA">
      <w:pPr>
        <w:rPr>
          <w:lang w:val="en-US"/>
        </w:rPr>
      </w:pPr>
      <w:r>
        <w:rPr>
          <w:lang w:val="en-US"/>
        </w:rPr>
        <w:t>The 36 participants in the</w:t>
      </w:r>
      <w:r w:rsidR="001B4D95">
        <w:rPr>
          <w:lang w:val="en-US"/>
        </w:rPr>
        <w:t xml:space="preserve"> active control arm</w:t>
      </w:r>
      <w:r>
        <w:rPr>
          <w:lang w:val="en-US"/>
        </w:rPr>
        <w:t xml:space="preserve"> received</w:t>
      </w:r>
      <w:r w:rsidR="001B4D95">
        <w:rPr>
          <w:lang w:val="en-US"/>
        </w:rPr>
        <w:t xml:space="preserve"> the interventi</w:t>
      </w:r>
      <w:r>
        <w:rPr>
          <w:lang w:val="en-US"/>
        </w:rPr>
        <w:t>on from the following healthcare professionals: basic psychologist (n=1</w:t>
      </w:r>
      <w:r w:rsidR="00AE6371">
        <w:rPr>
          <w:lang w:val="en-US"/>
        </w:rPr>
        <w:t>4</w:t>
      </w:r>
      <w:r>
        <w:rPr>
          <w:lang w:val="en-US"/>
        </w:rPr>
        <w:t xml:space="preserve">, </w:t>
      </w:r>
      <w:r w:rsidR="00AE6371">
        <w:rPr>
          <w:lang w:val="en-US"/>
        </w:rPr>
        <w:t>36</w:t>
      </w:r>
      <w:r>
        <w:rPr>
          <w:lang w:val="en-US"/>
        </w:rPr>
        <w:t xml:space="preserve">%), medical assistant (n=6, 17%), occupational therapist (n=5, 14%), clinical psychologist (n=5, 14%), </w:t>
      </w:r>
      <w:r w:rsidRPr="009219EA">
        <w:rPr>
          <w:lang w:val="en-US"/>
        </w:rPr>
        <w:t>cognitive rehabilitation therapist</w:t>
      </w:r>
      <w:r>
        <w:rPr>
          <w:lang w:val="en-US"/>
        </w:rPr>
        <w:t xml:space="preserve"> (n=2, 6%), cognitive </w:t>
      </w:r>
      <w:r>
        <w:rPr>
          <w:lang w:val="en-US"/>
        </w:rPr>
        <w:lastRenderedPageBreak/>
        <w:t xml:space="preserve">trainer (n=2, 6%), </w:t>
      </w:r>
      <w:r w:rsidR="00AE6371">
        <w:rPr>
          <w:lang w:val="en-US"/>
        </w:rPr>
        <w:t>and the other participants did not receive any sessions</w:t>
      </w:r>
      <w:r w:rsidR="008F59FC">
        <w:rPr>
          <w:lang w:val="en-US"/>
        </w:rPr>
        <w:t xml:space="preserve"> due to dropping out</w:t>
      </w:r>
      <w:r w:rsidR="00AE6371">
        <w:rPr>
          <w:lang w:val="en-US"/>
        </w:rPr>
        <w:t xml:space="preserve"> (n=2, 6%).</w:t>
      </w:r>
    </w:p>
    <w:p w14:paraId="6E26D7C6" w14:textId="7CFC8753" w:rsidR="001038EE" w:rsidRDefault="009219EA" w:rsidP="001038EE">
      <w:pPr>
        <w:rPr>
          <w:lang w:val="en-US"/>
        </w:rPr>
      </w:pPr>
      <w:r w:rsidRPr="009219EA">
        <w:rPr>
          <w:lang w:val="en-US"/>
        </w:rPr>
        <w:t>The 36</w:t>
      </w:r>
      <w:r>
        <w:rPr>
          <w:lang w:val="en-US"/>
        </w:rPr>
        <w:t xml:space="preserve"> participants in the </w:t>
      </w:r>
      <w:proofErr w:type="spellStart"/>
      <w:r>
        <w:rPr>
          <w:lang w:val="en-US"/>
        </w:rPr>
        <w:t>BrainACT</w:t>
      </w:r>
      <w:proofErr w:type="spellEnd"/>
      <w:r>
        <w:rPr>
          <w:lang w:val="en-US"/>
        </w:rPr>
        <w:t xml:space="preserve"> arm received the intervention</w:t>
      </w:r>
      <w:r w:rsidRPr="009219EA">
        <w:rPr>
          <w:lang w:val="en-US"/>
        </w:rPr>
        <w:t xml:space="preserve"> </w:t>
      </w:r>
      <w:r>
        <w:rPr>
          <w:lang w:val="en-US"/>
        </w:rPr>
        <w:t>from the following healthcare professionals:</w:t>
      </w:r>
      <w:r w:rsidR="001038EE">
        <w:rPr>
          <w:lang w:val="en-US"/>
        </w:rPr>
        <w:t xml:space="preserve"> health psychologist (n=22, 61%), clinical psychologist (n=8, 22%), basic psychologist (n=4, 11%), and the other participants did not receive any sessions</w:t>
      </w:r>
      <w:r w:rsidR="008F59FC">
        <w:rPr>
          <w:lang w:val="en-US"/>
        </w:rPr>
        <w:t xml:space="preserve"> due to dropping out</w:t>
      </w:r>
      <w:r w:rsidR="001038EE">
        <w:rPr>
          <w:lang w:val="en-US"/>
        </w:rPr>
        <w:t xml:space="preserve"> (n=2, 6%).</w:t>
      </w:r>
    </w:p>
    <w:p w14:paraId="5BCDC6BA" w14:textId="77777777" w:rsidR="001038EE" w:rsidRPr="001038EE" w:rsidRDefault="001038EE" w:rsidP="001038EE">
      <w:pPr>
        <w:rPr>
          <w:u w:val="single"/>
          <w:lang w:val="en-US"/>
        </w:rPr>
      </w:pPr>
      <w:r w:rsidRPr="001038EE">
        <w:rPr>
          <w:u w:val="single"/>
          <w:lang w:val="en-US"/>
        </w:rPr>
        <w:t>Intervention costs</w:t>
      </w:r>
    </w:p>
    <w:p w14:paraId="2639ED9B" w14:textId="30DA5EB4" w:rsidR="0042570B" w:rsidRDefault="001038EE" w:rsidP="00163E8B">
      <w:pPr>
        <w:rPr>
          <w:lang w:val="en-US"/>
        </w:rPr>
      </w:pPr>
      <w:r>
        <w:rPr>
          <w:lang w:val="en-US"/>
        </w:rPr>
        <w:t xml:space="preserve">Mean intervention costs were higher in the </w:t>
      </w:r>
      <w:proofErr w:type="spellStart"/>
      <w:r>
        <w:rPr>
          <w:lang w:val="en-US"/>
        </w:rPr>
        <w:t>BrainACT</w:t>
      </w:r>
      <w:proofErr w:type="spellEnd"/>
      <w:r>
        <w:rPr>
          <w:lang w:val="en-US"/>
        </w:rPr>
        <w:t xml:space="preserve"> arm (</w:t>
      </w:r>
      <w:r w:rsidRPr="00AC6DB3">
        <w:rPr>
          <w:lang w:val="en-US"/>
        </w:rPr>
        <w:t>€</w:t>
      </w:r>
      <w:r w:rsidR="005C7988">
        <w:rPr>
          <w:lang w:val="en-US"/>
        </w:rPr>
        <w:t>783</w:t>
      </w:r>
      <w:r>
        <w:rPr>
          <w:lang w:val="en-US"/>
        </w:rPr>
        <w:t xml:space="preserve">, 95%CI </w:t>
      </w:r>
      <w:r w:rsidRPr="00AC6DB3">
        <w:rPr>
          <w:lang w:val="en-US"/>
        </w:rPr>
        <w:t>€</w:t>
      </w:r>
      <w:r w:rsidR="005C7988">
        <w:rPr>
          <w:lang w:val="en-US"/>
        </w:rPr>
        <w:t>696</w:t>
      </w:r>
      <w:r w:rsidRPr="001038EE">
        <w:rPr>
          <w:lang w:val="en-US"/>
        </w:rPr>
        <w:t xml:space="preserve"> to </w:t>
      </w:r>
      <w:r w:rsidR="005C7988">
        <w:rPr>
          <w:lang w:val="en-US"/>
        </w:rPr>
        <w:t>870</w:t>
      </w:r>
      <w:r>
        <w:rPr>
          <w:lang w:val="en-US"/>
        </w:rPr>
        <w:t>) compared to the active control arm (</w:t>
      </w:r>
      <w:r w:rsidRPr="00AC6DB3">
        <w:rPr>
          <w:lang w:val="en-US"/>
        </w:rPr>
        <w:t>€</w:t>
      </w:r>
      <w:r w:rsidR="005C7988">
        <w:rPr>
          <w:lang w:val="en-US"/>
        </w:rPr>
        <w:t>437</w:t>
      </w:r>
      <w:r>
        <w:rPr>
          <w:lang w:val="en-US"/>
        </w:rPr>
        <w:t xml:space="preserve">, 95%CI </w:t>
      </w:r>
      <w:r w:rsidRPr="00AC6DB3">
        <w:rPr>
          <w:lang w:val="en-US"/>
        </w:rPr>
        <w:t>€</w:t>
      </w:r>
      <w:r w:rsidR="005C7988">
        <w:rPr>
          <w:lang w:val="en-US"/>
        </w:rPr>
        <w:t>351</w:t>
      </w:r>
      <w:r w:rsidR="007B557C">
        <w:rPr>
          <w:lang w:val="en-US"/>
        </w:rPr>
        <w:t xml:space="preserve"> to </w:t>
      </w:r>
      <w:r>
        <w:rPr>
          <w:lang w:val="en-US"/>
        </w:rPr>
        <w:t>5</w:t>
      </w:r>
      <w:r w:rsidR="005C7988">
        <w:rPr>
          <w:lang w:val="en-US"/>
        </w:rPr>
        <w:t>22</w:t>
      </w:r>
      <w:r>
        <w:rPr>
          <w:lang w:val="en-US"/>
        </w:rPr>
        <w:t xml:space="preserve">). </w:t>
      </w:r>
    </w:p>
    <w:p w14:paraId="25128037" w14:textId="5FCE7BE2" w:rsidR="001B4D95" w:rsidRPr="00EF2542" w:rsidRDefault="001B4D95">
      <w:pPr>
        <w:rPr>
          <w:b/>
          <w:bCs/>
          <w:lang w:val="nl-BE"/>
        </w:rPr>
      </w:pPr>
      <w:r w:rsidRPr="00EF2542">
        <w:rPr>
          <w:b/>
          <w:bCs/>
          <w:lang w:val="nl-BE"/>
        </w:rPr>
        <w:t>SOURCES</w:t>
      </w:r>
    </w:p>
    <w:p w14:paraId="7C26F3C5" w14:textId="1A62FAF9" w:rsidR="003C6DD6" w:rsidRPr="003C6DD6" w:rsidRDefault="001B4D95" w:rsidP="003C6DD6">
      <w:pPr>
        <w:pStyle w:val="EndNoteBibliography"/>
        <w:spacing w:after="0"/>
        <w:rPr>
          <w:noProof/>
        </w:rPr>
      </w:pPr>
      <w:r>
        <w:fldChar w:fldCharType="begin"/>
      </w:r>
      <w:r w:rsidRPr="005C7988">
        <w:rPr>
          <w:lang w:val="nl-BE"/>
        </w:rPr>
        <w:instrText xml:space="preserve"> ADDIN EN.REFLIST </w:instrText>
      </w:r>
      <w:r>
        <w:fldChar w:fldCharType="separate"/>
      </w:r>
      <w:r w:rsidR="003C6DD6" w:rsidRPr="00625972">
        <w:rPr>
          <w:noProof/>
          <w:lang w:val="nl-BE"/>
        </w:rPr>
        <w:t>1.</w:t>
      </w:r>
      <w:r w:rsidR="003C6DD6" w:rsidRPr="00625972">
        <w:rPr>
          <w:noProof/>
          <w:lang w:val="nl-BE"/>
        </w:rPr>
        <w:tab/>
        <w:t xml:space="preserve">Hakkaart L, Linden Nvd, Bouwmans C, Kanters T, Tan SS. Richtlijn voor het uitvoeren van economische evaluaties in de gezondheidszorg. </w:t>
      </w:r>
      <w:r w:rsidR="003C6DD6" w:rsidRPr="003C6DD6">
        <w:rPr>
          <w:noProof/>
        </w:rPr>
        <w:t xml:space="preserve">Rotterdam (NL): Zorginstituut Nederland; 2016; Available from: </w:t>
      </w:r>
      <w:hyperlink r:id="rId5" w:history="1">
        <w:r w:rsidR="003C6DD6" w:rsidRPr="003C6DD6">
          <w:rPr>
            <w:rStyle w:val="Hyperlink"/>
            <w:noProof/>
          </w:rPr>
          <w:t>https://www.zorginstituutnederland.nl/publicaties/publicatie/2016/02/29/richtlijn-voor-het-uitvoeren-van-economische-evaluaties-in-de-gezondheidszorg</w:t>
        </w:r>
      </w:hyperlink>
      <w:r w:rsidR="003C6DD6" w:rsidRPr="003C6DD6">
        <w:rPr>
          <w:noProof/>
        </w:rPr>
        <w:t>.</w:t>
      </w:r>
    </w:p>
    <w:p w14:paraId="51C3D9D5" w14:textId="43A2711F" w:rsidR="003C6DD6" w:rsidRPr="003C6DD6" w:rsidRDefault="003C6DD6" w:rsidP="003C6DD6">
      <w:pPr>
        <w:pStyle w:val="EndNoteBibliography"/>
        <w:rPr>
          <w:noProof/>
        </w:rPr>
      </w:pPr>
      <w:r w:rsidRPr="003C6DD6">
        <w:rPr>
          <w:noProof/>
        </w:rPr>
        <w:t>2.</w:t>
      </w:r>
      <w:r w:rsidRPr="003C6DD6">
        <w:rPr>
          <w:noProof/>
        </w:rPr>
        <w:tab/>
        <w:t xml:space="preserve">StatLine. Consumentenprijzen; prijsindex 2015=100. 2023; Available from: </w:t>
      </w:r>
      <w:hyperlink r:id="rId6" w:anchor="/CBS/nl/dataset/83131NED/table?ts=1659349970434" w:history="1">
        <w:r w:rsidRPr="003C6DD6">
          <w:rPr>
            <w:rStyle w:val="Hyperlink"/>
            <w:noProof/>
          </w:rPr>
          <w:t>https://opendata.cbs.nl/statline#/CBS/nl/dataset/83131NED/table?ts=1659349970434</w:t>
        </w:r>
      </w:hyperlink>
      <w:r w:rsidRPr="003C6DD6">
        <w:rPr>
          <w:noProof/>
        </w:rPr>
        <w:t>.</w:t>
      </w:r>
    </w:p>
    <w:p w14:paraId="0141D913" w14:textId="7D62C8F2" w:rsidR="002C33DD" w:rsidRDefault="001B4D95">
      <w:r>
        <w:fldChar w:fldCharType="end"/>
      </w:r>
    </w:p>
    <w:sectPr w:rsidR="002C33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CB4793"/>
    <w:multiLevelType w:val="multilevel"/>
    <w:tmpl w:val="C1906098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num w:numId="1" w16cid:durableId="19353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CMJE Uniform Requirement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xd2twesradrwuesz9qvszdkfsffppv2ees2&quot;&gt;My EndNote Library_Sander&lt;record-ids&gt;&lt;item&gt;51&lt;/item&gt;&lt;item&gt;105&lt;/item&gt;&lt;/record-ids&gt;&lt;/item&gt;&lt;/Libraries&gt;"/>
  </w:docVars>
  <w:rsids>
    <w:rsidRoot w:val="002C33DD"/>
    <w:rsid w:val="00025495"/>
    <w:rsid w:val="000375B8"/>
    <w:rsid w:val="000643CC"/>
    <w:rsid w:val="000863F2"/>
    <w:rsid w:val="000D56BB"/>
    <w:rsid w:val="000D6ABF"/>
    <w:rsid w:val="00100160"/>
    <w:rsid w:val="001001AF"/>
    <w:rsid w:val="001038EE"/>
    <w:rsid w:val="00125BE7"/>
    <w:rsid w:val="00145D93"/>
    <w:rsid w:val="00163E8B"/>
    <w:rsid w:val="00164B6E"/>
    <w:rsid w:val="00193C9E"/>
    <w:rsid w:val="001B4D95"/>
    <w:rsid w:val="001D0482"/>
    <w:rsid w:val="00200EC4"/>
    <w:rsid w:val="00223B6E"/>
    <w:rsid w:val="002548BB"/>
    <w:rsid w:val="002654F2"/>
    <w:rsid w:val="00281E4D"/>
    <w:rsid w:val="00286274"/>
    <w:rsid w:val="002C23C0"/>
    <w:rsid w:val="002C33DD"/>
    <w:rsid w:val="002C5110"/>
    <w:rsid w:val="002E3AD5"/>
    <w:rsid w:val="00300F3D"/>
    <w:rsid w:val="00372C01"/>
    <w:rsid w:val="003C6DD6"/>
    <w:rsid w:val="00417943"/>
    <w:rsid w:val="00422222"/>
    <w:rsid w:val="0042570B"/>
    <w:rsid w:val="00491BE3"/>
    <w:rsid w:val="004A0E04"/>
    <w:rsid w:val="004B63B8"/>
    <w:rsid w:val="004E7AAD"/>
    <w:rsid w:val="004E7C8A"/>
    <w:rsid w:val="00516D8A"/>
    <w:rsid w:val="00527DAE"/>
    <w:rsid w:val="00566603"/>
    <w:rsid w:val="005A4F4A"/>
    <w:rsid w:val="005C7988"/>
    <w:rsid w:val="005E1201"/>
    <w:rsid w:val="00603E99"/>
    <w:rsid w:val="00625972"/>
    <w:rsid w:val="006818F0"/>
    <w:rsid w:val="0068291E"/>
    <w:rsid w:val="006B697F"/>
    <w:rsid w:val="006E0515"/>
    <w:rsid w:val="006F3124"/>
    <w:rsid w:val="00723C21"/>
    <w:rsid w:val="00724BBA"/>
    <w:rsid w:val="00733320"/>
    <w:rsid w:val="007350D5"/>
    <w:rsid w:val="00744973"/>
    <w:rsid w:val="007557AA"/>
    <w:rsid w:val="007625D5"/>
    <w:rsid w:val="00773675"/>
    <w:rsid w:val="00774FB2"/>
    <w:rsid w:val="00797171"/>
    <w:rsid w:val="007A6417"/>
    <w:rsid w:val="007B557C"/>
    <w:rsid w:val="00813B8E"/>
    <w:rsid w:val="00816D70"/>
    <w:rsid w:val="008879AD"/>
    <w:rsid w:val="008B6BB1"/>
    <w:rsid w:val="008C1ADF"/>
    <w:rsid w:val="008C6E9E"/>
    <w:rsid w:val="008D0505"/>
    <w:rsid w:val="008E189F"/>
    <w:rsid w:val="008E72E4"/>
    <w:rsid w:val="008E797A"/>
    <w:rsid w:val="008F59FC"/>
    <w:rsid w:val="009219EA"/>
    <w:rsid w:val="00952EAE"/>
    <w:rsid w:val="00970EE8"/>
    <w:rsid w:val="009A6362"/>
    <w:rsid w:val="009D4CDF"/>
    <w:rsid w:val="009F03D7"/>
    <w:rsid w:val="00A14B4B"/>
    <w:rsid w:val="00A87C53"/>
    <w:rsid w:val="00AD1DD9"/>
    <w:rsid w:val="00AE6371"/>
    <w:rsid w:val="00B10245"/>
    <w:rsid w:val="00B22511"/>
    <w:rsid w:val="00B243E1"/>
    <w:rsid w:val="00B5545A"/>
    <w:rsid w:val="00B60E7E"/>
    <w:rsid w:val="00B62276"/>
    <w:rsid w:val="00BC62B7"/>
    <w:rsid w:val="00BD59EB"/>
    <w:rsid w:val="00BD6694"/>
    <w:rsid w:val="00BE2E9D"/>
    <w:rsid w:val="00BF0AC9"/>
    <w:rsid w:val="00C032DB"/>
    <w:rsid w:val="00C42202"/>
    <w:rsid w:val="00C46AAF"/>
    <w:rsid w:val="00C47197"/>
    <w:rsid w:val="00CB2C7A"/>
    <w:rsid w:val="00D1694D"/>
    <w:rsid w:val="00D25CC5"/>
    <w:rsid w:val="00D5178C"/>
    <w:rsid w:val="00D7293B"/>
    <w:rsid w:val="00D7416A"/>
    <w:rsid w:val="00D811F1"/>
    <w:rsid w:val="00D82ED2"/>
    <w:rsid w:val="00DB2B14"/>
    <w:rsid w:val="00DC4837"/>
    <w:rsid w:val="00DD01BE"/>
    <w:rsid w:val="00DD51B4"/>
    <w:rsid w:val="00DE073E"/>
    <w:rsid w:val="00DF1F29"/>
    <w:rsid w:val="00E04387"/>
    <w:rsid w:val="00E1382C"/>
    <w:rsid w:val="00E432F7"/>
    <w:rsid w:val="00E64C95"/>
    <w:rsid w:val="00E75001"/>
    <w:rsid w:val="00E8640C"/>
    <w:rsid w:val="00EB3BC9"/>
    <w:rsid w:val="00ED410B"/>
    <w:rsid w:val="00ED549E"/>
    <w:rsid w:val="00EF2542"/>
    <w:rsid w:val="00F02A73"/>
    <w:rsid w:val="00F23C17"/>
    <w:rsid w:val="00F40183"/>
    <w:rsid w:val="00F75D9D"/>
    <w:rsid w:val="00F869A4"/>
    <w:rsid w:val="00F93B6C"/>
    <w:rsid w:val="00F97AD1"/>
    <w:rsid w:val="00FC0084"/>
    <w:rsid w:val="00FD5BB6"/>
    <w:rsid w:val="00FE1F4D"/>
    <w:rsid w:val="00FF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7798F3"/>
  <w15:chartTrackingRefBased/>
  <w15:docId w15:val="{12E6094E-F89D-6F4C-BF9C-DE4181AB0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33DD"/>
    <w:pPr>
      <w:spacing w:before="120" w:after="120" w:line="480" w:lineRule="auto"/>
      <w:jc w:val="both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C33DD"/>
    <w:rPr>
      <w:sz w:val="16"/>
      <w:szCs w:val="16"/>
    </w:rPr>
  </w:style>
  <w:style w:type="paragraph" w:customStyle="1" w:styleId="Kop1">
    <w:name w:val="Kop 1"/>
    <w:basedOn w:val="Normal"/>
    <w:link w:val="Kop1Char"/>
    <w:rsid w:val="002C33DD"/>
    <w:pPr>
      <w:numPr>
        <w:numId w:val="1"/>
      </w:numPr>
    </w:pPr>
  </w:style>
  <w:style w:type="paragraph" w:customStyle="1" w:styleId="Kop2">
    <w:name w:val="Kop 2"/>
    <w:basedOn w:val="Normal"/>
    <w:rsid w:val="002C33DD"/>
    <w:pPr>
      <w:numPr>
        <w:ilvl w:val="1"/>
        <w:numId w:val="1"/>
      </w:numPr>
    </w:pPr>
  </w:style>
  <w:style w:type="paragraph" w:customStyle="1" w:styleId="Kop3">
    <w:name w:val="Kop 3"/>
    <w:basedOn w:val="Normal"/>
    <w:rsid w:val="002C33DD"/>
    <w:pPr>
      <w:numPr>
        <w:ilvl w:val="2"/>
        <w:numId w:val="1"/>
      </w:numPr>
    </w:pPr>
  </w:style>
  <w:style w:type="paragraph" w:customStyle="1" w:styleId="Kop4">
    <w:name w:val="Kop 4"/>
    <w:basedOn w:val="Normal"/>
    <w:rsid w:val="002C33DD"/>
    <w:pPr>
      <w:numPr>
        <w:ilvl w:val="3"/>
        <w:numId w:val="1"/>
      </w:numPr>
    </w:pPr>
  </w:style>
  <w:style w:type="paragraph" w:customStyle="1" w:styleId="Kop5">
    <w:name w:val="Kop 5"/>
    <w:basedOn w:val="Normal"/>
    <w:rsid w:val="002C33DD"/>
    <w:pPr>
      <w:numPr>
        <w:ilvl w:val="4"/>
        <w:numId w:val="1"/>
      </w:numPr>
    </w:pPr>
  </w:style>
  <w:style w:type="paragraph" w:customStyle="1" w:styleId="Kop6">
    <w:name w:val="Kop 6"/>
    <w:basedOn w:val="Normal"/>
    <w:rsid w:val="002C33DD"/>
    <w:pPr>
      <w:numPr>
        <w:ilvl w:val="5"/>
        <w:numId w:val="1"/>
      </w:numPr>
    </w:pPr>
  </w:style>
  <w:style w:type="paragraph" w:customStyle="1" w:styleId="Kop7">
    <w:name w:val="Kop 7"/>
    <w:basedOn w:val="Normal"/>
    <w:rsid w:val="002C33DD"/>
    <w:pPr>
      <w:numPr>
        <w:ilvl w:val="6"/>
        <w:numId w:val="1"/>
      </w:numPr>
    </w:pPr>
  </w:style>
  <w:style w:type="paragraph" w:customStyle="1" w:styleId="Kop8">
    <w:name w:val="Kop 8"/>
    <w:basedOn w:val="Normal"/>
    <w:rsid w:val="002C33DD"/>
    <w:pPr>
      <w:numPr>
        <w:ilvl w:val="7"/>
        <w:numId w:val="1"/>
      </w:numPr>
    </w:pPr>
  </w:style>
  <w:style w:type="paragraph" w:customStyle="1" w:styleId="Kop9">
    <w:name w:val="Kop 9"/>
    <w:basedOn w:val="Normal"/>
    <w:rsid w:val="002C33DD"/>
    <w:pPr>
      <w:numPr>
        <w:ilvl w:val="8"/>
        <w:numId w:val="1"/>
      </w:numPr>
    </w:pPr>
  </w:style>
  <w:style w:type="character" w:customStyle="1" w:styleId="Kop1Char">
    <w:name w:val="Kop 1 Char"/>
    <w:basedOn w:val="DefaultParagraphFont"/>
    <w:link w:val="Kop1"/>
    <w:rsid w:val="002C33DD"/>
    <w:rPr>
      <w:sz w:val="22"/>
    </w:rPr>
  </w:style>
  <w:style w:type="paragraph" w:customStyle="1" w:styleId="EndNoteBibliographyTitle">
    <w:name w:val="EndNote Bibliography Title"/>
    <w:basedOn w:val="Normal"/>
    <w:link w:val="EndNoteBibliographyTitleChar"/>
    <w:rsid w:val="001B4D95"/>
    <w:pPr>
      <w:spacing w:after="0"/>
      <w:jc w:val="center"/>
    </w:pPr>
    <w:rPr>
      <w:rFonts w:ascii="Calibri" w:hAnsi="Calibri" w:cs="Calibri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B4D95"/>
    <w:rPr>
      <w:rFonts w:ascii="Calibri" w:hAnsi="Calibri" w:cs="Calibri"/>
      <w:sz w:val="22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1B4D95"/>
    <w:pPr>
      <w:spacing w:line="240" w:lineRule="auto"/>
    </w:pPr>
    <w:rPr>
      <w:rFonts w:ascii="Calibri" w:hAnsi="Calibri" w:cs="Calibri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1B4D95"/>
    <w:rPr>
      <w:rFonts w:ascii="Calibri" w:hAnsi="Calibri" w:cs="Calibri"/>
      <w:sz w:val="22"/>
      <w:lang w:val="en-US"/>
    </w:rPr>
  </w:style>
  <w:style w:type="character" w:styleId="Hyperlink">
    <w:name w:val="Hyperlink"/>
    <w:basedOn w:val="DefaultParagraphFont"/>
    <w:uiPriority w:val="99"/>
    <w:unhideWhenUsed/>
    <w:rsid w:val="001B4D9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4D9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219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9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pendata.cbs.nl/statline" TargetMode="External"/><Relationship Id="rId5" Type="http://schemas.openxmlformats.org/officeDocument/2006/relationships/hyperlink" Target="https://www.zorginstituutnederland.nl/publicaties/publicatie/2016/02/29/richtlijn-voor-het-uitvoeren-van-economische-evaluaties-in-de-gezondheidsz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Osstyn, Sander (NP)</dc:creator>
  <cp:keywords/>
  <dc:description/>
  <cp:lastModifiedBy>Osstyn, Sander (NP)</cp:lastModifiedBy>
  <cp:revision>14</cp:revision>
  <dcterms:created xsi:type="dcterms:W3CDTF">2023-12-13T12:29:00Z</dcterms:created>
  <dcterms:modified xsi:type="dcterms:W3CDTF">2023-12-18T11:56:00Z</dcterms:modified>
</cp:coreProperties>
</file>