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EEDD6D" w14:textId="2EDAA41A" w:rsidR="009C54C7" w:rsidRPr="00992DB1" w:rsidRDefault="0078245D" w:rsidP="009C54C7">
      <w:pPr>
        <w:spacing w:after="160" w:line="259" w:lineRule="auto"/>
        <w:rPr>
          <w:rFonts w:ascii="Times New Roman" w:hAnsi="Times New Roman" w:cs="Times New Roman"/>
          <w:b/>
          <w:bCs/>
        </w:rPr>
      </w:pPr>
      <w:r>
        <w:rPr>
          <w:rFonts w:ascii="Times New Roman" w:hAnsi="Times New Roman" w:cs="Times New Roman"/>
          <w:b/>
          <w:bCs/>
          <w:lang w:val="en-US"/>
        </w:rPr>
        <w:t xml:space="preserve">Supplementary </w:t>
      </w:r>
      <w:r w:rsidR="004A0739">
        <w:rPr>
          <w:rFonts w:ascii="Times New Roman" w:hAnsi="Times New Roman" w:cs="Times New Roman"/>
          <w:b/>
          <w:bCs/>
          <w:lang w:val="en-US"/>
        </w:rPr>
        <w:t>Table</w:t>
      </w:r>
      <w:r w:rsidR="007F2915" w:rsidRPr="00915DE6">
        <w:rPr>
          <w:rFonts w:ascii="Times New Roman" w:hAnsi="Times New Roman" w:cs="Times New Roman"/>
          <w:b/>
          <w:bCs/>
          <w:lang w:val="en-US"/>
        </w:rPr>
        <w:t xml:space="preserve"> </w:t>
      </w:r>
      <w:r w:rsidR="009C54C7">
        <w:rPr>
          <w:rFonts w:ascii="Times New Roman" w:hAnsi="Times New Roman" w:cs="Times New Roman"/>
          <w:b/>
          <w:bCs/>
          <w:lang w:val="en-US"/>
        </w:rPr>
        <w:t>2</w:t>
      </w:r>
      <w:r w:rsidR="007F2915" w:rsidRPr="00915DE6">
        <w:rPr>
          <w:rFonts w:ascii="Times New Roman" w:hAnsi="Times New Roman" w:cs="Times New Roman"/>
          <w:b/>
          <w:bCs/>
          <w:lang w:val="en-US"/>
        </w:rPr>
        <w:t xml:space="preserve"> – </w:t>
      </w:r>
      <w:r w:rsidR="009C54C7" w:rsidRPr="00992DB1">
        <w:rPr>
          <w:rFonts w:ascii="Times New Roman" w:hAnsi="Times New Roman" w:cs="Times New Roman"/>
          <w:b/>
          <w:bCs/>
        </w:rPr>
        <w:t>Literature selection process</w:t>
      </w:r>
    </w:p>
    <w:tbl>
      <w:tblPr>
        <w:tblStyle w:val="TableGrid"/>
        <w:tblW w:w="9214" w:type="dxa"/>
        <w:tblLook w:val="04A0" w:firstRow="1" w:lastRow="0" w:firstColumn="1" w:lastColumn="0" w:noHBand="0" w:noVBand="1"/>
      </w:tblPr>
      <w:tblGrid>
        <w:gridCol w:w="9214"/>
      </w:tblGrid>
      <w:tr w:rsidR="0026026F" w:rsidRPr="0026026F" w14:paraId="1BC480D9" w14:textId="77777777" w:rsidTr="00F87A53">
        <w:tc>
          <w:tcPr>
            <w:tcW w:w="9214" w:type="dxa"/>
            <w:tcBorders>
              <w:top w:val="nil"/>
              <w:left w:val="nil"/>
              <w:bottom w:val="single" w:sz="4" w:space="0" w:color="auto"/>
              <w:right w:val="nil"/>
            </w:tcBorders>
          </w:tcPr>
          <w:p w14:paraId="71A6818A" w14:textId="77777777" w:rsidR="0026026F" w:rsidRPr="0026026F" w:rsidRDefault="0026026F" w:rsidP="00FC05F3">
            <w:pPr>
              <w:spacing w:after="120" w:line="276" w:lineRule="auto"/>
              <w:jc w:val="both"/>
              <w:rPr>
                <w:rFonts w:ascii="Times New Roman" w:eastAsia="Calibri" w:hAnsi="Times New Roman" w:cs="Times New Roman"/>
                <w:color w:val="000000"/>
              </w:rPr>
            </w:pPr>
            <w:r w:rsidRPr="0026026F">
              <w:rPr>
                <w:rFonts w:ascii="Times New Roman" w:eastAsia="Calibri" w:hAnsi="Times New Roman" w:cs="Times New Roman"/>
                <w:color w:val="000000"/>
              </w:rPr>
              <w:t>The literature screening was conducted in two steps:</w:t>
            </w:r>
          </w:p>
        </w:tc>
      </w:tr>
      <w:tr w:rsidR="0026026F" w:rsidRPr="0026026F" w14:paraId="12AF6894" w14:textId="77777777" w:rsidTr="00F87A53">
        <w:tc>
          <w:tcPr>
            <w:tcW w:w="9214" w:type="dxa"/>
            <w:tcBorders>
              <w:top w:val="single" w:sz="4" w:space="0" w:color="auto"/>
              <w:bottom w:val="single" w:sz="4" w:space="0" w:color="auto"/>
            </w:tcBorders>
            <w:shd w:val="clear" w:color="auto" w:fill="DAE9F7" w:themeFill="text2" w:themeFillTint="1A"/>
          </w:tcPr>
          <w:p w14:paraId="5C8FC618" w14:textId="77777777" w:rsidR="0026026F" w:rsidRPr="0026026F" w:rsidRDefault="0026026F" w:rsidP="00FC05F3">
            <w:pPr>
              <w:pStyle w:val="ListParagraph"/>
              <w:numPr>
                <w:ilvl w:val="0"/>
                <w:numId w:val="10"/>
              </w:numPr>
              <w:spacing w:after="120" w:line="276" w:lineRule="auto"/>
              <w:jc w:val="both"/>
              <w:rPr>
                <w:rFonts w:ascii="Times New Roman" w:eastAsia="Calibri" w:hAnsi="Times New Roman" w:cs="Times New Roman"/>
                <w:color w:val="000000"/>
              </w:rPr>
            </w:pPr>
            <w:r w:rsidRPr="0026026F">
              <w:rPr>
                <w:rFonts w:ascii="Times New Roman" w:eastAsia="Calibri" w:hAnsi="Times New Roman" w:cs="Times New Roman"/>
                <w:color w:val="000000"/>
              </w:rPr>
              <w:t>Screening of systematic reviews.</w:t>
            </w:r>
          </w:p>
        </w:tc>
      </w:tr>
      <w:tr w:rsidR="0026026F" w:rsidRPr="0026026F" w14:paraId="68F03273" w14:textId="77777777" w:rsidTr="00F87A53">
        <w:tc>
          <w:tcPr>
            <w:tcW w:w="9214" w:type="dxa"/>
            <w:tcBorders>
              <w:bottom w:val="nil"/>
            </w:tcBorders>
          </w:tcPr>
          <w:p w14:paraId="6E4BB1C8" w14:textId="77777777" w:rsidR="0026026F" w:rsidRPr="0026026F" w:rsidRDefault="0026026F" w:rsidP="00F87A53">
            <w:pPr>
              <w:numPr>
                <w:ilvl w:val="0"/>
                <w:numId w:val="2"/>
              </w:numPr>
              <w:spacing w:after="120" w:line="276" w:lineRule="auto"/>
              <w:ind w:left="1176" w:hanging="467"/>
              <w:contextualSpacing/>
              <w:jc w:val="both"/>
              <w:rPr>
                <w:rFonts w:ascii="Times New Roman" w:eastAsia="Calibri" w:hAnsi="Times New Roman" w:cs="Times New Roman"/>
              </w:rPr>
            </w:pPr>
            <w:r w:rsidRPr="0026026F">
              <w:rPr>
                <w:rFonts w:ascii="Times New Roman" w:eastAsia="Calibri" w:hAnsi="Times New Roman" w:cs="Times New Roman"/>
              </w:rPr>
              <w:t>Title and abstract screening of identified records by two independent researchers.</w:t>
            </w:r>
          </w:p>
        </w:tc>
      </w:tr>
      <w:tr w:rsidR="0026026F" w:rsidRPr="0026026F" w14:paraId="77F5B0EC" w14:textId="77777777" w:rsidTr="00F87A53">
        <w:tc>
          <w:tcPr>
            <w:tcW w:w="9214" w:type="dxa"/>
            <w:tcBorders>
              <w:top w:val="nil"/>
              <w:left w:val="single" w:sz="4" w:space="0" w:color="auto"/>
              <w:bottom w:val="nil"/>
              <w:right w:val="single" w:sz="4" w:space="0" w:color="auto"/>
            </w:tcBorders>
          </w:tcPr>
          <w:p w14:paraId="3B54DBA4" w14:textId="77777777" w:rsidR="0026026F" w:rsidRDefault="0026026F" w:rsidP="00FC05F3">
            <w:pPr>
              <w:spacing w:after="160" w:line="276" w:lineRule="auto"/>
              <w:jc w:val="both"/>
              <w:rPr>
                <w:rFonts w:ascii="Times New Roman" w:eastAsia="Calibri" w:hAnsi="Times New Roman" w:cs="Times New Roman"/>
              </w:rPr>
            </w:pPr>
          </w:p>
          <w:p w14:paraId="61CC5C16" w14:textId="7EB6868D" w:rsidR="0026026F" w:rsidRPr="0026026F" w:rsidRDefault="0026026F" w:rsidP="00F87A53">
            <w:pPr>
              <w:spacing w:after="160" w:line="276" w:lineRule="auto"/>
              <w:ind w:left="1176"/>
              <w:jc w:val="both"/>
              <w:rPr>
                <w:rFonts w:ascii="Times New Roman" w:eastAsia="Calibri" w:hAnsi="Times New Roman" w:cs="Times New Roman"/>
              </w:rPr>
            </w:pPr>
            <w:r w:rsidRPr="0026026F">
              <w:rPr>
                <w:rFonts w:ascii="Times New Roman" w:eastAsia="Calibri" w:hAnsi="Times New Roman" w:cs="Times New Roman"/>
              </w:rPr>
              <w:t>The following exclusion criteria were hierarchically applied during title-abstract screening:</w:t>
            </w:r>
          </w:p>
        </w:tc>
      </w:tr>
      <w:tr w:rsidR="0026026F" w:rsidRPr="0026026F" w14:paraId="0D5EF6D1" w14:textId="77777777" w:rsidTr="00F87A53">
        <w:tc>
          <w:tcPr>
            <w:tcW w:w="9214" w:type="dxa"/>
            <w:tcBorders>
              <w:top w:val="nil"/>
              <w:left w:val="single" w:sz="4" w:space="0" w:color="auto"/>
              <w:bottom w:val="nil"/>
              <w:right w:val="single" w:sz="4" w:space="0" w:color="auto"/>
            </w:tcBorders>
          </w:tcPr>
          <w:p w14:paraId="27915462" w14:textId="77777777" w:rsidR="0026026F" w:rsidRPr="0026026F" w:rsidRDefault="0026026F" w:rsidP="00FC05F3">
            <w:pPr>
              <w:numPr>
                <w:ilvl w:val="0"/>
                <w:numId w:val="1"/>
              </w:numPr>
              <w:spacing w:before="120" w:after="160" w:line="276" w:lineRule="auto"/>
              <w:ind w:left="709" w:firstLine="709"/>
              <w:contextualSpacing/>
              <w:jc w:val="both"/>
              <w:rPr>
                <w:rFonts w:ascii="Times New Roman" w:eastAsia="Calibri" w:hAnsi="Times New Roman" w:cs="Times New Roman"/>
                <w:i/>
                <w:color w:val="000000"/>
                <w:u w:val="single"/>
              </w:rPr>
            </w:pPr>
            <w:r w:rsidRPr="0026026F">
              <w:rPr>
                <w:rFonts w:ascii="Times New Roman" w:eastAsia="Calibri" w:hAnsi="Times New Roman" w:cs="Times New Roman"/>
                <w:i/>
                <w:color w:val="000000"/>
                <w:u w:val="single"/>
              </w:rPr>
              <w:t>Publication date outside of 1 Jan 2013 – 31 Dec 2022</w:t>
            </w:r>
          </w:p>
        </w:tc>
      </w:tr>
      <w:tr w:rsidR="0026026F" w:rsidRPr="0026026F" w14:paraId="27A09C9E" w14:textId="77777777" w:rsidTr="00F87A53">
        <w:tc>
          <w:tcPr>
            <w:tcW w:w="9214" w:type="dxa"/>
            <w:tcBorders>
              <w:top w:val="nil"/>
              <w:left w:val="single" w:sz="4" w:space="0" w:color="auto"/>
              <w:bottom w:val="nil"/>
              <w:right w:val="single" w:sz="4" w:space="0" w:color="auto"/>
            </w:tcBorders>
          </w:tcPr>
          <w:p w14:paraId="0F2F60C8" w14:textId="77777777" w:rsidR="0026026F" w:rsidRPr="0026026F" w:rsidRDefault="0026026F" w:rsidP="00FC05F3">
            <w:pPr>
              <w:numPr>
                <w:ilvl w:val="0"/>
                <w:numId w:val="1"/>
              </w:numPr>
              <w:spacing w:before="120" w:after="160" w:line="276" w:lineRule="auto"/>
              <w:ind w:left="709" w:firstLine="709"/>
              <w:contextualSpacing/>
              <w:jc w:val="both"/>
              <w:rPr>
                <w:rFonts w:ascii="Times New Roman" w:eastAsia="Calibri" w:hAnsi="Times New Roman" w:cs="Times New Roman"/>
                <w:i/>
                <w:color w:val="000000"/>
                <w:u w:val="single"/>
              </w:rPr>
            </w:pPr>
            <w:proofErr w:type="spellStart"/>
            <w:r w:rsidRPr="0026026F">
              <w:rPr>
                <w:rFonts w:ascii="Times New Roman" w:eastAsia="Calibri" w:hAnsi="Times New Roman" w:cs="Times New Roman"/>
                <w:i/>
                <w:color w:val="000000"/>
                <w:u w:val="single"/>
              </w:rPr>
              <w:t>Non-english</w:t>
            </w:r>
            <w:proofErr w:type="spellEnd"/>
            <w:r w:rsidRPr="0026026F">
              <w:rPr>
                <w:rFonts w:ascii="Times New Roman" w:eastAsia="Calibri" w:hAnsi="Times New Roman" w:cs="Times New Roman"/>
                <w:i/>
                <w:color w:val="000000"/>
                <w:u w:val="single"/>
              </w:rPr>
              <w:t xml:space="preserve"> language</w:t>
            </w:r>
          </w:p>
        </w:tc>
      </w:tr>
      <w:tr w:rsidR="0026026F" w:rsidRPr="0026026F" w14:paraId="7638AD83" w14:textId="77777777" w:rsidTr="00F87A53">
        <w:tc>
          <w:tcPr>
            <w:tcW w:w="9214" w:type="dxa"/>
            <w:tcBorders>
              <w:top w:val="nil"/>
              <w:left w:val="single" w:sz="4" w:space="0" w:color="auto"/>
              <w:bottom w:val="nil"/>
              <w:right w:val="single" w:sz="4" w:space="0" w:color="auto"/>
            </w:tcBorders>
          </w:tcPr>
          <w:p w14:paraId="57A52992" w14:textId="59E3440D" w:rsidR="0026026F" w:rsidRPr="0026026F" w:rsidRDefault="0026026F" w:rsidP="00FC05F3">
            <w:pPr>
              <w:numPr>
                <w:ilvl w:val="0"/>
                <w:numId w:val="1"/>
              </w:numPr>
              <w:spacing w:before="120" w:after="160" w:line="276" w:lineRule="auto"/>
              <w:ind w:left="709" w:firstLine="709"/>
              <w:contextualSpacing/>
              <w:jc w:val="both"/>
              <w:rPr>
                <w:rFonts w:ascii="Times New Roman" w:eastAsia="Calibri" w:hAnsi="Times New Roman" w:cs="Times New Roman"/>
                <w:i/>
                <w:u w:val="single"/>
              </w:rPr>
            </w:pPr>
            <w:r w:rsidRPr="0026026F">
              <w:rPr>
                <w:rFonts w:ascii="Times New Roman" w:eastAsia="Calibri" w:hAnsi="Times New Roman" w:cs="Times New Roman"/>
                <w:i/>
                <w:color w:val="000000"/>
                <w:u w:val="single"/>
              </w:rPr>
              <w:t>Non-systematic review on criteria for health resource allocation</w:t>
            </w:r>
          </w:p>
        </w:tc>
      </w:tr>
      <w:tr w:rsidR="0026026F" w:rsidRPr="0026026F" w14:paraId="0A4179A3" w14:textId="77777777" w:rsidTr="00F87A53">
        <w:trPr>
          <w:trHeight w:val="650"/>
        </w:trPr>
        <w:tc>
          <w:tcPr>
            <w:tcW w:w="9214" w:type="dxa"/>
            <w:tcBorders>
              <w:top w:val="nil"/>
              <w:bottom w:val="dotted" w:sz="4" w:space="0" w:color="auto"/>
            </w:tcBorders>
          </w:tcPr>
          <w:p w14:paraId="3313110D" w14:textId="77777777" w:rsidR="00DE77DF" w:rsidRDefault="00DE77DF" w:rsidP="00DE77DF">
            <w:pPr>
              <w:spacing w:before="120" w:after="160" w:line="259" w:lineRule="auto"/>
              <w:ind w:left="1176"/>
              <w:jc w:val="both"/>
              <w:rPr>
                <w:rFonts w:ascii="Times New Roman" w:hAnsi="Times New Roman" w:cs="Times New Roman"/>
              </w:rPr>
            </w:pPr>
          </w:p>
          <w:p w14:paraId="776574DF" w14:textId="049DC173" w:rsidR="0026026F" w:rsidRPr="0026026F" w:rsidRDefault="0026026F" w:rsidP="00DE77DF">
            <w:pPr>
              <w:spacing w:before="120" w:after="160" w:line="259" w:lineRule="auto"/>
              <w:ind w:left="1176"/>
              <w:jc w:val="both"/>
              <w:rPr>
                <w:rFonts w:ascii="Times New Roman" w:hAnsi="Times New Roman" w:cs="Times New Roman"/>
              </w:rPr>
            </w:pPr>
            <w:r w:rsidRPr="0026026F">
              <w:rPr>
                <w:rFonts w:ascii="Times New Roman" w:hAnsi="Times New Roman" w:cs="Times New Roman"/>
              </w:rPr>
              <w:t>Articles not fitting any of these exclusion criteria were eligible for full text screening.</w:t>
            </w:r>
          </w:p>
        </w:tc>
      </w:tr>
      <w:tr w:rsidR="0026026F" w:rsidRPr="0026026F" w14:paraId="19336189" w14:textId="77777777" w:rsidTr="00F87A53">
        <w:tc>
          <w:tcPr>
            <w:tcW w:w="9214" w:type="dxa"/>
            <w:tcBorders>
              <w:top w:val="dotted" w:sz="4" w:space="0" w:color="auto"/>
              <w:left w:val="single" w:sz="4" w:space="0" w:color="auto"/>
              <w:bottom w:val="nil"/>
              <w:right w:val="single" w:sz="4" w:space="0" w:color="auto"/>
            </w:tcBorders>
          </w:tcPr>
          <w:p w14:paraId="4DDC4BAA" w14:textId="77777777" w:rsidR="0026026F" w:rsidRDefault="0026026F" w:rsidP="00F87A53">
            <w:pPr>
              <w:numPr>
                <w:ilvl w:val="0"/>
                <w:numId w:val="2"/>
              </w:numPr>
              <w:spacing w:after="120" w:line="276" w:lineRule="auto"/>
              <w:ind w:left="1176" w:hanging="467"/>
              <w:contextualSpacing/>
              <w:jc w:val="both"/>
              <w:rPr>
                <w:rFonts w:ascii="Times New Roman" w:eastAsia="Calibri" w:hAnsi="Times New Roman" w:cs="Times New Roman"/>
              </w:rPr>
            </w:pPr>
            <w:r w:rsidRPr="0026026F">
              <w:rPr>
                <w:rFonts w:ascii="Times New Roman" w:eastAsia="Calibri" w:hAnsi="Times New Roman" w:cs="Times New Roman"/>
              </w:rPr>
              <w:t>Full text screening of potentially relevant systematic reviews by two independent researchers.</w:t>
            </w:r>
          </w:p>
          <w:p w14:paraId="18192F2C" w14:textId="77777777" w:rsidR="00F87A53" w:rsidRPr="0026026F" w:rsidRDefault="00F87A53" w:rsidP="00F87A53">
            <w:pPr>
              <w:spacing w:after="120" w:line="276" w:lineRule="auto"/>
              <w:ind w:left="1418"/>
              <w:contextualSpacing/>
              <w:jc w:val="both"/>
              <w:rPr>
                <w:rFonts w:ascii="Times New Roman" w:eastAsia="Calibri" w:hAnsi="Times New Roman" w:cs="Times New Roman"/>
              </w:rPr>
            </w:pPr>
          </w:p>
        </w:tc>
      </w:tr>
      <w:tr w:rsidR="0026026F" w:rsidRPr="0026026F" w14:paraId="7D37CB09" w14:textId="77777777" w:rsidTr="00F87A53">
        <w:tc>
          <w:tcPr>
            <w:tcW w:w="9214" w:type="dxa"/>
            <w:tcBorders>
              <w:top w:val="nil"/>
              <w:left w:val="single" w:sz="4" w:space="0" w:color="auto"/>
              <w:bottom w:val="nil"/>
              <w:right w:val="single" w:sz="4" w:space="0" w:color="auto"/>
            </w:tcBorders>
          </w:tcPr>
          <w:p w14:paraId="6331813C" w14:textId="77777777" w:rsidR="0026026F" w:rsidRPr="0026026F" w:rsidRDefault="0026026F" w:rsidP="00F87A53">
            <w:pPr>
              <w:spacing w:after="160" w:line="276" w:lineRule="auto"/>
              <w:ind w:left="751" w:firstLine="425"/>
              <w:jc w:val="both"/>
              <w:rPr>
                <w:rFonts w:ascii="Times New Roman" w:eastAsia="Calibri" w:hAnsi="Times New Roman" w:cs="Times New Roman"/>
              </w:rPr>
            </w:pPr>
            <w:r w:rsidRPr="0026026F">
              <w:rPr>
                <w:rFonts w:ascii="Times New Roman" w:eastAsia="Calibri" w:hAnsi="Times New Roman" w:cs="Times New Roman"/>
              </w:rPr>
              <w:t>The following exclusion criteria were hierarchically applied:</w:t>
            </w:r>
          </w:p>
        </w:tc>
      </w:tr>
      <w:tr w:rsidR="0026026F" w:rsidRPr="0026026F" w14:paraId="07C8653E" w14:textId="77777777" w:rsidTr="00F87A53">
        <w:tc>
          <w:tcPr>
            <w:tcW w:w="9214" w:type="dxa"/>
            <w:tcBorders>
              <w:top w:val="nil"/>
              <w:left w:val="single" w:sz="4" w:space="0" w:color="auto"/>
              <w:bottom w:val="nil"/>
              <w:right w:val="single" w:sz="4" w:space="0" w:color="auto"/>
            </w:tcBorders>
          </w:tcPr>
          <w:p w14:paraId="60751C37" w14:textId="77777777" w:rsidR="0026026F" w:rsidRPr="0026026F" w:rsidRDefault="0026026F" w:rsidP="00FC05F3">
            <w:pPr>
              <w:numPr>
                <w:ilvl w:val="0"/>
                <w:numId w:val="4"/>
              </w:numPr>
              <w:spacing w:before="120" w:after="160" w:line="276" w:lineRule="auto"/>
              <w:ind w:left="1418" w:firstLine="0"/>
              <w:contextualSpacing/>
              <w:jc w:val="both"/>
              <w:rPr>
                <w:rFonts w:ascii="Times New Roman" w:eastAsia="Calibri" w:hAnsi="Times New Roman" w:cs="Times New Roman"/>
                <w:i/>
                <w:iCs/>
                <w:u w:val="single"/>
              </w:rPr>
            </w:pPr>
            <w:r w:rsidRPr="0026026F">
              <w:rPr>
                <w:rFonts w:ascii="Times New Roman" w:eastAsia="Calibri" w:hAnsi="Times New Roman" w:cs="Times New Roman"/>
                <w:i/>
                <w:iCs/>
                <w:u w:val="single"/>
              </w:rPr>
              <w:t xml:space="preserve">Full text not found </w:t>
            </w:r>
          </w:p>
        </w:tc>
      </w:tr>
      <w:tr w:rsidR="0026026F" w:rsidRPr="0026026F" w14:paraId="1E7E51FF" w14:textId="77777777" w:rsidTr="00F87A53">
        <w:tc>
          <w:tcPr>
            <w:tcW w:w="9214" w:type="dxa"/>
            <w:tcBorders>
              <w:top w:val="nil"/>
              <w:left w:val="single" w:sz="4" w:space="0" w:color="auto"/>
              <w:bottom w:val="nil"/>
              <w:right w:val="single" w:sz="4" w:space="0" w:color="auto"/>
            </w:tcBorders>
          </w:tcPr>
          <w:p w14:paraId="2DE0A748" w14:textId="77777777" w:rsidR="0026026F" w:rsidRPr="0026026F" w:rsidRDefault="0026026F" w:rsidP="00FC05F3">
            <w:pPr>
              <w:numPr>
                <w:ilvl w:val="0"/>
                <w:numId w:val="4"/>
              </w:numPr>
              <w:spacing w:before="120" w:after="160" w:line="276" w:lineRule="auto"/>
              <w:ind w:left="1418" w:firstLine="0"/>
              <w:contextualSpacing/>
              <w:jc w:val="both"/>
              <w:rPr>
                <w:rFonts w:ascii="Times New Roman" w:eastAsia="Calibri" w:hAnsi="Times New Roman" w:cs="Times New Roman"/>
                <w:u w:val="single"/>
              </w:rPr>
            </w:pPr>
            <w:r w:rsidRPr="0026026F">
              <w:rPr>
                <w:rFonts w:ascii="Times New Roman" w:eastAsia="Calibri" w:hAnsi="Times New Roman" w:cs="Times New Roman"/>
                <w:i/>
                <w:color w:val="000000"/>
                <w:u w:val="single"/>
              </w:rPr>
              <w:t>MCDA in fields other than human health care</w:t>
            </w:r>
            <w:r w:rsidRPr="0026026F">
              <w:rPr>
                <w:rFonts w:ascii="Times New Roman" w:eastAsia="Calibri" w:hAnsi="Times New Roman" w:cs="Times New Roman"/>
                <w:color w:val="000000"/>
                <w:u w:val="single"/>
              </w:rPr>
              <w:t xml:space="preserve">; </w:t>
            </w:r>
          </w:p>
        </w:tc>
      </w:tr>
      <w:tr w:rsidR="0026026F" w:rsidRPr="0026026F" w14:paraId="2D9461B7" w14:textId="77777777" w:rsidTr="00F87A53">
        <w:tc>
          <w:tcPr>
            <w:tcW w:w="9214" w:type="dxa"/>
            <w:tcBorders>
              <w:top w:val="nil"/>
              <w:left w:val="single" w:sz="4" w:space="0" w:color="auto"/>
              <w:bottom w:val="nil"/>
              <w:right w:val="single" w:sz="4" w:space="0" w:color="auto"/>
            </w:tcBorders>
          </w:tcPr>
          <w:p w14:paraId="6F1C5922" w14:textId="77777777" w:rsidR="0026026F" w:rsidRPr="0026026F" w:rsidRDefault="0026026F" w:rsidP="00FC05F3">
            <w:pPr>
              <w:numPr>
                <w:ilvl w:val="0"/>
                <w:numId w:val="4"/>
              </w:numPr>
              <w:spacing w:before="120" w:after="160" w:line="276" w:lineRule="auto"/>
              <w:ind w:left="1418" w:firstLine="0"/>
              <w:contextualSpacing/>
              <w:jc w:val="both"/>
              <w:rPr>
                <w:rFonts w:ascii="Times New Roman" w:eastAsia="Calibri" w:hAnsi="Times New Roman" w:cs="Times New Roman"/>
                <w:u w:val="single"/>
              </w:rPr>
            </w:pPr>
            <w:r w:rsidRPr="0026026F">
              <w:rPr>
                <w:rFonts w:ascii="Times New Roman" w:eastAsia="Calibri" w:hAnsi="Times New Roman" w:cs="Times New Roman"/>
                <w:i/>
                <w:color w:val="000000"/>
                <w:u w:val="single"/>
              </w:rPr>
              <w:t xml:space="preserve">Not listing a clear set of criteria (purely methodological) </w:t>
            </w:r>
          </w:p>
        </w:tc>
      </w:tr>
      <w:tr w:rsidR="0026026F" w:rsidRPr="0026026F" w14:paraId="27BFEC84" w14:textId="77777777" w:rsidTr="00F87A53">
        <w:tc>
          <w:tcPr>
            <w:tcW w:w="9214" w:type="dxa"/>
            <w:tcBorders>
              <w:top w:val="nil"/>
              <w:left w:val="single" w:sz="4" w:space="0" w:color="auto"/>
              <w:bottom w:val="single" w:sz="4" w:space="0" w:color="auto"/>
              <w:right w:val="single" w:sz="4" w:space="0" w:color="auto"/>
            </w:tcBorders>
          </w:tcPr>
          <w:p w14:paraId="7337BE86" w14:textId="77777777" w:rsidR="00DE77DF" w:rsidRDefault="00DE77DF" w:rsidP="00DE77DF">
            <w:pPr>
              <w:spacing w:before="120" w:after="160" w:line="276" w:lineRule="auto"/>
              <w:ind w:firstLine="1176"/>
              <w:contextualSpacing/>
              <w:jc w:val="both"/>
              <w:rPr>
                <w:rFonts w:ascii="Times New Roman" w:hAnsi="Times New Roman" w:cs="Times New Roman"/>
              </w:rPr>
            </w:pPr>
          </w:p>
          <w:p w14:paraId="68514851" w14:textId="742CBC11" w:rsidR="0026026F" w:rsidRDefault="0026026F" w:rsidP="00DE77DF">
            <w:pPr>
              <w:spacing w:before="120" w:after="160" w:line="276" w:lineRule="auto"/>
              <w:ind w:firstLine="1176"/>
              <w:contextualSpacing/>
              <w:jc w:val="both"/>
              <w:rPr>
                <w:rFonts w:ascii="Times New Roman" w:eastAsia="Calibri" w:hAnsi="Times New Roman" w:cs="Times New Roman"/>
              </w:rPr>
            </w:pPr>
            <w:r w:rsidRPr="0026026F">
              <w:rPr>
                <w:rFonts w:ascii="Times New Roman" w:hAnsi="Times New Roman" w:cs="Times New Roman"/>
              </w:rPr>
              <w:t>Articles not fitting any of these exclusion criteria were eligible</w:t>
            </w:r>
            <w:r w:rsidRPr="0026026F">
              <w:rPr>
                <w:rFonts w:ascii="Times New Roman" w:eastAsia="Calibri" w:hAnsi="Times New Roman" w:cs="Times New Roman"/>
              </w:rPr>
              <w:t>.</w:t>
            </w:r>
          </w:p>
          <w:p w14:paraId="307586C4" w14:textId="77777777" w:rsidR="00F87A53" w:rsidRPr="0026026F" w:rsidRDefault="00F87A53" w:rsidP="00FC05F3">
            <w:pPr>
              <w:spacing w:before="120" w:after="160" w:line="276" w:lineRule="auto"/>
              <w:contextualSpacing/>
              <w:jc w:val="both"/>
              <w:rPr>
                <w:rFonts w:ascii="Times New Roman" w:eastAsia="Calibri" w:hAnsi="Times New Roman" w:cs="Times New Roman"/>
                <w:u w:val="single"/>
              </w:rPr>
            </w:pPr>
          </w:p>
        </w:tc>
      </w:tr>
      <w:tr w:rsidR="0026026F" w:rsidRPr="0026026F" w14:paraId="435D4587" w14:textId="77777777" w:rsidTr="00F87A53">
        <w:tc>
          <w:tcPr>
            <w:tcW w:w="9214" w:type="dxa"/>
            <w:tcBorders>
              <w:top w:val="single" w:sz="4" w:space="0" w:color="auto"/>
              <w:left w:val="nil"/>
              <w:bottom w:val="single" w:sz="4" w:space="0" w:color="auto"/>
              <w:right w:val="nil"/>
            </w:tcBorders>
          </w:tcPr>
          <w:p w14:paraId="08E1393B" w14:textId="77777777" w:rsidR="0026026F" w:rsidRPr="0026026F" w:rsidRDefault="0026026F" w:rsidP="00FC05F3">
            <w:pPr>
              <w:spacing w:after="160" w:line="276" w:lineRule="auto"/>
              <w:jc w:val="both"/>
              <w:rPr>
                <w:rFonts w:ascii="Times New Roman" w:eastAsia="Calibri" w:hAnsi="Times New Roman" w:cs="Times New Roman"/>
              </w:rPr>
            </w:pPr>
          </w:p>
        </w:tc>
      </w:tr>
      <w:tr w:rsidR="0026026F" w:rsidRPr="0026026F" w14:paraId="1CB2C59E" w14:textId="77777777" w:rsidTr="00F87A53">
        <w:tc>
          <w:tcPr>
            <w:tcW w:w="9214" w:type="dxa"/>
            <w:tcBorders>
              <w:top w:val="single" w:sz="4" w:space="0" w:color="auto"/>
              <w:bottom w:val="single" w:sz="4" w:space="0" w:color="auto"/>
            </w:tcBorders>
            <w:shd w:val="clear" w:color="auto" w:fill="DAE9F7" w:themeFill="text2" w:themeFillTint="1A"/>
          </w:tcPr>
          <w:p w14:paraId="6C41359D" w14:textId="408ED178" w:rsidR="0026026F" w:rsidRPr="0026026F" w:rsidRDefault="0026026F" w:rsidP="00F87A53">
            <w:pPr>
              <w:pStyle w:val="ListParagraph"/>
              <w:numPr>
                <w:ilvl w:val="0"/>
                <w:numId w:val="10"/>
              </w:numPr>
              <w:spacing w:after="120" w:line="276" w:lineRule="auto"/>
              <w:jc w:val="both"/>
              <w:rPr>
                <w:rFonts w:ascii="Times New Roman" w:eastAsia="Calibri" w:hAnsi="Times New Roman" w:cs="Times New Roman"/>
              </w:rPr>
            </w:pPr>
            <w:r w:rsidRPr="00F87A53">
              <w:rPr>
                <w:rFonts w:ascii="Times New Roman" w:eastAsia="Calibri" w:hAnsi="Times New Roman" w:cs="Times New Roman"/>
                <w:color w:val="000000"/>
              </w:rPr>
              <w:t>Screening of primary studies.</w:t>
            </w:r>
            <w:r w:rsidRPr="0026026F">
              <w:rPr>
                <w:rFonts w:ascii="Times New Roman" w:eastAsia="Calibri" w:hAnsi="Times New Roman" w:cs="Times New Roman"/>
              </w:rPr>
              <w:t xml:space="preserve"> </w:t>
            </w:r>
          </w:p>
        </w:tc>
      </w:tr>
      <w:tr w:rsidR="00F87A53" w:rsidRPr="0026026F" w14:paraId="5CE47059" w14:textId="77777777" w:rsidTr="00F87A53">
        <w:trPr>
          <w:trHeight w:val="560"/>
        </w:trPr>
        <w:tc>
          <w:tcPr>
            <w:tcW w:w="9214" w:type="dxa"/>
            <w:tcBorders>
              <w:top w:val="single" w:sz="4" w:space="0" w:color="auto"/>
              <w:left w:val="single" w:sz="4" w:space="0" w:color="auto"/>
              <w:bottom w:val="nil"/>
              <w:right w:val="single" w:sz="4" w:space="0" w:color="auto"/>
            </w:tcBorders>
            <w:shd w:val="clear" w:color="auto" w:fill="auto"/>
          </w:tcPr>
          <w:p w14:paraId="0E0E7D2A" w14:textId="4CD4B620" w:rsidR="00F87A53" w:rsidRPr="0026026F" w:rsidRDefault="00F87A53" w:rsidP="00F87A53">
            <w:pPr>
              <w:spacing w:after="160" w:line="276" w:lineRule="auto"/>
              <w:ind w:left="326"/>
              <w:jc w:val="both"/>
              <w:rPr>
                <w:rFonts w:ascii="Times New Roman" w:eastAsia="Calibri" w:hAnsi="Times New Roman" w:cs="Times New Roman"/>
              </w:rPr>
            </w:pPr>
            <w:r w:rsidRPr="0026026F">
              <w:rPr>
                <w:rFonts w:ascii="Times New Roman" w:eastAsia="Calibri" w:hAnsi="Times New Roman" w:cs="Times New Roman"/>
              </w:rPr>
              <w:t>Based on systematic reviews identified, primary studies included in each systematic reviews were retrieved for screening</w:t>
            </w:r>
            <w:r>
              <w:rPr>
                <w:rFonts w:ascii="Times New Roman" w:eastAsia="Calibri" w:hAnsi="Times New Roman" w:cs="Times New Roman"/>
              </w:rPr>
              <w:t>.</w:t>
            </w:r>
          </w:p>
        </w:tc>
      </w:tr>
      <w:tr w:rsidR="0026026F" w:rsidRPr="0026026F" w14:paraId="5EEB5398" w14:textId="77777777" w:rsidTr="00F87A53">
        <w:tc>
          <w:tcPr>
            <w:tcW w:w="9214" w:type="dxa"/>
            <w:tcBorders>
              <w:top w:val="nil"/>
              <w:left w:val="single" w:sz="4" w:space="0" w:color="auto"/>
              <w:bottom w:val="nil"/>
              <w:right w:val="single" w:sz="4" w:space="0" w:color="auto"/>
            </w:tcBorders>
          </w:tcPr>
          <w:p w14:paraId="717B1557" w14:textId="77777777" w:rsidR="0026026F" w:rsidRDefault="0026026F" w:rsidP="00F87A53">
            <w:pPr>
              <w:numPr>
                <w:ilvl w:val="0"/>
                <w:numId w:val="12"/>
              </w:numPr>
              <w:spacing w:after="120" w:line="276" w:lineRule="auto"/>
              <w:ind w:left="1176" w:hanging="394"/>
              <w:contextualSpacing/>
              <w:jc w:val="both"/>
              <w:rPr>
                <w:rFonts w:ascii="Times New Roman" w:eastAsia="Calibri" w:hAnsi="Times New Roman" w:cs="Times New Roman"/>
              </w:rPr>
            </w:pPr>
            <w:r w:rsidRPr="0026026F">
              <w:rPr>
                <w:rFonts w:ascii="Times New Roman" w:eastAsia="Calibri" w:hAnsi="Times New Roman" w:cs="Times New Roman"/>
              </w:rPr>
              <w:t>Title and abstract screening of all retrieved primary studies by two independent researchers.</w:t>
            </w:r>
          </w:p>
          <w:p w14:paraId="1154025D" w14:textId="77777777" w:rsidR="00F87A53" w:rsidRPr="0026026F" w:rsidRDefault="00F87A53" w:rsidP="00F87A53">
            <w:pPr>
              <w:spacing w:after="120" w:line="276" w:lineRule="auto"/>
              <w:ind w:left="1176"/>
              <w:contextualSpacing/>
              <w:jc w:val="both"/>
              <w:rPr>
                <w:rFonts w:ascii="Times New Roman" w:eastAsia="Calibri" w:hAnsi="Times New Roman" w:cs="Times New Roman"/>
              </w:rPr>
            </w:pPr>
          </w:p>
        </w:tc>
      </w:tr>
      <w:tr w:rsidR="0026026F" w:rsidRPr="0026026F" w14:paraId="72FCE195" w14:textId="77777777" w:rsidTr="00F87A53">
        <w:tc>
          <w:tcPr>
            <w:tcW w:w="9214" w:type="dxa"/>
            <w:tcBorders>
              <w:top w:val="nil"/>
              <w:left w:val="single" w:sz="4" w:space="0" w:color="auto"/>
              <w:bottom w:val="nil"/>
              <w:right w:val="single" w:sz="4" w:space="0" w:color="auto"/>
            </w:tcBorders>
          </w:tcPr>
          <w:p w14:paraId="04F2D5B3" w14:textId="77777777" w:rsidR="0026026F" w:rsidRPr="0026026F" w:rsidRDefault="0026026F" w:rsidP="00F87A53">
            <w:pPr>
              <w:spacing w:after="160" w:line="276" w:lineRule="auto"/>
              <w:ind w:left="1176"/>
              <w:jc w:val="both"/>
              <w:rPr>
                <w:rFonts w:ascii="Times New Roman" w:eastAsia="Calibri" w:hAnsi="Times New Roman" w:cs="Times New Roman"/>
              </w:rPr>
            </w:pPr>
            <w:r w:rsidRPr="0026026F">
              <w:rPr>
                <w:rFonts w:ascii="Times New Roman" w:eastAsia="Calibri" w:hAnsi="Times New Roman" w:cs="Times New Roman"/>
              </w:rPr>
              <w:t>The following exclusion criteria were hierarchically applied during title-abstract screening:</w:t>
            </w:r>
          </w:p>
        </w:tc>
      </w:tr>
      <w:tr w:rsidR="0026026F" w:rsidRPr="0026026F" w14:paraId="0BD4E0E0" w14:textId="77777777" w:rsidTr="00F87A53">
        <w:tc>
          <w:tcPr>
            <w:tcW w:w="9214" w:type="dxa"/>
            <w:tcBorders>
              <w:top w:val="nil"/>
              <w:left w:val="single" w:sz="4" w:space="0" w:color="auto"/>
              <w:bottom w:val="nil"/>
              <w:right w:val="single" w:sz="4" w:space="0" w:color="auto"/>
            </w:tcBorders>
          </w:tcPr>
          <w:p w14:paraId="6A66FBC0" w14:textId="77777777" w:rsidR="0026026F" w:rsidRPr="0026026F" w:rsidRDefault="0026026F" w:rsidP="00FC05F3">
            <w:pPr>
              <w:numPr>
                <w:ilvl w:val="0"/>
                <w:numId w:val="5"/>
              </w:numPr>
              <w:spacing w:before="120" w:after="160" w:line="276" w:lineRule="auto"/>
              <w:ind w:left="2127" w:hanging="709"/>
              <w:contextualSpacing/>
              <w:jc w:val="both"/>
              <w:rPr>
                <w:rFonts w:ascii="Times New Roman" w:eastAsia="Calibri" w:hAnsi="Times New Roman" w:cs="Times New Roman"/>
                <w:i/>
                <w:iCs/>
                <w:u w:val="single"/>
              </w:rPr>
            </w:pPr>
            <w:r w:rsidRPr="0026026F">
              <w:rPr>
                <w:rFonts w:ascii="Times New Roman" w:eastAsia="Calibri" w:hAnsi="Times New Roman" w:cs="Times New Roman"/>
                <w:i/>
                <w:iCs/>
                <w:u w:val="single"/>
              </w:rPr>
              <w:t>Non-english language</w:t>
            </w:r>
          </w:p>
        </w:tc>
      </w:tr>
      <w:tr w:rsidR="0026026F" w:rsidRPr="0026026F" w14:paraId="6D3629C0" w14:textId="77777777" w:rsidTr="00F87A53">
        <w:tc>
          <w:tcPr>
            <w:tcW w:w="9214" w:type="dxa"/>
            <w:tcBorders>
              <w:top w:val="nil"/>
              <w:left w:val="single" w:sz="4" w:space="0" w:color="auto"/>
              <w:bottom w:val="nil"/>
              <w:right w:val="single" w:sz="4" w:space="0" w:color="auto"/>
            </w:tcBorders>
          </w:tcPr>
          <w:p w14:paraId="00C3A8FA" w14:textId="77777777" w:rsidR="0026026F" w:rsidRPr="0026026F" w:rsidRDefault="0026026F" w:rsidP="00FC05F3">
            <w:pPr>
              <w:numPr>
                <w:ilvl w:val="0"/>
                <w:numId w:val="5"/>
              </w:numPr>
              <w:spacing w:before="120" w:after="160" w:line="276" w:lineRule="auto"/>
              <w:ind w:left="2127" w:hanging="709"/>
              <w:contextualSpacing/>
              <w:jc w:val="both"/>
              <w:rPr>
                <w:rFonts w:ascii="Times New Roman" w:eastAsia="Calibri" w:hAnsi="Times New Roman" w:cs="Times New Roman"/>
                <w:i/>
                <w:iCs/>
                <w:u w:val="single"/>
              </w:rPr>
            </w:pPr>
            <w:r w:rsidRPr="0026026F">
              <w:rPr>
                <w:rFonts w:ascii="Times New Roman" w:eastAsia="Calibri" w:hAnsi="Times New Roman" w:cs="Times New Roman"/>
                <w:i/>
                <w:iCs/>
                <w:u w:val="single"/>
              </w:rPr>
              <w:t>Priority setting outside the field of health resource allocation e.g. non-health related fields / quality assessment / clinical decision</w:t>
            </w:r>
          </w:p>
        </w:tc>
      </w:tr>
      <w:tr w:rsidR="0026026F" w:rsidRPr="0026026F" w14:paraId="7FDD0A8C" w14:textId="77777777" w:rsidTr="00F87A53">
        <w:tc>
          <w:tcPr>
            <w:tcW w:w="9214" w:type="dxa"/>
            <w:tcBorders>
              <w:top w:val="nil"/>
              <w:left w:val="single" w:sz="4" w:space="0" w:color="auto"/>
              <w:bottom w:val="nil"/>
              <w:right w:val="single" w:sz="4" w:space="0" w:color="auto"/>
            </w:tcBorders>
          </w:tcPr>
          <w:p w14:paraId="51ECAE06" w14:textId="77777777" w:rsidR="0026026F" w:rsidRPr="0026026F" w:rsidRDefault="0026026F" w:rsidP="00FC05F3">
            <w:pPr>
              <w:numPr>
                <w:ilvl w:val="0"/>
                <w:numId w:val="5"/>
              </w:numPr>
              <w:spacing w:before="120" w:after="160" w:line="276" w:lineRule="auto"/>
              <w:ind w:left="2127" w:hanging="709"/>
              <w:contextualSpacing/>
              <w:jc w:val="both"/>
              <w:rPr>
                <w:rFonts w:ascii="Times New Roman" w:eastAsia="Calibri" w:hAnsi="Times New Roman" w:cs="Times New Roman"/>
                <w:i/>
                <w:iCs/>
                <w:u w:val="single"/>
              </w:rPr>
            </w:pPr>
            <w:r w:rsidRPr="0026026F">
              <w:rPr>
                <w:rFonts w:ascii="Times New Roman" w:eastAsia="Calibri" w:hAnsi="Times New Roman" w:cs="Times New Roman"/>
                <w:i/>
                <w:iCs/>
                <w:u w:val="single"/>
              </w:rPr>
              <w:t>Priority setting in the field of health research</w:t>
            </w:r>
          </w:p>
        </w:tc>
      </w:tr>
      <w:tr w:rsidR="0026026F" w:rsidRPr="0026026F" w14:paraId="0A0BBDD8" w14:textId="77777777" w:rsidTr="00F87A53">
        <w:tc>
          <w:tcPr>
            <w:tcW w:w="9214" w:type="dxa"/>
            <w:tcBorders>
              <w:top w:val="nil"/>
              <w:left w:val="single" w:sz="4" w:space="0" w:color="auto"/>
              <w:bottom w:val="nil"/>
              <w:right w:val="single" w:sz="4" w:space="0" w:color="auto"/>
            </w:tcBorders>
          </w:tcPr>
          <w:p w14:paraId="5E015528" w14:textId="77777777" w:rsidR="00DE77DF" w:rsidRDefault="00DE77DF" w:rsidP="00DE77DF">
            <w:pPr>
              <w:pStyle w:val="ListParagraph"/>
              <w:spacing w:before="120" w:after="160" w:line="259" w:lineRule="auto"/>
              <w:ind w:left="1176"/>
              <w:jc w:val="both"/>
              <w:rPr>
                <w:rFonts w:ascii="Times New Roman" w:hAnsi="Times New Roman" w:cs="Times New Roman"/>
              </w:rPr>
            </w:pPr>
          </w:p>
          <w:p w14:paraId="5DEA8C0D" w14:textId="326168E1" w:rsidR="0026026F" w:rsidRPr="0026026F" w:rsidRDefault="0026026F" w:rsidP="00DE77DF">
            <w:pPr>
              <w:pStyle w:val="ListParagraph"/>
              <w:spacing w:before="120" w:after="160" w:line="259" w:lineRule="auto"/>
              <w:ind w:left="1176"/>
              <w:jc w:val="both"/>
              <w:rPr>
                <w:rFonts w:ascii="Times New Roman" w:hAnsi="Times New Roman" w:cs="Times New Roman"/>
              </w:rPr>
            </w:pPr>
            <w:r w:rsidRPr="0026026F">
              <w:rPr>
                <w:rFonts w:ascii="Times New Roman" w:hAnsi="Times New Roman" w:cs="Times New Roman"/>
              </w:rPr>
              <w:lastRenderedPageBreak/>
              <w:t>Articles not fitting any of these exclusion criteria were eligible for full text screening.</w:t>
            </w:r>
          </w:p>
        </w:tc>
      </w:tr>
      <w:tr w:rsidR="0026026F" w:rsidRPr="0026026F" w14:paraId="010CFA61" w14:textId="77777777" w:rsidTr="00F87A53">
        <w:tc>
          <w:tcPr>
            <w:tcW w:w="9214" w:type="dxa"/>
            <w:tcBorders>
              <w:top w:val="dotted" w:sz="4" w:space="0" w:color="auto"/>
              <w:bottom w:val="nil"/>
            </w:tcBorders>
          </w:tcPr>
          <w:p w14:paraId="2FBE1003" w14:textId="77777777" w:rsidR="0026026F" w:rsidRDefault="0026026F" w:rsidP="00DE77DF">
            <w:pPr>
              <w:numPr>
                <w:ilvl w:val="0"/>
                <w:numId w:val="12"/>
              </w:numPr>
              <w:spacing w:after="120" w:line="276" w:lineRule="auto"/>
              <w:ind w:left="1176" w:hanging="394"/>
              <w:contextualSpacing/>
              <w:jc w:val="both"/>
              <w:rPr>
                <w:rFonts w:ascii="Times New Roman" w:eastAsia="Calibri" w:hAnsi="Times New Roman" w:cs="Times New Roman"/>
              </w:rPr>
            </w:pPr>
            <w:r w:rsidRPr="0026026F">
              <w:rPr>
                <w:rFonts w:ascii="Times New Roman" w:eastAsia="Calibri" w:hAnsi="Times New Roman" w:cs="Times New Roman"/>
              </w:rPr>
              <w:lastRenderedPageBreak/>
              <w:t>Full text screening of potentially relevant primary studies by two independent researchers.</w:t>
            </w:r>
          </w:p>
          <w:p w14:paraId="1B8965A4" w14:textId="24FBD7C8" w:rsidR="00F87A53" w:rsidRPr="0026026F" w:rsidRDefault="00F87A53" w:rsidP="00F87A53">
            <w:pPr>
              <w:spacing w:after="120" w:line="276" w:lineRule="auto"/>
              <w:ind w:left="720"/>
              <w:contextualSpacing/>
              <w:jc w:val="both"/>
              <w:rPr>
                <w:rFonts w:ascii="Times New Roman" w:eastAsia="Calibri" w:hAnsi="Times New Roman" w:cs="Times New Roman"/>
              </w:rPr>
            </w:pPr>
          </w:p>
        </w:tc>
      </w:tr>
      <w:tr w:rsidR="0026026F" w:rsidRPr="0026026F" w14:paraId="6F1E787A" w14:textId="77777777" w:rsidTr="00F87A53">
        <w:tc>
          <w:tcPr>
            <w:tcW w:w="9214" w:type="dxa"/>
            <w:tcBorders>
              <w:top w:val="nil"/>
              <w:left w:val="single" w:sz="4" w:space="0" w:color="auto"/>
              <w:bottom w:val="nil"/>
              <w:right w:val="single" w:sz="4" w:space="0" w:color="auto"/>
            </w:tcBorders>
          </w:tcPr>
          <w:p w14:paraId="69EE1EBF" w14:textId="77777777" w:rsidR="0026026F" w:rsidRPr="0026026F" w:rsidRDefault="0026026F" w:rsidP="00DE77DF">
            <w:pPr>
              <w:pStyle w:val="ListParagraph"/>
              <w:spacing w:after="160" w:line="276" w:lineRule="auto"/>
              <w:ind w:left="0" w:firstLine="1176"/>
              <w:jc w:val="both"/>
              <w:rPr>
                <w:rFonts w:ascii="Times New Roman" w:eastAsia="Calibri" w:hAnsi="Times New Roman" w:cs="Times New Roman"/>
              </w:rPr>
            </w:pPr>
            <w:r w:rsidRPr="0026026F">
              <w:rPr>
                <w:rFonts w:ascii="Times New Roman" w:eastAsia="Calibri" w:hAnsi="Times New Roman" w:cs="Times New Roman"/>
              </w:rPr>
              <w:t>The following exclusion criteria were hierarchically applied:</w:t>
            </w:r>
          </w:p>
        </w:tc>
      </w:tr>
      <w:tr w:rsidR="0026026F" w:rsidRPr="0026026F" w14:paraId="5BAA54C7" w14:textId="77777777" w:rsidTr="00F87A53">
        <w:tc>
          <w:tcPr>
            <w:tcW w:w="9214" w:type="dxa"/>
            <w:tcBorders>
              <w:top w:val="nil"/>
              <w:left w:val="single" w:sz="4" w:space="0" w:color="auto"/>
              <w:bottom w:val="nil"/>
              <w:right w:val="single" w:sz="4" w:space="0" w:color="auto"/>
            </w:tcBorders>
          </w:tcPr>
          <w:p w14:paraId="7F00C59F" w14:textId="77777777" w:rsidR="0026026F" w:rsidRPr="0026026F" w:rsidRDefault="0026026F" w:rsidP="00DE77DF">
            <w:pPr>
              <w:numPr>
                <w:ilvl w:val="0"/>
                <w:numId w:val="14"/>
              </w:numPr>
              <w:spacing w:before="120" w:after="160" w:line="276" w:lineRule="auto"/>
              <w:ind w:firstLine="380"/>
              <w:contextualSpacing/>
              <w:jc w:val="both"/>
              <w:rPr>
                <w:rFonts w:ascii="Times New Roman" w:eastAsia="Calibri" w:hAnsi="Times New Roman" w:cs="Times New Roman"/>
                <w:i/>
                <w:iCs/>
                <w:u w:val="single"/>
              </w:rPr>
            </w:pPr>
            <w:r w:rsidRPr="0026026F">
              <w:rPr>
                <w:rFonts w:ascii="Times New Roman" w:eastAsia="Calibri" w:hAnsi="Times New Roman" w:cs="Times New Roman"/>
                <w:i/>
                <w:iCs/>
                <w:u w:val="single"/>
              </w:rPr>
              <w:t xml:space="preserve">Full text not found </w:t>
            </w:r>
          </w:p>
        </w:tc>
      </w:tr>
      <w:tr w:rsidR="0026026F" w:rsidRPr="0026026F" w14:paraId="370AB54C" w14:textId="77777777" w:rsidTr="00F87A53">
        <w:tc>
          <w:tcPr>
            <w:tcW w:w="9214" w:type="dxa"/>
            <w:tcBorders>
              <w:top w:val="nil"/>
              <w:left w:val="single" w:sz="4" w:space="0" w:color="auto"/>
              <w:bottom w:val="nil"/>
              <w:right w:val="single" w:sz="4" w:space="0" w:color="auto"/>
            </w:tcBorders>
          </w:tcPr>
          <w:p w14:paraId="3083456A" w14:textId="77777777" w:rsidR="0026026F" w:rsidRPr="0026026F" w:rsidRDefault="0026026F" w:rsidP="00DE77DF">
            <w:pPr>
              <w:numPr>
                <w:ilvl w:val="0"/>
                <w:numId w:val="14"/>
              </w:numPr>
              <w:spacing w:before="120" w:after="160" w:line="276" w:lineRule="auto"/>
              <w:ind w:left="2168" w:hanging="750"/>
              <w:contextualSpacing/>
              <w:jc w:val="both"/>
              <w:rPr>
                <w:rFonts w:ascii="Times New Roman" w:eastAsia="Calibri" w:hAnsi="Times New Roman" w:cs="Times New Roman"/>
                <w:i/>
                <w:iCs/>
                <w:u w:val="single"/>
              </w:rPr>
            </w:pPr>
            <w:r w:rsidRPr="0026026F">
              <w:rPr>
                <w:rFonts w:ascii="Times New Roman" w:eastAsia="Calibri" w:hAnsi="Times New Roman" w:cs="Times New Roman"/>
                <w:i/>
                <w:iCs/>
                <w:u w:val="single"/>
              </w:rPr>
              <w:t xml:space="preserve">Not original research e.g. opinion piece, letters, editorials, commentary, website, book chapter </w:t>
            </w:r>
          </w:p>
        </w:tc>
      </w:tr>
      <w:tr w:rsidR="0026026F" w:rsidRPr="0026026F" w14:paraId="3306B5DA" w14:textId="77777777" w:rsidTr="00F87A53">
        <w:tc>
          <w:tcPr>
            <w:tcW w:w="9214" w:type="dxa"/>
            <w:tcBorders>
              <w:top w:val="nil"/>
              <w:left w:val="single" w:sz="4" w:space="0" w:color="auto"/>
              <w:bottom w:val="nil"/>
              <w:right w:val="single" w:sz="4" w:space="0" w:color="auto"/>
            </w:tcBorders>
          </w:tcPr>
          <w:p w14:paraId="30D9EA85" w14:textId="77777777" w:rsidR="0026026F" w:rsidRPr="0026026F" w:rsidRDefault="0026026F" w:rsidP="00DE77DF">
            <w:pPr>
              <w:numPr>
                <w:ilvl w:val="0"/>
                <w:numId w:val="14"/>
              </w:numPr>
              <w:spacing w:before="120" w:after="160" w:line="276" w:lineRule="auto"/>
              <w:ind w:left="2168" w:hanging="708"/>
              <w:contextualSpacing/>
              <w:jc w:val="both"/>
              <w:rPr>
                <w:rFonts w:ascii="Times New Roman" w:eastAsia="Calibri" w:hAnsi="Times New Roman" w:cs="Times New Roman"/>
                <w:i/>
                <w:iCs/>
                <w:u w:val="single"/>
              </w:rPr>
            </w:pPr>
            <w:r w:rsidRPr="0026026F">
              <w:rPr>
                <w:rFonts w:ascii="Times New Roman" w:eastAsia="Calibri" w:hAnsi="Times New Roman" w:cs="Times New Roman"/>
                <w:i/>
                <w:iCs/>
                <w:u w:val="single"/>
              </w:rPr>
              <w:t>Non MCDA study. MCDA study is defined in this review as study which used a set of methods to aid in health resource allocation decision making, where decisions are based on more than one criterion. It uses available techniques ranging from simple summation to mathematical models to assign weights</w:t>
            </w:r>
            <w:r w:rsidRPr="0026026F">
              <w:rPr>
                <w:rFonts w:ascii="Times New Roman" w:eastAsia="Calibri" w:hAnsi="Times New Roman" w:cs="Times New Roman"/>
                <w:b/>
                <w:bCs/>
                <w:i/>
                <w:iCs/>
                <w:u w:val="single"/>
              </w:rPr>
              <w:t xml:space="preserve"> </w:t>
            </w:r>
            <w:r w:rsidRPr="0026026F">
              <w:rPr>
                <w:rFonts w:ascii="Times New Roman" w:eastAsia="Calibri" w:hAnsi="Times New Roman" w:cs="Times New Roman"/>
                <w:i/>
                <w:iCs/>
                <w:u w:val="single"/>
              </w:rPr>
              <w:t>to predefined criteria to allow for a rational and transparent approach that makes explicit the impact of criteria on the outcome of health resource allocation decision making.</w:t>
            </w:r>
          </w:p>
        </w:tc>
      </w:tr>
      <w:tr w:rsidR="0026026F" w:rsidRPr="0026026F" w14:paraId="48B6B5E9" w14:textId="77777777" w:rsidTr="00F87A53">
        <w:tc>
          <w:tcPr>
            <w:tcW w:w="9214" w:type="dxa"/>
            <w:tcBorders>
              <w:top w:val="nil"/>
              <w:left w:val="single" w:sz="4" w:space="0" w:color="auto"/>
              <w:bottom w:val="nil"/>
              <w:right w:val="single" w:sz="4" w:space="0" w:color="auto"/>
            </w:tcBorders>
          </w:tcPr>
          <w:p w14:paraId="237B3541" w14:textId="77777777" w:rsidR="0026026F" w:rsidRPr="0026026F" w:rsidRDefault="0026026F" w:rsidP="00DE77DF">
            <w:pPr>
              <w:numPr>
                <w:ilvl w:val="0"/>
                <w:numId w:val="14"/>
              </w:numPr>
              <w:spacing w:before="120" w:after="160" w:line="276" w:lineRule="auto"/>
              <w:ind w:left="1418" w:firstLine="0"/>
              <w:contextualSpacing/>
              <w:jc w:val="both"/>
              <w:rPr>
                <w:rFonts w:ascii="Times New Roman" w:eastAsia="Calibri" w:hAnsi="Times New Roman" w:cs="Times New Roman"/>
                <w:u w:val="single"/>
              </w:rPr>
            </w:pPr>
            <w:r w:rsidRPr="0026026F">
              <w:rPr>
                <w:rFonts w:ascii="Times New Roman" w:eastAsia="Calibri" w:hAnsi="Times New Roman" w:cs="Times New Roman"/>
                <w:i/>
                <w:color w:val="000000"/>
                <w:u w:val="single"/>
              </w:rPr>
              <w:t xml:space="preserve">Not listing a </w:t>
            </w:r>
            <w:r w:rsidRPr="0026026F">
              <w:rPr>
                <w:rFonts w:ascii="Times New Roman" w:eastAsia="Calibri" w:hAnsi="Times New Roman" w:cs="Times New Roman"/>
                <w:i/>
                <w:iCs/>
                <w:u w:val="single"/>
              </w:rPr>
              <w:t>clear set of criteria (purely methodological)</w:t>
            </w:r>
            <w:r w:rsidRPr="0026026F">
              <w:rPr>
                <w:rFonts w:ascii="Times New Roman" w:eastAsia="Calibri" w:hAnsi="Times New Roman" w:cs="Times New Roman"/>
                <w:i/>
                <w:color w:val="000000"/>
                <w:u w:val="single"/>
              </w:rPr>
              <w:t xml:space="preserve"> </w:t>
            </w:r>
          </w:p>
        </w:tc>
      </w:tr>
      <w:tr w:rsidR="0026026F" w:rsidRPr="0026026F" w14:paraId="18F1745C" w14:textId="77777777" w:rsidTr="00F87A53">
        <w:tc>
          <w:tcPr>
            <w:tcW w:w="9214" w:type="dxa"/>
            <w:tcBorders>
              <w:top w:val="nil"/>
              <w:left w:val="single" w:sz="4" w:space="0" w:color="auto"/>
              <w:bottom w:val="single" w:sz="4" w:space="0" w:color="auto"/>
              <w:right w:val="single" w:sz="4" w:space="0" w:color="auto"/>
            </w:tcBorders>
          </w:tcPr>
          <w:p w14:paraId="2763953F" w14:textId="77777777" w:rsidR="00DE77DF" w:rsidRDefault="00DE77DF" w:rsidP="00DE77DF">
            <w:pPr>
              <w:pStyle w:val="ListParagraph"/>
              <w:spacing w:before="120" w:after="160" w:line="259" w:lineRule="auto"/>
              <w:ind w:left="0" w:firstLine="1176"/>
              <w:jc w:val="both"/>
              <w:rPr>
                <w:rFonts w:ascii="Times New Roman" w:hAnsi="Times New Roman" w:cs="Times New Roman"/>
              </w:rPr>
            </w:pPr>
          </w:p>
          <w:p w14:paraId="246D876F" w14:textId="5DD3F4CF" w:rsidR="0026026F" w:rsidRPr="0026026F" w:rsidRDefault="0026026F" w:rsidP="00DE77DF">
            <w:pPr>
              <w:pStyle w:val="ListParagraph"/>
              <w:spacing w:before="120" w:after="160" w:line="259" w:lineRule="auto"/>
              <w:ind w:left="0" w:firstLine="1176"/>
              <w:jc w:val="both"/>
              <w:rPr>
                <w:rFonts w:ascii="Times New Roman" w:hAnsi="Times New Roman" w:cs="Times New Roman"/>
              </w:rPr>
            </w:pPr>
            <w:r w:rsidRPr="0026026F">
              <w:rPr>
                <w:rFonts w:ascii="Times New Roman" w:hAnsi="Times New Roman" w:cs="Times New Roman"/>
              </w:rPr>
              <w:t>Articles not fitting any of these exclusion criteria were eligible.</w:t>
            </w:r>
          </w:p>
        </w:tc>
      </w:tr>
    </w:tbl>
    <w:p w14:paraId="4C1C6AD7" w14:textId="48B18600" w:rsidR="007F2915" w:rsidRPr="009C54C7" w:rsidRDefault="007F2915" w:rsidP="0026026F">
      <w:pPr>
        <w:rPr>
          <w:rFonts w:ascii="Times New Roman" w:hAnsi="Times New Roman" w:cs="Times New Roman"/>
          <w:b/>
          <w:bCs/>
        </w:rPr>
      </w:pPr>
    </w:p>
    <w:sectPr w:rsidR="007F2915" w:rsidRPr="009C54C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MT"/>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0002AFF" w:usb1="C000ACFF" w:usb2="00000009" w:usb3="00000000" w:csb0="000001FF" w:csb1="00000000"/>
  </w:font>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3A3DD6"/>
    <w:multiLevelType w:val="hybridMultilevel"/>
    <w:tmpl w:val="A79CBCBE"/>
    <w:lvl w:ilvl="0" w:tplc="FFFFFFFF">
      <w:start w:val="2"/>
      <w:numFmt w:val="decimal"/>
      <w:lvlText w:val="%1)"/>
      <w:lvlJc w:val="left"/>
      <w:pPr>
        <w:ind w:left="644" w:hanging="360"/>
      </w:pPr>
      <w:rPr>
        <w:rFonts w:hint="default"/>
        <w:color w:val="auto"/>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 w15:restartNumberingAfterBreak="0">
    <w:nsid w:val="22F8365A"/>
    <w:multiLevelType w:val="hybridMultilevel"/>
    <w:tmpl w:val="0E426EE6"/>
    <w:lvl w:ilvl="0" w:tplc="0B400A0A">
      <w:start w:val="1"/>
      <w:numFmt w:val="lowerLetter"/>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240B09"/>
    <w:multiLevelType w:val="multilevel"/>
    <w:tmpl w:val="A79CBCBE"/>
    <w:styleLink w:val="CurrentList2"/>
    <w:lvl w:ilvl="0">
      <w:start w:val="2"/>
      <w:numFmt w:val="decimal"/>
      <w:lvlText w:val="%1)"/>
      <w:lvlJc w:val="left"/>
      <w:pPr>
        <w:ind w:left="644" w:hanging="360"/>
      </w:pPr>
      <w:rPr>
        <w:rFonts w:hint="default"/>
        <w:color w:val="auto"/>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 w15:restartNumberingAfterBreak="0">
    <w:nsid w:val="2CB72920"/>
    <w:multiLevelType w:val="hybridMultilevel"/>
    <w:tmpl w:val="0E426EE6"/>
    <w:lvl w:ilvl="0" w:tplc="FFFFFFFF">
      <w:start w:val="1"/>
      <w:numFmt w:val="lowerLetter"/>
      <w:lvlText w:val="%1)"/>
      <w:lvlJc w:val="left"/>
      <w:pPr>
        <w:ind w:left="720" w:hanging="360"/>
      </w:pPr>
      <w:rPr>
        <w:rFonts w:ascii="Times New Roman" w:eastAsia="Calibr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F2A1E9B"/>
    <w:multiLevelType w:val="hybridMultilevel"/>
    <w:tmpl w:val="0E426EE6"/>
    <w:lvl w:ilvl="0" w:tplc="FFFFFFFF">
      <w:start w:val="1"/>
      <w:numFmt w:val="lowerLetter"/>
      <w:lvlText w:val="%1)"/>
      <w:lvlJc w:val="left"/>
      <w:pPr>
        <w:ind w:left="720" w:hanging="360"/>
      </w:pPr>
      <w:rPr>
        <w:rFonts w:ascii="Times New Roman" w:eastAsia="Calibr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80C6A53"/>
    <w:multiLevelType w:val="hybridMultilevel"/>
    <w:tmpl w:val="9B10340C"/>
    <w:lvl w:ilvl="0" w:tplc="FFFFFFFF">
      <w:start w:val="1"/>
      <w:numFmt w:val="lowerRoman"/>
      <w:lvlText w:val="(%1)"/>
      <w:lvlJc w:val="left"/>
      <w:pPr>
        <w:ind w:left="1080" w:hanging="720"/>
      </w:pPr>
      <w:rPr>
        <w:rFonts w:hint="default"/>
        <w: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BD05419"/>
    <w:multiLevelType w:val="hybridMultilevel"/>
    <w:tmpl w:val="6CD22D94"/>
    <w:lvl w:ilvl="0" w:tplc="78EC5C80">
      <w:start w:val="1"/>
      <w:numFmt w:val="lowerRoman"/>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9C535F"/>
    <w:multiLevelType w:val="multilevel"/>
    <w:tmpl w:val="5AE8E97C"/>
    <w:styleLink w:val="CurrentList3"/>
    <w:lvl w:ilvl="0">
      <w:start w:val="1"/>
      <w:numFmt w:val="lowerRoman"/>
      <w:lvlText w:val="(%1)"/>
      <w:lvlJc w:val="left"/>
      <w:pPr>
        <w:ind w:left="1080" w:hanging="72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64551D7"/>
    <w:multiLevelType w:val="hybridMultilevel"/>
    <w:tmpl w:val="A79CBCBE"/>
    <w:lvl w:ilvl="0" w:tplc="FFFFFFFF">
      <w:start w:val="2"/>
      <w:numFmt w:val="decimal"/>
      <w:lvlText w:val="%1)"/>
      <w:lvlJc w:val="left"/>
      <w:pPr>
        <w:ind w:left="644" w:hanging="360"/>
      </w:pPr>
      <w:rPr>
        <w:rFonts w:hint="default"/>
        <w:color w:val="auto"/>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9" w15:restartNumberingAfterBreak="0">
    <w:nsid w:val="56AD6C23"/>
    <w:multiLevelType w:val="hybridMultilevel"/>
    <w:tmpl w:val="EA54610E"/>
    <w:lvl w:ilvl="0" w:tplc="CBAAE6EE">
      <w:start w:val="1"/>
      <w:numFmt w:val="decimal"/>
      <w:lvlText w:val="%1)"/>
      <w:lvlJc w:val="left"/>
      <w:pPr>
        <w:ind w:left="644" w:hanging="360"/>
      </w:pPr>
      <w:rPr>
        <w:rFonts w:hint="default"/>
        <w:color w:val="auto"/>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0" w15:restartNumberingAfterBreak="0">
    <w:nsid w:val="56F12B2D"/>
    <w:multiLevelType w:val="hybridMultilevel"/>
    <w:tmpl w:val="54EA2E16"/>
    <w:lvl w:ilvl="0" w:tplc="78EC5C80">
      <w:start w:val="1"/>
      <w:numFmt w:val="lowerRoman"/>
      <w:lvlText w:val="(%1)"/>
      <w:lvlJc w:val="left"/>
      <w:pPr>
        <w:ind w:left="720" w:hanging="360"/>
      </w:pPr>
      <w:rPr>
        <w:rFonts w:hint="default"/>
        <w: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692177AF"/>
    <w:multiLevelType w:val="hybridMultilevel"/>
    <w:tmpl w:val="9B10340C"/>
    <w:lvl w:ilvl="0" w:tplc="78EC5C80">
      <w:start w:val="1"/>
      <w:numFmt w:val="lowerRoman"/>
      <w:lvlText w:val="(%1)"/>
      <w:lvlJc w:val="left"/>
      <w:pPr>
        <w:ind w:left="1080" w:hanging="720"/>
      </w:pPr>
      <w:rPr>
        <w:rFonts w:hint="default"/>
        <w: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C604603"/>
    <w:multiLevelType w:val="multilevel"/>
    <w:tmpl w:val="A79CBCBE"/>
    <w:styleLink w:val="CurrentList1"/>
    <w:lvl w:ilvl="0">
      <w:start w:val="2"/>
      <w:numFmt w:val="decimal"/>
      <w:lvlText w:val="%1)"/>
      <w:lvlJc w:val="left"/>
      <w:pPr>
        <w:ind w:left="644" w:hanging="360"/>
      </w:pPr>
      <w:rPr>
        <w:rFonts w:hint="default"/>
        <w:color w:val="auto"/>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3" w15:restartNumberingAfterBreak="0">
    <w:nsid w:val="7C7C7980"/>
    <w:multiLevelType w:val="hybridMultilevel"/>
    <w:tmpl w:val="A79CBCBE"/>
    <w:lvl w:ilvl="0" w:tplc="F424B4CC">
      <w:start w:val="2"/>
      <w:numFmt w:val="decimal"/>
      <w:lvlText w:val="%1)"/>
      <w:lvlJc w:val="left"/>
      <w:pPr>
        <w:ind w:left="644" w:hanging="360"/>
      </w:pPr>
      <w:rPr>
        <w:rFonts w:hint="default"/>
        <w:color w:val="auto"/>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num w:numId="1" w16cid:durableId="1195265388">
    <w:abstractNumId w:val="6"/>
  </w:num>
  <w:num w:numId="2" w16cid:durableId="1758014288">
    <w:abstractNumId w:val="1"/>
  </w:num>
  <w:num w:numId="3" w16cid:durableId="2041320075">
    <w:abstractNumId w:val="3"/>
  </w:num>
  <w:num w:numId="4" w16cid:durableId="1432159966">
    <w:abstractNumId w:val="11"/>
  </w:num>
  <w:num w:numId="5" w16cid:durableId="703292923">
    <w:abstractNumId w:val="10"/>
  </w:num>
  <w:num w:numId="6" w16cid:durableId="2044284102">
    <w:abstractNumId w:val="13"/>
  </w:num>
  <w:num w:numId="7" w16cid:durableId="1919827391">
    <w:abstractNumId w:val="8"/>
  </w:num>
  <w:num w:numId="8" w16cid:durableId="600256669">
    <w:abstractNumId w:val="12"/>
  </w:num>
  <w:num w:numId="9" w16cid:durableId="202836997">
    <w:abstractNumId w:val="0"/>
  </w:num>
  <w:num w:numId="10" w16cid:durableId="916480713">
    <w:abstractNumId w:val="9"/>
  </w:num>
  <w:num w:numId="11" w16cid:durableId="57438981">
    <w:abstractNumId w:val="2"/>
  </w:num>
  <w:num w:numId="12" w16cid:durableId="1150053448">
    <w:abstractNumId w:val="4"/>
  </w:num>
  <w:num w:numId="13" w16cid:durableId="850337518">
    <w:abstractNumId w:val="7"/>
  </w:num>
  <w:num w:numId="14" w16cid:durableId="8085491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071"/>
    <w:rsid w:val="00017B9C"/>
    <w:rsid w:val="000406AD"/>
    <w:rsid w:val="00067FCE"/>
    <w:rsid w:val="00082240"/>
    <w:rsid w:val="000C2872"/>
    <w:rsid w:val="000E35FC"/>
    <w:rsid w:val="000F73FB"/>
    <w:rsid w:val="00135174"/>
    <w:rsid w:val="00170450"/>
    <w:rsid w:val="001C725F"/>
    <w:rsid w:val="001D5681"/>
    <w:rsid w:val="001E0CFB"/>
    <w:rsid w:val="001E66AF"/>
    <w:rsid w:val="001F170F"/>
    <w:rsid w:val="00214A81"/>
    <w:rsid w:val="00226819"/>
    <w:rsid w:val="00240B33"/>
    <w:rsid w:val="0024358C"/>
    <w:rsid w:val="00247B40"/>
    <w:rsid w:val="0026026F"/>
    <w:rsid w:val="002C5CC8"/>
    <w:rsid w:val="002D4342"/>
    <w:rsid w:val="002D64EE"/>
    <w:rsid w:val="002E6B38"/>
    <w:rsid w:val="00313AD0"/>
    <w:rsid w:val="00333DE5"/>
    <w:rsid w:val="00393626"/>
    <w:rsid w:val="00394ECC"/>
    <w:rsid w:val="003B7D6E"/>
    <w:rsid w:val="00425D8B"/>
    <w:rsid w:val="004306B3"/>
    <w:rsid w:val="00440B04"/>
    <w:rsid w:val="00444F8A"/>
    <w:rsid w:val="00446839"/>
    <w:rsid w:val="00457371"/>
    <w:rsid w:val="004772D0"/>
    <w:rsid w:val="004A0739"/>
    <w:rsid w:val="004C3958"/>
    <w:rsid w:val="004C5D33"/>
    <w:rsid w:val="0051526D"/>
    <w:rsid w:val="00521773"/>
    <w:rsid w:val="00527497"/>
    <w:rsid w:val="0055741F"/>
    <w:rsid w:val="00562764"/>
    <w:rsid w:val="005B1F96"/>
    <w:rsid w:val="006141FE"/>
    <w:rsid w:val="00633ED1"/>
    <w:rsid w:val="00637E02"/>
    <w:rsid w:val="006619B5"/>
    <w:rsid w:val="0067515F"/>
    <w:rsid w:val="00685A15"/>
    <w:rsid w:val="006C2BFC"/>
    <w:rsid w:val="006E5A9D"/>
    <w:rsid w:val="0070316A"/>
    <w:rsid w:val="00727071"/>
    <w:rsid w:val="0078245D"/>
    <w:rsid w:val="007A02A2"/>
    <w:rsid w:val="007B139F"/>
    <w:rsid w:val="007B352C"/>
    <w:rsid w:val="007C35CA"/>
    <w:rsid w:val="007D4825"/>
    <w:rsid w:val="007F2915"/>
    <w:rsid w:val="00801E9B"/>
    <w:rsid w:val="0082179A"/>
    <w:rsid w:val="00852A09"/>
    <w:rsid w:val="00861E82"/>
    <w:rsid w:val="008626BF"/>
    <w:rsid w:val="008A2B30"/>
    <w:rsid w:val="008C23A4"/>
    <w:rsid w:val="008C63C6"/>
    <w:rsid w:val="008C736C"/>
    <w:rsid w:val="008D69ED"/>
    <w:rsid w:val="00920639"/>
    <w:rsid w:val="00944445"/>
    <w:rsid w:val="009736FE"/>
    <w:rsid w:val="009B3CFB"/>
    <w:rsid w:val="009C2200"/>
    <w:rsid w:val="009C54C7"/>
    <w:rsid w:val="00A02B29"/>
    <w:rsid w:val="00A12625"/>
    <w:rsid w:val="00A17D8D"/>
    <w:rsid w:val="00A220D5"/>
    <w:rsid w:val="00A33FC6"/>
    <w:rsid w:val="00A42621"/>
    <w:rsid w:val="00A42DC6"/>
    <w:rsid w:val="00A53A19"/>
    <w:rsid w:val="00A62F8F"/>
    <w:rsid w:val="00A66C8A"/>
    <w:rsid w:val="00A75773"/>
    <w:rsid w:val="00AA1D6A"/>
    <w:rsid w:val="00AC0C60"/>
    <w:rsid w:val="00AD2C0B"/>
    <w:rsid w:val="00AF1CE8"/>
    <w:rsid w:val="00B00EAE"/>
    <w:rsid w:val="00B108BB"/>
    <w:rsid w:val="00B33FB6"/>
    <w:rsid w:val="00B606A0"/>
    <w:rsid w:val="00B62BD8"/>
    <w:rsid w:val="00B70B83"/>
    <w:rsid w:val="00BE0FF7"/>
    <w:rsid w:val="00C07A2A"/>
    <w:rsid w:val="00C62456"/>
    <w:rsid w:val="00CA0430"/>
    <w:rsid w:val="00CA0920"/>
    <w:rsid w:val="00CA1291"/>
    <w:rsid w:val="00CD65C6"/>
    <w:rsid w:val="00D446D5"/>
    <w:rsid w:val="00D55BA3"/>
    <w:rsid w:val="00D805E3"/>
    <w:rsid w:val="00D81EB3"/>
    <w:rsid w:val="00D84DCA"/>
    <w:rsid w:val="00DA5A1D"/>
    <w:rsid w:val="00DA6F12"/>
    <w:rsid w:val="00DE151E"/>
    <w:rsid w:val="00DE77DF"/>
    <w:rsid w:val="00DF404D"/>
    <w:rsid w:val="00DF78C9"/>
    <w:rsid w:val="00E05802"/>
    <w:rsid w:val="00E82925"/>
    <w:rsid w:val="00EB112E"/>
    <w:rsid w:val="00EC2946"/>
    <w:rsid w:val="00ED5F0B"/>
    <w:rsid w:val="00EE5336"/>
    <w:rsid w:val="00EE6B2F"/>
    <w:rsid w:val="00EF114A"/>
    <w:rsid w:val="00EF7ABF"/>
    <w:rsid w:val="00F00BF0"/>
    <w:rsid w:val="00F10C95"/>
    <w:rsid w:val="00F23E9D"/>
    <w:rsid w:val="00F369F3"/>
    <w:rsid w:val="00F37C36"/>
    <w:rsid w:val="00F5000D"/>
    <w:rsid w:val="00F87A53"/>
    <w:rsid w:val="00F93FD9"/>
    <w:rsid w:val="00FA5A48"/>
    <w:rsid w:val="00FD75C1"/>
    <w:rsid w:val="00FD7C0C"/>
    <w:rsid w:val="00FE35AA"/>
    <w:rsid w:val="00FF4544"/>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BACAB"/>
  <w15:chartTrackingRefBased/>
  <w15:docId w15:val="{68D13074-B821-CA4F-B5DB-B3C7C00C1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SG"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071"/>
    <w:pPr>
      <w:spacing w:after="0" w:line="240" w:lineRule="auto"/>
    </w:pPr>
  </w:style>
  <w:style w:type="paragraph" w:styleId="Heading1">
    <w:name w:val="heading 1"/>
    <w:basedOn w:val="Normal"/>
    <w:next w:val="Normal"/>
    <w:link w:val="Heading1Char"/>
    <w:uiPriority w:val="9"/>
    <w:qFormat/>
    <w:rsid w:val="0072707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2707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2707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2707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2707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2707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2707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2707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2707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707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2707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2707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2707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2707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2707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2707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2707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27071"/>
    <w:rPr>
      <w:rFonts w:eastAsiaTheme="majorEastAsia" w:cstheme="majorBidi"/>
      <w:color w:val="272727" w:themeColor="text1" w:themeTint="D8"/>
    </w:rPr>
  </w:style>
  <w:style w:type="paragraph" w:styleId="Title">
    <w:name w:val="Title"/>
    <w:basedOn w:val="Normal"/>
    <w:next w:val="Normal"/>
    <w:link w:val="TitleChar"/>
    <w:uiPriority w:val="10"/>
    <w:qFormat/>
    <w:rsid w:val="0072707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2707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2707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2707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27071"/>
    <w:pPr>
      <w:spacing w:before="160"/>
      <w:jc w:val="center"/>
    </w:pPr>
    <w:rPr>
      <w:i/>
      <w:iCs/>
      <w:color w:val="404040" w:themeColor="text1" w:themeTint="BF"/>
    </w:rPr>
  </w:style>
  <w:style w:type="character" w:customStyle="1" w:styleId="QuoteChar">
    <w:name w:val="Quote Char"/>
    <w:basedOn w:val="DefaultParagraphFont"/>
    <w:link w:val="Quote"/>
    <w:uiPriority w:val="29"/>
    <w:rsid w:val="00727071"/>
    <w:rPr>
      <w:i/>
      <w:iCs/>
      <w:color w:val="404040" w:themeColor="text1" w:themeTint="BF"/>
    </w:rPr>
  </w:style>
  <w:style w:type="paragraph" w:styleId="ListParagraph">
    <w:name w:val="List Paragraph"/>
    <w:basedOn w:val="Normal"/>
    <w:uiPriority w:val="34"/>
    <w:qFormat/>
    <w:rsid w:val="00727071"/>
    <w:pPr>
      <w:ind w:left="720"/>
      <w:contextualSpacing/>
    </w:pPr>
  </w:style>
  <w:style w:type="character" w:styleId="IntenseEmphasis">
    <w:name w:val="Intense Emphasis"/>
    <w:basedOn w:val="DefaultParagraphFont"/>
    <w:uiPriority w:val="21"/>
    <w:qFormat/>
    <w:rsid w:val="00727071"/>
    <w:rPr>
      <w:i/>
      <w:iCs/>
      <w:color w:val="0F4761" w:themeColor="accent1" w:themeShade="BF"/>
    </w:rPr>
  </w:style>
  <w:style w:type="paragraph" w:styleId="IntenseQuote">
    <w:name w:val="Intense Quote"/>
    <w:basedOn w:val="Normal"/>
    <w:next w:val="Normal"/>
    <w:link w:val="IntenseQuoteChar"/>
    <w:uiPriority w:val="30"/>
    <w:qFormat/>
    <w:rsid w:val="0072707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27071"/>
    <w:rPr>
      <w:i/>
      <w:iCs/>
      <w:color w:val="0F4761" w:themeColor="accent1" w:themeShade="BF"/>
    </w:rPr>
  </w:style>
  <w:style w:type="character" w:styleId="IntenseReference">
    <w:name w:val="Intense Reference"/>
    <w:basedOn w:val="DefaultParagraphFont"/>
    <w:uiPriority w:val="32"/>
    <w:qFormat/>
    <w:rsid w:val="00727071"/>
    <w:rPr>
      <w:b/>
      <w:bCs/>
      <w:smallCaps/>
      <w:color w:val="0F4761" w:themeColor="accent1" w:themeShade="BF"/>
      <w:spacing w:val="5"/>
    </w:rPr>
  </w:style>
  <w:style w:type="paragraph" w:styleId="Header">
    <w:name w:val="header"/>
    <w:basedOn w:val="Normal"/>
    <w:link w:val="HeaderChar"/>
    <w:uiPriority w:val="99"/>
    <w:unhideWhenUsed/>
    <w:rsid w:val="00727071"/>
    <w:pPr>
      <w:tabs>
        <w:tab w:val="center" w:pos="4513"/>
        <w:tab w:val="right" w:pos="9026"/>
      </w:tabs>
    </w:pPr>
  </w:style>
  <w:style w:type="character" w:customStyle="1" w:styleId="HeaderChar">
    <w:name w:val="Header Char"/>
    <w:basedOn w:val="DefaultParagraphFont"/>
    <w:link w:val="Header"/>
    <w:uiPriority w:val="99"/>
    <w:rsid w:val="00727071"/>
  </w:style>
  <w:style w:type="numbering" w:customStyle="1" w:styleId="CurrentList1">
    <w:name w:val="Current List1"/>
    <w:uiPriority w:val="99"/>
    <w:rsid w:val="009C54C7"/>
    <w:pPr>
      <w:numPr>
        <w:numId w:val="8"/>
      </w:numPr>
    </w:pPr>
  </w:style>
  <w:style w:type="numbering" w:customStyle="1" w:styleId="CurrentList2">
    <w:name w:val="Current List2"/>
    <w:uiPriority w:val="99"/>
    <w:rsid w:val="009C54C7"/>
    <w:pPr>
      <w:numPr>
        <w:numId w:val="11"/>
      </w:numPr>
    </w:pPr>
  </w:style>
  <w:style w:type="table" w:styleId="TableGrid">
    <w:name w:val="Table Grid"/>
    <w:basedOn w:val="TableNormal"/>
    <w:uiPriority w:val="39"/>
    <w:rsid w:val="002602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3">
    <w:name w:val="Current List3"/>
    <w:uiPriority w:val="99"/>
    <w:rsid w:val="00DE77DF"/>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.~WRD0001</Template>
  <TotalTime>27</TotalTime>
  <Pages>2</Pages>
  <Words>366</Words>
  <Characters>2092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Chermaine Chan</dc:creator>
  <cp:keywords/>
  <dc:description/>
  <cp:lastModifiedBy>Chermaine Chan</cp:lastModifiedBy>
  <cp:revision>8</cp:revision>
  <dcterms:created xsi:type="dcterms:W3CDTF">2024-04-22T03:19:00Z</dcterms:created>
  <dcterms:modified xsi:type="dcterms:W3CDTF">2024-08-07T07:52:00Z</dcterms:modified>
</cp:coreProperties>
</file>