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283" w14:textId="6C501F41" w:rsidR="001D69C5" w:rsidRDefault="001D69C5" w:rsidP="000D1EF5">
      <w:pPr>
        <w:pStyle w:val="Heading1"/>
        <w:spacing w:line="276" w:lineRule="auto"/>
        <w:rPr>
          <w:rFonts w:ascii="Times New Roman" w:hAnsi="Times New Roman" w:cs="Times New Roman"/>
          <w:lang w:val="en-US"/>
        </w:rPr>
      </w:pPr>
      <w:bookmarkStart w:id="0" w:name="_Toc67067384"/>
      <w:r w:rsidRPr="00B74DD0">
        <w:rPr>
          <w:rFonts w:ascii="Times New Roman" w:hAnsi="Times New Roman" w:cs="Times New Roman"/>
          <w:lang w:val="en-US"/>
        </w:rPr>
        <w:t xml:space="preserve">Supplementary file </w:t>
      </w:r>
      <w:r>
        <w:rPr>
          <w:rFonts w:ascii="Times New Roman" w:hAnsi="Times New Roman" w:cs="Times New Roman"/>
          <w:lang w:val="en-US"/>
        </w:rPr>
        <w:t>4</w:t>
      </w:r>
      <w:r w:rsidRPr="00B74DD0">
        <w:rPr>
          <w:rFonts w:ascii="Times New Roman" w:hAnsi="Times New Roman" w:cs="Times New Roman"/>
          <w:lang w:val="en-US"/>
        </w:rPr>
        <w:t xml:space="preserve">: </w:t>
      </w:r>
      <w:r>
        <w:rPr>
          <w:rFonts w:ascii="Times New Roman" w:hAnsi="Times New Roman" w:cs="Times New Roman"/>
          <w:lang w:val="en-US"/>
        </w:rPr>
        <w:t>Budget Impact Analysis</w:t>
      </w:r>
    </w:p>
    <w:p w14:paraId="654DDEB4" w14:textId="50364770" w:rsidR="001D69C5" w:rsidRPr="00B74DD0" w:rsidRDefault="001D69C5" w:rsidP="000D1EF5">
      <w:pPr>
        <w:pStyle w:val="NoSpacing"/>
        <w:rPr>
          <w:rFonts w:ascii="Times New Roman" w:hAnsi="Times New Roman" w:cs="Times New Roman"/>
        </w:rPr>
      </w:pPr>
      <w:r w:rsidRPr="00B74DD0">
        <w:rPr>
          <w:rFonts w:ascii="Times New Roman" w:hAnsi="Times New Roman" w:cs="Times New Roman"/>
        </w:rPr>
        <w:t xml:space="preserve">To produce the Health Technology Assessment (HTA) for Palestine, among other things </w:t>
      </w:r>
      <w:r>
        <w:rPr>
          <w:rFonts w:ascii="Times New Roman" w:hAnsi="Times New Roman" w:cs="Times New Roman"/>
        </w:rPr>
        <w:t>budget impact analysis (BIA)</w:t>
      </w:r>
      <w:r w:rsidRPr="00B74DD0">
        <w:rPr>
          <w:rFonts w:ascii="Times New Roman" w:hAnsi="Times New Roman" w:cs="Times New Roman"/>
        </w:rPr>
        <w:t xml:space="preserve">. Below we describe the methods in more detail and provide the search strategy. </w:t>
      </w:r>
    </w:p>
    <w:p w14:paraId="75AE24FB" w14:textId="77777777" w:rsidR="001D69C5" w:rsidRDefault="001D69C5" w:rsidP="000D1EF5">
      <w:pPr>
        <w:pStyle w:val="Heading3"/>
        <w:spacing w:line="276" w:lineRule="auto"/>
        <w:rPr>
          <w:rFonts w:ascii="Times New Roman" w:hAnsi="Times New Roman"/>
        </w:rPr>
      </w:pPr>
    </w:p>
    <w:p w14:paraId="715E16FE" w14:textId="4D5F76F8" w:rsidR="001D69C5" w:rsidRPr="001D69C5" w:rsidRDefault="001D69C5" w:rsidP="000D1EF5">
      <w:pPr>
        <w:pStyle w:val="Heading3"/>
        <w:spacing w:line="276" w:lineRule="auto"/>
        <w:rPr>
          <w:rFonts w:ascii="Times New Roman" w:hAnsi="Times New Roman"/>
          <w:color w:val="000000" w:themeColor="text1"/>
        </w:rPr>
      </w:pPr>
      <w:r w:rsidRPr="001D69C5">
        <w:rPr>
          <w:rFonts w:ascii="Times New Roman" w:hAnsi="Times New Roman"/>
        </w:rPr>
        <w:t>Methods of the Budget Impact Analysis</w:t>
      </w:r>
      <w:bookmarkEnd w:id="0"/>
    </w:p>
    <w:p w14:paraId="41A5051C" w14:textId="0FD80B69"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The objective of the budget impact analysis</w:t>
      </w:r>
      <w:r>
        <w:rPr>
          <w:rFonts w:ascii="Times New Roman" w:hAnsi="Times New Roman" w:cs="Times New Roman"/>
        </w:rPr>
        <w:t xml:space="preserve"> </w:t>
      </w:r>
      <w:r w:rsidRPr="001D69C5">
        <w:rPr>
          <w:rFonts w:ascii="Times New Roman" w:hAnsi="Times New Roman" w:cs="Times New Roman"/>
        </w:rPr>
        <w:t xml:space="preserve">was to assess the financial implications of implementing mammography screening. We evaluated the screening costs over a five-year period, taking the perspective of the MoH to present the total costs of screening a given population of eligible women per year. </w:t>
      </w:r>
    </w:p>
    <w:p w14:paraId="72C1E04E" w14:textId="77777777" w:rsidR="001D69C5" w:rsidRPr="001D69C5" w:rsidRDefault="001D69C5" w:rsidP="000D1EF5">
      <w:pPr>
        <w:pStyle w:val="NoSpacing"/>
        <w:rPr>
          <w:rFonts w:ascii="Times New Roman" w:hAnsi="Times New Roman" w:cs="Times New Roman"/>
        </w:rPr>
      </w:pPr>
    </w:p>
    <w:p w14:paraId="12C70813" w14:textId="527BFDE4" w:rsidR="001D69C5" w:rsidRPr="001D69C5" w:rsidRDefault="001D69C5" w:rsidP="000D1EF5">
      <w:pPr>
        <w:pStyle w:val="Heading4"/>
        <w:spacing w:line="276" w:lineRule="auto"/>
        <w:rPr>
          <w:rFonts w:ascii="Times New Roman" w:hAnsi="Times New Roman"/>
        </w:rPr>
      </w:pPr>
      <w:r w:rsidRPr="001D69C5">
        <w:rPr>
          <w:rFonts w:ascii="Times New Roman" w:hAnsi="Times New Roman"/>
        </w:rPr>
        <w:t>The Budget Impact Analysis Model</w:t>
      </w:r>
    </w:p>
    <w:p w14:paraId="788D7E91" w14:textId="77777777"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A deterministic model was created in Microsoft Excel to simulate an organized population-based breast cancer screening program (Figure 1). The model simulates the screening process of an entire population of eligible women in a given year, based on set screening guidelines. The target population included all eligible asymptomatic women according to a given guideline. It was assumed that all women in the target population were offered (or invited) to screen. These women could either participate in the screening program or not (i.e., die from all causes or be lost to follow-up). Women who participated in the program would either get a positive or negative test result. We assumed that women testing positive would be recalled for further testing.</w:t>
      </w:r>
    </w:p>
    <w:p w14:paraId="673D6D52" w14:textId="77777777" w:rsidR="001D69C5" w:rsidRPr="001D69C5" w:rsidRDefault="001D69C5" w:rsidP="000D1EF5">
      <w:pPr>
        <w:pStyle w:val="NoSpacing"/>
        <w:rPr>
          <w:rFonts w:ascii="Times New Roman" w:hAnsi="Times New Roman" w:cs="Times New Roman"/>
          <w:b/>
          <w:bCs/>
        </w:rPr>
      </w:pPr>
    </w:p>
    <w:p w14:paraId="3A97CB51" w14:textId="77777777" w:rsidR="001D69C5" w:rsidRPr="001D69C5" w:rsidRDefault="001D69C5" w:rsidP="000D1EF5">
      <w:pPr>
        <w:pStyle w:val="NoSpacing"/>
        <w:rPr>
          <w:rFonts w:ascii="Times New Roman" w:hAnsi="Times New Roman" w:cs="Times New Roman"/>
          <w:b/>
          <w:bCs/>
        </w:rPr>
      </w:pPr>
      <w:r w:rsidRPr="001D69C5">
        <w:rPr>
          <w:rFonts w:ascii="Times New Roman" w:hAnsi="Times New Roman" w:cs="Times New Roman"/>
          <w:b/>
          <w:bCs/>
        </w:rPr>
        <w:t>Figure 1: Deterministic Model</w:t>
      </w:r>
    </w:p>
    <w:p w14:paraId="6C5FA4CF" w14:textId="77777777"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noProof/>
        </w:rPr>
        <w:drawing>
          <wp:inline distT="0" distB="0" distL="0" distR="0" wp14:anchorId="67C360C8" wp14:editId="4D64D244">
            <wp:extent cx="5757638" cy="1348509"/>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ee v4_2.png"/>
                    <pic:cNvPicPr/>
                  </pic:nvPicPr>
                  <pic:blipFill rotWithShape="1">
                    <a:blip r:embed="rId4">
                      <a:extLst>
                        <a:ext uri="{28A0092B-C50C-407E-A947-70E740481C1C}">
                          <a14:useLocalDpi xmlns:a14="http://schemas.microsoft.com/office/drawing/2010/main" val="0"/>
                        </a:ext>
                      </a:extLst>
                    </a:blip>
                    <a:srcRect l="1925" r="5077"/>
                    <a:stretch/>
                  </pic:blipFill>
                  <pic:spPr bwMode="auto">
                    <a:xfrm>
                      <a:off x="0" y="0"/>
                      <a:ext cx="5798066" cy="1357978"/>
                    </a:xfrm>
                    <a:prstGeom prst="rect">
                      <a:avLst/>
                    </a:prstGeom>
                    <a:ln>
                      <a:noFill/>
                    </a:ln>
                    <a:extLst>
                      <a:ext uri="{53640926-AAD7-44D8-BBD7-CCE9431645EC}">
                        <a14:shadowObscured xmlns:a14="http://schemas.microsoft.com/office/drawing/2010/main"/>
                      </a:ext>
                    </a:extLst>
                  </pic:spPr>
                </pic:pic>
              </a:graphicData>
            </a:graphic>
          </wp:inline>
        </w:drawing>
      </w:r>
    </w:p>
    <w:p w14:paraId="2C4296DB" w14:textId="20BCC653" w:rsidR="001D69C5" w:rsidRDefault="001D69C5" w:rsidP="000D1EF5">
      <w:pPr>
        <w:pStyle w:val="Tabledescriptions"/>
        <w:rPr>
          <w:rFonts w:ascii="Times New Roman" w:hAnsi="Times New Roman" w:cs="Times New Roman"/>
        </w:rPr>
      </w:pPr>
      <w:r w:rsidRPr="001D69C5">
        <w:rPr>
          <w:rFonts w:ascii="Times New Roman" w:hAnsi="Times New Roman" w:cs="Times New Roman"/>
        </w:rPr>
        <w:t xml:space="preserve">Model was adapted from a similar BIA of breast cancer screening in </w:t>
      </w:r>
      <w:r w:rsidRPr="001D69C5">
        <w:rPr>
          <w:rFonts w:ascii="Times New Roman" w:hAnsi="Times New Roman" w:cs="Times New Roman"/>
        </w:rPr>
        <w:fldChar w:fldCharType="begin"/>
      </w:r>
      <w:r w:rsidR="00565E10">
        <w:rPr>
          <w:rFonts w:ascii="Times New Roman" w:hAnsi="Times New Roman" w:cs="Times New Roman"/>
        </w:rPr>
        <w:instrText xml:space="preserve"> ADDIN EN.CITE &lt;EndNote&gt;&lt;Cite&gt;&lt;Author&gt;Comas&lt;/Author&gt;&lt;Year&gt;2014&lt;/Year&gt;&lt;RecNum&gt;16225&lt;/RecNum&gt;&lt;IDText&gt;Budget impact analysis of switching to digital mammography in a population-based breast cancer screening program: a discrete event simulation model&lt;/IDText&gt;&lt;DisplayText&gt;(1)&lt;/DisplayText&gt;&lt;record&gt;&lt;rec-number&gt;16225&lt;/rec-number&gt;&lt;foreign-keys&gt;&lt;key app="EN" db-id="dettfreaqdwftmevrvgvred20e0tszfxxwdr" timestamp="1614528303" guid="cddb88e7-ef5c-4a54-99b6-c26d8873b979"&gt;16225&lt;/key&gt;&lt;/foreign-keys&gt;&lt;ref-type name="Journal Article"&gt;17&lt;/ref-type&gt;&lt;contributors&gt;&lt;authors&gt;&lt;author&gt;Comas, Mercè&lt;/author&gt;&lt;author&gt;Arrospide, Arantzazu&lt;/author&gt;&lt;author&gt;Mar, Javier&lt;/author&gt;&lt;author&gt;Sala, Maria&lt;/author&gt;&lt;author&gt;Vilaprinyó, Ester&lt;/author&gt;&lt;author&gt;Hernández, Cristina&lt;/author&gt;&lt;author&gt;Cots, Francesc&lt;/author&gt;&lt;author&gt;Martínez, Juan&lt;/author&gt;&lt;author&gt;Castells, Xavier&lt;/author&gt;&lt;/authors&gt;&lt;/contributors&gt;&lt;titles&gt;&lt;title&gt;Budget impact analysis of switching to digital mammography in a population-based breast cancer screening program: a discrete event simulation model&lt;/title&gt;&lt;secondary-title&gt;PLoS One&lt;/secondary-title&gt;&lt;/titles&gt;&lt;periodical&gt;&lt;full-title&gt;PLoS ONE&lt;/full-title&gt;&lt;/periodical&gt;&lt;pages&gt;e97459&lt;/pages&gt;&lt;volume&gt;9&lt;/volume&gt;&lt;number&gt;5&lt;/number&gt;&lt;dates&gt;&lt;year&gt;2014&lt;/year&gt;&lt;/dates&gt;&lt;publisher&gt;Public Library of Science&lt;/publisher&gt;&lt;isbn&gt;1932-6203&lt;/isbn&gt;&lt;urls&gt;&lt;/urls&gt;&lt;/record&gt;&lt;/Cite&gt;&lt;/EndNote&gt;</w:instrText>
      </w:r>
      <w:r w:rsidRPr="001D69C5">
        <w:rPr>
          <w:rFonts w:ascii="Times New Roman" w:hAnsi="Times New Roman" w:cs="Times New Roman"/>
        </w:rPr>
        <w:fldChar w:fldCharType="separate"/>
      </w:r>
      <w:r w:rsidR="00565E10">
        <w:rPr>
          <w:rFonts w:ascii="Times New Roman" w:hAnsi="Times New Roman" w:cs="Times New Roman"/>
          <w:noProof/>
        </w:rPr>
        <w:t>(1)</w:t>
      </w:r>
      <w:r w:rsidRPr="001D69C5">
        <w:rPr>
          <w:rFonts w:ascii="Times New Roman" w:hAnsi="Times New Roman" w:cs="Times New Roman"/>
        </w:rPr>
        <w:fldChar w:fldCharType="end"/>
      </w:r>
      <w:r w:rsidRPr="001D69C5">
        <w:rPr>
          <w:rFonts w:ascii="Times New Roman" w:hAnsi="Times New Roman" w:cs="Times New Roman"/>
        </w:rPr>
        <w:t xml:space="preserve">. </w:t>
      </w:r>
    </w:p>
    <w:p w14:paraId="062388BA" w14:textId="77777777" w:rsidR="001D69C5" w:rsidRPr="001D69C5" w:rsidRDefault="001D69C5" w:rsidP="000D1EF5">
      <w:pPr>
        <w:pStyle w:val="Tabledescriptions"/>
        <w:rPr>
          <w:rFonts w:ascii="Times New Roman" w:hAnsi="Times New Roman" w:cs="Times New Roman"/>
        </w:rPr>
      </w:pPr>
    </w:p>
    <w:p w14:paraId="11A21A91" w14:textId="7DD8DF27"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The eligible population were asymptomatic women aged 40 and older living in the West Bank. The reason for choosing the youngest age is reflected in the recommendations in the guidelines included in this BIA, where the youngest age included in screening is 40. The eligible population in the first year of the analysis (2019/2020) was estimated to be 307,019 women</w:t>
      </w:r>
      <w:r>
        <w:rPr>
          <w:rFonts w:ascii="Times New Roman" w:hAnsi="Times New Roman" w:cs="Times New Roman"/>
        </w:rPr>
        <w:t xml:space="preserve">. </w:t>
      </w:r>
      <w:r w:rsidRPr="001D69C5">
        <w:rPr>
          <w:rFonts w:ascii="Times New Roman" w:hAnsi="Times New Roman" w:cs="Times New Roman"/>
        </w:rPr>
        <w:t>An annual growth rate of 2.28% was used to reflect changes in the target population over the five-year period.</w:t>
      </w:r>
    </w:p>
    <w:p w14:paraId="12E1D956" w14:textId="77777777" w:rsidR="001D69C5" w:rsidRPr="001D69C5" w:rsidRDefault="001D69C5" w:rsidP="000D1EF5">
      <w:pPr>
        <w:pStyle w:val="NoSpacing"/>
        <w:rPr>
          <w:rFonts w:ascii="Times New Roman" w:hAnsi="Times New Roman" w:cs="Times New Roman"/>
        </w:rPr>
      </w:pPr>
    </w:p>
    <w:p w14:paraId="7D5B759B" w14:textId="34F4795F"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We modeled three scenarios based on</w:t>
      </w:r>
      <w:r>
        <w:rPr>
          <w:rFonts w:ascii="Times New Roman" w:hAnsi="Times New Roman" w:cs="Times New Roman"/>
        </w:rPr>
        <w:t xml:space="preserve">: </w:t>
      </w:r>
      <w:r w:rsidRPr="001D69C5">
        <w:rPr>
          <w:rFonts w:ascii="Times New Roman" w:hAnsi="Times New Roman" w:cs="Times New Roman"/>
        </w:rPr>
        <w:t>1) the Palestinian screening protocol, 2) the EU protocol and 3) the W</w:t>
      </w:r>
      <w:r>
        <w:rPr>
          <w:rFonts w:ascii="Times New Roman" w:hAnsi="Times New Roman" w:cs="Times New Roman"/>
        </w:rPr>
        <w:t xml:space="preserve">orld Health Organization (WHO) </w:t>
      </w:r>
      <w:r w:rsidRPr="001D69C5">
        <w:rPr>
          <w:rFonts w:ascii="Times New Roman" w:hAnsi="Times New Roman" w:cs="Times New Roman"/>
        </w:rPr>
        <w:t xml:space="preserve">guideline (Table </w:t>
      </w:r>
      <w:r w:rsidR="004F2B71">
        <w:rPr>
          <w:rFonts w:ascii="Times New Roman" w:hAnsi="Times New Roman" w:cs="Times New Roman"/>
        </w:rPr>
        <w:t>1</w:t>
      </w:r>
      <w:r w:rsidRPr="001D69C5">
        <w:rPr>
          <w:rFonts w:ascii="Times New Roman" w:hAnsi="Times New Roman" w:cs="Times New Roman"/>
        </w:rPr>
        <w:t>). The WHO offers guidelines for limited and well-resourced settings, which were both used in our model.</w:t>
      </w:r>
    </w:p>
    <w:p w14:paraId="38BBB272" w14:textId="77777777" w:rsidR="001D69C5" w:rsidRPr="001D69C5" w:rsidRDefault="001D69C5" w:rsidP="000D1EF5">
      <w:pPr>
        <w:pStyle w:val="NoSpacing"/>
        <w:rPr>
          <w:rFonts w:ascii="Times New Roman" w:hAnsi="Times New Roman" w:cs="Times New Roman"/>
        </w:rPr>
      </w:pPr>
    </w:p>
    <w:p w14:paraId="13B99210" w14:textId="77777777"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 xml:space="preserve">The Palestinian guidelines recommend screening women aged 40 to 49 years twice a year and 50 to 59 years once a year. The WHO guideline does not make strong recommendations for the younger and older ages groups, however, for this assessment we assumed that most countries would decide to screen once every two years if following the WHO guidelines. For countries with a strong health system the WHO recommends screening all women 40 years and older once every 2 years. For countries with a strong health system but limited resources, the WHO recommends screening once every 2 years. The </w:t>
      </w:r>
      <w:r w:rsidRPr="001D69C5">
        <w:rPr>
          <w:rFonts w:ascii="Times New Roman" w:hAnsi="Times New Roman" w:cs="Times New Roman"/>
        </w:rPr>
        <w:lastRenderedPageBreak/>
        <w:t xml:space="preserve">European Breast Guidelines recommends starting screening at age 45. The recommended frequency is once every 2 years for women 45 to 64 years and once every three years for women older than 70 years. </w:t>
      </w:r>
    </w:p>
    <w:p w14:paraId="512530B3" w14:textId="77777777" w:rsidR="001D69C5" w:rsidRPr="001D69C5" w:rsidRDefault="001D69C5" w:rsidP="000D1EF5">
      <w:pPr>
        <w:pStyle w:val="NoSpacing"/>
        <w:rPr>
          <w:rFonts w:ascii="Times New Roman" w:hAnsi="Times New Roman" w:cs="Times New Roman"/>
        </w:rPr>
      </w:pPr>
    </w:p>
    <w:p w14:paraId="1ACA2868" w14:textId="4EC2CCCB" w:rsidR="001D69C5" w:rsidRPr="001D69C5" w:rsidRDefault="001D69C5" w:rsidP="000D1EF5">
      <w:pPr>
        <w:pStyle w:val="NoSpacing"/>
        <w:rPr>
          <w:rFonts w:ascii="Times New Roman" w:hAnsi="Times New Roman" w:cs="Times New Roman"/>
          <w:b/>
          <w:bCs/>
        </w:rPr>
      </w:pPr>
      <w:r w:rsidRPr="001D69C5">
        <w:rPr>
          <w:rFonts w:ascii="Times New Roman" w:hAnsi="Times New Roman" w:cs="Times New Roman"/>
          <w:b/>
          <w:bCs/>
        </w:rPr>
        <w:t xml:space="preserve">Table </w:t>
      </w:r>
      <w:r w:rsidR="004F2B71">
        <w:rPr>
          <w:rFonts w:ascii="Times New Roman" w:hAnsi="Times New Roman" w:cs="Times New Roman"/>
          <w:b/>
          <w:bCs/>
        </w:rPr>
        <w:t>1</w:t>
      </w:r>
      <w:r w:rsidRPr="001D69C5">
        <w:rPr>
          <w:rFonts w:ascii="Times New Roman" w:hAnsi="Times New Roman" w:cs="Times New Roman"/>
          <w:b/>
          <w:bCs/>
        </w:rPr>
        <w:t>. Population and women covered under a specific guideline</w:t>
      </w:r>
    </w:p>
    <w:tbl>
      <w:tblPr>
        <w:tblStyle w:val="TableGrid"/>
        <w:tblW w:w="5000" w:type="pct"/>
        <w:tblLook w:val="06A0" w:firstRow="1" w:lastRow="0" w:firstColumn="1" w:lastColumn="0" w:noHBand="1" w:noVBand="1"/>
      </w:tblPr>
      <w:tblGrid>
        <w:gridCol w:w="1285"/>
        <w:gridCol w:w="1285"/>
        <w:gridCol w:w="1287"/>
        <w:gridCol w:w="1305"/>
        <w:gridCol w:w="1332"/>
        <w:gridCol w:w="1285"/>
        <w:gridCol w:w="1283"/>
      </w:tblGrid>
      <w:tr w:rsidR="001D69C5" w:rsidRPr="001D69C5" w14:paraId="7E217DA9" w14:textId="77777777" w:rsidTr="002E5941">
        <w:tc>
          <w:tcPr>
            <w:tcW w:w="709" w:type="pct"/>
            <w:vMerge w:val="restart"/>
            <w:tcBorders>
              <w:right w:val="nil"/>
            </w:tcBorders>
            <w:shd w:val="clear" w:color="auto" w:fill="BFBFBF" w:themeFill="background1" w:themeFillShade="BF"/>
            <w:vAlign w:val="center"/>
          </w:tcPr>
          <w:p w14:paraId="587CEE67" w14:textId="77777777" w:rsidR="001D69C5" w:rsidRPr="001D69C5" w:rsidRDefault="001D69C5" w:rsidP="000D1EF5">
            <w:pPr>
              <w:pStyle w:val="Tabelltekst"/>
              <w:spacing w:line="276" w:lineRule="auto"/>
              <w:rPr>
                <w:rFonts w:ascii="Times New Roman" w:hAnsi="Times New Roman" w:cs="Times New Roman"/>
                <w:b/>
                <w:sz w:val="20"/>
                <w:szCs w:val="20"/>
                <w:lang w:val="en-US"/>
              </w:rPr>
            </w:pPr>
          </w:p>
          <w:p w14:paraId="4BD2D057" w14:textId="77777777" w:rsidR="001D69C5" w:rsidRPr="001D69C5" w:rsidRDefault="001D69C5" w:rsidP="000D1EF5">
            <w:pPr>
              <w:pStyle w:val="Tabelltekst"/>
              <w:spacing w:line="276" w:lineRule="auto"/>
              <w:rPr>
                <w:rFonts w:ascii="Times New Roman" w:hAnsi="Times New Roman" w:cs="Times New Roman"/>
                <w:b/>
                <w:sz w:val="20"/>
                <w:szCs w:val="20"/>
                <w:lang w:val="en-US"/>
              </w:rPr>
            </w:pPr>
          </w:p>
          <w:p w14:paraId="718F7B29"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Age interval</w:t>
            </w:r>
          </w:p>
        </w:tc>
        <w:tc>
          <w:tcPr>
            <w:tcW w:w="1419" w:type="pct"/>
            <w:gridSpan w:val="2"/>
            <w:tcBorders>
              <w:left w:val="nil"/>
              <w:right w:val="nil"/>
            </w:tcBorders>
            <w:shd w:val="clear" w:color="auto" w:fill="BFBFBF" w:themeFill="background1" w:themeFillShade="BF"/>
            <w:vAlign w:val="center"/>
          </w:tcPr>
          <w:p w14:paraId="2874C0C4"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Population</w:t>
            </w:r>
          </w:p>
        </w:tc>
        <w:tc>
          <w:tcPr>
            <w:tcW w:w="2873" w:type="pct"/>
            <w:gridSpan w:val="4"/>
            <w:tcBorders>
              <w:left w:val="nil"/>
            </w:tcBorders>
            <w:shd w:val="clear" w:color="auto" w:fill="BFBFBF" w:themeFill="background1" w:themeFillShade="BF"/>
            <w:vAlign w:val="center"/>
          </w:tcPr>
          <w:p w14:paraId="2213F632"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 xml:space="preserve">Guideline interpretations </w:t>
            </w:r>
          </w:p>
          <w:p w14:paraId="72D8B194"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Frequency &amp; Interval women target in screening</w:t>
            </w:r>
          </w:p>
        </w:tc>
      </w:tr>
      <w:tr w:rsidR="001D69C5" w:rsidRPr="001D69C5" w14:paraId="7C49F80F" w14:textId="77777777" w:rsidTr="002E5941">
        <w:tc>
          <w:tcPr>
            <w:tcW w:w="709" w:type="pct"/>
            <w:vMerge/>
            <w:vAlign w:val="center"/>
          </w:tcPr>
          <w:p w14:paraId="65DEC92F" w14:textId="77777777" w:rsidR="001D69C5" w:rsidRPr="001D69C5" w:rsidRDefault="001D69C5" w:rsidP="000D1EF5">
            <w:pPr>
              <w:pStyle w:val="Tabelltekst"/>
              <w:spacing w:line="276" w:lineRule="auto"/>
              <w:rPr>
                <w:rFonts w:ascii="Times New Roman" w:hAnsi="Times New Roman" w:cs="Times New Roman"/>
                <w:b/>
                <w:lang w:val="en-US"/>
              </w:rPr>
            </w:pPr>
          </w:p>
        </w:tc>
        <w:tc>
          <w:tcPr>
            <w:tcW w:w="709" w:type="pct"/>
            <w:tcBorders>
              <w:left w:val="nil"/>
              <w:right w:val="nil"/>
            </w:tcBorders>
            <w:shd w:val="clear" w:color="auto" w:fill="D9D9D9" w:themeFill="background1" w:themeFillShade="D9"/>
            <w:vAlign w:val="center"/>
          </w:tcPr>
          <w:p w14:paraId="2ED8F59A"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Palestine</w:t>
            </w:r>
          </w:p>
        </w:tc>
        <w:tc>
          <w:tcPr>
            <w:tcW w:w="709" w:type="pct"/>
            <w:tcBorders>
              <w:left w:val="nil"/>
              <w:right w:val="nil"/>
            </w:tcBorders>
            <w:shd w:val="clear" w:color="auto" w:fill="D9D9D9" w:themeFill="background1" w:themeFillShade="D9"/>
            <w:vAlign w:val="center"/>
          </w:tcPr>
          <w:p w14:paraId="5452F381"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West Bank</w:t>
            </w:r>
          </w:p>
        </w:tc>
        <w:tc>
          <w:tcPr>
            <w:tcW w:w="720" w:type="pct"/>
            <w:tcBorders>
              <w:left w:val="nil"/>
            </w:tcBorders>
            <w:shd w:val="clear" w:color="auto" w:fill="D9D9D9" w:themeFill="background1" w:themeFillShade="D9"/>
            <w:vAlign w:val="center"/>
          </w:tcPr>
          <w:p w14:paraId="0D547E8C"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WHO well resourced**</w:t>
            </w:r>
          </w:p>
        </w:tc>
        <w:tc>
          <w:tcPr>
            <w:tcW w:w="735" w:type="pct"/>
            <w:shd w:val="clear" w:color="auto" w:fill="D9D9D9" w:themeFill="background1" w:themeFillShade="D9"/>
            <w:vAlign w:val="center"/>
          </w:tcPr>
          <w:p w14:paraId="7D877CCC"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WHO</w:t>
            </w:r>
            <w:r w:rsidRPr="001D69C5">
              <w:rPr>
                <w:rFonts w:ascii="Times New Roman" w:hAnsi="Times New Roman" w:cs="Times New Roman"/>
                <w:i/>
                <w:color w:val="D9D9D9" w:themeColor="background1" w:themeShade="D9"/>
                <w:sz w:val="20"/>
                <w:szCs w:val="20"/>
                <w:lang w:val="en-US"/>
              </w:rPr>
              <w:t>.</w:t>
            </w:r>
            <w:r w:rsidRPr="001D69C5">
              <w:rPr>
                <w:rFonts w:ascii="Times New Roman" w:hAnsi="Times New Roman" w:cs="Times New Roman"/>
                <w:i/>
                <w:sz w:val="20"/>
                <w:szCs w:val="20"/>
                <w:lang w:val="en-US"/>
              </w:rPr>
              <w:t>limited resources**</w:t>
            </w:r>
          </w:p>
        </w:tc>
        <w:tc>
          <w:tcPr>
            <w:tcW w:w="709" w:type="pct"/>
            <w:shd w:val="clear" w:color="auto" w:fill="D9D9D9" w:themeFill="background1" w:themeFillShade="D9"/>
            <w:vAlign w:val="center"/>
          </w:tcPr>
          <w:p w14:paraId="51CBAA4D"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EU</w:t>
            </w:r>
          </w:p>
        </w:tc>
        <w:tc>
          <w:tcPr>
            <w:tcW w:w="709" w:type="pct"/>
            <w:shd w:val="clear" w:color="auto" w:fill="D9D9D9" w:themeFill="background1" w:themeFillShade="D9"/>
            <w:vAlign w:val="center"/>
          </w:tcPr>
          <w:p w14:paraId="0D51201F"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Palestine</w:t>
            </w:r>
          </w:p>
        </w:tc>
      </w:tr>
      <w:tr w:rsidR="001D69C5" w:rsidRPr="001D69C5" w14:paraId="10DC7C40" w14:textId="77777777" w:rsidTr="002E5941">
        <w:tc>
          <w:tcPr>
            <w:tcW w:w="709" w:type="pct"/>
            <w:tcBorders>
              <w:right w:val="nil"/>
            </w:tcBorders>
            <w:shd w:val="clear" w:color="auto" w:fill="BFBFBF" w:themeFill="background1" w:themeFillShade="BF"/>
            <w:vAlign w:val="center"/>
          </w:tcPr>
          <w:p w14:paraId="3CBE5D7F"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40 - 44</w:t>
            </w:r>
          </w:p>
        </w:tc>
        <w:tc>
          <w:tcPr>
            <w:tcW w:w="709" w:type="pct"/>
            <w:tcBorders>
              <w:left w:val="nil"/>
              <w:right w:val="nil"/>
            </w:tcBorders>
            <w:shd w:val="clear" w:color="auto" w:fill="F2F2F2" w:themeFill="background1" w:themeFillShade="F2"/>
            <w:vAlign w:val="center"/>
          </w:tcPr>
          <w:p w14:paraId="6E15A953"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114,749</w:t>
            </w:r>
          </w:p>
        </w:tc>
        <w:tc>
          <w:tcPr>
            <w:tcW w:w="709" w:type="pct"/>
            <w:tcBorders>
              <w:left w:val="nil"/>
              <w:right w:val="nil"/>
            </w:tcBorders>
            <w:shd w:val="clear" w:color="auto" w:fill="F2F2F2" w:themeFill="background1" w:themeFillShade="F2"/>
            <w:vAlign w:val="center"/>
          </w:tcPr>
          <w:p w14:paraId="500DCD5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75,286</w:t>
            </w:r>
          </w:p>
        </w:tc>
        <w:tc>
          <w:tcPr>
            <w:tcW w:w="720" w:type="pct"/>
            <w:tcBorders>
              <w:left w:val="nil"/>
            </w:tcBorders>
            <w:vAlign w:val="center"/>
          </w:tcPr>
          <w:p w14:paraId="3C8B439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45ABFE0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color w:val="000000" w:themeColor="text1"/>
                <w:sz w:val="20"/>
                <w:szCs w:val="20"/>
                <w:lang w:val="en-US"/>
              </w:rPr>
              <w:t>2</w:t>
            </w:r>
            <w:r w:rsidRPr="001D69C5">
              <w:rPr>
                <w:rFonts w:ascii="Times New Roman" w:hAnsi="Times New Roman" w:cs="Times New Roman"/>
                <w:sz w:val="20"/>
                <w:szCs w:val="20"/>
                <w:lang w:val="en-US"/>
              </w:rPr>
              <w:t xml:space="preserve"> years</w:t>
            </w:r>
          </w:p>
        </w:tc>
        <w:tc>
          <w:tcPr>
            <w:tcW w:w="735" w:type="pct"/>
            <w:vAlign w:val="center"/>
          </w:tcPr>
          <w:p w14:paraId="723CF8AE"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c>
          <w:tcPr>
            <w:tcW w:w="709" w:type="pct"/>
            <w:vAlign w:val="center"/>
          </w:tcPr>
          <w:p w14:paraId="281D1683"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c>
          <w:tcPr>
            <w:tcW w:w="709" w:type="pct"/>
            <w:vAlign w:val="center"/>
          </w:tcPr>
          <w:p w14:paraId="7EF5574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5217D9B"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1 year</w:t>
            </w:r>
          </w:p>
        </w:tc>
      </w:tr>
      <w:tr w:rsidR="001D69C5" w:rsidRPr="001D69C5" w14:paraId="17EDD829" w14:textId="77777777" w:rsidTr="002E5941">
        <w:tc>
          <w:tcPr>
            <w:tcW w:w="709" w:type="pct"/>
            <w:tcBorders>
              <w:right w:val="nil"/>
            </w:tcBorders>
            <w:shd w:val="clear" w:color="auto" w:fill="BFBFBF" w:themeFill="background1" w:themeFillShade="BF"/>
            <w:vAlign w:val="center"/>
          </w:tcPr>
          <w:p w14:paraId="75976E07"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45 - 49</w:t>
            </w:r>
          </w:p>
        </w:tc>
        <w:tc>
          <w:tcPr>
            <w:tcW w:w="709" w:type="pct"/>
            <w:tcBorders>
              <w:left w:val="nil"/>
              <w:right w:val="nil"/>
            </w:tcBorders>
            <w:shd w:val="clear" w:color="auto" w:fill="F2F2F2" w:themeFill="background1" w:themeFillShade="F2"/>
            <w:vAlign w:val="center"/>
          </w:tcPr>
          <w:p w14:paraId="4D64E705"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95,619</w:t>
            </w:r>
          </w:p>
        </w:tc>
        <w:tc>
          <w:tcPr>
            <w:tcW w:w="709" w:type="pct"/>
            <w:tcBorders>
              <w:left w:val="nil"/>
              <w:right w:val="nil"/>
            </w:tcBorders>
            <w:shd w:val="clear" w:color="auto" w:fill="F2F2F2" w:themeFill="background1" w:themeFillShade="F2"/>
            <w:vAlign w:val="center"/>
          </w:tcPr>
          <w:p w14:paraId="32FF9AF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63,924</w:t>
            </w:r>
          </w:p>
        </w:tc>
        <w:tc>
          <w:tcPr>
            <w:tcW w:w="720" w:type="pct"/>
            <w:tcBorders>
              <w:left w:val="nil"/>
            </w:tcBorders>
            <w:vAlign w:val="center"/>
          </w:tcPr>
          <w:p w14:paraId="12E98C2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4B30033"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vAlign w:val="center"/>
          </w:tcPr>
          <w:p w14:paraId="021B6F4F"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c>
          <w:tcPr>
            <w:tcW w:w="709" w:type="pct"/>
            <w:vAlign w:val="center"/>
          </w:tcPr>
          <w:p w14:paraId="7189E7D0"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528F06A8"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53FF41C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028A8A72"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1 years</w:t>
            </w:r>
          </w:p>
        </w:tc>
      </w:tr>
      <w:tr w:rsidR="001D69C5" w:rsidRPr="001D69C5" w14:paraId="3615D933" w14:textId="77777777" w:rsidTr="002E5941">
        <w:tc>
          <w:tcPr>
            <w:tcW w:w="709" w:type="pct"/>
            <w:tcBorders>
              <w:right w:val="nil"/>
            </w:tcBorders>
            <w:shd w:val="clear" w:color="auto" w:fill="BFBFBF" w:themeFill="background1" w:themeFillShade="BF"/>
            <w:vAlign w:val="center"/>
          </w:tcPr>
          <w:p w14:paraId="1A8A5ED6"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50 - 54</w:t>
            </w:r>
          </w:p>
        </w:tc>
        <w:tc>
          <w:tcPr>
            <w:tcW w:w="709" w:type="pct"/>
            <w:tcBorders>
              <w:left w:val="nil"/>
              <w:right w:val="nil"/>
            </w:tcBorders>
            <w:shd w:val="clear" w:color="auto" w:fill="F2F2F2" w:themeFill="background1" w:themeFillShade="F2"/>
            <w:vAlign w:val="center"/>
          </w:tcPr>
          <w:p w14:paraId="4964FC3A"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78,084</w:t>
            </w:r>
          </w:p>
        </w:tc>
        <w:tc>
          <w:tcPr>
            <w:tcW w:w="709" w:type="pct"/>
            <w:tcBorders>
              <w:left w:val="nil"/>
              <w:right w:val="nil"/>
            </w:tcBorders>
            <w:shd w:val="clear" w:color="auto" w:fill="F2F2F2" w:themeFill="background1" w:themeFillShade="F2"/>
            <w:vAlign w:val="center"/>
          </w:tcPr>
          <w:p w14:paraId="422D17A9"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52,416</w:t>
            </w:r>
          </w:p>
        </w:tc>
        <w:tc>
          <w:tcPr>
            <w:tcW w:w="720" w:type="pct"/>
            <w:tcBorders>
              <w:left w:val="nil"/>
            </w:tcBorders>
            <w:vAlign w:val="center"/>
          </w:tcPr>
          <w:p w14:paraId="56F1790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08BCB1BA"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vAlign w:val="center"/>
          </w:tcPr>
          <w:p w14:paraId="49FAD82E"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37442B9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4D49E3C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6B4168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65D1B6C0"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395CBEF0"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r>
      <w:tr w:rsidR="001D69C5" w:rsidRPr="001D69C5" w14:paraId="6689C273" w14:textId="77777777" w:rsidTr="002E5941">
        <w:tc>
          <w:tcPr>
            <w:tcW w:w="709" w:type="pct"/>
            <w:tcBorders>
              <w:right w:val="nil"/>
            </w:tcBorders>
            <w:shd w:val="clear" w:color="auto" w:fill="BFBFBF" w:themeFill="background1" w:themeFillShade="BF"/>
            <w:vAlign w:val="center"/>
          </w:tcPr>
          <w:p w14:paraId="7F3A5576"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55 - 59</w:t>
            </w:r>
          </w:p>
        </w:tc>
        <w:tc>
          <w:tcPr>
            <w:tcW w:w="709" w:type="pct"/>
            <w:tcBorders>
              <w:left w:val="nil"/>
              <w:right w:val="nil"/>
            </w:tcBorders>
            <w:shd w:val="clear" w:color="auto" w:fill="F2F2F2" w:themeFill="background1" w:themeFillShade="F2"/>
            <w:vAlign w:val="center"/>
          </w:tcPr>
          <w:p w14:paraId="7BED8B32"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60,053</w:t>
            </w:r>
          </w:p>
        </w:tc>
        <w:tc>
          <w:tcPr>
            <w:tcW w:w="709" w:type="pct"/>
            <w:tcBorders>
              <w:left w:val="nil"/>
              <w:right w:val="nil"/>
            </w:tcBorders>
            <w:shd w:val="clear" w:color="auto" w:fill="F2F2F2" w:themeFill="background1" w:themeFillShade="F2"/>
            <w:vAlign w:val="center"/>
          </w:tcPr>
          <w:p w14:paraId="6301FCC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40,129</w:t>
            </w:r>
          </w:p>
        </w:tc>
        <w:tc>
          <w:tcPr>
            <w:tcW w:w="720" w:type="pct"/>
            <w:tcBorders>
              <w:left w:val="nil"/>
            </w:tcBorders>
            <w:vAlign w:val="center"/>
          </w:tcPr>
          <w:p w14:paraId="5E4AD1EE"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7764726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vAlign w:val="center"/>
          </w:tcPr>
          <w:p w14:paraId="638686B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3AEA8FC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539A2D0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5CBDD1F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792DA11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r>
      <w:tr w:rsidR="001D69C5" w:rsidRPr="001D69C5" w14:paraId="4440CEF2" w14:textId="77777777" w:rsidTr="002E5941">
        <w:tc>
          <w:tcPr>
            <w:tcW w:w="709" w:type="pct"/>
            <w:tcBorders>
              <w:right w:val="nil"/>
            </w:tcBorders>
            <w:shd w:val="clear" w:color="auto" w:fill="BFBFBF" w:themeFill="background1" w:themeFillShade="BF"/>
            <w:vAlign w:val="center"/>
          </w:tcPr>
          <w:p w14:paraId="4DF5A08D"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60 - 64</w:t>
            </w:r>
          </w:p>
        </w:tc>
        <w:tc>
          <w:tcPr>
            <w:tcW w:w="709" w:type="pct"/>
            <w:tcBorders>
              <w:left w:val="nil"/>
              <w:right w:val="nil"/>
            </w:tcBorders>
            <w:shd w:val="clear" w:color="auto" w:fill="F2F2F2" w:themeFill="background1" w:themeFillShade="F2"/>
            <w:vAlign w:val="center"/>
          </w:tcPr>
          <w:p w14:paraId="631D14D7"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41,847</w:t>
            </w:r>
          </w:p>
        </w:tc>
        <w:tc>
          <w:tcPr>
            <w:tcW w:w="709" w:type="pct"/>
            <w:tcBorders>
              <w:left w:val="nil"/>
              <w:right w:val="nil"/>
            </w:tcBorders>
            <w:shd w:val="clear" w:color="auto" w:fill="F2F2F2" w:themeFill="background1" w:themeFillShade="F2"/>
            <w:vAlign w:val="center"/>
          </w:tcPr>
          <w:p w14:paraId="6DB5713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7,360</w:t>
            </w:r>
          </w:p>
        </w:tc>
        <w:tc>
          <w:tcPr>
            <w:tcW w:w="720" w:type="pct"/>
            <w:tcBorders>
              <w:left w:val="nil"/>
            </w:tcBorders>
            <w:vAlign w:val="center"/>
          </w:tcPr>
          <w:p w14:paraId="64C5478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7F55423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vAlign w:val="center"/>
          </w:tcPr>
          <w:p w14:paraId="04DAC2E1"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5772E583"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6DDBC02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266C79F"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5C04EE8F"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r>
      <w:tr w:rsidR="001D69C5" w:rsidRPr="001D69C5" w14:paraId="23B69D5A" w14:textId="77777777" w:rsidTr="002E5941">
        <w:tc>
          <w:tcPr>
            <w:tcW w:w="709" w:type="pct"/>
            <w:tcBorders>
              <w:right w:val="nil"/>
            </w:tcBorders>
            <w:shd w:val="clear" w:color="auto" w:fill="BFBFBF" w:themeFill="background1" w:themeFillShade="BF"/>
            <w:vAlign w:val="center"/>
          </w:tcPr>
          <w:p w14:paraId="05500271"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65 - 69</w:t>
            </w:r>
          </w:p>
        </w:tc>
        <w:tc>
          <w:tcPr>
            <w:tcW w:w="709" w:type="pct"/>
            <w:tcBorders>
              <w:left w:val="nil"/>
              <w:right w:val="nil"/>
            </w:tcBorders>
            <w:shd w:val="clear" w:color="auto" w:fill="F2F2F2" w:themeFill="background1" w:themeFillShade="F2"/>
            <w:vAlign w:val="center"/>
          </w:tcPr>
          <w:p w14:paraId="697A6B6F"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29,928</w:t>
            </w:r>
          </w:p>
        </w:tc>
        <w:tc>
          <w:tcPr>
            <w:tcW w:w="709" w:type="pct"/>
            <w:tcBorders>
              <w:left w:val="nil"/>
              <w:right w:val="nil"/>
            </w:tcBorders>
            <w:shd w:val="clear" w:color="auto" w:fill="F2F2F2" w:themeFill="background1" w:themeFillShade="F2"/>
            <w:vAlign w:val="center"/>
          </w:tcPr>
          <w:p w14:paraId="18787EF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eastAsia="Calibri" w:hAnsi="Times New Roman" w:cs="Times New Roman"/>
                <w:color w:val="000000" w:themeColor="text1"/>
                <w:sz w:val="20"/>
                <w:szCs w:val="20"/>
                <w:lang w:val="en-US"/>
              </w:rPr>
              <w:t>19,528</w:t>
            </w:r>
          </w:p>
        </w:tc>
        <w:tc>
          <w:tcPr>
            <w:tcW w:w="720" w:type="pct"/>
            <w:tcBorders>
              <w:left w:val="nil"/>
            </w:tcBorders>
            <w:vAlign w:val="center"/>
          </w:tcPr>
          <w:p w14:paraId="61AC2E1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571DA9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vAlign w:val="center"/>
          </w:tcPr>
          <w:p w14:paraId="1BDB9458"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51D6C45E"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3738202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7F36D92D"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09" w:type="pct"/>
            <w:vAlign w:val="center"/>
          </w:tcPr>
          <w:p w14:paraId="76367F1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r>
      <w:tr w:rsidR="001D69C5" w:rsidRPr="001D69C5" w14:paraId="5763BE7E" w14:textId="77777777" w:rsidTr="002E5941">
        <w:tc>
          <w:tcPr>
            <w:tcW w:w="709" w:type="pct"/>
            <w:tcBorders>
              <w:bottom w:val="single" w:sz="4" w:space="0" w:color="auto"/>
              <w:right w:val="nil"/>
            </w:tcBorders>
            <w:shd w:val="clear" w:color="auto" w:fill="BFBFBF" w:themeFill="background1" w:themeFillShade="BF"/>
            <w:vAlign w:val="center"/>
          </w:tcPr>
          <w:p w14:paraId="2FBF533F"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70 - 74</w:t>
            </w:r>
          </w:p>
        </w:tc>
        <w:tc>
          <w:tcPr>
            <w:tcW w:w="709" w:type="pct"/>
            <w:tcBorders>
              <w:left w:val="nil"/>
              <w:bottom w:val="single" w:sz="4" w:space="0" w:color="auto"/>
              <w:right w:val="nil"/>
            </w:tcBorders>
            <w:shd w:val="clear" w:color="auto" w:fill="F2F2F2" w:themeFill="background1" w:themeFillShade="F2"/>
            <w:vAlign w:val="center"/>
          </w:tcPr>
          <w:p w14:paraId="59E971A6"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58,290</w:t>
            </w:r>
          </w:p>
        </w:tc>
        <w:tc>
          <w:tcPr>
            <w:tcW w:w="709" w:type="pct"/>
            <w:tcBorders>
              <w:left w:val="nil"/>
              <w:bottom w:val="single" w:sz="4" w:space="0" w:color="auto"/>
              <w:right w:val="nil"/>
            </w:tcBorders>
            <w:shd w:val="clear" w:color="auto" w:fill="F2F2F2" w:themeFill="background1" w:themeFillShade="F2"/>
            <w:vAlign w:val="center"/>
          </w:tcPr>
          <w:p w14:paraId="6BB9DE5E" w14:textId="77777777" w:rsidR="001D69C5" w:rsidRPr="001D69C5" w:rsidRDefault="001D69C5" w:rsidP="000D1EF5">
            <w:pPr>
              <w:pStyle w:val="Tabelltekst"/>
              <w:spacing w:line="276" w:lineRule="auto"/>
              <w:rPr>
                <w:rFonts w:ascii="Times New Roman" w:hAnsi="Times New Roman" w:cs="Times New Roman"/>
                <w:color w:val="000000" w:themeColor="text1"/>
                <w:sz w:val="20"/>
                <w:szCs w:val="20"/>
                <w:lang w:val="en-US"/>
              </w:rPr>
            </w:pPr>
            <w:r w:rsidRPr="001D69C5">
              <w:rPr>
                <w:rFonts w:ascii="Times New Roman" w:eastAsia="Calibri" w:hAnsi="Times New Roman" w:cs="Times New Roman"/>
                <w:color w:val="000000" w:themeColor="text1"/>
                <w:sz w:val="20"/>
                <w:szCs w:val="20"/>
                <w:lang w:val="en-US"/>
              </w:rPr>
              <w:t>14,985</w:t>
            </w:r>
          </w:p>
        </w:tc>
        <w:tc>
          <w:tcPr>
            <w:tcW w:w="720" w:type="pct"/>
            <w:tcBorders>
              <w:left w:val="nil"/>
              <w:bottom w:val="single" w:sz="4" w:space="0" w:color="auto"/>
            </w:tcBorders>
            <w:vAlign w:val="center"/>
          </w:tcPr>
          <w:p w14:paraId="5494C005"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6997740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tcBorders>
              <w:bottom w:val="single" w:sz="4" w:space="0" w:color="auto"/>
            </w:tcBorders>
            <w:vAlign w:val="center"/>
          </w:tcPr>
          <w:p w14:paraId="724B262D"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c>
          <w:tcPr>
            <w:tcW w:w="709" w:type="pct"/>
            <w:tcBorders>
              <w:bottom w:val="single" w:sz="4" w:space="0" w:color="auto"/>
            </w:tcBorders>
            <w:vAlign w:val="center"/>
          </w:tcPr>
          <w:p w14:paraId="4804934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72938354"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3 years</w:t>
            </w:r>
          </w:p>
        </w:tc>
        <w:tc>
          <w:tcPr>
            <w:tcW w:w="709" w:type="pct"/>
            <w:tcBorders>
              <w:bottom w:val="single" w:sz="4" w:space="0" w:color="auto"/>
            </w:tcBorders>
            <w:vAlign w:val="center"/>
          </w:tcPr>
          <w:p w14:paraId="20221A9D"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r>
      <w:tr w:rsidR="001D69C5" w:rsidRPr="001D69C5" w14:paraId="2430D70B" w14:textId="77777777" w:rsidTr="002E5941">
        <w:tc>
          <w:tcPr>
            <w:tcW w:w="709" w:type="pct"/>
            <w:tcBorders>
              <w:bottom w:val="single" w:sz="12" w:space="0" w:color="auto"/>
              <w:right w:val="nil"/>
            </w:tcBorders>
            <w:shd w:val="clear" w:color="auto" w:fill="BFBFBF" w:themeFill="background1" w:themeFillShade="BF"/>
            <w:vAlign w:val="center"/>
          </w:tcPr>
          <w:p w14:paraId="288FD03A"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&gt; 75</w:t>
            </w:r>
          </w:p>
        </w:tc>
        <w:tc>
          <w:tcPr>
            <w:tcW w:w="709" w:type="pct"/>
            <w:tcBorders>
              <w:left w:val="nil"/>
              <w:bottom w:val="single" w:sz="12" w:space="0" w:color="auto"/>
              <w:right w:val="nil"/>
            </w:tcBorders>
            <w:shd w:val="clear" w:color="auto" w:fill="F2F2F2" w:themeFill="background1" w:themeFillShade="F2"/>
            <w:vAlign w:val="center"/>
          </w:tcPr>
          <w:p w14:paraId="3033FC7D"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29,145</w:t>
            </w:r>
          </w:p>
        </w:tc>
        <w:tc>
          <w:tcPr>
            <w:tcW w:w="709" w:type="pct"/>
            <w:tcBorders>
              <w:left w:val="nil"/>
              <w:bottom w:val="single" w:sz="12" w:space="0" w:color="auto"/>
              <w:right w:val="nil"/>
            </w:tcBorders>
            <w:shd w:val="clear" w:color="auto" w:fill="F2F2F2" w:themeFill="background1" w:themeFillShade="F2"/>
            <w:vAlign w:val="center"/>
          </w:tcPr>
          <w:p w14:paraId="556A22D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13,391</w:t>
            </w:r>
          </w:p>
        </w:tc>
        <w:tc>
          <w:tcPr>
            <w:tcW w:w="720" w:type="pct"/>
            <w:tcBorders>
              <w:left w:val="nil"/>
              <w:bottom w:val="single" w:sz="12" w:space="0" w:color="auto"/>
            </w:tcBorders>
            <w:vAlign w:val="center"/>
          </w:tcPr>
          <w:p w14:paraId="63C6C33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5B3B97D4"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2 years</w:t>
            </w:r>
          </w:p>
        </w:tc>
        <w:tc>
          <w:tcPr>
            <w:tcW w:w="735" w:type="pct"/>
            <w:tcBorders>
              <w:bottom w:val="single" w:sz="12" w:space="0" w:color="auto"/>
            </w:tcBorders>
            <w:vAlign w:val="center"/>
          </w:tcPr>
          <w:p w14:paraId="183C761C"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c>
          <w:tcPr>
            <w:tcW w:w="709" w:type="pct"/>
            <w:tcBorders>
              <w:bottom w:val="single" w:sz="12" w:space="0" w:color="auto"/>
            </w:tcBorders>
            <w:vAlign w:val="center"/>
          </w:tcPr>
          <w:p w14:paraId="628BDEB2"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 xml:space="preserve">Once per </w:t>
            </w:r>
          </w:p>
          <w:p w14:paraId="2AEB3A4B"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3 years</w:t>
            </w:r>
          </w:p>
        </w:tc>
        <w:tc>
          <w:tcPr>
            <w:tcW w:w="709" w:type="pct"/>
            <w:tcBorders>
              <w:bottom w:val="single" w:sz="12" w:space="0" w:color="auto"/>
            </w:tcBorders>
            <w:vAlign w:val="center"/>
          </w:tcPr>
          <w:p w14:paraId="1D280ABE"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w:t>
            </w:r>
          </w:p>
        </w:tc>
      </w:tr>
      <w:tr w:rsidR="001D69C5" w:rsidRPr="001D69C5" w14:paraId="7F9886B3" w14:textId="77777777" w:rsidTr="002E5941">
        <w:trPr>
          <w:trHeight w:val="391"/>
        </w:trPr>
        <w:tc>
          <w:tcPr>
            <w:tcW w:w="709" w:type="pct"/>
            <w:tcBorders>
              <w:top w:val="single" w:sz="12" w:space="0" w:color="auto"/>
              <w:right w:val="nil"/>
            </w:tcBorders>
            <w:shd w:val="clear" w:color="auto" w:fill="BFBFBF" w:themeFill="background1" w:themeFillShade="BF"/>
            <w:vAlign w:val="center"/>
          </w:tcPr>
          <w:p w14:paraId="00B6876F" w14:textId="77777777" w:rsidR="001D69C5" w:rsidRPr="001D69C5" w:rsidRDefault="001D69C5" w:rsidP="000D1EF5">
            <w:pPr>
              <w:pStyle w:val="Tabelltekst"/>
              <w:spacing w:line="276" w:lineRule="auto"/>
              <w:rPr>
                <w:rFonts w:ascii="Times New Roman" w:hAnsi="Times New Roman" w:cs="Times New Roman"/>
                <w:b/>
                <w:sz w:val="20"/>
                <w:szCs w:val="20"/>
                <w:lang w:val="en-US"/>
              </w:rPr>
            </w:pPr>
            <w:r w:rsidRPr="001D69C5">
              <w:rPr>
                <w:rFonts w:ascii="Times New Roman" w:hAnsi="Times New Roman" w:cs="Times New Roman"/>
                <w:b/>
                <w:sz w:val="20"/>
                <w:szCs w:val="20"/>
                <w:lang w:val="en-US"/>
              </w:rPr>
              <w:t>Total</w:t>
            </w:r>
            <w:r w:rsidRPr="001D69C5">
              <w:rPr>
                <w:rFonts w:ascii="Times New Roman" w:hAnsi="Times New Roman" w:cs="Times New Roman"/>
                <w:b/>
                <w:bCs/>
                <w:sz w:val="20"/>
                <w:szCs w:val="20"/>
                <w:lang w:val="en-US"/>
              </w:rPr>
              <w:t>*</w:t>
            </w:r>
          </w:p>
        </w:tc>
        <w:tc>
          <w:tcPr>
            <w:tcW w:w="709" w:type="pct"/>
            <w:tcBorders>
              <w:top w:val="single" w:sz="12" w:space="0" w:color="auto"/>
              <w:left w:val="nil"/>
              <w:right w:val="nil"/>
            </w:tcBorders>
            <w:shd w:val="clear" w:color="auto" w:fill="F2F2F2" w:themeFill="background1" w:themeFillShade="F2"/>
            <w:vAlign w:val="center"/>
          </w:tcPr>
          <w:p w14:paraId="757656E8" w14:textId="77777777" w:rsidR="001D69C5" w:rsidRPr="001D69C5" w:rsidRDefault="001D69C5" w:rsidP="000D1EF5">
            <w:pPr>
              <w:pStyle w:val="NoSpacing"/>
              <w:jc w:val="center"/>
              <w:rPr>
                <w:rFonts w:ascii="Times New Roman" w:hAnsi="Times New Roman" w:cs="Times New Roman"/>
                <w:sz w:val="20"/>
                <w:szCs w:val="20"/>
              </w:rPr>
            </w:pPr>
            <w:r w:rsidRPr="001D69C5">
              <w:rPr>
                <w:rFonts w:ascii="Times New Roman" w:hAnsi="Times New Roman" w:cs="Times New Roman"/>
                <w:sz w:val="20"/>
                <w:szCs w:val="20"/>
              </w:rPr>
              <w:t>478,570</w:t>
            </w:r>
          </w:p>
        </w:tc>
        <w:tc>
          <w:tcPr>
            <w:tcW w:w="709" w:type="pct"/>
            <w:tcBorders>
              <w:top w:val="single" w:sz="12" w:space="0" w:color="auto"/>
              <w:left w:val="nil"/>
              <w:right w:val="nil"/>
            </w:tcBorders>
            <w:shd w:val="clear" w:color="auto" w:fill="F2F2F2" w:themeFill="background1" w:themeFillShade="F2"/>
            <w:vAlign w:val="center"/>
          </w:tcPr>
          <w:p w14:paraId="57F0FB3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307,019</w:t>
            </w:r>
          </w:p>
        </w:tc>
        <w:tc>
          <w:tcPr>
            <w:tcW w:w="720" w:type="pct"/>
            <w:tcBorders>
              <w:top w:val="single" w:sz="12" w:space="0" w:color="auto"/>
              <w:left w:val="nil"/>
            </w:tcBorders>
            <w:vAlign w:val="center"/>
          </w:tcPr>
          <w:p w14:paraId="52E258CD"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185,483</w:t>
            </w:r>
          </w:p>
        </w:tc>
        <w:tc>
          <w:tcPr>
            <w:tcW w:w="735" w:type="pct"/>
            <w:tcBorders>
              <w:top w:val="single" w:sz="12" w:space="0" w:color="auto"/>
            </w:tcBorders>
            <w:vAlign w:val="center"/>
          </w:tcPr>
          <w:p w14:paraId="507598EC"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153,510</w:t>
            </w:r>
          </w:p>
        </w:tc>
        <w:tc>
          <w:tcPr>
            <w:tcW w:w="709" w:type="pct"/>
            <w:tcBorders>
              <w:top w:val="single" w:sz="12" w:space="0" w:color="auto"/>
            </w:tcBorders>
            <w:vAlign w:val="center"/>
          </w:tcPr>
          <w:p w14:paraId="4A787784"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69,717</w:t>
            </w:r>
          </w:p>
        </w:tc>
        <w:tc>
          <w:tcPr>
            <w:tcW w:w="709" w:type="pct"/>
            <w:tcBorders>
              <w:top w:val="single" w:sz="12" w:space="0" w:color="auto"/>
            </w:tcBorders>
            <w:vAlign w:val="center"/>
          </w:tcPr>
          <w:p w14:paraId="0A8DDE5F" w14:textId="77777777" w:rsidR="001D69C5" w:rsidRPr="001D69C5" w:rsidRDefault="001D69C5" w:rsidP="000D1EF5">
            <w:pPr>
              <w:pStyle w:val="Tabelltekst"/>
              <w:spacing w:line="276" w:lineRule="auto"/>
              <w:rPr>
                <w:rFonts w:ascii="Times New Roman" w:hAnsi="Times New Roman" w:cs="Times New Roman"/>
                <w:i/>
                <w:sz w:val="20"/>
                <w:szCs w:val="20"/>
                <w:lang w:val="en-US"/>
              </w:rPr>
            </w:pPr>
            <w:r w:rsidRPr="001D69C5">
              <w:rPr>
                <w:rFonts w:ascii="Times New Roman" w:hAnsi="Times New Roman" w:cs="Times New Roman"/>
                <w:i/>
                <w:sz w:val="20"/>
                <w:szCs w:val="20"/>
                <w:lang w:val="en-US"/>
              </w:rPr>
              <w:t>111,137</w:t>
            </w:r>
          </w:p>
        </w:tc>
      </w:tr>
    </w:tbl>
    <w:p w14:paraId="197476F8" w14:textId="77777777" w:rsidR="001D69C5" w:rsidRPr="001D69C5" w:rsidRDefault="001D69C5" w:rsidP="000D1EF5">
      <w:pPr>
        <w:pStyle w:val="NoSpacing"/>
        <w:jc w:val="left"/>
        <w:rPr>
          <w:rFonts w:ascii="Times New Roman" w:hAnsi="Times New Roman" w:cs="Times New Roman"/>
          <w:sz w:val="20"/>
          <w:szCs w:val="20"/>
        </w:rPr>
      </w:pPr>
      <w:r w:rsidRPr="001D69C5">
        <w:rPr>
          <w:rFonts w:ascii="Times New Roman" w:hAnsi="Times New Roman" w:cs="Times New Roman"/>
          <w:sz w:val="20"/>
          <w:szCs w:val="20"/>
        </w:rPr>
        <w:t xml:space="preserve">The above numbers include women living in refugee camps, urban, and rural areas. Appendix 1 detailed overview of age groups in five-year intervals. </w:t>
      </w:r>
    </w:p>
    <w:p w14:paraId="2404B7FA" w14:textId="77777777" w:rsidR="001D69C5" w:rsidRPr="001D69C5" w:rsidRDefault="001D69C5" w:rsidP="000D1EF5">
      <w:pPr>
        <w:pStyle w:val="NoSpacing"/>
        <w:jc w:val="left"/>
        <w:rPr>
          <w:rFonts w:ascii="Times New Roman" w:hAnsi="Times New Roman" w:cs="Times New Roman"/>
          <w:sz w:val="20"/>
          <w:szCs w:val="20"/>
        </w:rPr>
      </w:pPr>
      <w:r w:rsidRPr="001D69C5">
        <w:rPr>
          <w:rFonts w:ascii="Times New Roman" w:hAnsi="Times New Roman" w:cs="Times New Roman"/>
          <w:sz w:val="20"/>
          <w:szCs w:val="20"/>
        </w:rPr>
        <w:t xml:space="preserve">* The total-row presents the number of eligible women and those women in the target population if an organized screening program was implemented according to a certain guideline. </w:t>
      </w:r>
    </w:p>
    <w:p w14:paraId="6412A7EB" w14:textId="77777777" w:rsidR="001D69C5" w:rsidRPr="001D69C5" w:rsidRDefault="001D69C5" w:rsidP="000D1EF5">
      <w:pPr>
        <w:pStyle w:val="NoSpacing"/>
        <w:jc w:val="left"/>
        <w:rPr>
          <w:rFonts w:ascii="Times New Roman" w:hAnsi="Times New Roman" w:cs="Times New Roman"/>
          <w:sz w:val="20"/>
          <w:szCs w:val="20"/>
        </w:rPr>
      </w:pPr>
      <w:r w:rsidRPr="001D69C5">
        <w:rPr>
          <w:rFonts w:ascii="Times New Roman" w:hAnsi="Times New Roman" w:cs="Times New Roman"/>
          <w:sz w:val="20"/>
          <w:szCs w:val="20"/>
        </w:rPr>
        <w:t>** WHO well-resourced refers to the recommendations made for well-resourced setting, WHO limited resources refers to the recommendations made for limited resource settings with a strong health system.</w:t>
      </w:r>
    </w:p>
    <w:p w14:paraId="3AC0C1C1" w14:textId="796458E3" w:rsidR="001D69C5" w:rsidRDefault="001D69C5" w:rsidP="000D1EF5">
      <w:pPr>
        <w:pStyle w:val="Tabledescriptions"/>
        <w:rPr>
          <w:rFonts w:ascii="Times New Roman" w:hAnsi="Times New Roman" w:cs="Times New Roman"/>
        </w:rPr>
      </w:pPr>
      <w:r w:rsidRPr="001D69C5">
        <w:rPr>
          <w:rFonts w:ascii="Times New Roman" w:hAnsi="Times New Roman" w:cs="Times New Roman"/>
        </w:rPr>
        <w:t>Source: Palestinian Central Bureau of Statistics, 2020</w:t>
      </w:r>
    </w:p>
    <w:p w14:paraId="19B2FCE5" w14:textId="77777777" w:rsidR="001D69C5" w:rsidRPr="001D69C5" w:rsidRDefault="001D69C5" w:rsidP="000D1EF5">
      <w:pPr>
        <w:pStyle w:val="Tabledescriptions"/>
        <w:rPr>
          <w:rFonts w:ascii="Times New Roman" w:hAnsi="Times New Roman" w:cs="Times New Roman"/>
          <w:szCs w:val="20"/>
        </w:rPr>
      </w:pPr>
    </w:p>
    <w:p w14:paraId="0FD5EBB9" w14:textId="43F5647A"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 xml:space="preserve">We used the average of costs billed for mammography screening and follow-up diagnostic services at health facilities operated by NGOs and the private sector in 2017, as a proxy for average breast cancer screening cost per woman in Palestine. The most recent Consumer Price Index (CPI) for health with the base year 2018 was used to estimate the increase in the proxy-cost </w:t>
      </w:r>
      <w:r w:rsidRPr="001D69C5">
        <w:rPr>
          <w:rFonts w:ascii="Times New Roman" w:hAnsi="Times New Roman" w:cs="Times New Roman"/>
        </w:rPr>
        <w:fldChar w:fldCharType="begin"/>
      </w:r>
      <w:r w:rsidR="00565E10">
        <w:rPr>
          <w:rFonts w:ascii="Times New Roman" w:hAnsi="Times New Roman" w:cs="Times New Roman"/>
        </w:rPr>
        <w:instrText xml:space="preserve"> ADDIN EN.CITE &lt;EndNote&gt;&lt;Cite&gt;&lt;Author&gt;WorldData.info&lt;/Author&gt;&lt;Year&gt;2020&lt;/Year&gt;&lt;RecNum&gt;16229&lt;/RecNum&gt;&lt;IDText&gt;Development of inflation rates in Palestine&lt;/IDText&gt;&lt;DisplayText&gt;(2)&lt;/DisplayText&gt;&lt;record&gt;&lt;rec-number&gt;16229&lt;/rec-number&gt;&lt;foreign-keys&gt;&lt;key app="EN" db-id="dettfreaqdwftmevrvgvred20e0tszfxxwdr" timestamp="1615197768" guid="a376f713-fc50-4d13-9422-88f1d977f579"&gt;16229&lt;/key&gt;&lt;/foreign-keys&gt;&lt;ref-type name="Web Page"&gt;12&lt;/ref-type&gt;&lt;contributors&gt;&lt;authors&gt;&lt;author&gt;WorldData.info, &lt;/author&gt;&lt;/authors&gt;&lt;/contributors&gt;&lt;titles&gt;&lt;title&gt;Development of inflation rates in Palestine&lt;/title&gt;&lt;/titles&gt;&lt;volume&gt;2021&lt;/volume&gt;&lt;number&gt;01-03-2021&lt;/number&gt;&lt;dates&gt;&lt;year&gt;2020&lt;/year&gt;&lt;/dates&gt;&lt;urls&gt;&lt;related-urls&gt;&lt;url&gt;https://www.worlddata.info/asia/palestine/inflation-rates.php&lt;/url&gt;&lt;/related-urls&gt;&lt;/urls&gt;&lt;/record&gt;&lt;/Cite&gt;&lt;/EndNote&gt;</w:instrText>
      </w:r>
      <w:r w:rsidRPr="001D69C5">
        <w:rPr>
          <w:rFonts w:ascii="Times New Roman" w:hAnsi="Times New Roman" w:cs="Times New Roman"/>
        </w:rPr>
        <w:fldChar w:fldCharType="separate"/>
      </w:r>
      <w:r w:rsidR="00565E10">
        <w:rPr>
          <w:rFonts w:ascii="Times New Roman" w:hAnsi="Times New Roman" w:cs="Times New Roman"/>
          <w:noProof/>
        </w:rPr>
        <w:t>(2)</w:t>
      </w:r>
      <w:r w:rsidRPr="001D69C5">
        <w:rPr>
          <w:rFonts w:ascii="Times New Roman" w:hAnsi="Times New Roman" w:cs="Times New Roman"/>
        </w:rPr>
        <w:fldChar w:fldCharType="end"/>
      </w:r>
      <w:r w:rsidRPr="001D69C5">
        <w:rPr>
          <w:rFonts w:ascii="Times New Roman" w:hAnsi="Times New Roman" w:cs="Times New Roman"/>
        </w:rPr>
        <w:t xml:space="preserve">. The average exchange rate in 2020 was used to convert NIS to US$. We assumed that prices over the five-year period would increase at an inflation-rate of 1.58% </w:t>
      </w:r>
      <w:r w:rsidRPr="001D69C5">
        <w:rPr>
          <w:rFonts w:ascii="Times New Roman" w:hAnsi="Times New Roman" w:cs="Times New Roman"/>
        </w:rPr>
        <w:fldChar w:fldCharType="begin"/>
      </w:r>
      <w:r w:rsidR="00565E10">
        <w:rPr>
          <w:rFonts w:ascii="Times New Roman" w:hAnsi="Times New Roman" w:cs="Times New Roman"/>
        </w:rPr>
        <w:instrText xml:space="preserve"> ADDIN EN.CITE &lt;EndNote&gt;&lt;Cite&gt;&lt;Author&gt;Palestinian Central Bureau of Statistics&lt;/Author&gt;&lt;Year&gt;n.d.&lt;/Year&gt;&lt;RecNum&gt;16230&lt;/RecNum&gt;&lt;IDText&gt;Consumer Price Index: Time Series Statistics (Base year: 2018=100)&lt;/IDText&gt;&lt;DisplayText&gt;(3)&lt;/DisplayText&gt;&lt;record&gt;&lt;rec-number&gt;16230&lt;/rec-number&gt;&lt;foreign-keys&gt;&lt;key app="EN" db-id="dettfreaqdwftmevrvgvred20e0tszfxxwdr" timestamp="1615197990" guid="eace7c76-5e13-41dd-bf04-5cf49db93e31"&gt;16230&lt;/key&gt;&lt;/foreign-keys&gt;&lt;ref-type name="Web Page"&gt;12&lt;/ref-type&gt;&lt;contributors&gt;&lt;authors&gt;&lt;author&gt;Palestinian Central Bureau of Statistics, &lt;/author&gt;&lt;/authors&gt;&lt;/contributors&gt;&lt;titles&gt;&lt;title&gt;Consumer Price Index: Time Series Statistics (Base year: 2018=100)&lt;/title&gt;&lt;/titles&gt;&lt;dates&gt;&lt;year&gt;n.d.&lt;/year&gt;&lt;/dates&gt;&lt;urls&gt;&lt;related-urls&gt;&lt;url&gt;http://www.pcbs.gov.ps/site/lang__en/695/default.aspx&lt;/url&gt;&lt;/related-urls&gt;&lt;/urls&gt;&lt;/record&gt;&lt;/Cite&gt;&lt;/EndNote&gt;</w:instrText>
      </w:r>
      <w:r w:rsidRPr="001D69C5">
        <w:rPr>
          <w:rFonts w:ascii="Times New Roman" w:hAnsi="Times New Roman" w:cs="Times New Roman"/>
        </w:rPr>
        <w:fldChar w:fldCharType="separate"/>
      </w:r>
      <w:r w:rsidR="00565E10">
        <w:rPr>
          <w:rFonts w:ascii="Times New Roman" w:hAnsi="Times New Roman" w:cs="Times New Roman"/>
          <w:noProof/>
        </w:rPr>
        <w:t>(3)</w:t>
      </w:r>
      <w:r w:rsidRPr="001D69C5">
        <w:rPr>
          <w:rFonts w:ascii="Times New Roman" w:hAnsi="Times New Roman" w:cs="Times New Roman"/>
        </w:rPr>
        <w:fldChar w:fldCharType="end"/>
      </w:r>
      <w:r w:rsidRPr="001D69C5">
        <w:rPr>
          <w:rFonts w:ascii="Times New Roman" w:hAnsi="Times New Roman" w:cs="Times New Roman"/>
        </w:rPr>
        <w:t xml:space="preserve">. </w:t>
      </w:r>
    </w:p>
    <w:p w14:paraId="1CC0CD2F" w14:textId="77777777" w:rsidR="001D69C5" w:rsidRPr="001D69C5" w:rsidRDefault="001D69C5" w:rsidP="000D1EF5">
      <w:pPr>
        <w:pStyle w:val="NoSpacing"/>
        <w:rPr>
          <w:rFonts w:ascii="Times New Roman" w:hAnsi="Times New Roman" w:cs="Times New Roman"/>
          <w:highlight w:val="yellow"/>
        </w:rPr>
      </w:pPr>
    </w:p>
    <w:p w14:paraId="2B8C47A9" w14:textId="3F666FEC"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 xml:space="preserve">Cost of mammography screening and recall, found in the literature ranged between 80 to 160 NIS  </w:t>
      </w:r>
      <w:r w:rsidRPr="001D69C5">
        <w:rPr>
          <w:rFonts w:ascii="Times New Roman" w:hAnsi="Times New Roman" w:cs="Times New Roman"/>
        </w:rPr>
        <w:fldChar w:fldCharType="begin"/>
      </w:r>
      <w:r w:rsidR="00565E10">
        <w:rPr>
          <w:rFonts w:ascii="Times New Roman" w:hAnsi="Times New Roman" w:cs="Times New Roman"/>
        </w:rPr>
        <w:instrText xml:space="preserve"> ADDIN EN.CITE &lt;EndNote&gt;&lt;Cite&gt;&lt;Author&gt;Jubran&lt;/Author&gt;&lt;Year&gt;2018&lt;/Year&gt;&lt;RecNum&gt;0&lt;/RecNum&gt;&lt;IDText&gt;Pathway to Survival - the Story of Breast Cancer in Palestine&lt;/IDText&gt;&lt;DisplayText&gt;(4)&lt;/DisplayText&gt;&lt;record&gt;&lt;contributors&gt;&lt;tertiary-authors&gt;&lt;author&gt;United Nations Population Fund, &lt;/author&gt;&lt;/tertiary-authors&gt;&lt;/contributors&gt;&lt;titles&gt;&lt;title&gt;Pathway to Survival - the Story of Breast Cancer in Palestine&lt;/title&gt;&lt;/titles&gt;&lt;pages&gt;67&lt;/pages&gt;&lt;contributors&gt;&lt;authors&gt;&lt;author&gt;Jubran, J. &lt;/author&gt;&lt;author&gt;Shaar, A. N.&lt;/author&gt;&lt;author&gt;Hammad, S.&lt;/author&gt;&lt;author&gt;Jarrar, K.&lt;/author&gt;&lt;/authors&gt;&lt;/contributors&gt;&lt;added-date format="utc"&gt;1610636529&lt;/added-date&gt;&lt;ref-type name="Report"&gt;27&lt;/ref-type&gt;&lt;dates&gt;&lt;year&gt;2018&lt;/year&gt;&lt;/dates&gt;&lt;rec-number&gt;9320&lt;/rec-number&gt;&lt;last-updated-date format="utc"&gt;1610636529&lt;/last-updated-date&gt;&lt;/record&gt;&lt;/Cite&gt;&lt;/EndNote&gt;</w:instrText>
      </w:r>
      <w:r w:rsidRPr="001D69C5">
        <w:rPr>
          <w:rFonts w:ascii="Times New Roman" w:hAnsi="Times New Roman" w:cs="Times New Roman"/>
        </w:rPr>
        <w:fldChar w:fldCharType="separate"/>
      </w:r>
      <w:r w:rsidR="00565E10">
        <w:rPr>
          <w:rFonts w:ascii="Times New Roman" w:hAnsi="Times New Roman" w:cs="Times New Roman"/>
          <w:noProof/>
        </w:rPr>
        <w:t>(4)</w:t>
      </w:r>
      <w:r w:rsidRPr="001D69C5">
        <w:rPr>
          <w:rFonts w:ascii="Times New Roman" w:hAnsi="Times New Roman" w:cs="Times New Roman"/>
        </w:rPr>
        <w:fldChar w:fldCharType="end"/>
      </w:r>
      <w:r w:rsidRPr="001D69C5">
        <w:rPr>
          <w:rFonts w:ascii="Times New Roman" w:hAnsi="Times New Roman" w:cs="Times New Roman"/>
        </w:rPr>
        <w:t xml:space="preserve">. In the BIA, we used an average cost of 120.00 NIS (US$ 33.85) per mammogram, and an average cost per recall of 221.11 NIS (US$ 62.36).  </w:t>
      </w:r>
    </w:p>
    <w:p w14:paraId="3FA5F217" w14:textId="77777777" w:rsidR="001D69C5" w:rsidRPr="001D69C5" w:rsidRDefault="001D69C5" w:rsidP="000D1EF5">
      <w:pPr>
        <w:pStyle w:val="NoSpacing"/>
        <w:rPr>
          <w:rFonts w:ascii="Times New Roman" w:hAnsi="Times New Roman" w:cs="Times New Roman"/>
          <w:sz w:val="20"/>
          <w:szCs w:val="20"/>
        </w:rPr>
      </w:pPr>
    </w:p>
    <w:p w14:paraId="278581C8" w14:textId="77777777" w:rsidR="004F2B71" w:rsidRDefault="004F2B71">
      <w:pPr>
        <w:rPr>
          <w:rFonts w:ascii="Times New Roman" w:eastAsia="a" w:hAnsi="Times New Roman" w:cs="Times New Roman"/>
          <w:b/>
          <w:bCs/>
          <w:lang w:val="en-US"/>
        </w:rPr>
      </w:pPr>
      <w:r>
        <w:rPr>
          <w:rFonts w:ascii="Times New Roman" w:hAnsi="Times New Roman" w:cs="Times New Roman"/>
          <w:b/>
          <w:bCs/>
        </w:rPr>
        <w:br w:type="page"/>
      </w:r>
    </w:p>
    <w:p w14:paraId="5C453212" w14:textId="422EA316" w:rsidR="001D69C5" w:rsidRPr="001D69C5" w:rsidRDefault="004F2B71" w:rsidP="000D1EF5">
      <w:pPr>
        <w:pStyle w:val="NoSpacing"/>
        <w:rPr>
          <w:rFonts w:ascii="Times New Roman" w:hAnsi="Times New Roman" w:cs="Times New Roman"/>
          <w:b/>
          <w:bCs/>
        </w:rPr>
      </w:pPr>
      <w:r>
        <w:rPr>
          <w:rFonts w:ascii="Times New Roman" w:hAnsi="Times New Roman" w:cs="Times New Roman"/>
          <w:b/>
          <w:bCs/>
        </w:rPr>
        <w:lastRenderedPageBreak/>
        <w:t>Table</w:t>
      </w:r>
      <w:r w:rsidR="00CF0B40">
        <w:rPr>
          <w:rFonts w:ascii="Times New Roman" w:hAnsi="Times New Roman" w:cs="Times New Roman"/>
          <w:b/>
          <w:bCs/>
        </w:rPr>
        <w:t xml:space="preserve"> </w:t>
      </w:r>
      <w:r>
        <w:rPr>
          <w:rFonts w:ascii="Times New Roman" w:hAnsi="Times New Roman" w:cs="Times New Roman"/>
          <w:b/>
          <w:bCs/>
        </w:rPr>
        <w:t>2</w:t>
      </w:r>
      <w:r w:rsidR="00CF0B40">
        <w:rPr>
          <w:rFonts w:ascii="Times New Roman" w:hAnsi="Times New Roman" w:cs="Times New Roman"/>
          <w:b/>
          <w:bCs/>
        </w:rPr>
        <w:t xml:space="preserve">: </w:t>
      </w:r>
      <w:r w:rsidR="001D69C5" w:rsidRPr="001D69C5">
        <w:rPr>
          <w:rFonts w:ascii="Times New Roman" w:hAnsi="Times New Roman" w:cs="Times New Roman"/>
          <w:b/>
          <w:bCs/>
        </w:rPr>
        <w:t>Actual Capacity (Diagnostic services used at recall)</w:t>
      </w:r>
    </w:p>
    <w:tbl>
      <w:tblPr>
        <w:tblStyle w:val="PlainTable2"/>
        <w:tblW w:w="0" w:type="auto"/>
        <w:tblLayout w:type="fixed"/>
        <w:tblLook w:val="04A0" w:firstRow="1" w:lastRow="0" w:firstColumn="1" w:lastColumn="0" w:noHBand="0" w:noVBand="1"/>
      </w:tblPr>
      <w:tblGrid>
        <w:gridCol w:w="1704"/>
        <w:gridCol w:w="879"/>
        <w:gridCol w:w="879"/>
        <w:gridCol w:w="879"/>
        <w:gridCol w:w="879"/>
        <w:gridCol w:w="1260"/>
        <w:gridCol w:w="1260"/>
        <w:gridCol w:w="1320"/>
      </w:tblGrid>
      <w:tr w:rsidR="001D69C5" w:rsidRPr="001D69C5" w14:paraId="173F7971" w14:textId="77777777" w:rsidTr="002E594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4" w:type="dxa"/>
            <w:vMerge w:val="restart"/>
            <w:tcBorders>
              <w:top w:val="single" w:sz="8" w:space="0" w:color="000000" w:themeColor="text1"/>
              <w:left w:val="nil"/>
              <w:right w:val="nil"/>
            </w:tcBorders>
            <w:shd w:val="clear" w:color="auto" w:fill="BFBFBF" w:themeFill="background1" w:themeFillShade="BF"/>
            <w:vAlign w:val="center"/>
          </w:tcPr>
          <w:p w14:paraId="659ED4F2" w14:textId="77777777" w:rsidR="001D69C5" w:rsidRPr="001D69C5" w:rsidRDefault="001D69C5" w:rsidP="000D1EF5">
            <w:pPr>
              <w:pStyle w:val="Tabelltekst"/>
              <w:spacing w:line="276" w:lineRule="auto"/>
              <w:rPr>
                <w:rFonts w:ascii="Times New Roman" w:hAnsi="Times New Roman" w:cs="Times New Roman"/>
                <w:sz w:val="20"/>
                <w:szCs w:val="20"/>
                <w:lang w:val="en-US"/>
              </w:rPr>
            </w:pPr>
          </w:p>
          <w:p w14:paraId="195C442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Technology</w:t>
            </w:r>
          </w:p>
        </w:tc>
        <w:tc>
          <w:tcPr>
            <w:tcW w:w="4776" w:type="dxa"/>
            <w:gridSpan w:val="5"/>
            <w:tcBorders>
              <w:top w:val="single" w:sz="8" w:space="0" w:color="000000" w:themeColor="text1"/>
              <w:left w:val="nil"/>
              <w:bottom w:val="single" w:sz="8" w:space="0" w:color="7F7F7F" w:themeColor="text1" w:themeTint="80"/>
              <w:right w:val="nil"/>
            </w:tcBorders>
            <w:shd w:val="clear" w:color="auto" w:fill="BFBFBF" w:themeFill="background1" w:themeFillShade="BF"/>
            <w:vAlign w:val="center"/>
          </w:tcPr>
          <w:p w14:paraId="03AF1F6E" w14:textId="77777777" w:rsidR="001D69C5" w:rsidRPr="001D69C5" w:rsidRDefault="001D69C5" w:rsidP="000D1EF5">
            <w:pPr>
              <w:pStyle w:val="Tabellteks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Observed capacity</w:t>
            </w:r>
          </w:p>
        </w:tc>
        <w:tc>
          <w:tcPr>
            <w:tcW w:w="2580" w:type="dxa"/>
            <w:gridSpan w:val="2"/>
            <w:tcBorders>
              <w:top w:val="single" w:sz="8" w:space="0" w:color="000000" w:themeColor="text1"/>
              <w:left w:val="nil"/>
              <w:bottom w:val="single" w:sz="8" w:space="0" w:color="7F7F7F" w:themeColor="text1" w:themeTint="80"/>
              <w:right w:val="nil"/>
            </w:tcBorders>
            <w:shd w:val="clear" w:color="auto" w:fill="BFBFBF" w:themeFill="background1" w:themeFillShade="BF"/>
            <w:vAlign w:val="center"/>
          </w:tcPr>
          <w:p w14:paraId="70556639" w14:textId="77777777" w:rsidR="001D69C5" w:rsidRPr="001D69C5" w:rsidRDefault="001D69C5" w:rsidP="000D1EF5">
            <w:pPr>
              <w:pStyle w:val="Tabellteks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Price estimates</w:t>
            </w:r>
          </w:p>
        </w:tc>
      </w:tr>
      <w:tr w:rsidR="001D69C5" w:rsidRPr="001D69C5" w14:paraId="33E5F39E" w14:textId="77777777" w:rsidTr="002E59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4" w:type="dxa"/>
            <w:vMerge/>
            <w:vAlign w:val="center"/>
          </w:tcPr>
          <w:p w14:paraId="7922AAB4" w14:textId="77777777" w:rsidR="001D69C5" w:rsidRPr="001D69C5" w:rsidRDefault="001D69C5" w:rsidP="000D1EF5">
            <w:pPr>
              <w:pStyle w:val="Tabelltekst"/>
              <w:spacing w:line="276" w:lineRule="auto"/>
              <w:rPr>
                <w:rFonts w:ascii="Times New Roman" w:hAnsi="Times New Roman" w:cs="Times New Roman"/>
                <w:sz w:val="20"/>
                <w:szCs w:val="20"/>
                <w:lang w:val="en-US"/>
              </w:rPr>
            </w:pPr>
          </w:p>
        </w:tc>
        <w:tc>
          <w:tcPr>
            <w:tcW w:w="879" w:type="dxa"/>
            <w:tcBorders>
              <w:top w:val="single" w:sz="8" w:space="0" w:color="7F7F7F" w:themeColor="text1" w:themeTint="80"/>
              <w:left w:val="nil"/>
              <w:bottom w:val="single" w:sz="8" w:space="0" w:color="000000" w:themeColor="text1"/>
              <w:right w:val="nil"/>
            </w:tcBorders>
            <w:shd w:val="clear" w:color="auto" w:fill="F2F2F2" w:themeFill="background1" w:themeFillShade="F2"/>
            <w:vAlign w:val="center"/>
          </w:tcPr>
          <w:p w14:paraId="41FBC69C"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Public</w:t>
            </w:r>
          </w:p>
        </w:tc>
        <w:tc>
          <w:tcPr>
            <w:tcW w:w="879" w:type="dxa"/>
            <w:tcBorders>
              <w:top w:val="single" w:sz="8" w:space="0" w:color="7F7F7F" w:themeColor="text1" w:themeTint="80"/>
              <w:left w:val="nil"/>
              <w:bottom w:val="single" w:sz="8" w:space="0" w:color="000000" w:themeColor="text1"/>
              <w:right w:val="nil"/>
            </w:tcBorders>
            <w:shd w:val="clear" w:color="auto" w:fill="F2F2F2" w:themeFill="background1" w:themeFillShade="F2"/>
            <w:vAlign w:val="center"/>
          </w:tcPr>
          <w:p w14:paraId="72FF1507"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NGO</w:t>
            </w:r>
          </w:p>
        </w:tc>
        <w:tc>
          <w:tcPr>
            <w:tcW w:w="879" w:type="dxa"/>
            <w:tcBorders>
              <w:top w:val="single" w:sz="8" w:space="0" w:color="7F7F7F" w:themeColor="text1" w:themeTint="80"/>
              <w:left w:val="nil"/>
              <w:bottom w:val="single" w:sz="8" w:space="0" w:color="000000" w:themeColor="text1"/>
              <w:right w:val="nil"/>
            </w:tcBorders>
            <w:shd w:val="clear" w:color="auto" w:fill="F2F2F2" w:themeFill="background1" w:themeFillShade="F2"/>
            <w:vAlign w:val="center"/>
          </w:tcPr>
          <w:p w14:paraId="3ED69CE3"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Private</w:t>
            </w:r>
          </w:p>
        </w:tc>
        <w:tc>
          <w:tcPr>
            <w:tcW w:w="879" w:type="dxa"/>
            <w:tcBorders>
              <w:top w:val="single" w:sz="8" w:space="0" w:color="7F7F7F" w:themeColor="text1" w:themeTint="80"/>
              <w:left w:val="nil"/>
              <w:bottom w:val="single" w:sz="8" w:space="0" w:color="000000" w:themeColor="text1"/>
              <w:right w:val="nil"/>
            </w:tcBorders>
            <w:shd w:val="clear" w:color="auto" w:fill="F2F2F2" w:themeFill="background1" w:themeFillShade="F2"/>
            <w:vAlign w:val="center"/>
          </w:tcPr>
          <w:p w14:paraId="4A4D874E"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Total</w:t>
            </w:r>
          </w:p>
        </w:tc>
        <w:tc>
          <w:tcPr>
            <w:tcW w:w="1260" w:type="dxa"/>
            <w:tcBorders>
              <w:top w:val="single" w:sz="8" w:space="0" w:color="7F7F7F" w:themeColor="text1" w:themeTint="80"/>
              <w:left w:val="nil"/>
              <w:bottom w:val="single" w:sz="8" w:space="0" w:color="000000" w:themeColor="text1"/>
              <w:right w:val="nil"/>
            </w:tcBorders>
            <w:shd w:val="clear" w:color="auto" w:fill="F2F2F2" w:themeFill="background1" w:themeFillShade="F2"/>
            <w:vAlign w:val="center"/>
          </w:tcPr>
          <w:p w14:paraId="1B4CA92F"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Percentage of total</w:t>
            </w:r>
          </w:p>
        </w:tc>
        <w:tc>
          <w:tcPr>
            <w:tcW w:w="1260" w:type="dxa"/>
            <w:tcBorders>
              <w:top w:val="single" w:sz="8" w:space="0" w:color="7F7F7F" w:themeColor="text1" w:themeTint="80"/>
              <w:left w:val="nil"/>
              <w:bottom w:val="single" w:sz="8" w:space="0" w:color="000000" w:themeColor="text1"/>
              <w:right w:val="nil"/>
            </w:tcBorders>
            <w:shd w:val="clear" w:color="auto" w:fill="D9D9D9" w:themeFill="background1" w:themeFillShade="D9"/>
            <w:vAlign w:val="center"/>
          </w:tcPr>
          <w:p w14:paraId="67032E7D"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Average estimated price (NIS)</w:t>
            </w:r>
          </w:p>
        </w:tc>
        <w:tc>
          <w:tcPr>
            <w:tcW w:w="1320" w:type="dxa"/>
            <w:tcBorders>
              <w:top w:val="single" w:sz="8" w:space="0" w:color="7F7F7F" w:themeColor="text1" w:themeTint="80"/>
              <w:left w:val="nil"/>
              <w:bottom w:val="single" w:sz="8" w:space="0" w:color="000000" w:themeColor="text1"/>
              <w:right w:val="nil"/>
            </w:tcBorders>
            <w:shd w:val="clear" w:color="auto" w:fill="D9D9D9" w:themeFill="background1" w:themeFillShade="D9"/>
            <w:vAlign w:val="center"/>
          </w:tcPr>
          <w:p w14:paraId="001B5704"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Price per proportion</w:t>
            </w:r>
          </w:p>
        </w:tc>
      </w:tr>
      <w:tr w:rsidR="001D69C5" w:rsidRPr="001D69C5" w14:paraId="52F32BB8" w14:textId="77777777" w:rsidTr="002E5941">
        <w:trPr>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17BFD2F6"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Breast ultrasounds</w:t>
            </w:r>
          </w:p>
        </w:tc>
        <w:tc>
          <w:tcPr>
            <w:tcW w:w="879" w:type="dxa"/>
            <w:tcBorders>
              <w:top w:val="single" w:sz="8" w:space="0" w:color="000000" w:themeColor="text1"/>
              <w:left w:val="nil"/>
              <w:bottom w:val="single" w:sz="8" w:space="0" w:color="000000" w:themeColor="text1"/>
              <w:right w:val="nil"/>
            </w:tcBorders>
            <w:vAlign w:val="center"/>
          </w:tcPr>
          <w:p w14:paraId="350CF212"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47</w:t>
            </w:r>
          </w:p>
        </w:tc>
        <w:tc>
          <w:tcPr>
            <w:tcW w:w="879" w:type="dxa"/>
            <w:tcBorders>
              <w:top w:val="single" w:sz="8" w:space="0" w:color="000000" w:themeColor="text1"/>
              <w:left w:val="nil"/>
              <w:bottom w:val="single" w:sz="8" w:space="0" w:color="000000" w:themeColor="text1"/>
              <w:right w:val="nil"/>
            </w:tcBorders>
            <w:vAlign w:val="center"/>
          </w:tcPr>
          <w:p w14:paraId="4CAF7A0D"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84</w:t>
            </w:r>
          </w:p>
        </w:tc>
        <w:tc>
          <w:tcPr>
            <w:tcW w:w="879" w:type="dxa"/>
            <w:tcBorders>
              <w:top w:val="single" w:sz="8" w:space="0" w:color="000000" w:themeColor="text1"/>
              <w:left w:val="nil"/>
              <w:bottom w:val="single" w:sz="8" w:space="0" w:color="000000" w:themeColor="text1"/>
              <w:right w:val="nil"/>
            </w:tcBorders>
            <w:vAlign w:val="center"/>
          </w:tcPr>
          <w:p w14:paraId="02EA1294"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88</w:t>
            </w:r>
          </w:p>
        </w:tc>
        <w:tc>
          <w:tcPr>
            <w:tcW w:w="879" w:type="dxa"/>
            <w:tcBorders>
              <w:top w:val="single" w:sz="8" w:space="0" w:color="000000" w:themeColor="text1"/>
              <w:left w:val="nil"/>
              <w:bottom w:val="single" w:sz="8" w:space="0" w:color="000000" w:themeColor="text1"/>
              <w:right w:val="nil"/>
            </w:tcBorders>
            <w:vAlign w:val="center"/>
          </w:tcPr>
          <w:p w14:paraId="68D760AD"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219</w:t>
            </w:r>
          </w:p>
        </w:tc>
        <w:tc>
          <w:tcPr>
            <w:tcW w:w="1260" w:type="dxa"/>
            <w:tcBorders>
              <w:top w:val="single" w:sz="8" w:space="0" w:color="000000" w:themeColor="text1"/>
              <w:left w:val="nil"/>
              <w:bottom w:val="single" w:sz="8" w:space="0" w:color="000000" w:themeColor="text1"/>
              <w:right w:val="nil"/>
            </w:tcBorders>
            <w:vAlign w:val="center"/>
          </w:tcPr>
          <w:p w14:paraId="29A4AD6F"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50,3</w:t>
            </w:r>
          </w:p>
        </w:tc>
        <w:tc>
          <w:tcPr>
            <w:tcW w:w="126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2D9E4AF9"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73,50</w:t>
            </w:r>
          </w:p>
        </w:tc>
        <w:tc>
          <w:tcPr>
            <w:tcW w:w="132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2CAF0F85"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37,00</w:t>
            </w:r>
          </w:p>
        </w:tc>
      </w:tr>
      <w:tr w:rsidR="001D69C5" w:rsidRPr="001D69C5" w14:paraId="167F2484" w14:textId="77777777" w:rsidTr="002E59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55E119D8"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Fine needle biopsies</w:t>
            </w:r>
          </w:p>
        </w:tc>
        <w:tc>
          <w:tcPr>
            <w:tcW w:w="879" w:type="dxa"/>
            <w:tcBorders>
              <w:top w:val="single" w:sz="8" w:space="0" w:color="000000" w:themeColor="text1"/>
              <w:left w:val="nil"/>
              <w:bottom w:val="single" w:sz="8" w:space="0" w:color="000000" w:themeColor="text1"/>
              <w:right w:val="nil"/>
            </w:tcBorders>
            <w:vAlign w:val="center"/>
          </w:tcPr>
          <w:p w14:paraId="37A951CE"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9</w:t>
            </w:r>
          </w:p>
        </w:tc>
        <w:tc>
          <w:tcPr>
            <w:tcW w:w="879" w:type="dxa"/>
            <w:tcBorders>
              <w:top w:val="single" w:sz="8" w:space="0" w:color="000000" w:themeColor="text1"/>
              <w:left w:val="nil"/>
              <w:bottom w:val="single" w:sz="8" w:space="0" w:color="000000" w:themeColor="text1"/>
              <w:right w:val="nil"/>
            </w:tcBorders>
            <w:vAlign w:val="center"/>
          </w:tcPr>
          <w:p w14:paraId="75B4199C"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36</w:t>
            </w:r>
          </w:p>
        </w:tc>
        <w:tc>
          <w:tcPr>
            <w:tcW w:w="879" w:type="dxa"/>
            <w:tcBorders>
              <w:top w:val="single" w:sz="8" w:space="0" w:color="000000" w:themeColor="text1"/>
              <w:left w:val="nil"/>
              <w:bottom w:val="single" w:sz="8" w:space="0" w:color="000000" w:themeColor="text1"/>
              <w:right w:val="nil"/>
            </w:tcBorders>
            <w:vAlign w:val="center"/>
          </w:tcPr>
          <w:p w14:paraId="19476458"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25</w:t>
            </w:r>
          </w:p>
        </w:tc>
        <w:tc>
          <w:tcPr>
            <w:tcW w:w="879" w:type="dxa"/>
            <w:tcBorders>
              <w:top w:val="single" w:sz="8" w:space="0" w:color="000000" w:themeColor="text1"/>
              <w:left w:val="nil"/>
              <w:bottom w:val="single" w:sz="8" w:space="0" w:color="000000" w:themeColor="text1"/>
              <w:right w:val="nil"/>
            </w:tcBorders>
            <w:vAlign w:val="center"/>
          </w:tcPr>
          <w:p w14:paraId="62E14262"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70</w:t>
            </w:r>
          </w:p>
        </w:tc>
        <w:tc>
          <w:tcPr>
            <w:tcW w:w="1260" w:type="dxa"/>
            <w:tcBorders>
              <w:top w:val="single" w:sz="8" w:space="0" w:color="000000" w:themeColor="text1"/>
              <w:left w:val="nil"/>
              <w:bottom w:val="single" w:sz="8" w:space="0" w:color="000000" w:themeColor="text1"/>
              <w:right w:val="nil"/>
            </w:tcBorders>
            <w:vAlign w:val="center"/>
          </w:tcPr>
          <w:p w14:paraId="76BC8F34"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16,1</w:t>
            </w:r>
          </w:p>
        </w:tc>
        <w:tc>
          <w:tcPr>
            <w:tcW w:w="126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3ACEA36B"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250,-</w:t>
            </w:r>
          </w:p>
        </w:tc>
        <w:tc>
          <w:tcPr>
            <w:tcW w:w="132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24601E82"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48,28</w:t>
            </w:r>
          </w:p>
        </w:tc>
      </w:tr>
      <w:tr w:rsidR="001D69C5" w:rsidRPr="001D69C5" w14:paraId="2B5BD908" w14:textId="77777777" w:rsidTr="002E5941">
        <w:trPr>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26A893C7"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MRI*</w:t>
            </w:r>
          </w:p>
        </w:tc>
        <w:tc>
          <w:tcPr>
            <w:tcW w:w="879" w:type="dxa"/>
            <w:tcBorders>
              <w:top w:val="single" w:sz="8" w:space="0" w:color="000000" w:themeColor="text1"/>
              <w:left w:val="nil"/>
              <w:bottom w:val="single" w:sz="8" w:space="0" w:color="000000" w:themeColor="text1"/>
              <w:right w:val="nil"/>
            </w:tcBorders>
            <w:vAlign w:val="center"/>
          </w:tcPr>
          <w:p w14:paraId="2C39F922"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10</w:t>
            </w:r>
          </w:p>
        </w:tc>
        <w:tc>
          <w:tcPr>
            <w:tcW w:w="879" w:type="dxa"/>
            <w:tcBorders>
              <w:top w:val="single" w:sz="8" w:space="0" w:color="000000" w:themeColor="text1"/>
              <w:left w:val="nil"/>
              <w:bottom w:val="single" w:sz="8" w:space="0" w:color="000000" w:themeColor="text1"/>
              <w:right w:val="nil"/>
            </w:tcBorders>
            <w:vAlign w:val="center"/>
          </w:tcPr>
          <w:p w14:paraId="47175DE6"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5</w:t>
            </w:r>
          </w:p>
        </w:tc>
        <w:tc>
          <w:tcPr>
            <w:tcW w:w="879" w:type="dxa"/>
            <w:tcBorders>
              <w:top w:val="single" w:sz="8" w:space="0" w:color="000000" w:themeColor="text1"/>
              <w:left w:val="nil"/>
              <w:bottom w:val="single" w:sz="8" w:space="0" w:color="000000" w:themeColor="text1"/>
              <w:right w:val="nil"/>
            </w:tcBorders>
            <w:vAlign w:val="center"/>
          </w:tcPr>
          <w:p w14:paraId="667A2482"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15</w:t>
            </w:r>
          </w:p>
        </w:tc>
        <w:tc>
          <w:tcPr>
            <w:tcW w:w="879" w:type="dxa"/>
            <w:tcBorders>
              <w:top w:val="single" w:sz="8" w:space="0" w:color="000000" w:themeColor="text1"/>
              <w:left w:val="nil"/>
              <w:bottom w:val="single" w:sz="8" w:space="0" w:color="000000" w:themeColor="text1"/>
              <w:right w:val="nil"/>
            </w:tcBorders>
            <w:vAlign w:val="center"/>
          </w:tcPr>
          <w:p w14:paraId="76D774E7"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30</w:t>
            </w:r>
          </w:p>
        </w:tc>
        <w:tc>
          <w:tcPr>
            <w:tcW w:w="1260" w:type="dxa"/>
            <w:tcBorders>
              <w:top w:val="single" w:sz="8" w:space="0" w:color="000000" w:themeColor="text1"/>
              <w:left w:val="nil"/>
              <w:bottom w:val="single" w:sz="8" w:space="0" w:color="000000" w:themeColor="text1"/>
              <w:right w:val="nil"/>
            </w:tcBorders>
            <w:vAlign w:val="center"/>
          </w:tcPr>
          <w:p w14:paraId="42ACAE6A"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6,9</w:t>
            </w:r>
          </w:p>
        </w:tc>
        <w:tc>
          <w:tcPr>
            <w:tcW w:w="126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75ABF2F1"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975,-</w:t>
            </w:r>
          </w:p>
        </w:tc>
        <w:tc>
          <w:tcPr>
            <w:tcW w:w="132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609410F8"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67,24</w:t>
            </w:r>
          </w:p>
        </w:tc>
      </w:tr>
      <w:tr w:rsidR="001D69C5" w:rsidRPr="001D69C5" w14:paraId="26C6C8DC" w14:textId="77777777" w:rsidTr="002E59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7DA1C0B3"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Tru cut biopsy</w:t>
            </w:r>
          </w:p>
        </w:tc>
        <w:tc>
          <w:tcPr>
            <w:tcW w:w="879" w:type="dxa"/>
            <w:tcBorders>
              <w:top w:val="single" w:sz="8" w:space="0" w:color="000000" w:themeColor="text1"/>
              <w:left w:val="nil"/>
              <w:bottom w:val="single" w:sz="8" w:space="0" w:color="000000" w:themeColor="text1"/>
              <w:right w:val="nil"/>
            </w:tcBorders>
            <w:vAlign w:val="center"/>
          </w:tcPr>
          <w:p w14:paraId="416A8717"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15</w:t>
            </w:r>
          </w:p>
        </w:tc>
        <w:tc>
          <w:tcPr>
            <w:tcW w:w="879" w:type="dxa"/>
            <w:tcBorders>
              <w:top w:val="single" w:sz="8" w:space="0" w:color="000000" w:themeColor="text1"/>
              <w:left w:val="nil"/>
              <w:bottom w:val="single" w:sz="8" w:space="0" w:color="000000" w:themeColor="text1"/>
              <w:right w:val="nil"/>
            </w:tcBorders>
            <w:vAlign w:val="center"/>
          </w:tcPr>
          <w:p w14:paraId="2ECD6522"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5</w:t>
            </w:r>
          </w:p>
        </w:tc>
        <w:tc>
          <w:tcPr>
            <w:tcW w:w="879" w:type="dxa"/>
            <w:tcBorders>
              <w:top w:val="single" w:sz="8" w:space="0" w:color="000000" w:themeColor="text1"/>
              <w:left w:val="nil"/>
              <w:bottom w:val="single" w:sz="8" w:space="0" w:color="000000" w:themeColor="text1"/>
              <w:right w:val="nil"/>
            </w:tcBorders>
            <w:vAlign w:val="center"/>
          </w:tcPr>
          <w:p w14:paraId="18AD92C9"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14</w:t>
            </w:r>
          </w:p>
        </w:tc>
        <w:tc>
          <w:tcPr>
            <w:tcW w:w="879" w:type="dxa"/>
            <w:tcBorders>
              <w:top w:val="single" w:sz="8" w:space="0" w:color="000000" w:themeColor="text1"/>
              <w:left w:val="nil"/>
              <w:bottom w:val="single" w:sz="8" w:space="0" w:color="000000" w:themeColor="text1"/>
              <w:right w:val="nil"/>
            </w:tcBorders>
            <w:vAlign w:val="center"/>
          </w:tcPr>
          <w:p w14:paraId="55E4DCCB"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34</w:t>
            </w:r>
          </w:p>
        </w:tc>
        <w:tc>
          <w:tcPr>
            <w:tcW w:w="1260" w:type="dxa"/>
            <w:tcBorders>
              <w:top w:val="single" w:sz="8" w:space="0" w:color="000000" w:themeColor="text1"/>
              <w:left w:val="nil"/>
              <w:bottom w:val="single" w:sz="8" w:space="0" w:color="000000" w:themeColor="text1"/>
              <w:right w:val="nil"/>
            </w:tcBorders>
            <w:vAlign w:val="center"/>
          </w:tcPr>
          <w:p w14:paraId="47F7454B"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7,8</w:t>
            </w:r>
          </w:p>
        </w:tc>
        <w:tc>
          <w:tcPr>
            <w:tcW w:w="126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742A1726"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377,50</w:t>
            </w:r>
          </w:p>
        </w:tc>
        <w:tc>
          <w:tcPr>
            <w:tcW w:w="1320" w:type="dxa"/>
            <w:tcBorders>
              <w:top w:val="single" w:sz="8" w:space="0" w:color="000000" w:themeColor="text1"/>
              <w:left w:val="nil"/>
              <w:bottom w:val="single" w:sz="8" w:space="0" w:color="000000" w:themeColor="text1"/>
              <w:right w:val="nil"/>
            </w:tcBorders>
            <w:shd w:val="clear" w:color="auto" w:fill="D9D9D9" w:themeFill="background1" w:themeFillShade="D9"/>
            <w:vAlign w:val="center"/>
          </w:tcPr>
          <w:p w14:paraId="0DC702E5"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29,51</w:t>
            </w:r>
          </w:p>
        </w:tc>
      </w:tr>
      <w:tr w:rsidR="001D69C5" w:rsidRPr="001D69C5" w14:paraId="7655374E" w14:textId="77777777" w:rsidTr="002E5941">
        <w:trPr>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single" w:sz="12" w:space="0" w:color="000000" w:themeColor="text1"/>
              <w:right w:val="nil"/>
            </w:tcBorders>
            <w:shd w:val="clear" w:color="auto" w:fill="D9D9D9" w:themeFill="background1" w:themeFillShade="D9"/>
            <w:vAlign w:val="center"/>
          </w:tcPr>
          <w:p w14:paraId="33146635"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Histopathology</w:t>
            </w:r>
          </w:p>
        </w:tc>
        <w:tc>
          <w:tcPr>
            <w:tcW w:w="879" w:type="dxa"/>
            <w:tcBorders>
              <w:top w:val="single" w:sz="8" w:space="0" w:color="000000" w:themeColor="text1"/>
              <w:left w:val="nil"/>
              <w:bottom w:val="single" w:sz="12" w:space="0" w:color="000000" w:themeColor="text1"/>
              <w:right w:val="nil"/>
            </w:tcBorders>
            <w:vAlign w:val="center"/>
          </w:tcPr>
          <w:p w14:paraId="30A1C144"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7</w:t>
            </w:r>
          </w:p>
        </w:tc>
        <w:tc>
          <w:tcPr>
            <w:tcW w:w="879" w:type="dxa"/>
            <w:tcBorders>
              <w:top w:val="single" w:sz="8" w:space="0" w:color="000000" w:themeColor="text1"/>
              <w:left w:val="nil"/>
              <w:bottom w:val="single" w:sz="12" w:space="0" w:color="000000" w:themeColor="text1"/>
              <w:right w:val="nil"/>
            </w:tcBorders>
            <w:vAlign w:val="center"/>
          </w:tcPr>
          <w:p w14:paraId="48802884"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4</w:t>
            </w:r>
          </w:p>
        </w:tc>
        <w:tc>
          <w:tcPr>
            <w:tcW w:w="879" w:type="dxa"/>
            <w:tcBorders>
              <w:top w:val="single" w:sz="8" w:space="0" w:color="000000" w:themeColor="text1"/>
              <w:left w:val="nil"/>
              <w:bottom w:val="single" w:sz="12" w:space="0" w:color="000000" w:themeColor="text1"/>
              <w:right w:val="nil"/>
            </w:tcBorders>
            <w:vAlign w:val="center"/>
          </w:tcPr>
          <w:p w14:paraId="779F2F7C"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71</w:t>
            </w:r>
          </w:p>
        </w:tc>
        <w:tc>
          <w:tcPr>
            <w:tcW w:w="879" w:type="dxa"/>
            <w:tcBorders>
              <w:top w:val="single" w:sz="8" w:space="0" w:color="000000" w:themeColor="text1"/>
              <w:left w:val="nil"/>
              <w:bottom w:val="single" w:sz="12" w:space="0" w:color="000000" w:themeColor="text1"/>
              <w:right w:val="nil"/>
            </w:tcBorders>
            <w:vAlign w:val="center"/>
          </w:tcPr>
          <w:p w14:paraId="30ED9897"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82</w:t>
            </w:r>
          </w:p>
        </w:tc>
        <w:tc>
          <w:tcPr>
            <w:tcW w:w="1260" w:type="dxa"/>
            <w:tcBorders>
              <w:top w:val="single" w:sz="8" w:space="0" w:color="000000" w:themeColor="text1"/>
              <w:left w:val="nil"/>
              <w:bottom w:val="single" w:sz="12" w:space="0" w:color="000000" w:themeColor="text1"/>
              <w:right w:val="nil"/>
            </w:tcBorders>
            <w:vAlign w:val="center"/>
          </w:tcPr>
          <w:p w14:paraId="2603AC1A"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1D69C5">
              <w:rPr>
                <w:rFonts w:ascii="Times New Roman" w:hAnsi="Times New Roman" w:cs="Times New Roman"/>
                <w:i/>
                <w:sz w:val="20"/>
                <w:szCs w:val="20"/>
                <w:lang w:val="en-US"/>
              </w:rPr>
              <w:t>18,9</w:t>
            </w:r>
          </w:p>
        </w:tc>
        <w:tc>
          <w:tcPr>
            <w:tcW w:w="1260" w:type="dxa"/>
            <w:tcBorders>
              <w:top w:val="single" w:sz="8" w:space="0" w:color="000000" w:themeColor="text1"/>
              <w:left w:val="nil"/>
              <w:bottom w:val="single" w:sz="12" w:space="0" w:color="000000" w:themeColor="text1"/>
              <w:right w:val="nil"/>
            </w:tcBorders>
            <w:shd w:val="clear" w:color="auto" w:fill="D9D9D9" w:themeFill="background1" w:themeFillShade="D9"/>
            <w:vAlign w:val="center"/>
          </w:tcPr>
          <w:p w14:paraId="75EE33B7"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250,-</w:t>
            </w:r>
          </w:p>
        </w:tc>
        <w:tc>
          <w:tcPr>
            <w:tcW w:w="1320" w:type="dxa"/>
            <w:tcBorders>
              <w:top w:val="single" w:sz="8" w:space="0" w:color="000000" w:themeColor="text1"/>
              <w:left w:val="nil"/>
              <w:bottom w:val="single" w:sz="12" w:space="0" w:color="000000" w:themeColor="text1"/>
              <w:right w:val="nil"/>
            </w:tcBorders>
            <w:shd w:val="clear" w:color="auto" w:fill="D9D9D9" w:themeFill="background1" w:themeFillShade="D9"/>
            <w:vAlign w:val="center"/>
          </w:tcPr>
          <w:p w14:paraId="4E42DE41" w14:textId="77777777" w:rsidR="001D69C5" w:rsidRPr="001D69C5" w:rsidRDefault="001D69C5" w:rsidP="000D1EF5">
            <w:pPr>
              <w:pStyle w:val="Tabellteks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47,13</w:t>
            </w:r>
          </w:p>
        </w:tc>
      </w:tr>
      <w:tr w:rsidR="001D69C5" w:rsidRPr="001D69C5" w14:paraId="359B3D26" w14:textId="77777777" w:rsidTr="002E59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4" w:type="dxa"/>
            <w:tcBorders>
              <w:top w:val="single" w:sz="12" w:space="0" w:color="000000" w:themeColor="text1"/>
              <w:left w:val="nil"/>
              <w:bottom w:val="single" w:sz="8" w:space="0" w:color="000000" w:themeColor="text1"/>
              <w:right w:val="nil"/>
            </w:tcBorders>
            <w:shd w:val="clear" w:color="auto" w:fill="auto"/>
            <w:vAlign w:val="center"/>
          </w:tcPr>
          <w:p w14:paraId="3E37A76B" w14:textId="77777777" w:rsidR="001D69C5" w:rsidRPr="001D69C5" w:rsidRDefault="001D69C5" w:rsidP="000D1EF5">
            <w:pPr>
              <w:pStyle w:val="Tabelltekst"/>
              <w:spacing w:line="276" w:lineRule="auto"/>
              <w:rPr>
                <w:rFonts w:ascii="Times New Roman" w:hAnsi="Times New Roman" w:cs="Times New Roman"/>
                <w:sz w:val="20"/>
                <w:szCs w:val="20"/>
                <w:lang w:val="en-US"/>
              </w:rPr>
            </w:pPr>
            <w:r w:rsidRPr="001D69C5">
              <w:rPr>
                <w:rFonts w:ascii="Times New Roman" w:hAnsi="Times New Roman" w:cs="Times New Roman"/>
                <w:sz w:val="20"/>
                <w:szCs w:val="20"/>
                <w:lang w:val="en-US"/>
              </w:rPr>
              <w:t>Total</w:t>
            </w:r>
          </w:p>
        </w:tc>
        <w:tc>
          <w:tcPr>
            <w:tcW w:w="879" w:type="dxa"/>
            <w:tcBorders>
              <w:top w:val="single" w:sz="12" w:space="0" w:color="000000" w:themeColor="text1"/>
              <w:left w:val="nil"/>
              <w:bottom w:val="single" w:sz="8" w:space="0" w:color="000000" w:themeColor="text1"/>
              <w:right w:val="nil"/>
            </w:tcBorders>
            <w:shd w:val="clear" w:color="auto" w:fill="auto"/>
            <w:vAlign w:val="center"/>
          </w:tcPr>
          <w:p w14:paraId="781E85EA"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79" w:type="dxa"/>
            <w:tcBorders>
              <w:top w:val="single" w:sz="12" w:space="0" w:color="000000" w:themeColor="text1"/>
              <w:left w:val="nil"/>
              <w:bottom w:val="single" w:sz="8" w:space="0" w:color="000000" w:themeColor="text1"/>
              <w:right w:val="nil"/>
            </w:tcBorders>
            <w:shd w:val="clear" w:color="auto" w:fill="auto"/>
            <w:vAlign w:val="center"/>
          </w:tcPr>
          <w:p w14:paraId="46045E3D"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79" w:type="dxa"/>
            <w:tcBorders>
              <w:top w:val="single" w:sz="12" w:space="0" w:color="000000" w:themeColor="text1"/>
              <w:left w:val="nil"/>
              <w:bottom w:val="single" w:sz="8" w:space="0" w:color="000000" w:themeColor="text1"/>
              <w:right w:val="nil"/>
            </w:tcBorders>
            <w:shd w:val="clear" w:color="auto" w:fill="auto"/>
            <w:vAlign w:val="center"/>
          </w:tcPr>
          <w:p w14:paraId="30A02A4B"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879" w:type="dxa"/>
            <w:tcBorders>
              <w:top w:val="single" w:sz="12" w:space="0" w:color="000000" w:themeColor="text1"/>
              <w:left w:val="nil"/>
              <w:bottom w:val="single" w:sz="8" w:space="0" w:color="000000" w:themeColor="text1"/>
              <w:right w:val="nil"/>
            </w:tcBorders>
            <w:shd w:val="clear" w:color="auto" w:fill="auto"/>
            <w:vAlign w:val="center"/>
          </w:tcPr>
          <w:p w14:paraId="0B835AD0"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60" w:type="dxa"/>
            <w:tcBorders>
              <w:top w:val="single" w:sz="12" w:space="0" w:color="000000" w:themeColor="text1"/>
              <w:left w:val="nil"/>
              <w:bottom w:val="single" w:sz="8" w:space="0" w:color="000000" w:themeColor="text1"/>
              <w:right w:val="nil"/>
            </w:tcBorders>
            <w:shd w:val="clear" w:color="auto" w:fill="auto"/>
            <w:vAlign w:val="center"/>
          </w:tcPr>
          <w:p w14:paraId="493F8FB0"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D69C5">
              <w:rPr>
                <w:rFonts w:ascii="Times New Roman" w:hAnsi="Times New Roman" w:cs="Times New Roman"/>
                <w:sz w:val="20"/>
                <w:szCs w:val="20"/>
                <w:lang w:val="en-US"/>
              </w:rPr>
              <w:t>100%</w:t>
            </w:r>
          </w:p>
        </w:tc>
        <w:tc>
          <w:tcPr>
            <w:tcW w:w="1260" w:type="dxa"/>
            <w:tcBorders>
              <w:top w:val="single" w:sz="12" w:space="0" w:color="000000" w:themeColor="text1"/>
              <w:left w:val="nil"/>
              <w:bottom w:val="single" w:sz="8" w:space="0" w:color="000000" w:themeColor="text1"/>
              <w:right w:val="nil"/>
            </w:tcBorders>
            <w:shd w:val="clear" w:color="auto" w:fill="auto"/>
            <w:vAlign w:val="center"/>
          </w:tcPr>
          <w:p w14:paraId="267840A2"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320" w:type="dxa"/>
            <w:tcBorders>
              <w:top w:val="single" w:sz="12" w:space="0" w:color="000000" w:themeColor="text1"/>
              <w:left w:val="nil"/>
              <w:bottom w:val="single" w:sz="8" w:space="0" w:color="000000" w:themeColor="text1"/>
              <w:right w:val="nil"/>
            </w:tcBorders>
            <w:shd w:val="clear" w:color="auto" w:fill="auto"/>
            <w:vAlign w:val="center"/>
          </w:tcPr>
          <w:p w14:paraId="6E545DB1" w14:textId="77777777" w:rsidR="001D69C5" w:rsidRPr="001D69C5" w:rsidRDefault="001D69C5" w:rsidP="000D1EF5">
            <w:pPr>
              <w:pStyle w:val="Tabellteks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1D69C5">
              <w:rPr>
                <w:rFonts w:ascii="Times New Roman" w:hAnsi="Times New Roman" w:cs="Times New Roman"/>
                <w:b/>
                <w:sz w:val="20"/>
                <w:szCs w:val="20"/>
                <w:lang w:val="en-US"/>
              </w:rPr>
              <w:t>221,11 NIS</w:t>
            </w:r>
          </w:p>
        </w:tc>
      </w:tr>
    </w:tbl>
    <w:p w14:paraId="1F85995F" w14:textId="77777777" w:rsidR="001D69C5" w:rsidRPr="001D69C5" w:rsidRDefault="001D69C5" w:rsidP="000D1EF5">
      <w:pPr>
        <w:pStyle w:val="NoSpacing"/>
        <w:rPr>
          <w:rStyle w:val="SubtleEmphasis"/>
          <w:rFonts w:ascii="Times New Roman" w:hAnsi="Times New Roman" w:cs="Times New Roman"/>
          <w:i w:val="0"/>
          <w:sz w:val="20"/>
          <w:szCs w:val="20"/>
        </w:rPr>
      </w:pPr>
      <w:r w:rsidRPr="001D69C5">
        <w:rPr>
          <w:rFonts w:ascii="Times New Roman" w:hAnsi="Times New Roman" w:cs="Times New Roman"/>
          <w:sz w:val="20"/>
          <w:szCs w:val="20"/>
        </w:rPr>
        <w:t>*No information available for MRI, so rough estimate applied based on theoretical capacity.</w:t>
      </w:r>
    </w:p>
    <w:p w14:paraId="63599EB0" w14:textId="6641099E" w:rsidR="001D69C5" w:rsidRPr="001D69C5" w:rsidRDefault="001D69C5" w:rsidP="000D1EF5">
      <w:pPr>
        <w:pStyle w:val="Tabledescriptions"/>
        <w:rPr>
          <w:rStyle w:val="SubtleEmphasis"/>
          <w:rFonts w:ascii="Times New Roman" w:hAnsi="Times New Roman" w:cs="Times New Roman"/>
          <w:i/>
          <w:iCs w:val="0"/>
        </w:rPr>
      </w:pPr>
      <w:r w:rsidRPr="001D69C5">
        <w:rPr>
          <w:rFonts w:ascii="Times New Roman" w:hAnsi="Times New Roman" w:cs="Times New Roman"/>
        </w:rPr>
        <w:t xml:space="preserve">Source: Data adapted from Jubran, Shaar, Hammad and Jarrar (2018) </w:t>
      </w:r>
      <w:r w:rsidRPr="001D69C5">
        <w:rPr>
          <w:rStyle w:val="SubtleEmphasis"/>
          <w:rFonts w:ascii="Times New Roman" w:hAnsi="Times New Roman" w:cs="Times New Roman"/>
          <w:i/>
          <w:iCs w:val="0"/>
        </w:rPr>
        <w:fldChar w:fldCharType="begin"/>
      </w:r>
      <w:r w:rsidR="00565E10">
        <w:rPr>
          <w:rStyle w:val="SubtleEmphasis"/>
          <w:rFonts w:ascii="Times New Roman" w:hAnsi="Times New Roman" w:cs="Times New Roman"/>
          <w:i/>
          <w:iCs w:val="0"/>
        </w:rPr>
        <w:instrText xml:space="preserve"> ADDIN EN.CITE &lt;EndNote&gt;&lt;Cite&gt;&lt;Author&gt;Jubran&lt;/Author&gt;&lt;Year&gt;2018&lt;/Year&gt;&lt;RecNum&gt;0&lt;/RecNum&gt;&lt;IDText&gt;Pathway to Survival - the Story of Breast Cancer in Palestine&lt;/IDText&gt;&lt;DisplayText&gt;(4)&lt;/DisplayText&gt;&lt;record&gt;&lt;contributors&gt;&lt;tertiary-authors&gt;&lt;author&gt;United Nations Population Fund, &lt;/author&gt;&lt;/tertiary-authors&gt;&lt;/contributors&gt;&lt;titles&gt;&lt;title&gt;Pathway to Survival - the Story of Breast Cancer in Palestine&lt;/title&gt;&lt;/titles&gt;&lt;pages&gt;67&lt;/pages&gt;&lt;contributors&gt;&lt;authors&gt;&lt;author&gt;Jubran, J. &lt;/author&gt;&lt;author&gt;Shaar, A. N.&lt;/author&gt;&lt;author&gt;Hammad, S.&lt;/author&gt;&lt;author&gt;Jarrar, K.&lt;/author&gt;&lt;/authors&gt;&lt;/contributors&gt;&lt;added-date format="utc"&gt;1610636529&lt;/added-date&gt;&lt;ref-type name="Report"&gt;27&lt;/ref-type&gt;&lt;dates&gt;&lt;year&gt;2018&lt;/year&gt;&lt;/dates&gt;&lt;rec-number&gt;9320&lt;/rec-number&gt;&lt;last-updated-date format="utc"&gt;1610636529&lt;/last-updated-date&gt;&lt;/record&gt;&lt;/Cite&gt;&lt;/EndNote&gt;</w:instrText>
      </w:r>
      <w:r w:rsidRPr="001D69C5">
        <w:rPr>
          <w:rStyle w:val="SubtleEmphasis"/>
          <w:rFonts w:ascii="Times New Roman" w:hAnsi="Times New Roman" w:cs="Times New Roman"/>
          <w:i/>
          <w:iCs w:val="0"/>
        </w:rPr>
        <w:fldChar w:fldCharType="separate"/>
      </w:r>
      <w:r w:rsidR="00565E10" w:rsidRPr="00565E10">
        <w:rPr>
          <w:rStyle w:val="SubtleEmphasis"/>
          <w:rFonts w:ascii="Times New Roman" w:hAnsi="Times New Roman" w:cs="Times New Roman"/>
          <w:noProof/>
        </w:rPr>
        <w:t>(4)</w:t>
      </w:r>
      <w:r w:rsidRPr="001D69C5">
        <w:rPr>
          <w:rStyle w:val="SubtleEmphasis"/>
          <w:rFonts w:ascii="Times New Roman" w:hAnsi="Times New Roman" w:cs="Times New Roman"/>
          <w:i/>
          <w:iCs w:val="0"/>
        </w:rPr>
        <w:fldChar w:fldCharType="end"/>
      </w:r>
      <w:r w:rsidRPr="001D69C5">
        <w:rPr>
          <w:rFonts w:ascii="Times New Roman" w:hAnsi="Times New Roman" w:cs="Times New Roman"/>
        </w:rPr>
        <w:t>.</w:t>
      </w:r>
    </w:p>
    <w:p w14:paraId="0029A33A" w14:textId="77777777" w:rsidR="001D69C5" w:rsidRPr="001D69C5" w:rsidRDefault="001D69C5" w:rsidP="000D1EF5">
      <w:pPr>
        <w:pStyle w:val="NoSpacing"/>
        <w:rPr>
          <w:rFonts w:ascii="Times New Roman" w:hAnsi="Times New Roman" w:cs="Times New Roman"/>
          <w:i/>
          <w:iCs/>
          <w:color w:val="404040" w:themeColor="text1" w:themeTint="BF"/>
        </w:rPr>
      </w:pPr>
    </w:p>
    <w:p w14:paraId="5867A104" w14:textId="029C9D8F" w:rsidR="001D69C5" w:rsidRPr="001D69C5" w:rsidRDefault="001D69C5" w:rsidP="000D1EF5">
      <w:pPr>
        <w:pStyle w:val="Heading4"/>
        <w:spacing w:line="276" w:lineRule="auto"/>
        <w:rPr>
          <w:rFonts w:ascii="Times New Roman" w:hAnsi="Times New Roman"/>
        </w:rPr>
      </w:pPr>
      <w:r w:rsidRPr="001D69C5">
        <w:rPr>
          <w:rFonts w:ascii="Times New Roman" w:hAnsi="Times New Roman"/>
        </w:rPr>
        <w:t>Analysis</w:t>
      </w:r>
    </w:p>
    <w:p w14:paraId="1A98F218" w14:textId="57240D0F" w:rsidR="001D69C5" w:rsidRPr="001D69C5" w:rsidRDefault="001D69C5" w:rsidP="000D1EF5">
      <w:pPr>
        <w:pStyle w:val="NoSpacing"/>
        <w:rPr>
          <w:rFonts w:ascii="Times New Roman" w:hAnsi="Times New Roman" w:cs="Times New Roman"/>
        </w:rPr>
      </w:pPr>
      <w:r w:rsidRPr="001D69C5">
        <w:rPr>
          <w:rFonts w:ascii="Times New Roman" w:hAnsi="Times New Roman" w:cs="Times New Roman"/>
        </w:rPr>
        <w:t>The parameters used in the model are shown in Table</w:t>
      </w:r>
      <w:r w:rsidR="004F2B71">
        <w:rPr>
          <w:rFonts w:ascii="Times New Roman" w:hAnsi="Times New Roman" w:cs="Times New Roman"/>
        </w:rPr>
        <w:t xml:space="preserve"> 3</w:t>
      </w:r>
      <w:r w:rsidRPr="001D69C5">
        <w:rPr>
          <w:rFonts w:ascii="Times New Roman" w:hAnsi="Times New Roman" w:cs="Times New Roman"/>
        </w:rPr>
        <w:t xml:space="preserve">. Important parameters for the analysis are the coverage of mammography screening (proportion of eligible women attending), age-specific mortality rates (all-causes), and the recall-rate (i.e., positive mammograms retested or confirmed). Both the estimated attendance and recall rates were assumed to be the same for the whole population and were not expected to change over the five-year horizon. We tested three scenarios of coverage for mammography screening, assuming attendance rates of 20%, 50% and 80%. </w:t>
      </w:r>
    </w:p>
    <w:p w14:paraId="788C4A32" w14:textId="77777777" w:rsidR="001D69C5" w:rsidRPr="001D69C5" w:rsidRDefault="001D69C5" w:rsidP="000D1EF5">
      <w:pPr>
        <w:pStyle w:val="NoSpacing"/>
        <w:rPr>
          <w:rFonts w:ascii="Times New Roman" w:hAnsi="Times New Roman" w:cs="Times New Roman"/>
        </w:rPr>
      </w:pPr>
    </w:p>
    <w:p w14:paraId="6CAC7503" w14:textId="7DD3A5D0" w:rsidR="001D69C5" w:rsidRDefault="001D69C5" w:rsidP="004F2B71">
      <w:pPr>
        <w:pStyle w:val="NoSpacing"/>
        <w:rPr>
          <w:rFonts w:ascii="Times New Roman" w:hAnsi="Times New Roman" w:cs="Times New Roman"/>
        </w:rPr>
      </w:pPr>
      <w:r w:rsidRPr="001D69C5">
        <w:rPr>
          <w:rFonts w:ascii="Times New Roman" w:hAnsi="Times New Roman" w:cs="Times New Roman"/>
        </w:rPr>
        <w:t xml:space="preserve">To estimate the total cost of screening, the number of women participating in screening was multiplied by the estimated cost per mammogram. The number of women participating in the program was estimated by multiplying the mortality rate and attendance rate with the target population. The model assumed that all women who received a positive result would be re-called for further diagnosis and all attend within the same year. A recall rate of 6.2% was multiplied to estimate the number of women who would be recalled. The total cost of recall was therefore the average cost of diagnostic services during recall multiplied by the number of women recalled.   </w:t>
      </w:r>
    </w:p>
    <w:p w14:paraId="2FF158D0" w14:textId="77777777" w:rsidR="004F2B71" w:rsidRPr="001D69C5" w:rsidRDefault="004F2B71" w:rsidP="004F2B71">
      <w:pPr>
        <w:pStyle w:val="NoSpacing"/>
        <w:rPr>
          <w:rFonts w:ascii="Times New Roman" w:hAnsi="Times New Roman" w:cs="Times New Roman"/>
        </w:rPr>
      </w:pPr>
    </w:p>
    <w:p w14:paraId="2F11E096" w14:textId="6B05BD79" w:rsidR="001D69C5" w:rsidRPr="001D69C5" w:rsidRDefault="001D69C5" w:rsidP="000D1EF5">
      <w:pPr>
        <w:pStyle w:val="NoSpacing"/>
        <w:rPr>
          <w:rFonts w:ascii="Times New Roman" w:hAnsi="Times New Roman" w:cs="Times New Roman"/>
          <w:b/>
          <w:bCs/>
        </w:rPr>
      </w:pPr>
      <w:r w:rsidRPr="001D69C5">
        <w:rPr>
          <w:rFonts w:ascii="Times New Roman" w:hAnsi="Times New Roman" w:cs="Times New Roman"/>
          <w:b/>
          <w:bCs/>
        </w:rPr>
        <w:t xml:space="preserve">Table </w:t>
      </w:r>
      <w:r w:rsidR="004F2B71">
        <w:rPr>
          <w:rFonts w:ascii="Times New Roman" w:hAnsi="Times New Roman" w:cs="Times New Roman"/>
          <w:b/>
          <w:bCs/>
        </w:rPr>
        <w:t>3</w:t>
      </w:r>
      <w:r w:rsidRPr="001D69C5">
        <w:rPr>
          <w:rFonts w:ascii="Times New Roman" w:hAnsi="Times New Roman" w:cs="Times New Roman"/>
          <w:b/>
          <w:bCs/>
        </w:rPr>
        <w:t>. Input parameters</w:t>
      </w:r>
    </w:p>
    <w:tbl>
      <w:tblPr>
        <w:tblStyle w:val="TableGrid"/>
        <w:tblW w:w="5000" w:type="pct"/>
        <w:tblLook w:val="06A0" w:firstRow="1" w:lastRow="0" w:firstColumn="1" w:lastColumn="0" w:noHBand="1" w:noVBand="1"/>
      </w:tblPr>
      <w:tblGrid>
        <w:gridCol w:w="2476"/>
        <w:gridCol w:w="1241"/>
        <w:gridCol w:w="873"/>
        <w:gridCol w:w="4482"/>
      </w:tblGrid>
      <w:tr w:rsidR="001D69C5" w:rsidRPr="001D69C5" w14:paraId="2EE9AAF5" w14:textId="77777777" w:rsidTr="002E5941">
        <w:tc>
          <w:tcPr>
            <w:tcW w:w="1365" w:type="pct"/>
            <w:tcBorders>
              <w:top w:val="single" w:sz="8" w:space="0" w:color="000000" w:themeColor="text1"/>
              <w:left w:val="nil"/>
              <w:bottom w:val="single" w:sz="8" w:space="0" w:color="000000" w:themeColor="text1"/>
              <w:right w:val="nil"/>
            </w:tcBorders>
            <w:shd w:val="clear" w:color="auto" w:fill="BFBFBF" w:themeFill="background1" w:themeFillShade="BF"/>
            <w:vAlign w:val="center"/>
          </w:tcPr>
          <w:p w14:paraId="5BE1B4EE"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Parameters</w:t>
            </w:r>
          </w:p>
        </w:tc>
        <w:tc>
          <w:tcPr>
            <w:tcW w:w="1165" w:type="pct"/>
            <w:gridSpan w:val="2"/>
            <w:tcBorders>
              <w:top w:val="single" w:sz="8" w:space="0" w:color="000000" w:themeColor="text1"/>
              <w:left w:val="nil"/>
              <w:bottom w:val="single" w:sz="8" w:space="0" w:color="000000" w:themeColor="text1"/>
              <w:right w:val="nil"/>
            </w:tcBorders>
            <w:shd w:val="clear" w:color="auto" w:fill="BFBFBF" w:themeFill="background1" w:themeFillShade="BF"/>
          </w:tcPr>
          <w:p w14:paraId="7CE6F183"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Estimate</w:t>
            </w:r>
          </w:p>
        </w:tc>
        <w:tc>
          <w:tcPr>
            <w:tcW w:w="2470" w:type="pct"/>
            <w:tcBorders>
              <w:top w:val="single" w:sz="8" w:space="0" w:color="000000" w:themeColor="text1"/>
              <w:left w:val="nil"/>
              <w:bottom w:val="single" w:sz="8" w:space="0" w:color="000000" w:themeColor="text1"/>
              <w:right w:val="nil"/>
            </w:tcBorders>
            <w:shd w:val="clear" w:color="auto" w:fill="BFBFBF" w:themeFill="background1" w:themeFillShade="BF"/>
            <w:vAlign w:val="center"/>
          </w:tcPr>
          <w:p w14:paraId="42CC33BD"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Source</w:t>
            </w:r>
          </w:p>
        </w:tc>
      </w:tr>
      <w:tr w:rsidR="001D69C5" w:rsidRPr="001D69C5" w14:paraId="30B87222"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555055EA"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Population Growth rate</w:t>
            </w:r>
          </w:p>
        </w:tc>
        <w:tc>
          <w:tcPr>
            <w:tcW w:w="1165" w:type="pct"/>
            <w:gridSpan w:val="2"/>
            <w:tcBorders>
              <w:top w:val="single" w:sz="8" w:space="0" w:color="000000" w:themeColor="text1"/>
              <w:left w:val="nil"/>
              <w:bottom w:val="single" w:sz="8" w:space="0" w:color="000000" w:themeColor="text1"/>
              <w:right w:val="nil"/>
            </w:tcBorders>
            <w:vAlign w:val="center"/>
          </w:tcPr>
          <w:p w14:paraId="05FCD4D8"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2.28%</w:t>
            </w:r>
          </w:p>
        </w:tc>
        <w:tc>
          <w:tcPr>
            <w:tcW w:w="2470" w:type="pct"/>
            <w:tcBorders>
              <w:top w:val="single" w:sz="8" w:space="0" w:color="000000" w:themeColor="text1"/>
              <w:left w:val="nil"/>
              <w:bottom w:val="single" w:sz="8" w:space="0" w:color="000000" w:themeColor="text1"/>
              <w:right w:val="nil"/>
            </w:tcBorders>
            <w:vAlign w:val="center"/>
          </w:tcPr>
          <w:p w14:paraId="4F7E05FC"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From </w:t>
            </w:r>
            <w:hyperlink r:id="rId5">
              <w:r w:rsidRPr="001D69C5">
                <w:rPr>
                  <w:rStyle w:val="Hyperlink"/>
                  <w:rFonts w:ascii="Times New Roman" w:eastAsia="Cambria" w:hAnsi="Times New Roman" w:cs="Times New Roman"/>
                  <w:sz w:val="20"/>
                  <w:szCs w:val="20"/>
                  <w:lang w:val="en-US"/>
                </w:rPr>
                <w:t>UN</w:t>
              </w:r>
            </w:hyperlink>
            <w:r w:rsidRPr="001D69C5">
              <w:rPr>
                <w:rFonts w:ascii="Times New Roman" w:eastAsia="Cambria" w:hAnsi="Times New Roman" w:cs="Times New Roman"/>
                <w:sz w:val="20"/>
                <w:szCs w:val="20"/>
                <w:lang w:val="en-US"/>
              </w:rPr>
              <w:t> Department of Economic and Social Affairs, Population dynamics</w:t>
            </w:r>
          </w:p>
        </w:tc>
      </w:tr>
      <w:tr w:rsidR="001D69C5" w:rsidRPr="001D69C5" w14:paraId="2C9A52F9"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2EFF572C"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 xml:space="preserve">Coverage of screening </w:t>
            </w:r>
          </w:p>
        </w:tc>
        <w:tc>
          <w:tcPr>
            <w:tcW w:w="1165" w:type="pct"/>
            <w:gridSpan w:val="2"/>
            <w:tcBorders>
              <w:top w:val="single" w:sz="8" w:space="0" w:color="000000" w:themeColor="text1"/>
              <w:left w:val="nil"/>
              <w:bottom w:val="single" w:sz="8" w:space="0" w:color="000000" w:themeColor="text1"/>
              <w:right w:val="nil"/>
            </w:tcBorders>
            <w:vAlign w:val="center"/>
          </w:tcPr>
          <w:p w14:paraId="14BFFE24"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80%, 50%, 20%</w:t>
            </w:r>
          </w:p>
        </w:tc>
        <w:tc>
          <w:tcPr>
            <w:tcW w:w="2470" w:type="pct"/>
            <w:tcBorders>
              <w:top w:val="single" w:sz="8" w:space="0" w:color="000000" w:themeColor="text1"/>
              <w:left w:val="nil"/>
              <w:bottom w:val="single" w:sz="8" w:space="0" w:color="000000" w:themeColor="text1"/>
              <w:right w:val="nil"/>
            </w:tcBorders>
            <w:vAlign w:val="center"/>
          </w:tcPr>
          <w:p w14:paraId="248565AD" w14:textId="77777777" w:rsidR="001D69C5" w:rsidRPr="001D69C5" w:rsidRDefault="001D69C5" w:rsidP="000D1EF5">
            <w:pPr>
              <w:pStyle w:val="Tabelltekst"/>
              <w:tabs>
                <w:tab w:val="clear" w:pos="510"/>
              </w:tabs>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Varied coverage estimates in three scenarios​</w:t>
            </w:r>
          </w:p>
        </w:tc>
      </w:tr>
      <w:tr w:rsidR="001D69C5" w:rsidRPr="001D69C5" w14:paraId="0E25F2DD" w14:textId="77777777" w:rsidTr="002E5941">
        <w:trPr>
          <w:trHeight w:val="60"/>
        </w:trPr>
        <w:tc>
          <w:tcPr>
            <w:tcW w:w="1365" w:type="pct"/>
            <w:vMerge w:val="restar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376DEBFB"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Age specific mortality rates</w:t>
            </w:r>
          </w:p>
        </w:tc>
        <w:tc>
          <w:tcPr>
            <w:tcW w:w="684" w:type="pct"/>
            <w:tcBorders>
              <w:top w:val="single" w:sz="8" w:space="0" w:color="000000" w:themeColor="text1"/>
              <w:left w:val="nil"/>
              <w:bottom w:val="single" w:sz="8" w:space="0" w:color="000000" w:themeColor="text1"/>
              <w:right w:val="nil"/>
            </w:tcBorders>
            <w:vAlign w:val="center"/>
          </w:tcPr>
          <w:p w14:paraId="0F02C7A4"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40 to 44</w:t>
            </w:r>
          </w:p>
        </w:tc>
        <w:tc>
          <w:tcPr>
            <w:tcW w:w="481" w:type="pct"/>
            <w:tcBorders>
              <w:top w:val="single" w:sz="8" w:space="0" w:color="000000" w:themeColor="text1"/>
              <w:left w:val="nil"/>
              <w:bottom w:val="single" w:sz="8" w:space="0" w:color="000000" w:themeColor="text1"/>
              <w:right w:val="nil"/>
            </w:tcBorders>
            <w:vAlign w:val="center"/>
          </w:tcPr>
          <w:p w14:paraId="78B18EAE"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0.001</w:t>
            </w:r>
          </w:p>
        </w:tc>
        <w:tc>
          <w:tcPr>
            <w:tcW w:w="2470" w:type="pct"/>
            <w:vMerge w:val="restart"/>
            <w:tcBorders>
              <w:top w:val="single" w:sz="8" w:space="0" w:color="000000" w:themeColor="text1"/>
              <w:left w:val="nil"/>
              <w:bottom w:val="single" w:sz="8" w:space="0" w:color="000000" w:themeColor="text1"/>
              <w:right w:val="nil"/>
            </w:tcBorders>
            <w:vAlign w:val="center"/>
          </w:tcPr>
          <w:p w14:paraId="4EBB9A94"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hyperlink r:id="rId6">
              <w:r w:rsidRPr="001D69C5">
                <w:rPr>
                  <w:rStyle w:val="Hyperlink"/>
                  <w:rFonts w:ascii="Times New Roman" w:eastAsia="Cambria" w:hAnsi="Times New Roman" w:cs="Times New Roman"/>
                  <w:sz w:val="20"/>
                  <w:szCs w:val="20"/>
                </w:rPr>
                <w:t>IHME</w:t>
              </w:r>
            </w:hyperlink>
            <w:r w:rsidRPr="001D69C5">
              <w:rPr>
                <w:rFonts w:ascii="Times New Roman" w:eastAsia="Cambria" w:hAnsi="Times New Roman" w:cs="Times New Roman"/>
                <w:sz w:val="20"/>
                <w:szCs w:val="20"/>
                <w:lang w:val="en-US"/>
              </w:rPr>
              <w:t> on Palestine (2019)</w:t>
            </w:r>
          </w:p>
        </w:tc>
      </w:tr>
      <w:tr w:rsidR="001D69C5" w:rsidRPr="001D69C5" w14:paraId="683E17A9" w14:textId="77777777" w:rsidTr="002E5941">
        <w:trPr>
          <w:trHeight w:val="56"/>
        </w:trPr>
        <w:tc>
          <w:tcPr>
            <w:tcW w:w="1365" w:type="pct"/>
            <w:vMerge/>
            <w:tcBorders>
              <w:left w:val="nil"/>
              <w:right w:val="nil"/>
            </w:tcBorders>
            <w:vAlign w:val="center"/>
          </w:tcPr>
          <w:p w14:paraId="60E2CC9E"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77D0BC69"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45 to 49</w:t>
            </w:r>
          </w:p>
        </w:tc>
        <w:tc>
          <w:tcPr>
            <w:tcW w:w="481" w:type="pct"/>
            <w:tcBorders>
              <w:top w:val="single" w:sz="8" w:space="0" w:color="000000" w:themeColor="text1"/>
              <w:left w:val="nil"/>
              <w:bottom w:val="single" w:sz="8" w:space="0" w:color="000000" w:themeColor="text1"/>
              <w:right w:val="nil"/>
            </w:tcBorders>
            <w:vAlign w:val="center"/>
          </w:tcPr>
          <w:p w14:paraId="1DD90162"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0.002</w:t>
            </w:r>
          </w:p>
        </w:tc>
        <w:tc>
          <w:tcPr>
            <w:tcW w:w="2470" w:type="pct"/>
            <w:vMerge/>
            <w:tcBorders>
              <w:left w:val="nil"/>
              <w:right w:val="nil"/>
            </w:tcBorders>
            <w:vAlign w:val="center"/>
          </w:tcPr>
          <w:p w14:paraId="2916BC2F"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654BE209" w14:textId="77777777" w:rsidTr="002E5941">
        <w:trPr>
          <w:trHeight w:val="56"/>
        </w:trPr>
        <w:tc>
          <w:tcPr>
            <w:tcW w:w="1365" w:type="pct"/>
            <w:vMerge/>
            <w:tcBorders>
              <w:left w:val="nil"/>
              <w:right w:val="nil"/>
            </w:tcBorders>
            <w:vAlign w:val="center"/>
          </w:tcPr>
          <w:p w14:paraId="311E9E44"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7EAA5172"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50 to 54</w:t>
            </w:r>
          </w:p>
        </w:tc>
        <w:tc>
          <w:tcPr>
            <w:tcW w:w="481" w:type="pct"/>
            <w:tcBorders>
              <w:top w:val="single" w:sz="8" w:space="0" w:color="000000" w:themeColor="text1"/>
              <w:left w:val="nil"/>
              <w:bottom w:val="single" w:sz="8" w:space="0" w:color="000000" w:themeColor="text1"/>
              <w:right w:val="nil"/>
            </w:tcBorders>
            <w:vAlign w:val="center"/>
          </w:tcPr>
          <w:p w14:paraId="67036BD6"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0.004</w:t>
            </w:r>
          </w:p>
        </w:tc>
        <w:tc>
          <w:tcPr>
            <w:tcW w:w="2470" w:type="pct"/>
            <w:vMerge/>
            <w:tcBorders>
              <w:left w:val="nil"/>
              <w:right w:val="nil"/>
            </w:tcBorders>
            <w:vAlign w:val="center"/>
          </w:tcPr>
          <w:p w14:paraId="094CE077"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58000DE6" w14:textId="77777777" w:rsidTr="002E5941">
        <w:trPr>
          <w:trHeight w:val="56"/>
        </w:trPr>
        <w:tc>
          <w:tcPr>
            <w:tcW w:w="1365" w:type="pct"/>
            <w:vMerge/>
            <w:tcBorders>
              <w:left w:val="nil"/>
              <w:right w:val="nil"/>
            </w:tcBorders>
            <w:vAlign w:val="center"/>
          </w:tcPr>
          <w:p w14:paraId="2B2B64F0"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3ACC13B8"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55 to 59</w:t>
            </w:r>
          </w:p>
        </w:tc>
        <w:tc>
          <w:tcPr>
            <w:tcW w:w="481" w:type="pct"/>
            <w:tcBorders>
              <w:top w:val="single" w:sz="8" w:space="0" w:color="000000" w:themeColor="text1"/>
              <w:left w:val="nil"/>
              <w:bottom w:val="single" w:sz="8" w:space="0" w:color="000000" w:themeColor="text1"/>
              <w:right w:val="nil"/>
            </w:tcBorders>
            <w:vAlign w:val="center"/>
          </w:tcPr>
          <w:p w14:paraId="421D4D17"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0.007</w:t>
            </w:r>
          </w:p>
        </w:tc>
        <w:tc>
          <w:tcPr>
            <w:tcW w:w="2470" w:type="pct"/>
            <w:vMerge/>
            <w:tcBorders>
              <w:left w:val="nil"/>
              <w:right w:val="nil"/>
            </w:tcBorders>
            <w:vAlign w:val="center"/>
          </w:tcPr>
          <w:p w14:paraId="79233DA0"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6AE8720B" w14:textId="77777777" w:rsidTr="002E5941">
        <w:trPr>
          <w:trHeight w:val="56"/>
        </w:trPr>
        <w:tc>
          <w:tcPr>
            <w:tcW w:w="1365" w:type="pct"/>
            <w:vMerge/>
            <w:tcBorders>
              <w:left w:val="nil"/>
              <w:right w:val="nil"/>
            </w:tcBorders>
            <w:vAlign w:val="center"/>
          </w:tcPr>
          <w:p w14:paraId="15220441"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5509E0F8"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60 to 64</w:t>
            </w:r>
          </w:p>
        </w:tc>
        <w:tc>
          <w:tcPr>
            <w:tcW w:w="481" w:type="pct"/>
            <w:tcBorders>
              <w:top w:val="single" w:sz="8" w:space="0" w:color="000000" w:themeColor="text1"/>
              <w:left w:val="nil"/>
              <w:bottom w:val="single" w:sz="8" w:space="0" w:color="000000" w:themeColor="text1"/>
              <w:right w:val="nil"/>
            </w:tcBorders>
            <w:vAlign w:val="center"/>
          </w:tcPr>
          <w:p w14:paraId="77085C23"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0.012</w:t>
            </w:r>
          </w:p>
        </w:tc>
        <w:tc>
          <w:tcPr>
            <w:tcW w:w="2470" w:type="pct"/>
            <w:vMerge/>
            <w:tcBorders>
              <w:left w:val="nil"/>
              <w:right w:val="nil"/>
            </w:tcBorders>
            <w:vAlign w:val="center"/>
          </w:tcPr>
          <w:p w14:paraId="16C3A6F3"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7A447144" w14:textId="77777777" w:rsidTr="002E5941">
        <w:trPr>
          <w:trHeight w:val="56"/>
        </w:trPr>
        <w:tc>
          <w:tcPr>
            <w:tcW w:w="1365" w:type="pct"/>
            <w:vMerge/>
            <w:tcBorders>
              <w:left w:val="nil"/>
              <w:right w:val="nil"/>
            </w:tcBorders>
            <w:vAlign w:val="center"/>
          </w:tcPr>
          <w:p w14:paraId="726C11EB"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36F86360"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65 to 69</w:t>
            </w:r>
          </w:p>
        </w:tc>
        <w:tc>
          <w:tcPr>
            <w:tcW w:w="481" w:type="pct"/>
            <w:tcBorders>
              <w:top w:val="single" w:sz="8" w:space="0" w:color="000000" w:themeColor="text1"/>
              <w:left w:val="nil"/>
              <w:bottom w:val="single" w:sz="8" w:space="0" w:color="000000" w:themeColor="text1"/>
              <w:right w:val="nil"/>
            </w:tcBorders>
            <w:vAlign w:val="center"/>
          </w:tcPr>
          <w:p w14:paraId="72092F37"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0.022</w:t>
            </w:r>
          </w:p>
        </w:tc>
        <w:tc>
          <w:tcPr>
            <w:tcW w:w="2470" w:type="pct"/>
            <w:vMerge/>
            <w:tcBorders>
              <w:left w:val="nil"/>
              <w:right w:val="nil"/>
            </w:tcBorders>
            <w:vAlign w:val="center"/>
          </w:tcPr>
          <w:p w14:paraId="65654CE9"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35DF8340" w14:textId="77777777" w:rsidTr="002E5941">
        <w:trPr>
          <w:trHeight w:val="56"/>
        </w:trPr>
        <w:tc>
          <w:tcPr>
            <w:tcW w:w="1365" w:type="pct"/>
            <w:vMerge/>
            <w:tcBorders>
              <w:left w:val="nil"/>
              <w:right w:val="nil"/>
            </w:tcBorders>
            <w:vAlign w:val="center"/>
          </w:tcPr>
          <w:p w14:paraId="2EBA29C0"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36E081E4"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70 to 74</w:t>
            </w:r>
          </w:p>
        </w:tc>
        <w:tc>
          <w:tcPr>
            <w:tcW w:w="481" w:type="pct"/>
            <w:tcBorders>
              <w:top w:val="single" w:sz="8" w:space="0" w:color="000000" w:themeColor="text1"/>
              <w:left w:val="nil"/>
              <w:bottom w:val="single" w:sz="8" w:space="0" w:color="000000" w:themeColor="text1"/>
              <w:right w:val="nil"/>
            </w:tcBorders>
            <w:vAlign w:val="center"/>
          </w:tcPr>
          <w:p w14:paraId="5DE3EB2E"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0.040</w:t>
            </w:r>
          </w:p>
        </w:tc>
        <w:tc>
          <w:tcPr>
            <w:tcW w:w="2470" w:type="pct"/>
            <w:vMerge/>
            <w:tcBorders>
              <w:left w:val="nil"/>
              <w:right w:val="nil"/>
            </w:tcBorders>
            <w:vAlign w:val="center"/>
          </w:tcPr>
          <w:p w14:paraId="0BC23E5F"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558C3EAB" w14:textId="77777777" w:rsidTr="002E5941">
        <w:trPr>
          <w:trHeight w:val="56"/>
        </w:trPr>
        <w:tc>
          <w:tcPr>
            <w:tcW w:w="1365" w:type="pct"/>
            <w:vMerge/>
            <w:tcBorders>
              <w:left w:val="nil"/>
              <w:right w:val="nil"/>
            </w:tcBorders>
            <w:vAlign w:val="center"/>
          </w:tcPr>
          <w:p w14:paraId="5ABB05B1" w14:textId="77777777" w:rsidR="001D69C5" w:rsidRPr="001D69C5" w:rsidRDefault="001D69C5" w:rsidP="000D1EF5">
            <w:pPr>
              <w:pStyle w:val="Tabelltekst"/>
              <w:spacing w:line="276" w:lineRule="auto"/>
              <w:rPr>
                <w:rFonts w:ascii="Times New Roman" w:hAnsi="Times New Roman" w:cs="Times New Roman"/>
                <w:b/>
                <w:lang w:val="en-US"/>
              </w:rPr>
            </w:pPr>
          </w:p>
        </w:tc>
        <w:tc>
          <w:tcPr>
            <w:tcW w:w="684" w:type="pct"/>
            <w:tcBorders>
              <w:top w:val="single" w:sz="8" w:space="0" w:color="000000" w:themeColor="text1"/>
              <w:left w:val="nil"/>
              <w:bottom w:val="single" w:sz="8" w:space="0" w:color="000000" w:themeColor="text1"/>
              <w:right w:val="nil"/>
            </w:tcBorders>
            <w:vAlign w:val="center"/>
          </w:tcPr>
          <w:p w14:paraId="53D6302A"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75 to 79</w:t>
            </w:r>
          </w:p>
        </w:tc>
        <w:tc>
          <w:tcPr>
            <w:tcW w:w="481" w:type="pct"/>
            <w:tcBorders>
              <w:top w:val="single" w:sz="8" w:space="0" w:color="000000" w:themeColor="text1"/>
              <w:left w:val="nil"/>
              <w:bottom w:val="single" w:sz="8" w:space="0" w:color="000000" w:themeColor="text1"/>
              <w:right w:val="nil"/>
            </w:tcBorders>
            <w:vAlign w:val="center"/>
          </w:tcPr>
          <w:p w14:paraId="5B02A56E"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0.068</w:t>
            </w:r>
          </w:p>
        </w:tc>
        <w:tc>
          <w:tcPr>
            <w:tcW w:w="2470" w:type="pct"/>
            <w:vMerge/>
            <w:tcBorders>
              <w:left w:val="nil"/>
              <w:right w:val="nil"/>
            </w:tcBorders>
            <w:vAlign w:val="center"/>
          </w:tcPr>
          <w:p w14:paraId="0F915590" w14:textId="77777777" w:rsidR="001D69C5" w:rsidRPr="001D69C5" w:rsidRDefault="001D69C5" w:rsidP="000D1EF5">
            <w:pPr>
              <w:pStyle w:val="Tabelltekst"/>
              <w:spacing w:line="276" w:lineRule="auto"/>
              <w:rPr>
                <w:rFonts w:ascii="Times New Roman" w:hAnsi="Times New Roman" w:cs="Times New Roman"/>
                <w:lang w:val="en-US"/>
              </w:rPr>
            </w:pPr>
          </w:p>
        </w:tc>
      </w:tr>
      <w:tr w:rsidR="001D69C5" w:rsidRPr="001D69C5" w14:paraId="59E097BE"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004CF94C"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Recall rate</w:t>
            </w:r>
          </w:p>
        </w:tc>
        <w:tc>
          <w:tcPr>
            <w:tcW w:w="1165" w:type="pct"/>
            <w:gridSpan w:val="2"/>
            <w:tcBorders>
              <w:top w:val="single" w:sz="8" w:space="0" w:color="000000" w:themeColor="text1"/>
              <w:left w:val="nil"/>
              <w:bottom w:val="single" w:sz="8" w:space="0" w:color="000000" w:themeColor="text1"/>
              <w:right w:val="nil"/>
            </w:tcBorders>
            <w:vAlign w:val="center"/>
          </w:tcPr>
          <w:p w14:paraId="24047D8D"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6.20 %</w:t>
            </w:r>
          </w:p>
        </w:tc>
        <w:tc>
          <w:tcPr>
            <w:tcW w:w="2470" w:type="pct"/>
            <w:tcBorders>
              <w:top w:val="single" w:sz="8" w:space="0" w:color="000000" w:themeColor="text1"/>
              <w:left w:val="nil"/>
              <w:bottom w:val="single" w:sz="8" w:space="0" w:color="000000" w:themeColor="text1"/>
              <w:right w:val="nil"/>
            </w:tcBorders>
            <w:vAlign w:val="center"/>
          </w:tcPr>
          <w:p w14:paraId="5B5152C1" w14:textId="362B7C2A"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Retrospective cohort </w:t>
            </w:r>
            <w:hyperlink r:id="rId7">
              <w:r w:rsidRPr="001D69C5">
                <w:rPr>
                  <w:rStyle w:val="Hyperlink"/>
                  <w:rFonts w:ascii="Times New Roman" w:eastAsia="Cambria" w:hAnsi="Times New Roman" w:cs="Times New Roman"/>
                  <w:sz w:val="20"/>
                  <w:szCs w:val="20"/>
                  <w:lang w:val="en-US"/>
                </w:rPr>
                <w:t>study</w:t>
              </w:r>
            </w:hyperlink>
            <w:r w:rsidRPr="001D69C5">
              <w:rPr>
                <w:rFonts w:ascii="Times New Roman" w:eastAsia="Cambria" w:hAnsi="Times New Roman" w:cs="Times New Roman"/>
                <w:sz w:val="20"/>
                <w:szCs w:val="20"/>
                <w:lang w:val="en-US"/>
              </w:rPr>
              <w:t> from Palestine ​</w:t>
            </w:r>
            <w:r w:rsidRPr="001D69C5">
              <w:rPr>
                <w:rFonts w:ascii="Times New Roman" w:hAnsi="Times New Roman" w:cs="Times New Roman"/>
                <w:lang w:val="en-US"/>
              </w:rPr>
              <w:fldChar w:fldCharType="begin"/>
            </w:r>
            <w:r w:rsidR="00565E10">
              <w:rPr>
                <w:rFonts w:ascii="Times New Roman" w:hAnsi="Times New Roman" w:cs="Times New Roman"/>
                <w:lang w:val="en-US"/>
              </w:rPr>
              <w:instrText xml:space="preserve"> ADDIN EN.CITE &lt;EndNote&gt;&lt;Cite&gt;&lt;Author&gt;Palestinian National Institute of Public Health&lt;/Author&gt;&lt;Year&gt;2014&lt;/Year&gt;&lt;RecNum&gt;50&lt;/RecNum&gt;&lt;IDText&gt;Performance of mammography screening in the national breast screening program: A retrospective cohort study&lt;/IDText&gt;&lt;DisplayText&gt;(5)&lt;/DisplayText&gt;&lt;record&gt;&lt;rec-number&gt;50&lt;/rec-number&gt;&lt;foreign-keys&gt;&lt;key app="EN" db-id="dettfreaqdwftmevrvgvred20e0tszfxxwdr" timestamp="1611140572" guid="4c73f80f-5580-4962-a89c-b01904670583"&gt;50&lt;/key&gt;&lt;/foreign-keys&gt;&lt;ref-type name="Report"&gt;27&lt;/ref-type&gt;&lt;contributors&gt;&lt;authors&gt;&lt;author&gt;Palestinian National Institute of Public Health, &lt;/author&gt;&lt;/authors&gt;&lt;/contributors&gt;&lt;titles&gt;&lt;title&gt;Performance of mammography screening in the national breast screening program: A retrospective cohort study&lt;/title&gt;&lt;/titles&gt;&lt;dates&gt;&lt;year&gt;2014&lt;/year&gt;&lt;/dates&gt;&lt;publisher&gt;World Health Organization,&lt;/publisher&gt;&lt;urls&gt;&lt;related-urls&gt;&lt;url&gt;https://pniph.org/index.php/en/component/content/article/92-research/154-mammography-screening-in-the-national-breast-cancer-screening-program?Itemid=563&lt;/url&gt;&lt;/related-urls&gt;&lt;/urls&gt;&lt;/record&gt;&lt;/Cite&gt;&lt;/EndNote&gt;</w:instrText>
            </w:r>
            <w:r w:rsidRPr="001D69C5">
              <w:rPr>
                <w:rFonts w:ascii="Times New Roman" w:hAnsi="Times New Roman" w:cs="Times New Roman"/>
                <w:lang w:val="en-US"/>
              </w:rPr>
              <w:fldChar w:fldCharType="separate"/>
            </w:r>
            <w:r w:rsidR="00565E10">
              <w:rPr>
                <w:rFonts w:ascii="Times New Roman" w:hAnsi="Times New Roman" w:cs="Times New Roman"/>
                <w:lang w:val="en-US"/>
              </w:rPr>
              <w:t>(5)</w:t>
            </w:r>
            <w:r w:rsidRPr="001D69C5">
              <w:rPr>
                <w:rFonts w:ascii="Times New Roman" w:hAnsi="Times New Roman" w:cs="Times New Roman"/>
                <w:lang w:val="en-US"/>
              </w:rPr>
              <w:fldChar w:fldCharType="end"/>
            </w:r>
          </w:p>
        </w:tc>
      </w:tr>
      <w:tr w:rsidR="001D69C5" w:rsidRPr="001D69C5" w14:paraId="646C7F46"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182A47DE"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Cost of Mammography</w:t>
            </w:r>
          </w:p>
        </w:tc>
        <w:tc>
          <w:tcPr>
            <w:tcW w:w="1165" w:type="pct"/>
            <w:gridSpan w:val="2"/>
            <w:tcBorders>
              <w:top w:val="single" w:sz="8" w:space="0" w:color="000000" w:themeColor="text1"/>
              <w:left w:val="nil"/>
              <w:bottom w:val="single" w:sz="8" w:space="0" w:color="000000" w:themeColor="text1"/>
              <w:right w:val="nil"/>
            </w:tcBorders>
            <w:vAlign w:val="center"/>
          </w:tcPr>
          <w:p w14:paraId="2913BC15"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120 NIS</w:t>
            </w:r>
          </w:p>
        </w:tc>
        <w:tc>
          <w:tcPr>
            <w:tcW w:w="2470" w:type="pct"/>
            <w:tcBorders>
              <w:top w:val="single" w:sz="8" w:space="0" w:color="000000" w:themeColor="text1"/>
              <w:left w:val="nil"/>
              <w:bottom w:val="single" w:sz="8" w:space="0" w:color="000000" w:themeColor="text1"/>
              <w:right w:val="nil"/>
            </w:tcBorders>
            <w:vAlign w:val="center"/>
          </w:tcPr>
          <w:p w14:paraId="75234073" w14:textId="0372C71A"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Estimated from  </w:t>
            </w:r>
            <w:hyperlink r:id="rId8">
              <w:r w:rsidRPr="001D69C5">
                <w:rPr>
                  <w:rStyle w:val="Hyperlink"/>
                  <w:rFonts w:ascii="Times New Roman" w:eastAsia="Cambria" w:hAnsi="Times New Roman" w:cs="Times New Roman"/>
                  <w:sz w:val="20"/>
                  <w:szCs w:val="20"/>
                  <w:lang w:val="en-US"/>
                </w:rPr>
                <w:t>literature</w:t>
              </w:r>
            </w:hyperlink>
            <w:r w:rsidRPr="001D69C5">
              <w:rPr>
                <w:rFonts w:ascii="Times New Roman" w:eastAsia="Cambria" w:hAnsi="Times New Roman" w:cs="Times New Roman"/>
                <w:sz w:val="20"/>
                <w:szCs w:val="20"/>
                <w:lang w:val="en-US"/>
              </w:rPr>
              <w:t> </w:t>
            </w:r>
            <w:r w:rsidRPr="001D69C5">
              <w:rPr>
                <w:rStyle w:val="Hyperlink"/>
                <w:rFonts w:ascii="Times New Roman" w:hAnsi="Times New Roman" w:cs="Times New Roman"/>
              </w:rPr>
              <w:fldChar w:fldCharType="begin"/>
            </w:r>
            <w:r w:rsidR="00565E10">
              <w:rPr>
                <w:rStyle w:val="Hyperlink"/>
                <w:rFonts w:ascii="Times New Roman" w:hAnsi="Times New Roman" w:cs="Times New Roman"/>
                <w:lang w:val="en-US"/>
              </w:rPr>
              <w:instrText xml:space="preserve"> ADDIN EN.CITE &lt;EndNote&gt;&lt;Cite&gt;&lt;Author&gt;Jubran&lt;/Author&gt;&lt;Year&gt;2018&lt;/Year&gt;&lt;RecNum&gt;0&lt;/RecNum&gt;&lt;IDText&gt;Pathway to Survival - the Story of Breast Cancer in Palestine&lt;/IDText&gt;&lt;DisplayText&gt;(4)&lt;/DisplayText&gt;&lt;record&gt;&lt;contributors&gt;&lt;tertiary-authors&gt;&lt;author&gt;United Nations Population Fund, &lt;/author&gt;&lt;/tertiary-authors&gt;&lt;/contributors&gt;&lt;titles&gt;&lt;title&gt;Pathway to Survival - the Story of Breast Cancer in Palestine&lt;/title&gt;&lt;/titles&gt;&lt;pages&gt;67&lt;/pages&gt;&lt;contributors&gt;&lt;authors&gt;&lt;author&gt;Jubran, J. &lt;/author&gt;&lt;author&gt;Shaar, A. N.&lt;/author&gt;&lt;author&gt;Hammad, S.&lt;/author&gt;&lt;author&gt;Jarrar, K.&lt;/author&gt;&lt;/authors&gt;&lt;/contributors&gt;&lt;added-date format="utc"&gt;1610636529&lt;/added-date&gt;&lt;ref-type name="Report"&gt;27&lt;/ref-type&gt;&lt;dates&gt;&lt;year&gt;2018&lt;/year&gt;&lt;/dates&gt;&lt;rec-number&gt;9320&lt;/rec-number&gt;&lt;last-updated-date format="utc"&gt;1610636529&lt;/last-updated-date&gt;&lt;/record&gt;&lt;/Cite&gt;&lt;/EndNote&gt;</w:instrText>
            </w:r>
            <w:r w:rsidRPr="001D69C5">
              <w:rPr>
                <w:rStyle w:val="Hyperlink"/>
                <w:rFonts w:ascii="Times New Roman" w:hAnsi="Times New Roman" w:cs="Times New Roman"/>
              </w:rPr>
              <w:fldChar w:fldCharType="separate"/>
            </w:r>
            <w:r w:rsidR="00565E10">
              <w:rPr>
                <w:rStyle w:val="Hyperlink"/>
                <w:rFonts w:ascii="Times New Roman" w:hAnsi="Times New Roman" w:cs="Times New Roman"/>
                <w:lang w:val="en-US"/>
              </w:rPr>
              <w:t>(4)</w:t>
            </w:r>
            <w:r w:rsidRPr="001D69C5">
              <w:rPr>
                <w:rStyle w:val="Hyperlink"/>
                <w:rFonts w:ascii="Times New Roman" w:hAnsi="Times New Roman" w:cs="Times New Roman"/>
              </w:rPr>
              <w:fldChar w:fldCharType="end"/>
            </w:r>
            <w:r w:rsidRPr="001D69C5">
              <w:rPr>
                <w:rFonts w:ascii="Times New Roman" w:eastAsia="Cambria" w:hAnsi="Times New Roman" w:cs="Times New Roman"/>
                <w:sz w:val="20"/>
                <w:szCs w:val="20"/>
                <w:lang w:val="en-US"/>
              </w:rPr>
              <w:t xml:space="preserve">​: </w:t>
            </w:r>
            <w:r w:rsidRPr="001D69C5">
              <w:rPr>
                <w:rFonts w:ascii="Times New Roman" w:eastAsia="Cambria" w:hAnsi="Times New Roman" w:cs="Times New Roman"/>
                <w:i/>
                <w:sz w:val="20"/>
                <w:szCs w:val="20"/>
                <w:lang w:val="en-US"/>
              </w:rPr>
              <w:t>average price charged by NGO and private sector</w:t>
            </w:r>
          </w:p>
        </w:tc>
      </w:tr>
      <w:tr w:rsidR="001D69C5" w:rsidRPr="001D69C5" w14:paraId="6E98D80D"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315B983E"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lastRenderedPageBreak/>
              <w:t>Cost of Recall</w:t>
            </w:r>
          </w:p>
        </w:tc>
        <w:tc>
          <w:tcPr>
            <w:tcW w:w="1165" w:type="pct"/>
            <w:gridSpan w:val="2"/>
            <w:tcBorders>
              <w:top w:val="single" w:sz="8" w:space="0" w:color="000000" w:themeColor="text1"/>
              <w:left w:val="nil"/>
              <w:bottom w:val="single" w:sz="8" w:space="0" w:color="000000" w:themeColor="text1"/>
              <w:right w:val="nil"/>
            </w:tcBorders>
            <w:vAlign w:val="center"/>
          </w:tcPr>
          <w:p w14:paraId="21EC4703"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221.11 NIS</w:t>
            </w:r>
          </w:p>
        </w:tc>
        <w:tc>
          <w:tcPr>
            <w:tcW w:w="2470" w:type="pct"/>
            <w:tcBorders>
              <w:top w:val="single" w:sz="8" w:space="0" w:color="000000" w:themeColor="text1"/>
              <w:left w:val="nil"/>
              <w:bottom w:val="single" w:sz="8" w:space="0" w:color="000000" w:themeColor="text1"/>
              <w:right w:val="nil"/>
            </w:tcBorders>
            <w:vAlign w:val="center"/>
          </w:tcPr>
          <w:p w14:paraId="006CF252" w14:textId="450A238F" w:rsidR="001D69C5" w:rsidRPr="001D69C5" w:rsidRDefault="001D69C5" w:rsidP="000D1EF5">
            <w:pPr>
              <w:pStyle w:val="Tabelltekst"/>
              <w:tabs>
                <w:tab w:val="clear" w:pos="510"/>
              </w:tabs>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Estimated from </w:t>
            </w:r>
            <w:hyperlink r:id="rId9">
              <w:r w:rsidRPr="001D69C5">
                <w:rPr>
                  <w:rStyle w:val="Hyperlink"/>
                  <w:rFonts w:ascii="Times New Roman" w:eastAsia="Cambria" w:hAnsi="Times New Roman" w:cs="Times New Roman"/>
                  <w:sz w:val="20"/>
                  <w:szCs w:val="20"/>
                  <w:lang w:val="en-US"/>
                </w:rPr>
                <w:t>literature</w:t>
              </w:r>
            </w:hyperlink>
            <w:r w:rsidRPr="001D69C5">
              <w:rPr>
                <w:rFonts w:ascii="Times New Roman" w:eastAsia="Cambria" w:hAnsi="Times New Roman" w:cs="Times New Roman"/>
                <w:sz w:val="20"/>
                <w:szCs w:val="20"/>
                <w:lang w:val="en-US"/>
              </w:rPr>
              <w:t xml:space="preserve"> </w:t>
            </w:r>
            <w:r w:rsidRPr="001D69C5">
              <w:rPr>
                <w:rStyle w:val="Hyperlink"/>
                <w:rFonts w:ascii="Times New Roman" w:hAnsi="Times New Roman" w:cs="Times New Roman"/>
              </w:rPr>
              <w:fldChar w:fldCharType="begin"/>
            </w:r>
            <w:r w:rsidR="00565E10">
              <w:rPr>
                <w:rStyle w:val="Hyperlink"/>
                <w:rFonts w:ascii="Times New Roman" w:hAnsi="Times New Roman" w:cs="Times New Roman"/>
                <w:lang w:val="en-US"/>
              </w:rPr>
              <w:instrText xml:space="preserve"> ADDIN EN.CITE &lt;EndNote&gt;&lt;Cite&gt;&lt;Author&gt;Jubran&lt;/Author&gt;&lt;Year&gt;2018&lt;/Year&gt;&lt;RecNum&gt;0&lt;/RecNum&gt;&lt;IDText&gt;Pathway to Survival - the Story of Breast Cancer in Palestine&lt;/IDText&gt;&lt;DisplayText&gt;(4)&lt;/DisplayText&gt;&lt;record&gt;&lt;contributors&gt;&lt;tertiary-authors&gt;&lt;author&gt;United Nations Population Fund, &lt;/author&gt;&lt;/tertiary-authors&gt;&lt;/contributors&gt;&lt;titles&gt;&lt;title&gt;Pathway to Survival - the Story of Breast Cancer in Palestine&lt;/title&gt;&lt;/titles&gt;&lt;pages&gt;67&lt;/pages&gt;&lt;contributors&gt;&lt;authors&gt;&lt;author&gt;Jubran, J. &lt;/author&gt;&lt;author&gt;Shaar, A. N.&lt;/author&gt;&lt;author&gt;Hammad, S.&lt;/author&gt;&lt;author&gt;Jarrar, K.&lt;/author&gt;&lt;/authors&gt;&lt;/contributors&gt;&lt;added-date format="utc"&gt;1610636529&lt;/added-date&gt;&lt;ref-type name="Report"&gt;27&lt;/ref-type&gt;&lt;dates&gt;&lt;year&gt;2018&lt;/year&gt;&lt;/dates&gt;&lt;rec-number&gt;9320&lt;/rec-number&gt;&lt;last-updated-date format="utc"&gt;1610636529&lt;/last-updated-date&gt;&lt;/record&gt;&lt;/Cite&gt;&lt;/EndNote&gt;</w:instrText>
            </w:r>
            <w:r w:rsidRPr="001D69C5">
              <w:rPr>
                <w:rStyle w:val="Hyperlink"/>
                <w:rFonts w:ascii="Times New Roman" w:hAnsi="Times New Roman" w:cs="Times New Roman"/>
              </w:rPr>
              <w:fldChar w:fldCharType="separate"/>
            </w:r>
            <w:r w:rsidR="00565E10">
              <w:rPr>
                <w:rStyle w:val="Hyperlink"/>
                <w:rFonts w:ascii="Times New Roman" w:hAnsi="Times New Roman" w:cs="Times New Roman"/>
                <w:lang w:val="en-US"/>
              </w:rPr>
              <w:t>(4)</w:t>
            </w:r>
            <w:r w:rsidRPr="001D69C5">
              <w:rPr>
                <w:rStyle w:val="Hyperlink"/>
                <w:rFonts w:ascii="Times New Roman" w:hAnsi="Times New Roman" w:cs="Times New Roman"/>
              </w:rPr>
              <w:fldChar w:fldCharType="end"/>
            </w:r>
            <w:r w:rsidRPr="001D69C5">
              <w:rPr>
                <w:rFonts w:ascii="Times New Roman" w:eastAsia="Cambria" w:hAnsi="Times New Roman" w:cs="Times New Roman"/>
                <w:sz w:val="20"/>
                <w:szCs w:val="20"/>
                <w:lang w:val="en-US"/>
              </w:rPr>
              <w:t xml:space="preserve">​: </w:t>
            </w:r>
            <w:r w:rsidRPr="001D69C5">
              <w:rPr>
                <w:rFonts w:ascii="Times New Roman" w:eastAsia="Cambria" w:hAnsi="Times New Roman" w:cs="Times New Roman"/>
                <w:i/>
                <w:sz w:val="20"/>
                <w:szCs w:val="20"/>
                <w:lang w:val="en-US"/>
              </w:rPr>
              <w:t>average price following on proportion of use diagnostic service</w:t>
            </w:r>
            <w:r w:rsidRPr="001D69C5">
              <w:rPr>
                <w:rFonts w:ascii="Times New Roman" w:eastAsia="Cambria" w:hAnsi="Times New Roman" w:cs="Times New Roman"/>
                <w:sz w:val="20"/>
                <w:szCs w:val="20"/>
                <w:lang w:val="en-US"/>
              </w:rPr>
              <w:t> </w:t>
            </w:r>
          </w:p>
        </w:tc>
      </w:tr>
      <w:tr w:rsidR="001D69C5" w:rsidRPr="001D69C5" w14:paraId="5DCFAE4E" w14:textId="77777777" w:rsidTr="002E5941">
        <w:tc>
          <w:tcPr>
            <w:tcW w:w="2476"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78A567A0"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Consumer Price Index (health)</w:t>
            </w:r>
          </w:p>
        </w:tc>
        <w:tc>
          <w:tcPr>
            <w:tcW w:w="2114" w:type="dxa"/>
            <w:gridSpan w:val="2"/>
            <w:tcBorders>
              <w:top w:val="single" w:sz="8" w:space="0" w:color="000000" w:themeColor="text1"/>
              <w:left w:val="nil"/>
              <w:bottom w:val="single" w:sz="8" w:space="0" w:color="000000" w:themeColor="text1"/>
              <w:right w:val="nil"/>
            </w:tcBorders>
            <w:vAlign w:val="center"/>
          </w:tcPr>
          <w:p w14:paraId="7C856912"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100.55</w:t>
            </w:r>
          </w:p>
        </w:tc>
        <w:tc>
          <w:tcPr>
            <w:tcW w:w="4482" w:type="dxa"/>
            <w:tcBorders>
              <w:top w:val="single" w:sz="8" w:space="0" w:color="000000" w:themeColor="text1"/>
              <w:left w:val="nil"/>
              <w:bottom w:val="single" w:sz="8" w:space="0" w:color="000000" w:themeColor="text1"/>
              <w:right w:val="nil"/>
            </w:tcBorders>
            <w:vAlign w:val="center"/>
          </w:tcPr>
          <w:p w14:paraId="251CD2CC" w14:textId="3AA5F9E9"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 xml:space="preserve">From </w:t>
            </w:r>
            <w:hyperlink r:id="rId10">
              <w:r w:rsidRPr="001D69C5">
                <w:rPr>
                  <w:rStyle w:val="Hyperlink"/>
                  <w:rFonts w:ascii="Times New Roman" w:eastAsia="Cambria" w:hAnsi="Times New Roman" w:cs="Times New Roman"/>
                  <w:sz w:val="20"/>
                  <w:szCs w:val="20"/>
                  <w:lang w:val="en-US"/>
                </w:rPr>
                <w:t>Palestinian Central Bureau of Statistics</w:t>
              </w:r>
            </w:hyperlink>
            <w:r w:rsidRPr="001D69C5">
              <w:rPr>
                <w:rFonts w:ascii="Times New Roman" w:eastAsia="Cambria" w:hAnsi="Times New Roman" w:cs="Times New Roman"/>
                <w:sz w:val="20"/>
                <w:szCs w:val="20"/>
                <w:lang w:val="en-US"/>
              </w:rPr>
              <w:t xml:space="preserve"> </w:t>
            </w:r>
            <w:r w:rsidRPr="001D69C5">
              <w:rPr>
                <w:rFonts w:ascii="Times New Roman" w:hAnsi="Times New Roman" w:cs="Times New Roman"/>
                <w:lang w:val="en-US"/>
              </w:rPr>
              <w:fldChar w:fldCharType="begin"/>
            </w:r>
            <w:r w:rsidR="00565E10">
              <w:rPr>
                <w:rFonts w:ascii="Times New Roman" w:hAnsi="Times New Roman" w:cs="Times New Roman"/>
                <w:lang w:val="en-US"/>
              </w:rPr>
              <w:instrText xml:space="preserve"> ADDIN EN.CITE &lt;EndNote&gt;&lt;Cite&gt;&lt;Author&gt;Palestinian Central Bureau of Statistics&lt;/Author&gt;&lt;Year&gt;n.d.&lt;/Year&gt;&lt;RecNum&gt;16230&lt;/RecNum&gt;&lt;IDText&gt;Consumer Price Index: Time Series Statistics (Base year: 2018=100)&lt;/IDText&gt;&lt;DisplayText&gt;(3)&lt;/DisplayText&gt;&lt;record&gt;&lt;rec-number&gt;16230&lt;/rec-number&gt;&lt;foreign-keys&gt;&lt;key app="EN" db-id="dettfreaqdwftmevrvgvred20e0tszfxxwdr" timestamp="1615197990" guid="eace7c76-5e13-41dd-bf04-5cf49db93e31"&gt;16230&lt;/key&gt;&lt;/foreign-keys&gt;&lt;ref-type name="Web Page"&gt;12&lt;/ref-type&gt;&lt;contributors&gt;&lt;authors&gt;&lt;author&gt;Palestinian Central Bureau of Statistics, &lt;/author&gt;&lt;/authors&gt;&lt;/contributors&gt;&lt;titles&gt;&lt;title&gt;Consumer Price Index: Time Series Statistics (Base year: 2018=100)&lt;/title&gt;&lt;/titles&gt;&lt;dates&gt;&lt;year&gt;n.d.&lt;/year&gt;&lt;/dates&gt;&lt;urls&gt;&lt;related-urls&gt;&lt;url&gt;http://www.pcbs.gov.ps/site/lang__en/695/default.aspx&lt;/url&gt;&lt;/related-urls&gt;&lt;/urls&gt;&lt;/record&gt;&lt;/Cite&gt;&lt;/EndNote&gt;</w:instrText>
            </w:r>
            <w:r w:rsidRPr="001D69C5">
              <w:rPr>
                <w:rFonts w:ascii="Times New Roman" w:hAnsi="Times New Roman" w:cs="Times New Roman"/>
                <w:lang w:val="en-US"/>
              </w:rPr>
              <w:fldChar w:fldCharType="separate"/>
            </w:r>
            <w:r w:rsidR="00565E10">
              <w:rPr>
                <w:rFonts w:ascii="Times New Roman" w:hAnsi="Times New Roman" w:cs="Times New Roman"/>
                <w:lang w:val="en-US"/>
              </w:rPr>
              <w:t>(3)</w:t>
            </w:r>
            <w:r w:rsidRPr="001D69C5">
              <w:rPr>
                <w:rFonts w:ascii="Times New Roman" w:hAnsi="Times New Roman" w:cs="Times New Roman"/>
                <w:lang w:val="en-US"/>
              </w:rPr>
              <w:fldChar w:fldCharType="end"/>
            </w:r>
            <w:r w:rsidRPr="001D69C5">
              <w:rPr>
                <w:rFonts w:ascii="Times New Roman" w:eastAsia="Cambria" w:hAnsi="Times New Roman" w:cs="Times New Roman"/>
                <w:sz w:val="20"/>
                <w:szCs w:val="20"/>
                <w:lang w:val="en-US"/>
              </w:rPr>
              <w:t xml:space="preserve">, </w:t>
            </w:r>
            <w:r w:rsidRPr="001D69C5">
              <w:rPr>
                <w:rFonts w:ascii="Times New Roman" w:eastAsia="Cambria" w:hAnsi="Times New Roman" w:cs="Times New Roman"/>
                <w:i/>
                <w:sz w:val="20"/>
                <w:szCs w:val="20"/>
                <w:lang w:val="en-US"/>
              </w:rPr>
              <w:t>average annual consumer price index 2019 (base year:  2018)</w:t>
            </w:r>
          </w:p>
        </w:tc>
      </w:tr>
      <w:tr w:rsidR="001D69C5" w:rsidRPr="001D69C5" w14:paraId="24E6CF73" w14:textId="77777777" w:rsidTr="002E5941">
        <w:tc>
          <w:tcPr>
            <w:tcW w:w="1365" w:type="pct"/>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035ECA25"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Exchange rate (date)</w:t>
            </w:r>
          </w:p>
        </w:tc>
        <w:tc>
          <w:tcPr>
            <w:tcW w:w="1165" w:type="pct"/>
            <w:gridSpan w:val="2"/>
            <w:tcBorders>
              <w:top w:val="single" w:sz="8" w:space="0" w:color="000000" w:themeColor="text1"/>
              <w:left w:val="nil"/>
              <w:bottom w:val="single" w:sz="8" w:space="0" w:color="000000" w:themeColor="text1"/>
              <w:right w:val="nil"/>
            </w:tcBorders>
            <w:vAlign w:val="center"/>
          </w:tcPr>
          <w:p w14:paraId="667D9ED1"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3.565 NIS / US$</w:t>
            </w:r>
          </w:p>
        </w:tc>
        <w:tc>
          <w:tcPr>
            <w:tcW w:w="2470" w:type="pct"/>
            <w:tcBorders>
              <w:top w:val="single" w:sz="8" w:space="0" w:color="000000" w:themeColor="text1"/>
              <w:left w:val="nil"/>
              <w:bottom w:val="single" w:sz="8" w:space="0" w:color="000000" w:themeColor="text1"/>
              <w:right w:val="nil"/>
            </w:tcBorders>
            <w:vAlign w:val="center"/>
          </w:tcPr>
          <w:p w14:paraId="7C42ACA9"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 xml:space="preserve">From the World Bank: </w:t>
            </w:r>
            <w:r w:rsidRPr="001D69C5">
              <w:rPr>
                <w:rFonts w:ascii="Times New Roman" w:eastAsia="Cambria" w:hAnsi="Times New Roman" w:cs="Times New Roman"/>
                <w:i/>
                <w:sz w:val="20"/>
                <w:szCs w:val="20"/>
                <w:lang w:val="en-US"/>
              </w:rPr>
              <w:t>local currency units (Israel) relative to the US Dollar, annual average 2019</w:t>
            </w:r>
          </w:p>
        </w:tc>
      </w:tr>
      <w:tr w:rsidR="001D69C5" w:rsidRPr="001D69C5" w14:paraId="2BF4FB13" w14:textId="77777777" w:rsidTr="002E5941">
        <w:tc>
          <w:tcPr>
            <w:tcW w:w="1365" w:type="pct"/>
            <w:tcBorders>
              <w:top w:val="single" w:sz="8" w:space="0" w:color="000000" w:themeColor="text1"/>
              <w:left w:val="nil"/>
              <w:right w:val="nil"/>
            </w:tcBorders>
            <w:shd w:val="clear" w:color="auto" w:fill="F2F2F2" w:themeFill="background1" w:themeFillShade="F2"/>
            <w:vAlign w:val="center"/>
          </w:tcPr>
          <w:p w14:paraId="45B13296" w14:textId="77777777" w:rsidR="001D69C5" w:rsidRPr="001D69C5" w:rsidRDefault="001D69C5" w:rsidP="000D1EF5">
            <w:pPr>
              <w:pStyle w:val="Tabelltekst"/>
              <w:spacing w:line="276" w:lineRule="auto"/>
              <w:jc w:val="left"/>
              <w:rPr>
                <w:rFonts w:ascii="Times New Roman" w:eastAsia="Cambria" w:hAnsi="Times New Roman" w:cs="Times New Roman"/>
                <w:b/>
                <w:sz w:val="20"/>
                <w:szCs w:val="20"/>
                <w:lang w:val="en-US"/>
              </w:rPr>
            </w:pPr>
            <w:r w:rsidRPr="001D69C5">
              <w:rPr>
                <w:rFonts w:ascii="Times New Roman" w:eastAsia="Cambria" w:hAnsi="Times New Roman" w:cs="Times New Roman"/>
                <w:b/>
                <w:sz w:val="20"/>
                <w:szCs w:val="20"/>
                <w:lang w:val="en-US"/>
              </w:rPr>
              <w:t>Inflation</w:t>
            </w:r>
          </w:p>
        </w:tc>
        <w:tc>
          <w:tcPr>
            <w:tcW w:w="1165" w:type="pct"/>
            <w:gridSpan w:val="2"/>
            <w:tcBorders>
              <w:top w:val="single" w:sz="8" w:space="0" w:color="000000" w:themeColor="text1"/>
              <w:left w:val="nil"/>
              <w:right w:val="nil"/>
            </w:tcBorders>
            <w:vAlign w:val="center"/>
          </w:tcPr>
          <w:p w14:paraId="39EE8D18" w14:textId="77777777"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1.58%</w:t>
            </w:r>
          </w:p>
        </w:tc>
        <w:tc>
          <w:tcPr>
            <w:tcW w:w="2470" w:type="pct"/>
            <w:tcBorders>
              <w:top w:val="single" w:sz="8" w:space="0" w:color="000000" w:themeColor="text1"/>
              <w:left w:val="nil"/>
              <w:right w:val="nil"/>
            </w:tcBorders>
            <w:vAlign w:val="center"/>
          </w:tcPr>
          <w:p w14:paraId="0FA79B14" w14:textId="079C15BE" w:rsidR="001D69C5" w:rsidRPr="001D69C5" w:rsidRDefault="001D69C5" w:rsidP="000D1EF5">
            <w:pPr>
              <w:pStyle w:val="Tabelltekst"/>
              <w:spacing w:line="276" w:lineRule="auto"/>
              <w:rPr>
                <w:rFonts w:ascii="Times New Roman" w:eastAsia="Cambria" w:hAnsi="Times New Roman" w:cs="Times New Roman"/>
                <w:sz w:val="20"/>
                <w:szCs w:val="20"/>
                <w:lang w:val="en-US"/>
              </w:rPr>
            </w:pPr>
            <w:r w:rsidRPr="001D69C5">
              <w:rPr>
                <w:rFonts w:ascii="Times New Roman" w:eastAsia="Cambria" w:hAnsi="Times New Roman" w:cs="Times New Roman"/>
                <w:sz w:val="20"/>
                <w:szCs w:val="20"/>
                <w:lang w:val="en-US"/>
              </w:rPr>
              <w:t xml:space="preserve">From WorldData Info </w:t>
            </w:r>
            <w:r w:rsidRPr="001D69C5">
              <w:rPr>
                <w:rFonts w:ascii="Times New Roman" w:hAnsi="Times New Roman" w:cs="Times New Roman"/>
                <w:lang w:val="en-US"/>
              </w:rPr>
              <w:fldChar w:fldCharType="begin"/>
            </w:r>
            <w:r w:rsidR="00565E10">
              <w:rPr>
                <w:rFonts w:ascii="Times New Roman" w:hAnsi="Times New Roman" w:cs="Times New Roman"/>
                <w:lang w:val="en-US"/>
              </w:rPr>
              <w:instrText xml:space="preserve"> ADDIN EN.CITE &lt;EndNote&gt;&lt;Cite&gt;&lt;Author&gt;WorldData.info&lt;/Author&gt;&lt;Year&gt;2020&lt;/Year&gt;&lt;RecNum&gt;16229&lt;/RecNum&gt;&lt;IDText&gt;Development of inflation rates in Palestine&lt;/IDText&gt;&lt;DisplayText&gt;(2)&lt;/DisplayText&gt;&lt;record&gt;&lt;rec-number&gt;16229&lt;/rec-number&gt;&lt;foreign-keys&gt;&lt;key app="EN" db-id="dettfreaqdwftmevrvgvred20e0tszfxxwdr" timestamp="1615197768" guid="a376f713-fc50-4d13-9422-88f1d977f579"&gt;16229&lt;/key&gt;&lt;/foreign-keys&gt;&lt;ref-type name="Web Page"&gt;12&lt;/ref-type&gt;&lt;contributors&gt;&lt;authors&gt;&lt;author&gt;WorldData.info, &lt;/author&gt;&lt;/authors&gt;&lt;/contributors&gt;&lt;titles&gt;&lt;title&gt;Development of inflation rates in Palestine&lt;/title&gt;&lt;/titles&gt;&lt;volume&gt;2021&lt;/volume&gt;&lt;number&gt;01-03-2021&lt;/number&gt;&lt;dates&gt;&lt;year&gt;2020&lt;/year&gt;&lt;/dates&gt;&lt;urls&gt;&lt;related-urls&gt;&lt;url&gt;https://www.worlddata.info/asia/palestine/inflation-rates.php&lt;/url&gt;&lt;/related-urls&gt;&lt;/urls&gt;&lt;/record&gt;&lt;/Cite&gt;&lt;/EndNote&gt;</w:instrText>
            </w:r>
            <w:r w:rsidRPr="001D69C5">
              <w:rPr>
                <w:rFonts w:ascii="Times New Roman" w:hAnsi="Times New Roman" w:cs="Times New Roman"/>
                <w:lang w:val="en-US"/>
              </w:rPr>
              <w:fldChar w:fldCharType="separate"/>
            </w:r>
            <w:r w:rsidR="00565E10">
              <w:rPr>
                <w:rFonts w:ascii="Times New Roman" w:hAnsi="Times New Roman" w:cs="Times New Roman"/>
                <w:lang w:val="en-US"/>
              </w:rPr>
              <w:t>(2)</w:t>
            </w:r>
            <w:r w:rsidRPr="001D69C5">
              <w:rPr>
                <w:rFonts w:ascii="Times New Roman" w:hAnsi="Times New Roman" w:cs="Times New Roman"/>
                <w:lang w:val="en-US"/>
              </w:rPr>
              <w:fldChar w:fldCharType="end"/>
            </w:r>
            <w:r w:rsidRPr="001D69C5">
              <w:rPr>
                <w:rFonts w:ascii="Times New Roman" w:eastAsia="Cambria" w:hAnsi="Times New Roman" w:cs="Times New Roman"/>
                <w:sz w:val="20"/>
                <w:szCs w:val="20"/>
                <w:lang w:val="en-US"/>
              </w:rPr>
              <w:t xml:space="preserve"> </w:t>
            </w:r>
          </w:p>
        </w:tc>
      </w:tr>
    </w:tbl>
    <w:p w14:paraId="7781E3F6" w14:textId="77777777" w:rsidR="00565E10" w:rsidRDefault="00565E10" w:rsidP="000D1EF5">
      <w:pPr>
        <w:spacing w:line="276" w:lineRule="auto"/>
        <w:rPr>
          <w:rFonts w:ascii="Times New Roman" w:hAnsi="Times New Roman" w:cs="Times New Roman"/>
        </w:rPr>
      </w:pPr>
    </w:p>
    <w:p w14:paraId="2480A746" w14:textId="0DBACC5B" w:rsidR="00565E10" w:rsidRPr="000D1EF5" w:rsidRDefault="00565E10" w:rsidP="000D1EF5">
      <w:pPr>
        <w:pStyle w:val="EndNoteBibliography"/>
        <w:spacing w:after="0" w:line="276" w:lineRule="auto"/>
        <w:rPr>
          <w:rFonts w:ascii="Times New Roman" w:hAnsi="Times New Roman" w:cs="Times New Roman"/>
          <w:b/>
          <w:bCs/>
        </w:rPr>
      </w:pPr>
      <w:r w:rsidRPr="000D1EF5">
        <w:rPr>
          <w:rFonts w:ascii="Times New Roman" w:hAnsi="Times New Roman" w:cs="Times New Roman"/>
          <w:b/>
          <w:bCs/>
        </w:rPr>
        <w:t xml:space="preserve">References </w:t>
      </w:r>
    </w:p>
    <w:p w14:paraId="613E32DA" w14:textId="52728526" w:rsidR="006966BF" w:rsidRPr="000D1EF5" w:rsidRDefault="00565E10" w:rsidP="006434F0">
      <w:pPr>
        <w:pStyle w:val="EndNoteBibliography"/>
        <w:spacing w:after="0"/>
        <w:ind w:left="270" w:hanging="270"/>
        <w:rPr>
          <w:rFonts w:ascii="Times New Roman" w:hAnsi="Times New Roman" w:cs="Times New Roman"/>
        </w:rPr>
      </w:pPr>
      <w:r w:rsidRPr="000D1EF5">
        <w:rPr>
          <w:rFonts w:ascii="Times New Roman" w:hAnsi="Times New Roman" w:cs="Times New Roman"/>
        </w:rPr>
        <w:fldChar w:fldCharType="begin"/>
      </w:r>
      <w:r w:rsidRPr="006434F0">
        <w:rPr>
          <w:rFonts w:ascii="Times New Roman" w:hAnsi="Times New Roman" w:cs="Times New Roman"/>
          <w:lang w:val="es-ES"/>
        </w:rPr>
        <w:instrText xml:space="preserve"> ADDIN EN.REFLIST </w:instrText>
      </w:r>
      <w:r w:rsidRPr="000D1EF5">
        <w:rPr>
          <w:rFonts w:ascii="Times New Roman" w:hAnsi="Times New Roman" w:cs="Times New Roman"/>
        </w:rPr>
        <w:fldChar w:fldCharType="separate"/>
      </w:r>
      <w:r w:rsidR="006434F0" w:rsidRPr="006434F0">
        <w:rPr>
          <w:rFonts w:ascii="Times New Roman" w:hAnsi="Times New Roman" w:cs="Times New Roman"/>
          <w:lang w:val="es-ES"/>
        </w:rPr>
        <w:t>1.</w:t>
      </w:r>
      <w:r w:rsidR="006434F0" w:rsidRPr="006434F0">
        <w:rPr>
          <w:rFonts w:ascii="Times New Roman" w:hAnsi="Times New Roman" w:cs="Times New Roman"/>
          <w:lang w:val="es-ES"/>
        </w:rPr>
        <w:tab/>
      </w:r>
      <w:r w:rsidR="006966BF" w:rsidRPr="006434F0">
        <w:rPr>
          <w:rFonts w:ascii="Times New Roman" w:hAnsi="Times New Roman" w:cs="Times New Roman"/>
          <w:b/>
          <w:lang w:val="es-ES"/>
        </w:rPr>
        <w:t>Comas M</w:t>
      </w:r>
      <w:r w:rsidR="006434F0" w:rsidRPr="006434F0">
        <w:rPr>
          <w:rFonts w:ascii="Times New Roman" w:hAnsi="Times New Roman" w:cs="Times New Roman"/>
          <w:b/>
          <w:lang w:val="es-ES"/>
        </w:rPr>
        <w:t xml:space="preserve">, </w:t>
      </w:r>
      <w:r w:rsidR="006966BF" w:rsidRPr="006434F0">
        <w:rPr>
          <w:rFonts w:ascii="Times New Roman" w:hAnsi="Times New Roman" w:cs="Times New Roman"/>
          <w:b/>
          <w:lang w:val="es-ES"/>
        </w:rPr>
        <w:t>Arrospide A</w:t>
      </w:r>
      <w:r w:rsidR="006434F0" w:rsidRPr="006434F0">
        <w:rPr>
          <w:rFonts w:ascii="Times New Roman" w:hAnsi="Times New Roman" w:cs="Times New Roman"/>
          <w:b/>
          <w:lang w:val="es-ES"/>
        </w:rPr>
        <w:t xml:space="preserve">, </w:t>
      </w:r>
      <w:r w:rsidR="006966BF" w:rsidRPr="006434F0">
        <w:rPr>
          <w:rFonts w:ascii="Times New Roman" w:hAnsi="Times New Roman" w:cs="Times New Roman"/>
          <w:b/>
          <w:lang w:val="es-ES"/>
        </w:rPr>
        <w:t>Mar J</w:t>
      </w:r>
      <w:r w:rsidR="006434F0" w:rsidRPr="006434F0">
        <w:rPr>
          <w:rFonts w:ascii="Times New Roman" w:hAnsi="Times New Roman" w:cs="Times New Roman"/>
          <w:b/>
          <w:lang w:val="es-ES"/>
        </w:rPr>
        <w:t xml:space="preserve">, </w:t>
      </w:r>
      <w:r w:rsidR="006966BF" w:rsidRPr="006434F0">
        <w:rPr>
          <w:rFonts w:ascii="Times New Roman" w:hAnsi="Times New Roman" w:cs="Times New Roman"/>
          <w:b/>
          <w:lang w:val="es-ES"/>
        </w:rPr>
        <w:t>Sala M</w:t>
      </w:r>
      <w:r w:rsidR="006434F0" w:rsidRPr="006434F0">
        <w:rPr>
          <w:rFonts w:ascii="Times New Roman" w:hAnsi="Times New Roman" w:cs="Times New Roman"/>
          <w:b/>
          <w:lang w:val="es-ES"/>
        </w:rPr>
        <w:t xml:space="preserve">, </w:t>
      </w:r>
      <w:r w:rsidR="006966BF" w:rsidRPr="006434F0">
        <w:rPr>
          <w:rFonts w:ascii="Times New Roman" w:hAnsi="Times New Roman" w:cs="Times New Roman"/>
          <w:b/>
          <w:lang w:val="es-ES"/>
        </w:rPr>
        <w:t>Vilaprinyó E</w:t>
      </w:r>
      <w:r w:rsidR="006434F0" w:rsidRPr="006434F0">
        <w:rPr>
          <w:rFonts w:ascii="Times New Roman" w:hAnsi="Times New Roman" w:cs="Times New Roman"/>
          <w:b/>
          <w:lang w:val="es-ES"/>
        </w:rPr>
        <w:t xml:space="preserve">, </w:t>
      </w:r>
      <w:r w:rsidR="006966BF" w:rsidRPr="006434F0">
        <w:rPr>
          <w:rFonts w:ascii="Times New Roman" w:hAnsi="Times New Roman" w:cs="Times New Roman"/>
          <w:b/>
          <w:lang w:val="es-ES"/>
        </w:rPr>
        <w:t>Hernández C</w:t>
      </w:r>
      <w:r w:rsidR="006434F0" w:rsidRPr="006434F0">
        <w:rPr>
          <w:rFonts w:ascii="Times New Roman" w:hAnsi="Times New Roman" w:cs="Times New Roman"/>
          <w:b/>
          <w:lang w:val="es-ES"/>
        </w:rPr>
        <w:t>, Et Al.</w:t>
      </w:r>
      <w:r w:rsidR="006434F0" w:rsidRPr="006434F0">
        <w:rPr>
          <w:rFonts w:ascii="Times New Roman" w:hAnsi="Times New Roman" w:cs="Times New Roman"/>
          <w:lang w:val="es-ES"/>
        </w:rPr>
        <w:t xml:space="preserve"> </w:t>
      </w:r>
      <w:r w:rsidR="006966BF" w:rsidRPr="000D1EF5">
        <w:rPr>
          <w:rFonts w:ascii="Times New Roman" w:hAnsi="Times New Roman" w:cs="Times New Roman"/>
          <w:i/>
        </w:rPr>
        <w:t xml:space="preserve">Budget </w:t>
      </w:r>
      <w:r w:rsidR="006434F0" w:rsidRPr="000D1EF5">
        <w:rPr>
          <w:rFonts w:ascii="Times New Roman" w:hAnsi="Times New Roman" w:cs="Times New Roman"/>
          <w:i/>
        </w:rPr>
        <w:t xml:space="preserve">Impact Analysis Of Switching To Digital Mammography In A Population-Based Breast Cancer Screening Program: </w:t>
      </w:r>
      <w:r w:rsidR="006966BF" w:rsidRPr="000D1EF5">
        <w:rPr>
          <w:rFonts w:ascii="Times New Roman" w:hAnsi="Times New Roman" w:cs="Times New Roman"/>
          <w:i/>
        </w:rPr>
        <w:t xml:space="preserve">A </w:t>
      </w:r>
      <w:r w:rsidR="006434F0" w:rsidRPr="000D1EF5">
        <w:rPr>
          <w:rFonts w:ascii="Times New Roman" w:hAnsi="Times New Roman" w:cs="Times New Roman"/>
          <w:i/>
        </w:rPr>
        <w:t>Discrete Event Simulation Model</w:t>
      </w:r>
      <w:r w:rsidR="006434F0" w:rsidRPr="000D1EF5">
        <w:rPr>
          <w:rFonts w:ascii="Times New Roman" w:hAnsi="Times New Roman" w:cs="Times New Roman"/>
        </w:rPr>
        <w:t xml:space="preserve">. Plos </w:t>
      </w:r>
      <w:r w:rsidR="006966BF" w:rsidRPr="000D1EF5">
        <w:rPr>
          <w:rFonts w:ascii="Times New Roman" w:hAnsi="Times New Roman" w:cs="Times New Roman"/>
        </w:rPr>
        <w:t>One</w:t>
      </w:r>
      <w:r w:rsidR="006434F0" w:rsidRPr="000D1EF5">
        <w:rPr>
          <w:rFonts w:ascii="Times New Roman" w:hAnsi="Times New Roman" w:cs="Times New Roman"/>
        </w:rPr>
        <w:t>. 2014;</w:t>
      </w:r>
      <w:r w:rsidR="006434F0" w:rsidRPr="000D1EF5">
        <w:rPr>
          <w:rFonts w:ascii="Times New Roman" w:hAnsi="Times New Roman" w:cs="Times New Roman"/>
          <w:b/>
        </w:rPr>
        <w:t>9</w:t>
      </w:r>
      <w:r w:rsidR="006434F0" w:rsidRPr="000D1EF5">
        <w:rPr>
          <w:rFonts w:ascii="Times New Roman" w:hAnsi="Times New Roman" w:cs="Times New Roman"/>
        </w:rPr>
        <w:t>(5):E97459.</w:t>
      </w:r>
    </w:p>
    <w:p w14:paraId="246AD440" w14:textId="6F6D6A47" w:rsidR="006966BF" w:rsidRPr="000D1EF5" w:rsidRDefault="006434F0" w:rsidP="006434F0">
      <w:pPr>
        <w:pStyle w:val="EndNoteBibliography"/>
        <w:spacing w:after="0"/>
        <w:ind w:left="270" w:hanging="270"/>
        <w:rPr>
          <w:rFonts w:ascii="Times New Roman" w:hAnsi="Times New Roman" w:cs="Times New Roman"/>
        </w:rPr>
      </w:pPr>
      <w:r w:rsidRPr="000D1EF5">
        <w:rPr>
          <w:rFonts w:ascii="Times New Roman" w:hAnsi="Times New Roman" w:cs="Times New Roman"/>
        </w:rPr>
        <w:t>2.</w:t>
      </w:r>
      <w:r w:rsidRPr="000D1EF5">
        <w:rPr>
          <w:rFonts w:ascii="Times New Roman" w:hAnsi="Times New Roman" w:cs="Times New Roman"/>
        </w:rPr>
        <w:tab/>
      </w:r>
      <w:r w:rsidRPr="000D1EF5">
        <w:rPr>
          <w:rFonts w:ascii="Times New Roman" w:hAnsi="Times New Roman" w:cs="Times New Roman"/>
          <w:b/>
        </w:rPr>
        <w:t>Worlddata.Info</w:t>
      </w:r>
      <w:r w:rsidRPr="000D1EF5">
        <w:rPr>
          <w:rFonts w:ascii="Times New Roman" w:hAnsi="Times New Roman" w:cs="Times New Roman"/>
        </w:rPr>
        <w:t xml:space="preserve">. </w:t>
      </w:r>
      <w:r w:rsidR="006966BF" w:rsidRPr="000D1EF5">
        <w:rPr>
          <w:rFonts w:ascii="Times New Roman" w:hAnsi="Times New Roman" w:cs="Times New Roman"/>
          <w:i/>
        </w:rPr>
        <w:t xml:space="preserve">Development </w:t>
      </w:r>
      <w:r w:rsidRPr="000D1EF5">
        <w:rPr>
          <w:rFonts w:ascii="Times New Roman" w:hAnsi="Times New Roman" w:cs="Times New Roman"/>
          <w:i/>
        </w:rPr>
        <w:t>Of Inflation Rates In Palestine</w:t>
      </w:r>
      <w:r w:rsidRPr="000D1EF5">
        <w:rPr>
          <w:rFonts w:ascii="Times New Roman" w:hAnsi="Times New Roman" w:cs="Times New Roman"/>
        </w:rPr>
        <w:t xml:space="preserve">. 2020 [Cited 2021 01-03-2021]; </w:t>
      </w:r>
      <w:r w:rsidR="006966BF" w:rsidRPr="000D1EF5">
        <w:rPr>
          <w:rFonts w:ascii="Times New Roman" w:hAnsi="Times New Roman" w:cs="Times New Roman"/>
        </w:rPr>
        <w:t xml:space="preserve">Available </w:t>
      </w:r>
      <w:r w:rsidRPr="000D1EF5">
        <w:rPr>
          <w:rFonts w:ascii="Times New Roman" w:hAnsi="Times New Roman" w:cs="Times New Roman"/>
        </w:rPr>
        <w:t xml:space="preserve">From: </w:t>
      </w:r>
      <w:hyperlink r:id="rId11" w:history="1">
        <w:r w:rsidRPr="000D1EF5">
          <w:rPr>
            <w:rStyle w:val="Hyperlink"/>
            <w:rFonts w:ascii="Times New Roman" w:hAnsi="Times New Roman" w:cs="Times New Roman"/>
          </w:rPr>
          <w:t>Https://Www.Worlddata.Info/Asia/Palestine/Inflation-Rates.Php</w:t>
        </w:r>
      </w:hyperlink>
      <w:r w:rsidRPr="000D1EF5">
        <w:rPr>
          <w:rFonts w:ascii="Times New Roman" w:hAnsi="Times New Roman" w:cs="Times New Roman"/>
        </w:rPr>
        <w:t>.</w:t>
      </w:r>
    </w:p>
    <w:p w14:paraId="20E3075A" w14:textId="6C227ADE" w:rsidR="006966BF" w:rsidRPr="000D1EF5" w:rsidRDefault="006434F0" w:rsidP="006434F0">
      <w:pPr>
        <w:pStyle w:val="EndNoteBibliography"/>
        <w:spacing w:after="0"/>
        <w:ind w:left="270" w:hanging="270"/>
        <w:rPr>
          <w:rFonts w:ascii="Times New Roman" w:hAnsi="Times New Roman" w:cs="Times New Roman"/>
        </w:rPr>
      </w:pPr>
      <w:r w:rsidRPr="000D1EF5">
        <w:rPr>
          <w:rFonts w:ascii="Times New Roman" w:hAnsi="Times New Roman" w:cs="Times New Roman"/>
        </w:rPr>
        <w:t>3.</w:t>
      </w:r>
      <w:r w:rsidRPr="000D1EF5">
        <w:rPr>
          <w:rFonts w:ascii="Times New Roman" w:hAnsi="Times New Roman" w:cs="Times New Roman"/>
        </w:rPr>
        <w:tab/>
      </w:r>
      <w:r w:rsidR="006966BF" w:rsidRPr="000D1EF5">
        <w:rPr>
          <w:rFonts w:ascii="Times New Roman" w:hAnsi="Times New Roman" w:cs="Times New Roman"/>
          <w:b/>
        </w:rPr>
        <w:t xml:space="preserve">Palestinian Central Bureau </w:t>
      </w:r>
      <w:r w:rsidRPr="000D1EF5">
        <w:rPr>
          <w:rFonts w:ascii="Times New Roman" w:hAnsi="Times New Roman" w:cs="Times New Roman"/>
          <w:b/>
        </w:rPr>
        <w:t xml:space="preserve">Of </w:t>
      </w:r>
      <w:r w:rsidR="006966BF" w:rsidRPr="000D1EF5">
        <w:rPr>
          <w:rFonts w:ascii="Times New Roman" w:hAnsi="Times New Roman" w:cs="Times New Roman"/>
          <w:b/>
        </w:rPr>
        <w:t>Statistics</w:t>
      </w:r>
      <w:r w:rsidRPr="000D1EF5">
        <w:rPr>
          <w:rFonts w:ascii="Times New Roman" w:hAnsi="Times New Roman" w:cs="Times New Roman"/>
        </w:rPr>
        <w:t xml:space="preserve">. </w:t>
      </w:r>
      <w:r w:rsidR="006966BF" w:rsidRPr="000D1EF5">
        <w:rPr>
          <w:rFonts w:ascii="Times New Roman" w:hAnsi="Times New Roman" w:cs="Times New Roman"/>
          <w:i/>
        </w:rPr>
        <w:t xml:space="preserve">Consumer </w:t>
      </w:r>
      <w:r w:rsidRPr="000D1EF5">
        <w:rPr>
          <w:rFonts w:ascii="Times New Roman" w:hAnsi="Times New Roman" w:cs="Times New Roman"/>
          <w:i/>
        </w:rPr>
        <w:t xml:space="preserve">Price Index: </w:t>
      </w:r>
      <w:r w:rsidR="006966BF" w:rsidRPr="000D1EF5">
        <w:rPr>
          <w:rFonts w:ascii="Times New Roman" w:hAnsi="Times New Roman" w:cs="Times New Roman"/>
          <w:i/>
        </w:rPr>
        <w:t xml:space="preserve">Time </w:t>
      </w:r>
      <w:r w:rsidRPr="000D1EF5">
        <w:rPr>
          <w:rFonts w:ascii="Times New Roman" w:hAnsi="Times New Roman" w:cs="Times New Roman"/>
          <w:i/>
        </w:rPr>
        <w:t>Series Statistics (Base Year: 2018=100)</w:t>
      </w:r>
      <w:r w:rsidRPr="000D1EF5">
        <w:rPr>
          <w:rFonts w:ascii="Times New Roman" w:hAnsi="Times New Roman" w:cs="Times New Roman"/>
        </w:rPr>
        <w:t xml:space="preserve">. N.D.; </w:t>
      </w:r>
      <w:r w:rsidR="006966BF" w:rsidRPr="000D1EF5">
        <w:rPr>
          <w:rFonts w:ascii="Times New Roman" w:hAnsi="Times New Roman" w:cs="Times New Roman"/>
        </w:rPr>
        <w:t xml:space="preserve">Available </w:t>
      </w:r>
      <w:r w:rsidRPr="000D1EF5">
        <w:rPr>
          <w:rFonts w:ascii="Times New Roman" w:hAnsi="Times New Roman" w:cs="Times New Roman"/>
        </w:rPr>
        <w:t xml:space="preserve">From: </w:t>
      </w:r>
      <w:hyperlink r:id="rId12" w:history="1">
        <w:r w:rsidRPr="000D1EF5">
          <w:rPr>
            <w:rStyle w:val="Hyperlink"/>
            <w:rFonts w:ascii="Times New Roman" w:hAnsi="Times New Roman" w:cs="Times New Roman"/>
          </w:rPr>
          <w:t>Http://Www.Pcbs.Gov.Ps/Site/Lang__En/695/Default.Aspx</w:t>
        </w:r>
      </w:hyperlink>
      <w:r w:rsidRPr="000D1EF5">
        <w:rPr>
          <w:rFonts w:ascii="Times New Roman" w:hAnsi="Times New Roman" w:cs="Times New Roman"/>
        </w:rPr>
        <w:t>.</w:t>
      </w:r>
    </w:p>
    <w:p w14:paraId="01EB0D14" w14:textId="0F906F5B" w:rsidR="006966BF" w:rsidRPr="000D1EF5" w:rsidRDefault="006434F0" w:rsidP="006434F0">
      <w:pPr>
        <w:pStyle w:val="EndNoteBibliography"/>
        <w:spacing w:after="0"/>
        <w:ind w:left="270" w:hanging="270"/>
        <w:rPr>
          <w:rFonts w:ascii="Times New Roman" w:hAnsi="Times New Roman" w:cs="Times New Roman"/>
        </w:rPr>
      </w:pPr>
      <w:r w:rsidRPr="000D1EF5">
        <w:rPr>
          <w:rFonts w:ascii="Times New Roman" w:hAnsi="Times New Roman" w:cs="Times New Roman"/>
        </w:rPr>
        <w:t>4.</w:t>
      </w:r>
      <w:r w:rsidRPr="000D1EF5">
        <w:rPr>
          <w:rFonts w:ascii="Times New Roman" w:hAnsi="Times New Roman" w:cs="Times New Roman"/>
        </w:rPr>
        <w:tab/>
      </w:r>
      <w:r w:rsidR="006966BF" w:rsidRPr="000D1EF5">
        <w:rPr>
          <w:rFonts w:ascii="Times New Roman" w:hAnsi="Times New Roman" w:cs="Times New Roman"/>
          <w:b/>
        </w:rPr>
        <w:t>Jubran J</w:t>
      </w:r>
      <w:r w:rsidRPr="000D1EF5">
        <w:rPr>
          <w:rFonts w:ascii="Times New Roman" w:hAnsi="Times New Roman" w:cs="Times New Roman"/>
          <w:b/>
        </w:rPr>
        <w:t xml:space="preserve">, </w:t>
      </w:r>
      <w:r w:rsidR="006966BF" w:rsidRPr="000D1EF5">
        <w:rPr>
          <w:rFonts w:ascii="Times New Roman" w:hAnsi="Times New Roman" w:cs="Times New Roman"/>
          <w:b/>
        </w:rPr>
        <w:t>Shaar AN</w:t>
      </w:r>
      <w:r w:rsidRPr="000D1EF5">
        <w:rPr>
          <w:rFonts w:ascii="Times New Roman" w:hAnsi="Times New Roman" w:cs="Times New Roman"/>
          <w:b/>
        </w:rPr>
        <w:t xml:space="preserve">, </w:t>
      </w:r>
      <w:r w:rsidR="006966BF" w:rsidRPr="000D1EF5">
        <w:rPr>
          <w:rFonts w:ascii="Times New Roman" w:hAnsi="Times New Roman" w:cs="Times New Roman"/>
          <w:b/>
        </w:rPr>
        <w:t>Hammad S</w:t>
      </w:r>
      <w:r w:rsidRPr="000D1EF5">
        <w:rPr>
          <w:rFonts w:ascii="Times New Roman" w:hAnsi="Times New Roman" w:cs="Times New Roman"/>
          <w:b/>
        </w:rPr>
        <w:t xml:space="preserve">, </w:t>
      </w:r>
      <w:r w:rsidR="006966BF" w:rsidRPr="000D1EF5">
        <w:rPr>
          <w:rFonts w:ascii="Times New Roman" w:hAnsi="Times New Roman" w:cs="Times New Roman"/>
          <w:b/>
        </w:rPr>
        <w:t>Jarrar K</w:t>
      </w:r>
      <w:r w:rsidRPr="000D1EF5">
        <w:rPr>
          <w:rFonts w:ascii="Times New Roman" w:hAnsi="Times New Roman" w:cs="Times New Roman"/>
        </w:rPr>
        <w:t xml:space="preserve">. </w:t>
      </w:r>
      <w:r w:rsidR="006966BF" w:rsidRPr="000D1EF5">
        <w:rPr>
          <w:rFonts w:ascii="Times New Roman" w:hAnsi="Times New Roman" w:cs="Times New Roman"/>
          <w:i/>
        </w:rPr>
        <w:t xml:space="preserve">Pathway </w:t>
      </w:r>
      <w:r w:rsidRPr="000D1EF5">
        <w:rPr>
          <w:rFonts w:ascii="Times New Roman" w:hAnsi="Times New Roman" w:cs="Times New Roman"/>
          <w:i/>
        </w:rPr>
        <w:t>To Survival - The Story Of Breast Cancer In Palestine</w:t>
      </w:r>
      <w:r w:rsidRPr="000D1EF5">
        <w:rPr>
          <w:rFonts w:ascii="Times New Roman" w:hAnsi="Times New Roman" w:cs="Times New Roman"/>
        </w:rPr>
        <w:t>. 2018.</w:t>
      </w:r>
    </w:p>
    <w:p w14:paraId="2CA46BFA" w14:textId="2B9BA662" w:rsidR="006966BF" w:rsidRPr="000D1EF5" w:rsidRDefault="006434F0" w:rsidP="006434F0">
      <w:pPr>
        <w:pStyle w:val="EndNoteBibliography"/>
        <w:ind w:left="270" w:hanging="270"/>
        <w:rPr>
          <w:rFonts w:ascii="Times New Roman" w:hAnsi="Times New Roman" w:cs="Times New Roman"/>
        </w:rPr>
      </w:pPr>
      <w:r w:rsidRPr="000D1EF5">
        <w:rPr>
          <w:rFonts w:ascii="Times New Roman" w:hAnsi="Times New Roman" w:cs="Times New Roman"/>
        </w:rPr>
        <w:t>5.</w:t>
      </w:r>
      <w:r w:rsidRPr="000D1EF5">
        <w:rPr>
          <w:rFonts w:ascii="Times New Roman" w:hAnsi="Times New Roman" w:cs="Times New Roman"/>
        </w:rPr>
        <w:tab/>
      </w:r>
      <w:r w:rsidR="006966BF" w:rsidRPr="000D1EF5">
        <w:rPr>
          <w:rFonts w:ascii="Times New Roman" w:hAnsi="Times New Roman" w:cs="Times New Roman"/>
          <w:b/>
        </w:rPr>
        <w:t xml:space="preserve">Palestinian National Institute </w:t>
      </w:r>
      <w:r w:rsidRPr="000D1EF5">
        <w:rPr>
          <w:rFonts w:ascii="Times New Roman" w:hAnsi="Times New Roman" w:cs="Times New Roman"/>
          <w:b/>
        </w:rPr>
        <w:t xml:space="preserve">Of </w:t>
      </w:r>
      <w:r w:rsidR="006966BF" w:rsidRPr="000D1EF5">
        <w:rPr>
          <w:rFonts w:ascii="Times New Roman" w:hAnsi="Times New Roman" w:cs="Times New Roman"/>
          <w:b/>
        </w:rPr>
        <w:t>Public Health</w:t>
      </w:r>
      <w:r w:rsidRPr="000D1EF5">
        <w:rPr>
          <w:rFonts w:ascii="Times New Roman" w:hAnsi="Times New Roman" w:cs="Times New Roman"/>
        </w:rPr>
        <w:t xml:space="preserve">. </w:t>
      </w:r>
      <w:r w:rsidR="006966BF" w:rsidRPr="000D1EF5">
        <w:rPr>
          <w:rFonts w:ascii="Times New Roman" w:hAnsi="Times New Roman" w:cs="Times New Roman"/>
          <w:i/>
        </w:rPr>
        <w:t xml:space="preserve">Performance </w:t>
      </w:r>
      <w:r w:rsidRPr="000D1EF5">
        <w:rPr>
          <w:rFonts w:ascii="Times New Roman" w:hAnsi="Times New Roman" w:cs="Times New Roman"/>
          <w:i/>
        </w:rPr>
        <w:t xml:space="preserve">Of Mammography Screening In The National Breast Screening Program: </w:t>
      </w:r>
      <w:r w:rsidR="006966BF" w:rsidRPr="000D1EF5">
        <w:rPr>
          <w:rFonts w:ascii="Times New Roman" w:hAnsi="Times New Roman" w:cs="Times New Roman"/>
          <w:i/>
        </w:rPr>
        <w:t xml:space="preserve">A </w:t>
      </w:r>
      <w:r w:rsidRPr="000D1EF5">
        <w:rPr>
          <w:rFonts w:ascii="Times New Roman" w:hAnsi="Times New Roman" w:cs="Times New Roman"/>
          <w:i/>
        </w:rPr>
        <w:t>Retrospective Cohort Study</w:t>
      </w:r>
      <w:r w:rsidRPr="000D1EF5">
        <w:rPr>
          <w:rFonts w:ascii="Times New Roman" w:hAnsi="Times New Roman" w:cs="Times New Roman"/>
        </w:rPr>
        <w:t xml:space="preserve">. </w:t>
      </w:r>
      <w:r w:rsidR="006966BF" w:rsidRPr="000D1EF5">
        <w:rPr>
          <w:rFonts w:ascii="Times New Roman" w:hAnsi="Times New Roman" w:cs="Times New Roman"/>
        </w:rPr>
        <w:t>World Health Organization</w:t>
      </w:r>
      <w:r w:rsidRPr="000D1EF5">
        <w:rPr>
          <w:rFonts w:ascii="Times New Roman" w:hAnsi="Times New Roman" w:cs="Times New Roman"/>
        </w:rPr>
        <w:t>,, 2014.</w:t>
      </w:r>
    </w:p>
    <w:p w14:paraId="090C0C55" w14:textId="0035D7CC" w:rsidR="009C0DB9" w:rsidRPr="001D69C5" w:rsidRDefault="00565E10" w:rsidP="006434F0">
      <w:pPr>
        <w:spacing w:line="240" w:lineRule="auto"/>
        <w:ind w:left="270" w:hanging="270"/>
        <w:rPr>
          <w:rFonts w:ascii="Times New Roman" w:hAnsi="Times New Roman" w:cs="Times New Roman"/>
        </w:rPr>
      </w:pPr>
      <w:r w:rsidRPr="000D1EF5">
        <w:rPr>
          <w:rFonts w:ascii="Times New Roman" w:hAnsi="Times New Roman" w:cs="Times New Roman"/>
        </w:rPr>
        <w:fldChar w:fldCharType="end"/>
      </w:r>
    </w:p>
    <w:sectPr w:rsidR="009C0DB9" w:rsidRPr="001D6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HTA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ttfreaqdwftmevrvgvred20e0tszfxxwdr&quot;&gt;Lieke Endnote Library&lt;record-ids&gt;&lt;item&gt;50&lt;/item&gt;&lt;item&gt;16225&lt;/item&gt;&lt;item&gt;16229&lt;/item&gt;&lt;item&gt;16230&lt;/item&gt;&lt;/record-ids&gt;&lt;/item&gt;&lt;/Libraries&gt;"/>
  </w:docVars>
  <w:rsids>
    <w:rsidRoot w:val="001D69C5"/>
    <w:rsid w:val="000D1EF5"/>
    <w:rsid w:val="001D69C5"/>
    <w:rsid w:val="003B1A39"/>
    <w:rsid w:val="004F2B71"/>
    <w:rsid w:val="00565E10"/>
    <w:rsid w:val="006434F0"/>
    <w:rsid w:val="006966BF"/>
    <w:rsid w:val="008F1A96"/>
    <w:rsid w:val="00BA3EC5"/>
    <w:rsid w:val="00CF0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1B98"/>
  <w15:chartTrackingRefBased/>
  <w15:docId w15:val="{1CAFEDC4-4133-4A37-A109-234C1DDC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C5"/>
    <w:rPr>
      <w:rFonts w:eastAsiaTheme="minorEastAsia"/>
    </w:rPr>
  </w:style>
  <w:style w:type="paragraph" w:styleId="Heading1">
    <w:name w:val="heading 1"/>
    <w:basedOn w:val="Normal"/>
    <w:next w:val="Normal"/>
    <w:link w:val="Heading1Char"/>
    <w:uiPriority w:val="9"/>
    <w:qFormat/>
    <w:rsid w:val="001D6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D69C5"/>
    <w:pPr>
      <w:keepNext/>
      <w:keepLines/>
      <w:spacing w:before="40" w:after="0" w:line="240" w:lineRule="auto"/>
      <w:outlineLvl w:val="2"/>
    </w:pPr>
    <w:rPr>
      <w:rFonts w:ascii="Cambria" w:eastAsia="a" w:hAnsi="Cambria" w:cs="Times New Roman"/>
      <w:b/>
      <w:szCs w:val="26"/>
      <w:lang w:val="en-US" w:eastAsia="nb-NO"/>
    </w:rPr>
  </w:style>
  <w:style w:type="paragraph" w:styleId="Heading4">
    <w:name w:val="heading 4"/>
    <w:basedOn w:val="Heading3"/>
    <w:next w:val="Normal"/>
    <w:link w:val="Heading4Char"/>
    <w:uiPriority w:val="9"/>
    <w:unhideWhenUsed/>
    <w:qFormat/>
    <w:rsid w:val="001D69C5"/>
    <w:pPr>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9C5"/>
    <w:rPr>
      <w:rFonts w:ascii="Cambria" w:eastAsia="a" w:hAnsi="Cambria" w:cs="Times New Roman"/>
      <w:b/>
      <w:szCs w:val="26"/>
      <w:lang w:val="en-US" w:eastAsia="nb-NO"/>
    </w:rPr>
  </w:style>
  <w:style w:type="character" w:customStyle="1" w:styleId="Heading4Char">
    <w:name w:val="Heading 4 Char"/>
    <w:basedOn w:val="DefaultParagraphFont"/>
    <w:link w:val="Heading4"/>
    <w:uiPriority w:val="9"/>
    <w:rsid w:val="001D69C5"/>
    <w:rPr>
      <w:rFonts w:ascii="Cambria" w:eastAsia="a" w:hAnsi="Cambria" w:cs="Times New Roman"/>
      <w:b/>
      <w:i/>
      <w:szCs w:val="26"/>
      <w:lang w:val="en-US" w:eastAsia="nb-NO"/>
    </w:rPr>
  </w:style>
  <w:style w:type="paragraph" w:styleId="NoSpacing">
    <w:name w:val="No Spacing"/>
    <w:link w:val="NoSpacingChar"/>
    <w:uiPriority w:val="1"/>
    <w:qFormat/>
    <w:rsid w:val="001D69C5"/>
    <w:pPr>
      <w:spacing w:after="0" w:line="276" w:lineRule="auto"/>
      <w:jc w:val="both"/>
    </w:pPr>
    <w:rPr>
      <w:rFonts w:ascii="Cambria" w:eastAsia="a" w:hAnsi="Cambria" w:cs="a"/>
      <w:lang w:val="en-US"/>
    </w:rPr>
  </w:style>
  <w:style w:type="character" w:styleId="Hyperlink">
    <w:name w:val="Hyperlink"/>
    <w:basedOn w:val="DefaultParagraphFont"/>
    <w:uiPriority w:val="99"/>
    <w:unhideWhenUsed/>
    <w:rsid w:val="001D69C5"/>
    <w:rPr>
      <w:color w:val="0563C1" w:themeColor="hyperlink"/>
      <w:u w:val="single"/>
    </w:rPr>
  </w:style>
  <w:style w:type="table" w:styleId="TableGrid">
    <w:name w:val="Table Grid"/>
    <w:basedOn w:val="TableNormal"/>
    <w:uiPriority w:val="59"/>
    <w:rsid w:val="001D69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D69C5"/>
    <w:rPr>
      <w:rFonts w:ascii="Cambria" w:hAnsi="Cambria"/>
      <w:i/>
      <w:iCs/>
      <w:color w:val="404040" w:themeColor="text1" w:themeTint="BF"/>
    </w:rPr>
  </w:style>
  <w:style w:type="character" w:customStyle="1" w:styleId="TabelltekstTegn">
    <w:name w:val="Tabelltekst Tegn"/>
    <w:basedOn w:val="DefaultParagraphFont"/>
    <w:link w:val="Tabelltekst"/>
    <w:locked/>
    <w:rsid w:val="001D69C5"/>
    <w:rPr>
      <w:rFonts w:ascii="Cambria" w:hAnsi="Cambria" w:cs="Segoe UI"/>
      <w:noProof/>
      <w:sz w:val="21"/>
      <w:szCs w:val="21"/>
    </w:rPr>
  </w:style>
  <w:style w:type="paragraph" w:customStyle="1" w:styleId="Tabelltekst">
    <w:name w:val="Tabelltekst"/>
    <w:link w:val="TabelltekstTegn"/>
    <w:qFormat/>
    <w:rsid w:val="001D69C5"/>
    <w:pPr>
      <w:tabs>
        <w:tab w:val="left" w:pos="510"/>
      </w:tabs>
      <w:spacing w:after="0" w:line="240" w:lineRule="auto"/>
      <w:jc w:val="center"/>
    </w:pPr>
    <w:rPr>
      <w:rFonts w:ascii="Cambria" w:hAnsi="Cambria" w:cs="Segoe UI"/>
      <w:noProof/>
      <w:sz w:val="21"/>
      <w:szCs w:val="21"/>
    </w:rPr>
  </w:style>
  <w:style w:type="character" w:customStyle="1" w:styleId="NoSpacingChar">
    <w:name w:val="No Spacing Char"/>
    <w:basedOn w:val="DefaultParagraphFont"/>
    <w:link w:val="NoSpacing"/>
    <w:uiPriority w:val="1"/>
    <w:rsid w:val="001D69C5"/>
    <w:rPr>
      <w:rFonts w:ascii="Cambria" w:eastAsia="a" w:hAnsi="Cambria" w:cs="a"/>
      <w:lang w:val="en-US"/>
    </w:rPr>
  </w:style>
  <w:style w:type="paragraph" w:customStyle="1" w:styleId="Tabledescriptions">
    <w:name w:val="Table descriptions"/>
    <w:basedOn w:val="NoSpacing"/>
    <w:link w:val="TabledescriptionsChar"/>
    <w:qFormat/>
    <w:rsid w:val="001D69C5"/>
    <w:rPr>
      <w:i/>
      <w:color w:val="595959" w:themeColor="text1" w:themeTint="A6"/>
      <w:sz w:val="20"/>
    </w:rPr>
  </w:style>
  <w:style w:type="character" w:customStyle="1" w:styleId="TabledescriptionsChar">
    <w:name w:val="Table descriptions Char"/>
    <w:basedOn w:val="NoSpacingChar"/>
    <w:link w:val="Tabledescriptions"/>
    <w:rsid w:val="001D69C5"/>
    <w:rPr>
      <w:rFonts w:ascii="Cambria" w:eastAsia="a" w:hAnsi="Cambria" w:cs="a"/>
      <w:i/>
      <w:color w:val="595959" w:themeColor="text1" w:themeTint="A6"/>
      <w:sz w:val="20"/>
      <w:lang w:val="en-US"/>
    </w:rPr>
  </w:style>
  <w:style w:type="table" w:styleId="PlainTable2">
    <w:name w:val="Plain Table 2"/>
    <w:basedOn w:val="TableNormal"/>
    <w:uiPriority w:val="42"/>
    <w:rsid w:val="001D69C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1D69C5"/>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565E10"/>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565E10"/>
    <w:rPr>
      <w:rFonts w:ascii="Calibri" w:eastAsiaTheme="minorEastAsia" w:hAnsi="Calibri" w:cs="Calibri"/>
      <w:noProof/>
      <w:color w:val="2E74B5" w:themeColor="accent1" w:themeShade="BF"/>
      <w:sz w:val="32"/>
      <w:szCs w:val="32"/>
      <w:lang w:val="en-US"/>
    </w:rPr>
  </w:style>
  <w:style w:type="paragraph" w:customStyle="1" w:styleId="EndNoteBibliography">
    <w:name w:val="EndNote Bibliography"/>
    <w:basedOn w:val="Normal"/>
    <w:link w:val="EndNoteBibliographyChar"/>
    <w:rsid w:val="00565E10"/>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565E10"/>
    <w:rPr>
      <w:rFonts w:ascii="Calibri" w:eastAsiaTheme="minorEastAsia" w:hAnsi="Calibri" w:cs="Calibri"/>
      <w:noProof/>
      <w:color w:val="2E74B5" w:themeColor="accent1" w:themeShade="BF"/>
      <w:sz w:val="32"/>
      <w:szCs w:val="32"/>
      <w:lang w:val="en-US"/>
    </w:rPr>
  </w:style>
  <w:style w:type="character" w:styleId="UnresolvedMention">
    <w:name w:val="Unresolved Mention"/>
    <w:basedOn w:val="DefaultParagraphFont"/>
    <w:uiPriority w:val="99"/>
    <w:semiHidden/>
    <w:unhideWhenUsed/>
    <w:rsid w:val="0056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stine.unfpa.org/en/publications/pathway-survival-story-breast-cancer-palest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niph.org/public/uploads/Mamography%20Report%20copy.pdf" TargetMode="External"/><Relationship Id="rId12" Type="http://schemas.openxmlformats.org/officeDocument/2006/relationships/hyperlink" Target="http://www.pcbs.gov.ps/site/lang__en/695/default.aspx"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lthdata.org/" TargetMode="External"/><Relationship Id="rId11" Type="http://schemas.openxmlformats.org/officeDocument/2006/relationships/hyperlink" Target="https://www.worlddata.info/asia/palestine/inflation-rates.php" TargetMode="External"/><Relationship Id="rId5" Type="http://schemas.openxmlformats.org/officeDocument/2006/relationships/hyperlink" Target="https://population.un.org/wpp/DataQuery/" TargetMode="External"/><Relationship Id="rId15" Type="http://schemas.openxmlformats.org/officeDocument/2006/relationships/customXml" Target="../customXml/item1.xml"/><Relationship Id="rId10" Type="http://schemas.openxmlformats.org/officeDocument/2006/relationships/hyperlink" Target="http://www.pcbs.gov.ps/site/lang__en/695/default.aspx" TargetMode="External"/><Relationship Id="rId4" Type="http://schemas.openxmlformats.org/officeDocument/2006/relationships/image" Target="media/image1.png"/><Relationship Id="rId9" Type="http://schemas.openxmlformats.org/officeDocument/2006/relationships/hyperlink" Target="https://palestine.unfpa.org/en/publications/pathway-survival-story-breast-cancer-palestin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007C42B379D4D9BC560E872FBB495" ma:contentTypeVersion="11" ma:contentTypeDescription="Create a new document." ma:contentTypeScope="" ma:versionID="14b8b164c8c5d64f813e678ca6b90528">
  <xsd:schema xmlns:xsd="http://www.w3.org/2001/XMLSchema" xmlns:xs="http://www.w3.org/2001/XMLSchema" xmlns:p="http://schemas.microsoft.com/office/2006/metadata/properties" xmlns:ns2="9e7c1b5f-6b93-4ee4-9fa2-fda8f1b47cf5" xmlns:ns3="7b56e4e4-5a88-447b-a628-d1fc075bb5ee" xmlns:ns4="eeffb3eb-49b4-4c3d-8d77-b834cb8677b1" targetNamespace="http://schemas.microsoft.com/office/2006/metadata/properties" ma:root="true" ma:fieldsID="223a386bc3118669554aa8c66aae77ff" ns2:_="" ns3:_="" ns4:_="">
    <xsd:import namespace="9e7c1b5f-6b93-4ee4-9fa2-fda8f1b47cf5"/>
    <xsd:import namespace="7b56e4e4-5a88-447b-a628-d1fc075bb5ee"/>
    <xsd:import namespace="eeffb3eb-49b4-4c3d-8d77-b834cb8677b1"/>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Metodevurdering|f0a73915-7218-4ba6-a2ef-8b1bda505931;#2;#Global helse|cc29abc0-24f5-473c-b1fb-8a6e29b6328d;#3;#Helsetjenesten|d128fb32-3876-48dd-ba97-05c9f84a1515"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56e4e4-5a88-447b-a628-d1fc075bb5e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50c1460-2f59-4247-8ce1-6e312047e130}" ma:internalName="TaxCatchAll" ma:showField="CatchAllData" ma:web="7b56e4e4-5a88-447b-a628-d1fc075bb5ee">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b3eb-49b4-4c3d-8d77-b834cb8677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TermInfo xmlns="http://schemas.microsoft.com/office/infopath/2007/PartnerControls">
          <TermName xmlns="http://schemas.microsoft.com/office/infopath/2007/PartnerControls">Metodevurdering</TermName>
          <TermId xmlns="http://schemas.microsoft.com/office/infopath/2007/PartnerControls">f0a73915-7218-4ba6-a2ef-8b1bda505931</TermId>
        </TermInfo>
        <TermInfo xmlns="http://schemas.microsoft.com/office/infopath/2007/PartnerControls">
          <TermName xmlns="http://schemas.microsoft.com/office/infopath/2007/PartnerControls">Global helse</TermName>
          <TermId xmlns="http://schemas.microsoft.com/office/infopath/2007/PartnerControls">cc29abc0-24f5-473c-b1fb-8a6e29b6328d</TermId>
        </TermInfo>
        <TermInfo xmlns="http://schemas.microsoft.com/office/infopath/2007/PartnerControls">
          <TermName xmlns="http://schemas.microsoft.com/office/infopath/2007/PartnerControls">Helsetjenesten</TermName>
          <TermId xmlns="http://schemas.microsoft.com/office/infopath/2007/PartnerControls">d128fb32-3876-48dd-ba97-05c9f84a1515</TermId>
        </TermInfo>
      </Terms>
    </FHI_TopicTaxHTField>
    <TaxCatchAll xmlns="7b56e4e4-5a88-447b-a628-d1fc075bb5ee">
      <Value>3</Value>
      <Value>2</Value>
      <Value>1</Value>
    </TaxCatchAll>
    <TaxKeywordTaxHTField xmlns="7b56e4e4-5a88-447b-a628-d1fc075bb5ee">
      <Terms xmlns="http://schemas.microsoft.com/office/infopath/2007/PartnerControls"/>
    </TaxKeywordTaxHTField>
  </documentManagement>
</p:properties>
</file>

<file path=customXml/itemProps1.xml><?xml version="1.0" encoding="utf-8"?>
<ds:datastoreItem xmlns:ds="http://schemas.openxmlformats.org/officeDocument/2006/customXml" ds:itemID="{0BDE5EA4-252D-447A-A013-CE0C2FDAFFD5}"/>
</file>

<file path=customXml/itemProps2.xml><?xml version="1.0" encoding="utf-8"?>
<ds:datastoreItem xmlns:ds="http://schemas.openxmlformats.org/officeDocument/2006/customXml" ds:itemID="{ABBB1180-8F2F-4BE8-9EDB-810CC8A26D8F}"/>
</file>

<file path=customXml/itemProps3.xml><?xml version="1.0" encoding="utf-8"?>
<ds:datastoreItem xmlns:ds="http://schemas.openxmlformats.org/officeDocument/2006/customXml" ds:itemID="{5766D743-E0A0-4D6C-911C-2BB061B7068D}"/>
</file>

<file path=docProps/app.xml><?xml version="1.0" encoding="utf-8"?>
<Properties xmlns="http://schemas.openxmlformats.org/officeDocument/2006/extended-properties" xmlns:vt="http://schemas.openxmlformats.org/officeDocument/2006/docPropsVTypes">
  <Template>Normal.dotm</Template>
  <TotalTime>10</TotalTime>
  <Pages>4</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Fleur Heupink</dc:creator>
  <cp:keywords/>
  <dc:description/>
  <cp:lastModifiedBy>Lieke Fleur Heupink</cp:lastModifiedBy>
  <cp:revision>8</cp:revision>
  <dcterms:created xsi:type="dcterms:W3CDTF">2022-08-10T14:48:00Z</dcterms:created>
  <dcterms:modified xsi:type="dcterms:W3CDTF">2022-08-10T15:30:00Z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0x010100F44007C42B379D4D9BC560E872FBB495</vt:lpwstr>
  </property>
  <property fmtid="{D5CDD505-2E9C-101B-9397-08002B2CF9AE}" pid="4" name="FHI_Topic">
    <vt:lpwstr>1;#Metodevurdering|f0a73915-7218-4ba6-a2ef-8b1bda505931;#2;#Global helse|cc29abc0-24f5-473c-b1fb-8a6e29b6328d;#3;#Helsetjenesten|d128fb32-3876-48dd-ba97-05c9f84a1515</vt:lpwstr>
  </property>
</Properties>
</file>