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82C7" w14:textId="54FEF289" w:rsidR="003B6CB2" w:rsidRPr="00E7546E" w:rsidRDefault="003B6CB2" w:rsidP="008D3B86">
      <w:pPr>
        <w:pStyle w:val="Heading1"/>
        <w:rPr>
          <w:rFonts w:ascii="Times New Roman" w:hAnsi="Times New Roman" w:cs="Times New Roman"/>
          <w:color w:val="auto"/>
        </w:rPr>
      </w:pPr>
      <w:r w:rsidRPr="00E7546E">
        <w:rPr>
          <w:rFonts w:ascii="Times New Roman" w:hAnsi="Times New Roman" w:cs="Times New Roman"/>
          <w:color w:val="auto"/>
        </w:rPr>
        <w:t>Supplement</w:t>
      </w:r>
      <w:r w:rsidR="00AA71DA" w:rsidRPr="00E7546E">
        <w:rPr>
          <w:rFonts w:ascii="Times New Roman" w:hAnsi="Times New Roman" w:cs="Times New Roman"/>
          <w:color w:val="auto"/>
        </w:rPr>
        <w:t>ary File 2</w:t>
      </w:r>
    </w:p>
    <w:p w14:paraId="7A9C2364" w14:textId="77777777" w:rsidR="00AE3D70" w:rsidRDefault="00AE3D70" w:rsidP="003F7DED">
      <w:pPr>
        <w:rPr>
          <w:rFonts w:ascii="Times New Roman" w:hAnsi="Times New Roman" w:cs="Times New Roman"/>
        </w:rPr>
      </w:pPr>
    </w:p>
    <w:p w14:paraId="068B7165" w14:textId="625A3453" w:rsidR="003F7DED" w:rsidRPr="00CA7F8C" w:rsidRDefault="00AE3D70" w:rsidP="00CA7F8C">
      <w:pPr>
        <w:spacing w:line="360" w:lineRule="auto"/>
        <w:rPr>
          <w:rFonts w:ascii="Times New Roman" w:hAnsi="Times New Roman" w:cs="Times New Roman"/>
          <w:sz w:val="24"/>
          <w:szCs w:val="24"/>
        </w:rPr>
      </w:pPr>
      <w:r w:rsidRPr="00CA7F8C">
        <w:rPr>
          <w:rFonts w:ascii="Times New Roman" w:hAnsi="Times New Roman" w:cs="Times New Roman"/>
          <w:sz w:val="24"/>
          <w:szCs w:val="24"/>
        </w:rPr>
        <w:t xml:space="preserve">The models were developed in accordance with the Consolidated Health Economic Evaluation Reporting Standards checklist (CHEERS, 2022) </w:t>
      </w:r>
      <w:r w:rsidRPr="00CA7F8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&lt;EndNote&gt;&lt;Cite&gt;&lt;Author&gt;Husereau&lt;/Author&gt;&lt;Year&gt;2022&lt;/Year&gt;&lt;RecNum&gt;28&lt;/RecNum&gt;&lt;DisplayText&gt;&lt;style font="Arial"&gt;[1]&lt;/style&gt;&lt;/DisplayText&gt;&lt;record&gt;&lt;rec-number&gt;28&lt;/rec-number&gt;&lt;foreign-keys&gt;&lt;key app="EN" db-id="wwrs259rt90za9eeffm59s9yra2fw0twarew" timestamp="1678282864"&gt;28&lt;/key&gt;&lt;/foreign-keys&gt;&lt;ref-type name="Journal Article"&gt;17&lt;/ref-type&gt;&lt;contributors&gt;&lt;authors&gt;&lt;author&gt;Husereau, Don&lt;/author&gt;&lt;author&gt;Drummond, Michael&lt;/author&gt;&lt;author&gt;Augustovski, Federico&lt;/author&gt;&lt;author&gt;de Bekker-Grob, Esther&lt;/author&gt;&lt;author&gt;Briggs, Andrew H.&lt;/author&gt;&lt;author&gt;Carswell, Chris&lt;/author&gt;&lt;author&gt;Caulley, Lisa&lt;/author&gt;&lt;author&gt;Chaiyakunapruk, Nathorn&lt;/author&gt;&lt;author&gt;Greenberg, Dan&lt;/author&gt;&lt;author&gt;Loder, Elizabeth&lt;/author&gt;&lt;author&gt;Mauskopf, Josephine&lt;/author&gt;&lt;author&gt;Mullins, C. Daniel&lt;/author&gt;&lt;author&gt;Petrou, Stavros&lt;/author&gt;&lt;author&gt;Pwu, Raoh-Fang&lt;/author&gt;&lt;author&gt;Staniszewska, Sophie&lt;/author&gt;&lt;/authors&gt;&lt;/contributors&gt;&lt;titles&gt;&lt;title&gt;Consolidated Health Economic Evaluation Reporting Standards 2022 (CHEERS 2022) Statement: Updated Reporting Guidance for Health Economic Evaluations&lt;/title&gt;&lt;secondary-title&gt;Value in Health&lt;/secondary-title&gt;&lt;/titles&gt;&lt;periodical&gt;&lt;full-title&gt;Value in Health&lt;/full-title&gt;&lt;/periodical&gt;&lt;pages&gt;3-9&lt;/pages&gt;&lt;volume&gt;25&lt;/volume&gt;&lt;number&gt;1&lt;/number&gt;&lt;dates&gt;&lt;year&gt;2022&lt;/year&gt;&lt;/dates&gt;&lt;publisher&gt;Elsevier&lt;/publisher&gt;&lt;isbn&gt;1098-3015&lt;/isbn&gt;&lt;urls&gt;&lt;related-urls&gt;&lt;url&gt;https://doi.org/10.1016/j.jval.2021.11.1351&lt;/url&gt;&lt;/related-urls&gt;&lt;/urls&gt;&lt;electronic-resource-num&gt;10.1016/j.jval.2021.11.1351&lt;/electronic-resource-num&gt;&lt;access-date&gt;2023/03/08&lt;/access-date&gt;&lt;/record&gt;&lt;/Cite&gt;&lt;/EndNote&gt;</w:instrText>
      </w:r>
      <w:r w:rsidRPr="00CA7F8C">
        <w:rPr>
          <w:rFonts w:ascii="Times New Roman" w:hAnsi="Times New Roman" w:cs="Times New Roman"/>
          <w:sz w:val="24"/>
          <w:szCs w:val="24"/>
        </w:rPr>
        <w:fldChar w:fldCharType="separate"/>
      </w:r>
      <w:r w:rsidRPr="00AE3D70">
        <w:rPr>
          <w:rFonts w:ascii="Arial" w:hAnsi="Arial" w:cs="Arial"/>
          <w:noProof/>
          <w:sz w:val="24"/>
          <w:szCs w:val="24"/>
        </w:rPr>
        <w:t>[1]</w:t>
      </w:r>
      <w:r w:rsidRPr="00CA7F8C">
        <w:rPr>
          <w:rFonts w:ascii="Times New Roman" w:hAnsi="Times New Roman" w:cs="Times New Roman"/>
          <w:sz w:val="24"/>
          <w:szCs w:val="24"/>
        </w:rPr>
        <w:fldChar w:fldCharType="end"/>
      </w:r>
      <w:r w:rsidRPr="00CA7F8C">
        <w:rPr>
          <w:rFonts w:ascii="Times New Roman" w:hAnsi="Times New Roman" w:cs="Times New Roman"/>
          <w:sz w:val="24"/>
          <w:szCs w:val="24"/>
        </w:rPr>
        <w:t xml:space="preserve"> and the Strengthening The Reporting of Empirical Simulation Studies guidelines </w:t>
      </w:r>
      <w:r w:rsidRPr="00CA7F8C">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&lt;EndNote&gt;&lt;Cite&gt;&lt;Author&gt;Monks&lt;/Author&gt;&lt;Year&gt;2019&lt;/Year&gt;&lt;RecNum&gt;29&lt;/RecNum&gt;&lt;DisplayText&gt;&lt;style font="Arial"&gt;[2]&lt;/style&gt;&lt;/DisplayText&gt;&lt;record&gt;&lt;rec-number&gt;29&lt;/rec-number&gt;&lt;foreign-keys&gt;&lt;key app="EN" db-id="wwrs259rt90za9eeffm59s9yra2fw0twarew" timestamp="1678282976"&gt;29&lt;/key&gt;&lt;/foreign-keys&gt;&lt;ref-type name="Journal Article"&gt;17&lt;/ref-type&gt;&lt;contributors&gt;&lt;authors&gt;&lt;author&gt;Monks, Thomas&lt;/author&gt;&lt;author&gt;Currie, Christine S. M.&lt;/author&gt;&lt;author&gt;Onggo, Bhakti Stephan&lt;/author&gt;&lt;author&gt;Robinson, Stewart&lt;/author&gt;&lt;author&gt;Kunc, Martin&lt;/author&gt;&lt;author&gt;Taylor, Simon J. E.&lt;/author&gt;&lt;/authors&gt;&lt;/contributors&gt;&lt;titles&gt;&lt;title&gt;Strengthening the reporting of empirical simulation studies: Introducing the STRESS guidelines&lt;/title&gt;&lt;secondary-title&gt;Journal of Simulation&lt;/secondary-title&gt;&lt;/titles&gt;&lt;periodical&gt;&lt;full-title&gt;Journal of Simulation&lt;/full-title&gt;&lt;/periodical&gt;&lt;pages&gt;55-67&lt;/pages&gt;&lt;volume&gt;13&lt;/volume&gt;&lt;number&gt;1&lt;/number&gt;&lt;dates&gt;&lt;year&gt;2019&lt;/year&gt;&lt;pub-dates&gt;&lt;date&gt;2019/01/02&lt;/date&gt;&lt;/pub-dates&gt;&lt;/dates&gt;&lt;publisher&gt;Taylor &amp;amp; Francis&lt;/publisher&gt;&lt;isbn&gt;1747-7778&lt;/isbn&gt;&lt;urls&gt;&lt;related-urls&gt;&lt;url&gt;https://doi.org/10.1080/17477778.2018.1442155&lt;/url&gt;&lt;/related-urls&gt;&lt;/urls&gt;&lt;electronic-resource-num&gt;10.1080/17477778.2018.1442155&lt;/electronic-resource-num&gt;&lt;/record&gt;&lt;/Cite&gt;&lt;/EndNote&gt;</w:instrText>
      </w:r>
      <w:r w:rsidRPr="00CA7F8C">
        <w:rPr>
          <w:rFonts w:ascii="Times New Roman" w:hAnsi="Times New Roman" w:cs="Times New Roman"/>
          <w:sz w:val="24"/>
          <w:szCs w:val="24"/>
        </w:rPr>
        <w:fldChar w:fldCharType="separate"/>
      </w:r>
      <w:r w:rsidRPr="00AE3D70">
        <w:rPr>
          <w:rFonts w:ascii="Arial" w:hAnsi="Arial" w:cs="Arial"/>
          <w:noProof/>
          <w:sz w:val="24"/>
          <w:szCs w:val="24"/>
        </w:rPr>
        <w:t>[2]</w:t>
      </w:r>
      <w:r w:rsidRPr="00CA7F8C">
        <w:rPr>
          <w:rFonts w:ascii="Times New Roman" w:hAnsi="Times New Roman" w:cs="Times New Roman"/>
          <w:sz w:val="24"/>
          <w:szCs w:val="24"/>
        </w:rPr>
        <w:fldChar w:fldCharType="end"/>
      </w:r>
      <w:r w:rsidRPr="00CA7F8C">
        <w:rPr>
          <w:rFonts w:ascii="Times New Roman" w:hAnsi="Times New Roman" w:cs="Times New Roman"/>
          <w:sz w:val="24"/>
          <w:szCs w:val="24"/>
        </w:rPr>
        <w:t>.</w:t>
      </w:r>
    </w:p>
    <w:p w14:paraId="0EC6FA0F" w14:textId="7D02E00D" w:rsidR="003F7DED" w:rsidRPr="00E7546E" w:rsidRDefault="003F7DED" w:rsidP="003F7DED">
      <w:pPr>
        <w:pStyle w:val="Caption"/>
        <w:keepNext/>
        <w:rPr>
          <w:rFonts w:ascii="Times New Roman" w:hAnsi="Times New Roman" w:cs="Times New Roman"/>
          <w:b/>
          <w:bCs/>
          <w:i w:val="0"/>
          <w:iCs w:val="0"/>
          <w:color w:val="auto"/>
          <w:sz w:val="28"/>
          <w:szCs w:val="28"/>
        </w:rPr>
      </w:pPr>
      <w:r w:rsidRPr="00E7546E">
        <w:rPr>
          <w:rFonts w:ascii="Times New Roman" w:hAnsi="Times New Roman" w:cs="Times New Roman"/>
          <w:b/>
          <w:bCs/>
          <w:i w:val="0"/>
          <w:iCs w:val="0"/>
          <w:color w:val="auto"/>
          <w:sz w:val="28"/>
          <w:szCs w:val="28"/>
        </w:rPr>
        <w:t xml:space="preserve">Supplementary table 2. </w:t>
      </w:r>
      <w:r w:rsidRPr="00E7546E">
        <w:rPr>
          <w:rFonts w:ascii="Times New Roman" w:hAnsi="Times New Roman" w:cs="Times New Roman"/>
          <w:b/>
          <w:bCs/>
          <w:i w:val="0"/>
          <w:iCs w:val="0"/>
          <w:color w:val="auto"/>
          <w:sz w:val="28"/>
          <w:szCs w:val="28"/>
        </w:rPr>
        <w:fldChar w:fldCharType="begin"/>
      </w:r>
      <w:r w:rsidRPr="00E7546E">
        <w:rPr>
          <w:rFonts w:ascii="Times New Roman" w:hAnsi="Times New Roman" w:cs="Times New Roman"/>
          <w:b/>
          <w:bCs/>
          <w:i w:val="0"/>
          <w:iCs w:val="0"/>
          <w:color w:val="auto"/>
          <w:sz w:val="28"/>
          <w:szCs w:val="28"/>
        </w:rPr>
        <w:instrText xml:space="preserve"> SEQ Supplementary_table_2. \* ARABIC </w:instrText>
      </w:r>
      <w:r w:rsidRPr="00E7546E">
        <w:rPr>
          <w:rFonts w:ascii="Times New Roman" w:hAnsi="Times New Roman" w:cs="Times New Roman"/>
          <w:b/>
          <w:bCs/>
          <w:i w:val="0"/>
          <w:iCs w:val="0"/>
          <w:color w:val="auto"/>
          <w:sz w:val="28"/>
          <w:szCs w:val="28"/>
        </w:rPr>
        <w:fldChar w:fldCharType="separate"/>
      </w:r>
      <w:r w:rsidRPr="00E7546E">
        <w:rPr>
          <w:rFonts w:ascii="Times New Roman" w:hAnsi="Times New Roman" w:cs="Times New Roman"/>
          <w:b/>
          <w:bCs/>
          <w:i w:val="0"/>
          <w:iCs w:val="0"/>
          <w:color w:val="auto"/>
          <w:sz w:val="28"/>
          <w:szCs w:val="28"/>
        </w:rPr>
        <w:t>1</w:t>
      </w:r>
      <w:r w:rsidRPr="00E7546E">
        <w:rPr>
          <w:rFonts w:ascii="Times New Roman" w:hAnsi="Times New Roman" w:cs="Times New Roman"/>
          <w:b/>
          <w:bCs/>
          <w:i w:val="0"/>
          <w:iCs w:val="0"/>
          <w:color w:val="auto"/>
          <w:sz w:val="28"/>
          <w:szCs w:val="28"/>
        </w:rPr>
        <w:fldChar w:fldCharType="end"/>
      </w:r>
      <w:r w:rsidRPr="00E7546E">
        <w:rPr>
          <w:rFonts w:ascii="Times New Roman" w:hAnsi="Times New Roman" w:cs="Times New Roman"/>
          <w:b/>
          <w:bCs/>
          <w:i w:val="0"/>
          <w:iCs w:val="0"/>
          <w:color w:val="auto"/>
          <w:sz w:val="28"/>
          <w:szCs w:val="28"/>
        </w:rPr>
        <w:t xml:space="preserve"> CHEERS checklist</w:t>
      </w:r>
    </w:p>
    <w:tbl>
      <w:tblPr>
        <w:tblW w:w="0" w:type="auto"/>
        <w:jc w:val="center"/>
        <w:tblLook w:val="0420" w:firstRow="1" w:lastRow="0" w:firstColumn="0" w:lastColumn="0" w:noHBand="0" w:noVBand="1"/>
      </w:tblPr>
      <w:tblGrid>
        <w:gridCol w:w="3772"/>
        <w:gridCol w:w="495"/>
        <w:gridCol w:w="7229"/>
        <w:gridCol w:w="2771"/>
      </w:tblGrid>
      <w:tr w:rsidR="00503BD6" w:rsidRPr="00E7546E" w14:paraId="1CD22828" w14:textId="77777777" w:rsidTr="00A01C6C">
        <w:trPr>
          <w:cantSplit/>
          <w:tblHeader/>
          <w:jc w:val="center"/>
        </w:trPr>
        <w:tc>
          <w:tcPr>
            <w:tcW w:w="0" w:type="auto"/>
            <w:tcBorders>
              <w:top w:val="single" w:sz="8" w:space="0" w:color="000000"/>
              <w:left w:val="single" w:sz="8" w:space="0" w:color="000000"/>
              <w:bottom w:val="single" w:sz="8" w:space="0" w:color="000000"/>
            </w:tcBorders>
            <w:shd w:val="clear" w:color="auto" w:fill="63639A"/>
            <w:tcMar>
              <w:top w:w="0" w:type="dxa"/>
              <w:left w:w="0" w:type="dxa"/>
              <w:bottom w:w="0" w:type="dxa"/>
              <w:right w:w="0" w:type="dxa"/>
            </w:tcMar>
            <w:vAlign w:val="center"/>
          </w:tcPr>
          <w:p w14:paraId="5BCC4097"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FFFFFF"/>
                <w:sz w:val="20"/>
                <w:szCs w:val="20"/>
                <w:lang w:val="en-US"/>
              </w:rPr>
              <w:t>Topic</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45D6B766"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b/>
                <w:color w:val="FFFFFF"/>
                <w:sz w:val="20"/>
                <w:szCs w:val="20"/>
                <w:lang w:val="en-US"/>
              </w:rPr>
              <w:t>No.</w:t>
            </w:r>
          </w:p>
        </w:tc>
        <w:tc>
          <w:tcPr>
            <w:tcW w:w="0" w:type="auto"/>
            <w:tcBorders>
              <w:top w:val="single" w:sz="8" w:space="0" w:color="000000"/>
              <w:bottom w:val="single" w:sz="8" w:space="0" w:color="000000"/>
            </w:tcBorders>
            <w:shd w:val="clear" w:color="auto" w:fill="63639A"/>
            <w:tcMar>
              <w:top w:w="0" w:type="dxa"/>
              <w:left w:w="0" w:type="dxa"/>
              <w:bottom w:w="0" w:type="dxa"/>
              <w:right w:w="0" w:type="dxa"/>
            </w:tcMar>
            <w:vAlign w:val="center"/>
          </w:tcPr>
          <w:p w14:paraId="59469606"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FFFFFF"/>
                <w:sz w:val="20"/>
                <w:szCs w:val="20"/>
                <w:lang w:val="en-US"/>
              </w:rPr>
              <w:t>Item</w:t>
            </w:r>
          </w:p>
        </w:tc>
        <w:tc>
          <w:tcPr>
            <w:tcW w:w="0" w:type="auto"/>
            <w:tcBorders>
              <w:top w:val="single" w:sz="8" w:space="0" w:color="000000"/>
              <w:bottom w:val="single" w:sz="8" w:space="0" w:color="000000"/>
              <w:right w:val="single" w:sz="8" w:space="0" w:color="000000"/>
            </w:tcBorders>
            <w:shd w:val="clear" w:color="auto" w:fill="63639A"/>
            <w:tcMar>
              <w:top w:w="0" w:type="dxa"/>
              <w:left w:w="0" w:type="dxa"/>
              <w:bottom w:w="0" w:type="dxa"/>
              <w:right w:w="0" w:type="dxa"/>
            </w:tcMar>
            <w:vAlign w:val="center"/>
          </w:tcPr>
          <w:p w14:paraId="03F65972"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b/>
                <w:color w:val="FFFFFF"/>
                <w:sz w:val="20"/>
                <w:szCs w:val="20"/>
                <w:lang w:val="en-US"/>
              </w:rPr>
              <w:t>Location where item is reported</w:t>
            </w:r>
          </w:p>
        </w:tc>
      </w:tr>
      <w:tr w:rsidR="00503BD6" w:rsidRPr="00E7546E" w14:paraId="4D86DF44" w14:textId="77777777" w:rsidTr="00A01C6C">
        <w:trPr>
          <w:cantSplit/>
          <w:jc w:val="center"/>
        </w:trPr>
        <w:tc>
          <w:tcPr>
            <w:tcW w:w="0" w:type="auto"/>
            <w:vMerge w:val="restart"/>
            <w:tcBorders>
              <w:left w:val="single" w:sz="8" w:space="0" w:color="000000"/>
            </w:tcBorders>
            <w:shd w:val="clear" w:color="auto" w:fill="FFFFCC"/>
            <w:tcMar>
              <w:top w:w="0" w:type="dxa"/>
              <w:left w:w="0" w:type="dxa"/>
              <w:bottom w:w="0" w:type="dxa"/>
              <w:right w:w="0" w:type="dxa"/>
            </w:tcMar>
          </w:tcPr>
          <w:p w14:paraId="455B53C8"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Title</w:t>
            </w:r>
          </w:p>
        </w:tc>
        <w:tc>
          <w:tcPr>
            <w:tcW w:w="0" w:type="auto"/>
            <w:shd w:val="clear" w:color="auto" w:fill="FFFFCC"/>
            <w:tcMar>
              <w:top w:w="0" w:type="dxa"/>
              <w:left w:w="0" w:type="dxa"/>
              <w:bottom w:w="0" w:type="dxa"/>
              <w:right w:w="0" w:type="dxa"/>
            </w:tcMar>
          </w:tcPr>
          <w:p w14:paraId="5BAA03E9"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c>
          <w:tcPr>
            <w:tcW w:w="0" w:type="auto"/>
            <w:shd w:val="clear" w:color="auto" w:fill="FFFFCC"/>
            <w:tcMar>
              <w:top w:w="0" w:type="dxa"/>
              <w:left w:w="0" w:type="dxa"/>
              <w:bottom w:w="0" w:type="dxa"/>
              <w:right w:w="0" w:type="dxa"/>
            </w:tcMar>
          </w:tcPr>
          <w:p w14:paraId="2464DCD6"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
        </w:tc>
        <w:tc>
          <w:tcPr>
            <w:tcW w:w="0" w:type="auto"/>
            <w:tcBorders>
              <w:right w:val="single" w:sz="8" w:space="0" w:color="000000"/>
            </w:tcBorders>
            <w:shd w:val="clear" w:color="auto" w:fill="FFFFCC"/>
            <w:tcMar>
              <w:top w:w="0" w:type="dxa"/>
              <w:left w:w="0" w:type="dxa"/>
              <w:bottom w:w="0" w:type="dxa"/>
              <w:right w:w="0" w:type="dxa"/>
            </w:tcMar>
          </w:tcPr>
          <w:p w14:paraId="4C78B364"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r>
      <w:tr w:rsidR="00503BD6" w:rsidRPr="00E7546E" w14:paraId="570B9B31" w14:textId="77777777" w:rsidTr="00A01C6C">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4A3008AC"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
        </w:tc>
        <w:tc>
          <w:tcPr>
            <w:tcW w:w="0" w:type="auto"/>
            <w:shd w:val="clear" w:color="auto" w:fill="FFFFFF"/>
            <w:tcMar>
              <w:top w:w="0" w:type="dxa"/>
              <w:left w:w="0" w:type="dxa"/>
              <w:bottom w:w="0" w:type="dxa"/>
              <w:right w:w="0" w:type="dxa"/>
            </w:tcMar>
          </w:tcPr>
          <w:p w14:paraId="2FC98793"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w:t>
            </w:r>
          </w:p>
        </w:tc>
        <w:tc>
          <w:tcPr>
            <w:tcW w:w="0" w:type="auto"/>
            <w:shd w:val="clear" w:color="auto" w:fill="FFFFFF"/>
            <w:tcMar>
              <w:top w:w="0" w:type="dxa"/>
              <w:left w:w="0" w:type="dxa"/>
              <w:bottom w:w="0" w:type="dxa"/>
              <w:right w:w="0" w:type="dxa"/>
            </w:tcMar>
          </w:tcPr>
          <w:p w14:paraId="6162EB1E"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Identify the study as an economic evaluation and specify the interventions being compared.</w:t>
            </w:r>
          </w:p>
        </w:tc>
        <w:tc>
          <w:tcPr>
            <w:tcW w:w="0" w:type="auto"/>
            <w:tcBorders>
              <w:right w:val="single" w:sz="8" w:space="0" w:color="000000"/>
            </w:tcBorders>
            <w:shd w:val="clear" w:color="auto" w:fill="FFFFFF"/>
            <w:tcMar>
              <w:top w:w="0" w:type="dxa"/>
              <w:left w:w="0" w:type="dxa"/>
              <w:bottom w:w="0" w:type="dxa"/>
              <w:right w:w="0" w:type="dxa"/>
            </w:tcMar>
          </w:tcPr>
          <w:p w14:paraId="2AE2BA23" w14:textId="409B055A" w:rsidR="00BE6ADB" w:rsidRPr="00BE6ADB" w:rsidRDefault="00503BD6"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 xml:space="preserve">Manuscript, </w:t>
            </w:r>
            <w:r w:rsidR="00BE6ADB" w:rsidRPr="00BE6ADB">
              <w:rPr>
                <w:rFonts w:ascii="Times New Roman" w:eastAsia="DejaVu Sans" w:hAnsi="Times New Roman" w:cs="Times New Roman"/>
                <w:color w:val="000000"/>
                <w:sz w:val="20"/>
                <w:szCs w:val="20"/>
                <w:lang w:val="en-US"/>
              </w:rPr>
              <w:t>Title</w:t>
            </w:r>
          </w:p>
        </w:tc>
      </w:tr>
      <w:tr w:rsidR="00503BD6" w:rsidRPr="00E7546E" w14:paraId="0509A5A7" w14:textId="77777777" w:rsidTr="00A01C6C">
        <w:trPr>
          <w:cantSplit/>
          <w:jc w:val="center"/>
        </w:trPr>
        <w:tc>
          <w:tcPr>
            <w:tcW w:w="0" w:type="auto"/>
            <w:vMerge w:val="restart"/>
            <w:tcBorders>
              <w:left w:val="single" w:sz="8" w:space="0" w:color="000000"/>
            </w:tcBorders>
            <w:shd w:val="clear" w:color="auto" w:fill="FFFFCC"/>
            <w:tcMar>
              <w:top w:w="0" w:type="dxa"/>
              <w:left w:w="0" w:type="dxa"/>
              <w:bottom w:w="0" w:type="dxa"/>
              <w:right w:w="0" w:type="dxa"/>
            </w:tcMar>
          </w:tcPr>
          <w:p w14:paraId="734D95C4"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Abstract</w:t>
            </w:r>
          </w:p>
        </w:tc>
        <w:tc>
          <w:tcPr>
            <w:tcW w:w="0" w:type="auto"/>
            <w:shd w:val="clear" w:color="auto" w:fill="FFFFCC"/>
            <w:tcMar>
              <w:top w:w="0" w:type="dxa"/>
              <w:left w:w="0" w:type="dxa"/>
              <w:bottom w:w="0" w:type="dxa"/>
              <w:right w:w="0" w:type="dxa"/>
            </w:tcMar>
          </w:tcPr>
          <w:p w14:paraId="027780C9"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c>
          <w:tcPr>
            <w:tcW w:w="0" w:type="auto"/>
            <w:shd w:val="clear" w:color="auto" w:fill="FFFFCC"/>
            <w:tcMar>
              <w:top w:w="0" w:type="dxa"/>
              <w:left w:w="0" w:type="dxa"/>
              <w:bottom w:w="0" w:type="dxa"/>
              <w:right w:w="0" w:type="dxa"/>
            </w:tcMar>
          </w:tcPr>
          <w:p w14:paraId="3D9446CF"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
        </w:tc>
        <w:tc>
          <w:tcPr>
            <w:tcW w:w="0" w:type="auto"/>
            <w:tcBorders>
              <w:right w:val="single" w:sz="8" w:space="0" w:color="000000"/>
            </w:tcBorders>
            <w:shd w:val="clear" w:color="auto" w:fill="FFFFCC"/>
            <w:tcMar>
              <w:top w:w="0" w:type="dxa"/>
              <w:left w:w="0" w:type="dxa"/>
              <w:bottom w:w="0" w:type="dxa"/>
              <w:right w:w="0" w:type="dxa"/>
            </w:tcMar>
          </w:tcPr>
          <w:p w14:paraId="7C6D37FB"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r>
      <w:tr w:rsidR="00503BD6" w:rsidRPr="00E7546E" w14:paraId="5824FF19" w14:textId="77777777" w:rsidTr="00A01C6C">
        <w:trPr>
          <w:cantSplit/>
          <w:jc w:val="center"/>
        </w:trPr>
        <w:tc>
          <w:tcPr>
            <w:tcW w:w="0" w:type="auto"/>
            <w:vMerge/>
            <w:tcBorders>
              <w:left w:val="single" w:sz="8" w:space="0" w:color="000000"/>
            </w:tcBorders>
            <w:shd w:val="clear" w:color="auto" w:fill="FFFFFF"/>
            <w:tcMar>
              <w:top w:w="0" w:type="dxa"/>
              <w:left w:w="0" w:type="dxa"/>
              <w:bottom w:w="0" w:type="dxa"/>
              <w:right w:w="0" w:type="dxa"/>
            </w:tcMar>
          </w:tcPr>
          <w:p w14:paraId="5E24A8BF"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
        </w:tc>
        <w:tc>
          <w:tcPr>
            <w:tcW w:w="0" w:type="auto"/>
            <w:shd w:val="clear" w:color="auto" w:fill="FFFFFF"/>
            <w:tcMar>
              <w:top w:w="0" w:type="dxa"/>
              <w:left w:w="0" w:type="dxa"/>
              <w:bottom w:w="0" w:type="dxa"/>
              <w:right w:w="0" w:type="dxa"/>
            </w:tcMar>
          </w:tcPr>
          <w:p w14:paraId="3F6A8041"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2</w:t>
            </w:r>
          </w:p>
        </w:tc>
        <w:tc>
          <w:tcPr>
            <w:tcW w:w="0" w:type="auto"/>
            <w:shd w:val="clear" w:color="auto" w:fill="FFFFFF"/>
            <w:tcMar>
              <w:top w:w="0" w:type="dxa"/>
              <w:left w:w="0" w:type="dxa"/>
              <w:bottom w:w="0" w:type="dxa"/>
              <w:right w:w="0" w:type="dxa"/>
            </w:tcMar>
          </w:tcPr>
          <w:p w14:paraId="73C7016C"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Provide a structured summary that highlights context, key methods, results, and alternative analyses.</w:t>
            </w:r>
          </w:p>
        </w:tc>
        <w:tc>
          <w:tcPr>
            <w:tcW w:w="0" w:type="auto"/>
            <w:tcBorders>
              <w:right w:val="single" w:sz="8" w:space="0" w:color="000000"/>
            </w:tcBorders>
            <w:shd w:val="clear" w:color="auto" w:fill="FFFFFF"/>
            <w:tcMar>
              <w:top w:w="0" w:type="dxa"/>
              <w:left w:w="0" w:type="dxa"/>
              <w:bottom w:w="0" w:type="dxa"/>
              <w:right w:w="0" w:type="dxa"/>
            </w:tcMar>
          </w:tcPr>
          <w:p w14:paraId="348E74D6" w14:textId="65D8608E" w:rsidR="00BE6ADB" w:rsidRPr="00BE6ADB" w:rsidRDefault="00503BD6"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Abstract</w:t>
            </w:r>
          </w:p>
        </w:tc>
      </w:tr>
      <w:tr w:rsidR="00503BD6" w:rsidRPr="00E7546E" w14:paraId="63814E87" w14:textId="77777777" w:rsidTr="00A01C6C">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1E5B3541"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Introduction</w:t>
            </w:r>
          </w:p>
        </w:tc>
        <w:tc>
          <w:tcPr>
            <w:tcW w:w="0" w:type="auto"/>
            <w:shd w:val="clear" w:color="auto" w:fill="FFFFCC"/>
            <w:tcMar>
              <w:top w:w="0" w:type="dxa"/>
              <w:left w:w="0" w:type="dxa"/>
              <w:bottom w:w="0" w:type="dxa"/>
              <w:right w:w="0" w:type="dxa"/>
            </w:tcMar>
          </w:tcPr>
          <w:p w14:paraId="2C16C9EB"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c>
          <w:tcPr>
            <w:tcW w:w="0" w:type="auto"/>
            <w:shd w:val="clear" w:color="auto" w:fill="FFFFCC"/>
            <w:tcMar>
              <w:top w:w="0" w:type="dxa"/>
              <w:left w:w="0" w:type="dxa"/>
              <w:bottom w:w="0" w:type="dxa"/>
              <w:right w:w="0" w:type="dxa"/>
            </w:tcMar>
          </w:tcPr>
          <w:p w14:paraId="014D04E8"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
        </w:tc>
        <w:tc>
          <w:tcPr>
            <w:tcW w:w="0" w:type="auto"/>
            <w:tcBorders>
              <w:right w:val="single" w:sz="8" w:space="0" w:color="000000"/>
            </w:tcBorders>
            <w:shd w:val="clear" w:color="auto" w:fill="FFFFCC"/>
            <w:tcMar>
              <w:top w:w="0" w:type="dxa"/>
              <w:left w:w="0" w:type="dxa"/>
              <w:bottom w:w="0" w:type="dxa"/>
              <w:right w:w="0" w:type="dxa"/>
            </w:tcMar>
          </w:tcPr>
          <w:p w14:paraId="02C1E52B"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r>
      <w:tr w:rsidR="00503BD6" w:rsidRPr="00E7546E" w14:paraId="79D2277B"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2AE8750"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Background and objectives</w:t>
            </w:r>
          </w:p>
        </w:tc>
        <w:tc>
          <w:tcPr>
            <w:tcW w:w="0" w:type="auto"/>
            <w:shd w:val="clear" w:color="auto" w:fill="FFFFFF"/>
            <w:tcMar>
              <w:top w:w="0" w:type="dxa"/>
              <w:left w:w="0" w:type="dxa"/>
              <w:bottom w:w="0" w:type="dxa"/>
              <w:right w:w="0" w:type="dxa"/>
            </w:tcMar>
          </w:tcPr>
          <w:p w14:paraId="2C89F9BB"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3</w:t>
            </w:r>
          </w:p>
        </w:tc>
        <w:tc>
          <w:tcPr>
            <w:tcW w:w="0" w:type="auto"/>
            <w:shd w:val="clear" w:color="auto" w:fill="FFFFFF"/>
            <w:tcMar>
              <w:top w:w="0" w:type="dxa"/>
              <w:left w:w="0" w:type="dxa"/>
              <w:bottom w:w="0" w:type="dxa"/>
              <w:right w:w="0" w:type="dxa"/>
            </w:tcMar>
          </w:tcPr>
          <w:p w14:paraId="443E438A"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Give the context for the study, the study question, and its practical relevance for decision making in policy or practice.</w:t>
            </w:r>
          </w:p>
        </w:tc>
        <w:tc>
          <w:tcPr>
            <w:tcW w:w="0" w:type="auto"/>
            <w:tcBorders>
              <w:right w:val="single" w:sz="8" w:space="0" w:color="000000"/>
            </w:tcBorders>
            <w:shd w:val="clear" w:color="auto" w:fill="FFFFFF"/>
            <w:tcMar>
              <w:top w:w="0" w:type="dxa"/>
              <w:left w:w="0" w:type="dxa"/>
              <w:bottom w:w="0" w:type="dxa"/>
              <w:right w:w="0" w:type="dxa"/>
            </w:tcMar>
          </w:tcPr>
          <w:p w14:paraId="23B1DF59" w14:textId="10D61CCE" w:rsidR="00BE6ADB" w:rsidRPr="00BE6ADB" w:rsidRDefault="00A50F44"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w:t>
            </w:r>
            <w:r w:rsidR="00BE6ADB" w:rsidRPr="00BE6ADB">
              <w:rPr>
                <w:rFonts w:ascii="Times New Roman" w:eastAsia="DejaVu Sans" w:hAnsi="Times New Roman" w:cs="Times New Roman"/>
                <w:color w:val="000000"/>
                <w:sz w:val="20"/>
                <w:szCs w:val="20"/>
                <w:lang w:val="en-US"/>
              </w:rPr>
              <w:t xml:space="preserve">, </w:t>
            </w:r>
            <w:r w:rsidR="00CF1D08" w:rsidRPr="00E7546E">
              <w:rPr>
                <w:rFonts w:ascii="Times New Roman" w:eastAsia="DejaVu Sans" w:hAnsi="Times New Roman" w:cs="Times New Roman"/>
                <w:color w:val="000000"/>
                <w:sz w:val="20"/>
                <w:szCs w:val="20"/>
                <w:lang w:val="en-US"/>
              </w:rPr>
              <w:t>Introduction</w:t>
            </w:r>
            <w:r w:rsidR="00BE6ADB" w:rsidRPr="00BE6ADB">
              <w:rPr>
                <w:rFonts w:ascii="Times New Roman" w:eastAsia="DejaVu Sans" w:hAnsi="Times New Roman" w:cs="Times New Roman"/>
                <w:color w:val="000000"/>
                <w:sz w:val="20"/>
                <w:szCs w:val="20"/>
                <w:lang w:val="en-US"/>
              </w:rPr>
              <w:t>.</w:t>
            </w:r>
          </w:p>
        </w:tc>
      </w:tr>
      <w:tr w:rsidR="00503BD6" w:rsidRPr="00E7546E" w14:paraId="5EB996BE" w14:textId="77777777" w:rsidTr="00A01C6C">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0E4184D6"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Methods</w:t>
            </w:r>
          </w:p>
        </w:tc>
        <w:tc>
          <w:tcPr>
            <w:tcW w:w="0" w:type="auto"/>
            <w:shd w:val="clear" w:color="auto" w:fill="FFFFCC"/>
            <w:tcMar>
              <w:top w:w="0" w:type="dxa"/>
              <w:left w:w="0" w:type="dxa"/>
              <w:bottom w:w="0" w:type="dxa"/>
              <w:right w:w="0" w:type="dxa"/>
            </w:tcMar>
          </w:tcPr>
          <w:p w14:paraId="0291AFA2"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c>
          <w:tcPr>
            <w:tcW w:w="0" w:type="auto"/>
            <w:shd w:val="clear" w:color="auto" w:fill="FFFFCC"/>
            <w:tcMar>
              <w:top w:w="0" w:type="dxa"/>
              <w:left w:w="0" w:type="dxa"/>
              <w:bottom w:w="0" w:type="dxa"/>
              <w:right w:w="0" w:type="dxa"/>
            </w:tcMar>
          </w:tcPr>
          <w:p w14:paraId="2A0B7B92"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
        </w:tc>
        <w:tc>
          <w:tcPr>
            <w:tcW w:w="0" w:type="auto"/>
            <w:tcBorders>
              <w:right w:val="single" w:sz="8" w:space="0" w:color="000000"/>
            </w:tcBorders>
            <w:shd w:val="clear" w:color="auto" w:fill="FFFFCC"/>
            <w:tcMar>
              <w:top w:w="0" w:type="dxa"/>
              <w:left w:w="0" w:type="dxa"/>
              <w:bottom w:w="0" w:type="dxa"/>
              <w:right w:w="0" w:type="dxa"/>
            </w:tcMar>
          </w:tcPr>
          <w:p w14:paraId="15905FD8"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r>
      <w:tr w:rsidR="00503BD6" w:rsidRPr="00E7546E" w14:paraId="509ED6CC"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0D8D67C"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Health economic analysis plan</w:t>
            </w:r>
          </w:p>
        </w:tc>
        <w:tc>
          <w:tcPr>
            <w:tcW w:w="0" w:type="auto"/>
            <w:shd w:val="clear" w:color="auto" w:fill="FFFFFF"/>
            <w:tcMar>
              <w:top w:w="0" w:type="dxa"/>
              <w:left w:w="0" w:type="dxa"/>
              <w:bottom w:w="0" w:type="dxa"/>
              <w:right w:w="0" w:type="dxa"/>
            </w:tcMar>
          </w:tcPr>
          <w:p w14:paraId="69A91641"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4</w:t>
            </w:r>
          </w:p>
        </w:tc>
        <w:tc>
          <w:tcPr>
            <w:tcW w:w="0" w:type="auto"/>
            <w:shd w:val="clear" w:color="auto" w:fill="FFFFFF"/>
            <w:tcMar>
              <w:top w:w="0" w:type="dxa"/>
              <w:left w:w="0" w:type="dxa"/>
              <w:bottom w:w="0" w:type="dxa"/>
              <w:right w:w="0" w:type="dxa"/>
            </w:tcMar>
          </w:tcPr>
          <w:p w14:paraId="16C7B932"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Indicate whether a health economic analysis plan was developed and where available.</w:t>
            </w:r>
          </w:p>
        </w:tc>
        <w:tc>
          <w:tcPr>
            <w:tcW w:w="0" w:type="auto"/>
            <w:tcBorders>
              <w:right w:val="single" w:sz="8" w:space="0" w:color="000000"/>
            </w:tcBorders>
            <w:shd w:val="clear" w:color="auto" w:fill="FFFFFF"/>
            <w:tcMar>
              <w:top w:w="0" w:type="dxa"/>
              <w:left w:w="0" w:type="dxa"/>
              <w:bottom w:w="0" w:type="dxa"/>
              <w:right w:w="0" w:type="dxa"/>
            </w:tcMar>
          </w:tcPr>
          <w:p w14:paraId="07187721"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Not applicable</w:t>
            </w:r>
          </w:p>
        </w:tc>
      </w:tr>
      <w:tr w:rsidR="00503BD6" w:rsidRPr="00E7546E" w14:paraId="79A37063"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8A33795"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Study population</w:t>
            </w:r>
          </w:p>
        </w:tc>
        <w:tc>
          <w:tcPr>
            <w:tcW w:w="0" w:type="auto"/>
            <w:shd w:val="clear" w:color="auto" w:fill="FFFFFF"/>
            <w:tcMar>
              <w:top w:w="0" w:type="dxa"/>
              <w:left w:w="0" w:type="dxa"/>
              <w:bottom w:w="0" w:type="dxa"/>
              <w:right w:w="0" w:type="dxa"/>
            </w:tcMar>
          </w:tcPr>
          <w:p w14:paraId="2898496A"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5</w:t>
            </w:r>
          </w:p>
        </w:tc>
        <w:tc>
          <w:tcPr>
            <w:tcW w:w="0" w:type="auto"/>
            <w:shd w:val="clear" w:color="auto" w:fill="FFFFFF"/>
            <w:tcMar>
              <w:top w:w="0" w:type="dxa"/>
              <w:left w:w="0" w:type="dxa"/>
              <w:bottom w:w="0" w:type="dxa"/>
              <w:right w:w="0" w:type="dxa"/>
            </w:tcMar>
          </w:tcPr>
          <w:p w14:paraId="75452BC4"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Describe characteristics of the study population (such as age range, demographics, socioeconomic, or clinical characteristics).</w:t>
            </w:r>
          </w:p>
        </w:tc>
        <w:tc>
          <w:tcPr>
            <w:tcW w:w="0" w:type="auto"/>
            <w:tcBorders>
              <w:right w:val="single" w:sz="8" w:space="0" w:color="000000"/>
            </w:tcBorders>
            <w:shd w:val="clear" w:color="auto" w:fill="FFFFFF"/>
            <w:tcMar>
              <w:top w:w="0" w:type="dxa"/>
              <w:left w:w="0" w:type="dxa"/>
              <w:bottom w:w="0" w:type="dxa"/>
              <w:right w:w="0" w:type="dxa"/>
            </w:tcMar>
          </w:tcPr>
          <w:p w14:paraId="79ACEA3F" w14:textId="2CBE5504" w:rsidR="00BE6ADB" w:rsidRPr="00BE6ADB" w:rsidRDefault="00B12CC5"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structure</w:t>
            </w:r>
          </w:p>
        </w:tc>
      </w:tr>
      <w:tr w:rsidR="00503BD6" w:rsidRPr="00E7546E" w14:paraId="6E60243C"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E1B8FC3"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Setting and location</w:t>
            </w:r>
          </w:p>
        </w:tc>
        <w:tc>
          <w:tcPr>
            <w:tcW w:w="0" w:type="auto"/>
            <w:shd w:val="clear" w:color="auto" w:fill="FFFFFF"/>
            <w:tcMar>
              <w:top w:w="0" w:type="dxa"/>
              <w:left w:w="0" w:type="dxa"/>
              <w:bottom w:w="0" w:type="dxa"/>
              <w:right w:w="0" w:type="dxa"/>
            </w:tcMar>
          </w:tcPr>
          <w:p w14:paraId="5266E0D0"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6</w:t>
            </w:r>
          </w:p>
        </w:tc>
        <w:tc>
          <w:tcPr>
            <w:tcW w:w="0" w:type="auto"/>
            <w:shd w:val="clear" w:color="auto" w:fill="FFFFFF"/>
            <w:tcMar>
              <w:top w:w="0" w:type="dxa"/>
              <w:left w:w="0" w:type="dxa"/>
              <w:bottom w:w="0" w:type="dxa"/>
              <w:right w:w="0" w:type="dxa"/>
            </w:tcMar>
          </w:tcPr>
          <w:p w14:paraId="4FCB7583"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Provide relevant contextual information that may influence findings.</w:t>
            </w:r>
          </w:p>
        </w:tc>
        <w:tc>
          <w:tcPr>
            <w:tcW w:w="0" w:type="auto"/>
            <w:tcBorders>
              <w:right w:val="single" w:sz="8" w:space="0" w:color="000000"/>
            </w:tcBorders>
            <w:shd w:val="clear" w:color="auto" w:fill="FFFFFF"/>
            <w:tcMar>
              <w:top w:w="0" w:type="dxa"/>
              <w:left w:w="0" w:type="dxa"/>
              <w:bottom w:w="0" w:type="dxa"/>
              <w:right w:w="0" w:type="dxa"/>
            </w:tcMar>
          </w:tcPr>
          <w:p w14:paraId="4B67F649" w14:textId="5A3FDCCB" w:rsidR="00BE6ADB" w:rsidRPr="00BE6ADB" w:rsidRDefault="00072634"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structure</w:t>
            </w:r>
          </w:p>
        </w:tc>
      </w:tr>
      <w:tr w:rsidR="00503BD6" w:rsidRPr="00E7546E" w14:paraId="58273C90"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95B0A34"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Comparators</w:t>
            </w:r>
          </w:p>
        </w:tc>
        <w:tc>
          <w:tcPr>
            <w:tcW w:w="0" w:type="auto"/>
            <w:shd w:val="clear" w:color="auto" w:fill="FFFFFF"/>
            <w:tcMar>
              <w:top w:w="0" w:type="dxa"/>
              <w:left w:w="0" w:type="dxa"/>
              <w:bottom w:w="0" w:type="dxa"/>
              <w:right w:w="0" w:type="dxa"/>
            </w:tcMar>
          </w:tcPr>
          <w:p w14:paraId="34A36933"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7</w:t>
            </w:r>
          </w:p>
        </w:tc>
        <w:tc>
          <w:tcPr>
            <w:tcW w:w="0" w:type="auto"/>
            <w:shd w:val="clear" w:color="auto" w:fill="FFFFFF"/>
            <w:tcMar>
              <w:top w:w="0" w:type="dxa"/>
              <w:left w:w="0" w:type="dxa"/>
              <w:bottom w:w="0" w:type="dxa"/>
              <w:right w:w="0" w:type="dxa"/>
            </w:tcMar>
          </w:tcPr>
          <w:p w14:paraId="7C078A30"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Describe the interventions or strategies being compared and why chosen.</w:t>
            </w:r>
          </w:p>
        </w:tc>
        <w:tc>
          <w:tcPr>
            <w:tcW w:w="0" w:type="auto"/>
            <w:tcBorders>
              <w:right w:val="single" w:sz="8" w:space="0" w:color="000000"/>
            </w:tcBorders>
            <w:shd w:val="clear" w:color="auto" w:fill="FFFFFF"/>
            <w:tcMar>
              <w:top w:w="0" w:type="dxa"/>
              <w:left w:w="0" w:type="dxa"/>
              <w:bottom w:w="0" w:type="dxa"/>
              <w:right w:w="0" w:type="dxa"/>
            </w:tcMar>
          </w:tcPr>
          <w:p w14:paraId="484D4A46" w14:textId="5D0DF9A7" w:rsidR="00BE6ADB" w:rsidRPr="00BE6ADB" w:rsidRDefault="00953F96"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structure</w:t>
            </w:r>
          </w:p>
        </w:tc>
      </w:tr>
      <w:tr w:rsidR="00503BD6" w:rsidRPr="00E7546E" w14:paraId="197A8FA9"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44B580C"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Perspective</w:t>
            </w:r>
          </w:p>
        </w:tc>
        <w:tc>
          <w:tcPr>
            <w:tcW w:w="0" w:type="auto"/>
            <w:shd w:val="clear" w:color="auto" w:fill="FFFFFF"/>
            <w:tcMar>
              <w:top w:w="0" w:type="dxa"/>
              <w:left w:w="0" w:type="dxa"/>
              <w:bottom w:w="0" w:type="dxa"/>
              <w:right w:w="0" w:type="dxa"/>
            </w:tcMar>
          </w:tcPr>
          <w:p w14:paraId="097DA83E"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8</w:t>
            </w:r>
          </w:p>
        </w:tc>
        <w:tc>
          <w:tcPr>
            <w:tcW w:w="0" w:type="auto"/>
            <w:shd w:val="clear" w:color="auto" w:fill="FFFFFF"/>
            <w:tcMar>
              <w:top w:w="0" w:type="dxa"/>
              <w:left w:w="0" w:type="dxa"/>
              <w:bottom w:w="0" w:type="dxa"/>
              <w:right w:w="0" w:type="dxa"/>
            </w:tcMar>
          </w:tcPr>
          <w:p w14:paraId="34AC0AF2"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State the perspective(s) adopted by the study and why chosen.</w:t>
            </w:r>
          </w:p>
        </w:tc>
        <w:tc>
          <w:tcPr>
            <w:tcW w:w="0" w:type="auto"/>
            <w:tcBorders>
              <w:right w:val="single" w:sz="8" w:space="0" w:color="000000"/>
            </w:tcBorders>
            <w:shd w:val="clear" w:color="auto" w:fill="FFFFFF"/>
            <w:tcMar>
              <w:top w:w="0" w:type="dxa"/>
              <w:left w:w="0" w:type="dxa"/>
              <w:bottom w:w="0" w:type="dxa"/>
              <w:right w:w="0" w:type="dxa"/>
            </w:tcMar>
          </w:tcPr>
          <w:p w14:paraId="472CB723" w14:textId="21B48E9E" w:rsidR="00BE6ADB" w:rsidRPr="00BE6ADB" w:rsidRDefault="00274FF3"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analysis</w:t>
            </w:r>
          </w:p>
        </w:tc>
      </w:tr>
      <w:tr w:rsidR="00503BD6" w:rsidRPr="00E7546E" w14:paraId="1BF14055"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DE606FC"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lastRenderedPageBreak/>
              <w:t>Time horizon</w:t>
            </w:r>
          </w:p>
        </w:tc>
        <w:tc>
          <w:tcPr>
            <w:tcW w:w="0" w:type="auto"/>
            <w:shd w:val="clear" w:color="auto" w:fill="FFFFFF"/>
            <w:tcMar>
              <w:top w:w="0" w:type="dxa"/>
              <w:left w:w="0" w:type="dxa"/>
              <w:bottom w:w="0" w:type="dxa"/>
              <w:right w:w="0" w:type="dxa"/>
            </w:tcMar>
          </w:tcPr>
          <w:p w14:paraId="4CA6BB0D"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9</w:t>
            </w:r>
          </w:p>
        </w:tc>
        <w:tc>
          <w:tcPr>
            <w:tcW w:w="0" w:type="auto"/>
            <w:shd w:val="clear" w:color="auto" w:fill="FFFFFF"/>
            <w:tcMar>
              <w:top w:w="0" w:type="dxa"/>
              <w:left w:w="0" w:type="dxa"/>
              <w:bottom w:w="0" w:type="dxa"/>
              <w:right w:w="0" w:type="dxa"/>
            </w:tcMar>
          </w:tcPr>
          <w:p w14:paraId="3362C2D5"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State the time horizon for the study and why appropriate.</w:t>
            </w:r>
          </w:p>
        </w:tc>
        <w:tc>
          <w:tcPr>
            <w:tcW w:w="0" w:type="auto"/>
            <w:tcBorders>
              <w:right w:val="single" w:sz="8" w:space="0" w:color="000000"/>
            </w:tcBorders>
            <w:shd w:val="clear" w:color="auto" w:fill="FFFFFF"/>
            <w:tcMar>
              <w:top w:w="0" w:type="dxa"/>
              <w:left w:w="0" w:type="dxa"/>
              <w:bottom w:w="0" w:type="dxa"/>
              <w:right w:w="0" w:type="dxa"/>
            </w:tcMar>
          </w:tcPr>
          <w:p w14:paraId="6ED92870" w14:textId="467979B8" w:rsidR="00BE6ADB" w:rsidRPr="00BE6ADB" w:rsidRDefault="00274FF3"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analysis</w:t>
            </w:r>
          </w:p>
        </w:tc>
      </w:tr>
      <w:tr w:rsidR="00503BD6" w:rsidRPr="00E7546E" w14:paraId="5F1D347F"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13DC93C"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Discount rate</w:t>
            </w:r>
          </w:p>
        </w:tc>
        <w:tc>
          <w:tcPr>
            <w:tcW w:w="0" w:type="auto"/>
            <w:shd w:val="clear" w:color="auto" w:fill="FFFFFF"/>
            <w:tcMar>
              <w:top w:w="0" w:type="dxa"/>
              <w:left w:w="0" w:type="dxa"/>
              <w:bottom w:w="0" w:type="dxa"/>
              <w:right w:w="0" w:type="dxa"/>
            </w:tcMar>
          </w:tcPr>
          <w:p w14:paraId="0A5DB9CC"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10</w:t>
            </w:r>
          </w:p>
        </w:tc>
        <w:tc>
          <w:tcPr>
            <w:tcW w:w="0" w:type="auto"/>
            <w:shd w:val="clear" w:color="auto" w:fill="FFFFFF"/>
            <w:tcMar>
              <w:top w:w="0" w:type="dxa"/>
              <w:left w:w="0" w:type="dxa"/>
              <w:bottom w:w="0" w:type="dxa"/>
              <w:right w:w="0" w:type="dxa"/>
            </w:tcMar>
          </w:tcPr>
          <w:p w14:paraId="48AD8706"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Report the discount rate(s) and reason chosen.</w:t>
            </w:r>
          </w:p>
        </w:tc>
        <w:tc>
          <w:tcPr>
            <w:tcW w:w="0" w:type="auto"/>
            <w:tcBorders>
              <w:right w:val="single" w:sz="8" w:space="0" w:color="000000"/>
            </w:tcBorders>
            <w:shd w:val="clear" w:color="auto" w:fill="FFFFFF"/>
            <w:tcMar>
              <w:top w:w="0" w:type="dxa"/>
              <w:left w:w="0" w:type="dxa"/>
              <w:bottom w:w="0" w:type="dxa"/>
              <w:right w:w="0" w:type="dxa"/>
            </w:tcMar>
          </w:tcPr>
          <w:p w14:paraId="4421C8B2" w14:textId="17E7DC69" w:rsidR="00BE6ADB" w:rsidRPr="00BE6ADB" w:rsidRDefault="00A46D1C"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analysis</w:t>
            </w:r>
            <w:r w:rsidR="00BE6ADB" w:rsidRPr="00BE6ADB">
              <w:rPr>
                <w:rFonts w:ascii="Times New Roman" w:eastAsia="DejaVu Sans" w:hAnsi="Times New Roman" w:cs="Times New Roman"/>
                <w:color w:val="000000"/>
                <w:sz w:val="20"/>
                <w:szCs w:val="20"/>
                <w:lang w:val="en-US"/>
              </w:rPr>
              <w:t>.</w:t>
            </w:r>
          </w:p>
        </w:tc>
      </w:tr>
      <w:tr w:rsidR="00503BD6" w:rsidRPr="00E7546E" w14:paraId="447010D6"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E73D230"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Selection of outcomes</w:t>
            </w:r>
          </w:p>
        </w:tc>
        <w:tc>
          <w:tcPr>
            <w:tcW w:w="0" w:type="auto"/>
            <w:shd w:val="clear" w:color="auto" w:fill="FFFFFF"/>
            <w:tcMar>
              <w:top w:w="0" w:type="dxa"/>
              <w:left w:w="0" w:type="dxa"/>
              <w:bottom w:w="0" w:type="dxa"/>
              <w:right w:w="0" w:type="dxa"/>
            </w:tcMar>
          </w:tcPr>
          <w:p w14:paraId="3C53646A"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11</w:t>
            </w:r>
          </w:p>
        </w:tc>
        <w:tc>
          <w:tcPr>
            <w:tcW w:w="0" w:type="auto"/>
            <w:shd w:val="clear" w:color="auto" w:fill="FFFFFF"/>
            <w:tcMar>
              <w:top w:w="0" w:type="dxa"/>
              <w:left w:w="0" w:type="dxa"/>
              <w:bottom w:w="0" w:type="dxa"/>
              <w:right w:w="0" w:type="dxa"/>
            </w:tcMar>
          </w:tcPr>
          <w:p w14:paraId="663FFC6A"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Describe what outcomes were used as the measure(s) of benefit(s) and harm(s).</w:t>
            </w:r>
          </w:p>
        </w:tc>
        <w:tc>
          <w:tcPr>
            <w:tcW w:w="0" w:type="auto"/>
            <w:tcBorders>
              <w:right w:val="single" w:sz="8" w:space="0" w:color="000000"/>
            </w:tcBorders>
            <w:shd w:val="clear" w:color="auto" w:fill="FFFFFF"/>
            <w:tcMar>
              <w:top w:w="0" w:type="dxa"/>
              <w:left w:w="0" w:type="dxa"/>
              <w:bottom w:w="0" w:type="dxa"/>
              <w:right w:w="0" w:type="dxa"/>
            </w:tcMar>
          </w:tcPr>
          <w:p w14:paraId="3FC35A68" w14:textId="6C9BE617" w:rsidR="00BE6ADB" w:rsidRPr="00BE6ADB" w:rsidRDefault="00E51B78"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analysis</w:t>
            </w:r>
            <w:r w:rsidR="00BE6ADB" w:rsidRPr="00BE6ADB">
              <w:rPr>
                <w:rFonts w:ascii="Times New Roman" w:eastAsia="DejaVu Sans" w:hAnsi="Times New Roman" w:cs="Times New Roman"/>
                <w:color w:val="000000"/>
                <w:sz w:val="20"/>
                <w:szCs w:val="20"/>
                <w:lang w:val="en-US"/>
              </w:rPr>
              <w:t>.</w:t>
            </w:r>
          </w:p>
        </w:tc>
      </w:tr>
      <w:tr w:rsidR="00503BD6" w:rsidRPr="00E7546E" w14:paraId="71734E29"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A42BF68"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Measurement of outcomes</w:t>
            </w:r>
          </w:p>
        </w:tc>
        <w:tc>
          <w:tcPr>
            <w:tcW w:w="0" w:type="auto"/>
            <w:shd w:val="clear" w:color="auto" w:fill="FFFFFF"/>
            <w:tcMar>
              <w:top w:w="0" w:type="dxa"/>
              <w:left w:w="0" w:type="dxa"/>
              <w:bottom w:w="0" w:type="dxa"/>
              <w:right w:w="0" w:type="dxa"/>
            </w:tcMar>
          </w:tcPr>
          <w:p w14:paraId="0DB5AE35"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12</w:t>
            </w:r>
          </w:p>
        </w:tc>
        <w:tc>
          <w:tcPr>
            <w:tcW w:w="0" w:type="auto"/>
            <w:shd w:val="clear" w:color="auto" w:fill="FFFFFF"/>
            <w:tcMar>
              <w:top w:w="0" w:type="dxa"/>
              <w:left w:w="0" w:type="dxa"/>
              <w:bottom w:w="0" w:type="dxa"/>
              <w:right w:w="0" w:type="dxa"/>
            </w:tcMar>
          </w:tcPr>
          <w:p w14:paraId="0DE8EE4A"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Describe how outcomes used to capture benefit(s) and harm(s) were measured.</w:t>
            </w:r>
          </w:p>
        </w:tc>
        <w:tc>
          <w:tcPr>
            <w:tcW w:w="0" w:type="auto"/>
            <w:tcBorders>
              <w:right w:val="single" w:sz="8" w:space="0" w:color="000000"/>
            </w:tcBorders>
            <w:shd w:val="clear" w:color="auto" w:fill="FFFFFF"/>
            <w:tcMar>
              <w:top w:w="0" w:type="dxa"/>
              <w:left w:w="0" w:type="dxa"/>
              <w:bottom w:w="0" w:type="dxa"/>
              <w:right w:w="0" w:type="dxa"/>
            </w:tcMar>
          </w:tcPr>
          <w:p w14:paraId="3C0A47DA" w14:textId="21DE5D49" w:rsidR="00BE6ADB" w:rsidRPr="00BE6ADB" w:rsidRDefault="009C5BFC"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analysis</w:t>
            </w:r>
            <w:r w:rsidR="00BE6ADB" w:rsidRPr="00BE6ADB">
              <w:rPr>
                <w:rFonts w:ascii="Times New Roman" w:eastAsia="DejaVu Sans" w:hAnsi="Times New Roman" w:cs="Times New Roman"/>
                <w:color w:val="000000"/>
                <w:sz w:val="20"/>
                <w:szCs w:val="20"/>
                <w:lang w:val="en-US"/>
              </w:rPr>
              <w:t>.</w:t>
            </w:r>
          </w:p>
        </w:tc>
      </w:tr>
      <w:tr w:rsidR="00503BD6" w:rsidRPr="00E7546E" w14:paraId="2297DAC5"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6F8A5E2C"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Valuation of outcomes</w:t>
            </w:r>
          </w:p>
        </w:tc>
        <w:tc>
          <w:tcPr>
            <w:tcW w:w="0" w:type="auto"/>
            <w:shd w:val="clear" w:color="auto" w:fill="FFFFFF"/>
            <w:tcMar>
              <w:top w:w="0" w:type="dxa"/>
              <w:left w:w="0" w:type="dxa"/>
              <w:bottom w:w="0" w:type="dxa"/>
              <w:right w:w="0" w:type="dxa"/>
            </w:tcMar>
          </w:tcPr>
          <w:p w14:paraId="2A4BB1C0"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13</w:t>
            </w:r>
          </w:p>
        </w:tc>
        <w:tc>
          <w:tcPr>
            <w:tcW w:w="0" w:type="auto"/>
            <w:shd w:val="clear" w:color="auto" w:fill="FFFFFF"/>
            <w:tcMar>
              <w:top w:w="0" w:type="dxa"/>
              <w:left w:w="0" w:type="dxa"/>
              <w:bottom w:w="0" w:type="dxa"/>
              <w:right w:w="0" w:type="dxa"/>
            </w:tcMar>
          </w:tcPr>
          <w:p w14:paraId="34EEDEA7"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Describe the population and methods used to measure and value outcomes.</w:t>
            </w:r>
          </w:p>
        </w:tc>
        <w:tc>
          <w:tcPr>
            <w:tcW w:w="0" w:type="auto"/>
            <w:tcBorders>
              <w:right w:val="single" w:sz="8" w:space="0" w:color="000000"/>
            </w:tcBorders>
            <w:shd w:val="clear" w:color="auto" w:fill="FFFFFF"/>
            <w:tcMar>
              <w:top w:w="0" w:type="dxa"/>
              <w:left w:w="0" w:type="dxa"/>
              <w:bottom w:w="0" w:type="dxa"/>
              <w:right w:w="0" w:type="dxa"/>
            </w:tcMar>
          </w:tcPr>
          <w:p w14:paraId="4AE08695" w14:textId="1ADAF8FD" w:rsidR="00BE6ADB" w:rsidRPr="00BE6ADB" w:rsidRDefault="00CF1D08"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 xml:space="preserve">Not applicable </w:t>
            </w:r>
          </w:p>
        </w:tc>
      </w:tr>
      <w:tr w:rsidR="00503BD6" w:rsidRPr="00E7546E" w14:paraId="5DA88B18"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6B08CD6"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Measurement and valuation of resources and costs</w:t>
            </w:r>
          </w:p>
        </w:tc>
        <w:tc>
          <w:tcPr>
            <w:tcW w:w="0" w:type="auto"/>
            <w:shd w:val="clear" w:color="auto" w:fill="FFFFFF"/>
            <w:tcMar>
              <w:top w:w="0" w:type="dxa"/>
              <w:left w:w="0" w:type="dxa"/>
              <w:bottom w:w="0" w:type="dxa"/>
              <w:right w:w="0" w:type="dxa"/>
            </w:tcMar>
          </w:tcPr>
          <w:p w14:paraId="2E17BC58"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14</w:t>
            </w:r>
          </w:p>
        </w:tc>
        <w:tc>
          <w:tcPr>
            <w:tcW w:w="0" w:type="auto"/>
            <w:shd w:val="clear" w:color="auto" w:fill="FFFFFF"/>
            <w:tcMar>
              <w:top w:w="0" w:type="dxa"/>
              <w:left w:w="0" w:type="dxa"/>
              <w:bottom w:w="0" w:type="dxa"/>
              <w:right w:w="0" w:type="dxa"/>
            </w:tcMar>
          </w:tcPr>
          <w:p w14:paraId="5FA14433"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Describe how costs were valued.</w:t>
            </w:r>
          </w:p>
        </w:tc>
        <w:tc>
          <w:tcPr>
            <w:tcW w:w="0" w:type="auto"/>
            <w:tcBorders>
              <w:right w:val="single" w:sz="8" w:space="0" w:color="000000"/>
            </w:tcBorders>
            <w:shd w:val="clear" w:color="auto" w:fill="FFFFFF"/>
            <w:tcMar>
              <w:top w:w="0" w:type="dxa"/>
              <w:left w:w="0" w:type="dxa"/>
              <w:bottom w:w="0" w:type="dxa"/>
              <w:right w:w="0" w:type="dxa"/>
            </w:tcMar>
          </w:tcPr>
          <w:p w14:paraId="48C23643" w14:textId="5A7F484B" w:rsidR="00BE6ADB" w:rsidRPr="00BE6ADB" w:rsidRDefault="009C5BFC"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parameters</w:t>
            </w:r>
            <w:r w:rsidR="00BE6ADB" w:rsidRPr="00BE6ADB">
              <w:rPr>
                <w:rFonts w:ascii="Times New Roman" w:eastAsia="DejaVu Sans" w:hAnsi="Times New Roman" w:cs="Times New Roman"/>
                <w:color w:val="000000"/>
                <w:sz w:val="20"/>
                <w:szCs w:val="20"/>
                <w:lang w:val="en-US"/>
              </w:rPr>
              <w:t>.</w:t>
            </w:r>
          </w:p>
        </w:tc>
      </w:tr>
      <w:tr w:rsidR="00503BD6" w:rsidRPr="00E7546E" w14:paraId="22C35B76"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5ED00FF"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Currency, price date, and conversion</w:t>
            </w:r>
          </w:p>
        </w:tc>
        <w:tc>
          <w:tcPr>
            <w:tcW w:w="0" w:type="auto"/>
            <w:shd w:val="clear" w:color="auto" w:fill="FFFFFF"/>
            <w:tcMar>
              <w:top w:w="0" w:type="dxa"/>
              <w:left w:w="0" w:type="dxa"/>
              <w:bottom w:w="0" w:type="dxa"/>
              <w:right w:w="0" w:type="dxa"/>
            </w:tcMar>
          </w:tcPr>
          <w:p w14:paraId="104BF1FC"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15</w:t>
            </w:r>
          </w:p>
        </w:tc>
        <w:tc>
          <w:tcPr>
            <w:tcW w:w="0" w:type="auto"/>
            <w:shd w:val="clear" w:color="auto" w:fill="FFFFFF"/>
            <w:tcMar>
              <w:top w:w="0" w:type="dxa"/>
              <w:left w:w="0" w:type="dxa"/>
              <w:bottom w:w="0" w:type="dxa"/>
              <w:right w:w="0" w:type="dxa"/>
            </w:tcMar>
          </w:tcPr>
          <w:p w14:paraId="4C8EFEA1"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Report the dates of the estimated resource quantities and unit costs, plus the currency and year of conversion.</w:t>
            </w:r>
          </w:p>
        </w:tc>
        <w:tc>
          <w:tcPr>
            <w:tcW w:w="0" w:type="auto"/>
            <w:tcBorders>
              <w:right w:val="single" w:sz="8" w:space="0" w:color="000000"/>
            </w:tcBorders>
            <w:shd w:val="clear" w:color="auto" w:fill="FFFFFF"/>
            <w:tcMar>
              <w:top w:w="0" w:type="dxa"/>
              <w:left w:w="0" w:type="dxa"/>
              <w:bottom w:w="0" w:type="dxa"/>
              <w:right w:w="0" w:type="dxa"/>
            </w:tcMar>
          </w:tcPr>
          <w:p w14:paraId="24CB352A" w14:textId="6FA9802C" w:rsidR="00BE6ADB" w:rsidRPr="00BE6ADB" w:rsidRDefault="009C5BFC"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parameters</w:t>
            </w:r>
            <w:r w:rsidR="00BE6ADB" w:rsidRPr="00BE6ADB">
              <w:rPr>
                <w:rFonts w:ascii="Times New Roman" w:eastAsia="DejaVu Sans" w:hAnsi="Times New Roman" w:cs="Times New Roman"/>
                <w:color w:val="000000"/>
                <w:sz w:val="20"/>
                <w:szCs w:val="20"/>
                <w:lang w:val="en-US"/>
              </w:rPr>
              <w:t>.</w:t>
            </w:r>
          </w:p>
        </w:tc>
      </w:tr>
      <w:tr w:rsidR="00503BD6" w:rsidRPr="00E7546E" w14:paraId="2080B970"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3B98711E"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Rationale and description of model</w:t>
            </w:r>
          </w:p>
        </w:tc>
        <w:tc>
          <w:tcPr>
            <w:tcW w:w="0" w:type="auto"/>
            <w:shd w:val="clear" w:color="auto" w:fill="FFFFFF"/>
            <w:tcMar>
              <w:top w:w="0" w:type="dxa"/>
              <w:left w:w="0" w:type="dxa"/>
              <w:bottom w:w="0" w:type="dxa"/>
              <w:right w:w="0" w:type="dxa"/>
            </w:tcMar>
          </w:tcPr>
          <w:p w14:paraId="62386F07"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16</w:t>
            </w:r>
          </w:p>
        </w:tc>
        <w:tc>
          <w:tcPr>
            <w:tcW w:w="0" w:type="auto"/>
            <w:shd w:val="clear" w:color="auto" w:fill="FFFFFF"/>
            <w:tcMar>
              <w:top w:w="0" w:type="dxa"/>
              <w:left w:w="0" w:type="dxa"/>
              <w:bottom w:w="0" w:type="dxa"/>
              <w:right w:w="0" w:type="dxa"/>
            </w:tcMar>
          </w:tcPr>
          <w:p w14:paraId="2A08454C"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 xml:space="preserve">If modelling is used, describe in </w:t>
            </w:r>
            <w:proofErr w:type="gramStart"/>
            <w:r w:rsidRPr="00BE6ADB">
              <w:rPr>
                <w:rFonts w:ascii="Times New Roman" w:eastAsia="DejaVu Sans" w:hAnsi="Times New Roman" w:cs="Times New Roman"/>
                <w:color w:val="000000"/>
                <w:sz w:val="20"/>
                <w:szCs w:val="20"/>
                <w:lang w:val="en-US"/>
              </w:rPr>
              <w:t>detail</w:t>
            </w:r>
            <w:proofErr w:type="gramEnd"/>
            <w:r w:rsidRPr="00BE6ADB">
              <w:rPr>
                <w:rFonts w:ascii="Times New Roman" w:eastAsia="DejaVu Sans" w:hAnsi="Times New Roman" w:cs="Times New Roman"/>
                <w:color w:val="000000"/>
                <w:sz w:val="20"/>
                <w:szCs w:val="20"/>
                <w:lang w:val="en-US"/>
              </w:rPr>
              <w:t xml:space="preserve"> and why </w:t>
            </w:r>
            <w:proofErr w:type="gramStart"/>
            <w:r w:rsidRPr="00BE6ADB">
              <w:rPr>
                <w:rFonts w:ascii="Times New Roman" w:eastAsia="DejaVu Sans" w:hAnsi="Times New Roman" w:cs="Times New Roman"/>
                <w:color w:val="000000"/>
                <w:sz w:val="20"/>
                <w:szCs w:val="20"/>
                <w:lang w:val="en-US"/>
              </w:rPr>
              <w:t>used</w:t>
            </w:r>
            <w:proofErr w:type="gramEnd"/>
            <w:r w:rsidRPr="00BE6ADB">
              <w:rPr>
                <w:rFonts w:ascii="Times New Roman" w:eastAsia="DejaVu Sans" w:hAnsi="Times New Roman" w:cs="Times New Roman"/>
                <w:color w:val="000000"/>
                <w:sz w:val="20"/>
                <w:szCs w:val="20"/>
                <w:lang w:val="en-US"/>
              </w:rPr>
              <w:t>. Report if the model is publicly available and where it can be accessed.</w:t>
            </w:r>
          </w:p>
        </w:tc>
        <w:tc>
          <w:tcPr>
            <w:tcW w:w="0" w:type="auto"/>
            <w:tcBorders>
              <w:right w:val="single" w:sz="8" w:space="0" w:color="000000"/>
            </w:tcBorders>
            <w:shd w:val="clear" w:color="auto" w:fill="FFFFFF"/>
            <w:tcMar>
              <w:top w:w="0" w:type="dxa"/>
              <w:left w:w="0" w:type="dxa"/>
              <w:bottom w:w="0" w:type="dxa"/>
              <w:right w:w="0" w:type="dxa"/>
            </w:tcMar>
          </w:tcPr>
          <w:p w14:paraId="1A5741B7" w14:textId="056A7D51" w:rsidR="00BE6ADB" w:rsidRPr="00BE6ADB" w:rsidRDefault="0046112E"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structure, Supplementary File 2</w:t>
            </w:r>
          </w:p>
        </w:tc>
      </w:tr>
      <w:tr w:rsidR="00503BD6" w:rsidRPr="00E7546E" w14:paraId="58116716"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556BAC2"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Analytics and assumptions</w:t>
            </w:r>
          </w:p>
        </w:tc>
        <w:tc>
          <w:tcPr>
            <w:tcW w:w="0" w:type="auto"/>
            <w:shd w:val="clear" w:color="auto" w:fill="FFFFFF"/>
            <w:tcMar>
              <w:top w:w="0" w:type="dxa"/>
              <w:left w:w="0" w:type="dxa"/>
              <w:bottom w:w="0" w:type="dxa"/>
              <w:right w:w="0" w:type="dxa"/>
            </w:tcMar>
          </w:tcPr>
          <w:p w14:paraId="6B475960"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17</w:t>
            </w:r>
          </w:p>
        </w:tc>
        <w:tc>
          <w:tcPr>
            <w:tcW w:w="0" w:type="auto"/>
            <w:shd w:val="clear" w:color="auto" w:fill="FFFFFF"/>
            <w:tcMar>
              <w:top w:w="0" w:type="dxa"/>
              <w:left w:w="0" w:type="dxa"/>
              <w:bottom w:w="0" w:type="dxa"/>
              <w:right w:w="0" w:type="dxa"/>
            </w:tcMar>
          </w:tcPr>
          <w:p w14:paraId="2B3C9ADB"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 xml:space="preserve">Describe any methods for </w:t>
            </w:r>
            <w:proofErr w:type="spellStart"/>
            <w:r w:rsidRPr="00BE6ADB">
              <w:rPr>
                <w:rFonts w:ascii="Times New Roman" w:eastAsia="DejaVu Sans" w:hAnsi="Times New Roman" w:cs="Times New Roman"/>
                <w:color w:val="000000"/>
                <w:sz w:val="20"/>
                <w:szCs w:val="20"/>
                <w:lang w:val="en-US"/>
              </w:rPr>
              <w:t>analysing</w:t>
            </w:r>
            <w:proofErr w:type="spellEnd"/>
            <w:r w:rsidRPr="00BE6ADB">
              <w:rPr>
                <w:rFonts w:ascii="Times New Roman" w:eastAsia="DejaVu Sans" w:hAnsi="Times New Roman" w:cs="Times New Roman"/>
                <w:color w:val="000000"/>
                <w:sz w:val="20"/>
                <w:szCs w:val="20"/>
                <w:lang w:val="en-US"/>
              </w:rPr>
              <w:t xml:space="preserve"> or statistically transforming data, any extrapolation methods, and approaches for validating any model used.</w:t>
            </w:r>
          </w:p>
        </w:tc>
        <w:tc>
          <w:tcPr>
            <w:tcW w:w="0" w:type="auto"/>
            <w:tcBorders>
              <w:right w:val="single" w:sz="8" w:space="0" w:color="000000"/>
            </w:tcBorders>
            <w:shd w:val="clear" w:color="auto" w:fill="FFFFFF"/>
            <w:tcMar>
              <w:top w:w="0" w:type="dxa"/>
              <w:left w:w="0" w:type="dxa"/>
              <w:bottom w:w="0" w:type="dxa"/>
              <w:right w:w="0" w:type="dxa"/>
            </w:tcMar>
          </w:tcPr>
          <w:p w14:paraId="4F0D9B73" w14:textId="4393CD4A" w:rsidR="00BE6ADB" w:rsidRPr="00BE6ADB" w:rsidRDefault="0046112E"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assumptions</w:t>
            </w:r>
            <w:r w:rsidR="00BE6ADB" w:rsidRPr="00BE6ADB">
              <w:rPr>
                <w:rFonts w:ascii="Times New Roman" w:eastAsia="DejaVu Sans" w:hAnsi="Times New Roman" w:cs="Times New Roman"/>
                <w:color w:val="000000"/>
                <w:sz w:val="20"/>
                <w:szCs w:val="20"/>
                <w:lang w:val="en-US"/>
              </w:rPr>
              <w:t>.</w:t>
            </w:r>
          </w:p>
        </w:tc>
      </w:tr>
      <w:tr w:rsidR="00503BD6" w:rsidRPr="00E7546E" w14:paraId="01ECC332"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EACAECE"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roofErr w:type="spellStart"/>
            <w:r w:rsidRPr="00BE6ADB">
              <w:rPr>
                <w:rFonts w:ascii="Times New Roman" w:eastAsia="DejaVu Sans" w:hAnsi="Times New Roman" w:cs="Times New Roman"/>
                <w:b/>
                <w:color w:val="000000"/>
                <w:sz w:val="20"/>
                <w:szCs w:val="20"/>
                <w:lang w:val="en-US"/>
              </w:rPr>
              <w:t>Characterising</w:t>
            </w:r>
            <w:proofErr w:type="spellEnd"/>
            <w:r w:rsidRPr="00BE6ADB">
              <w:rPr>
                <w:rFonts w:ascii="Times New Roman" w:eastAsia="DejaVu Sans" w:hAnsi="Times New Roman" w:cs="Times New Roman"/>
                <w:b/>
                <w:color w:val="000000"/>
                <w:sz w:val="20"/>
                <w:szCs w:val="20"/>
                <w:lang w:val="en-US"/>
              </w:rPr>
              <w:t xml:space="preserve"> heterogeneity</w:t>
            </w:r>
          </w:p>
        </w:tc>
        <w:tc>
          <w:tcPr>
            <w:tcW w:w="0" w:type="auto"/>
            <w:shd w:val="clear" w:color="auto" w:fill="FFFFFF"/>
            <w:tcMar>
              <w:top w:w="0" w:type="dxa"/>
              <w:left w:w="0" w:type="dxa"/>
              <w:bottom w:w="0" w:type="dxa"/>
              <w:right w:w="0" w:type="dxa"/>
            </w:tcMar>
          </w:tcPr>
          <w:p w14:paraId="31BAD952"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18</w:t>
            </w:r>
          </w:p>
        </w:tc>
        <w:tc>
          <w:tcPr>
            <w:tcW w:w="0" w:type="auto"/>
            <w:shd w:val="clear" w:color="auto" w:fill="FFFFFF"/>
            <w:tcMar>
              <w:top w:w="0" w:type="dxa"/>
              <w:left w:w="0" w:type="dxa"/>
              <w:bottom w:w="0" w:type="dxa"/>
              <w:right w:w="0" w:type="dxa"/>
            </w:tcMar>
          </w:tcPr>
          <w:p w14:paraId="682FF960"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Describe any methods used for estimating how the results of the study vary for subgroups.</w:t>
            </w:r>
          </w:p>
        </w:tc>
        <w:tc>
          <w:tcPr>
            <w:tcW w:w="0" w:type="auto"/>
            <w:tcBorders>
              <w:right w:val="single" w:sz="8" w:space="0" w:color="000000"/>
            </w:tcBorders>
            <w:shd w:val="clear" w:color="auto" w:fill="FFFFFF"/>
            <w:tcMar>
              <w:top w:w="0" w:type="dxa"/>
              <w:left w:w="0" w:type="dxa"/>
              <w:bottom w:w="0" w:type="dxa"/>
              <w:right w:w="0" w:type="dxa"/>
            </w:tcMar>
          </w:tcPr>
          <w:p w14:paraId="137EC8DF"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Not applicable</w:t>
            </w:r>
          </w:p>
        </w:tc>
      </w:tr>
      <w:tr w:rsidR="00503BD6" w:rsidRPr="00E7546E" w14:paraId="7A26FF46"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30900C5"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roofErr w:type="spellStart"/>
            <w:r w:rsidRPr="00BE6ADB">
              <w:rPr>
                <w:rFonts w:ascii="Times New Roman" w:eastAsia="DejaVu Sans" w:hAnsi="Times New Roman" w:cs="Times New Roman"/>
                <w:b/>
                <w:color w:val="000000"/>
                <w:sz w:val="20"/>
                <w:szCs w:val="20"/>
                <w:lang w:val="en-US"/>
              </w:rPr>
              <w:t>Characterising</w:t>
            </w:r>
            <w:proofErr w:type="spellEnd"/>
            <w:r w:rsidRPr="00BE6ADB">
              <w:rPr>
                <w:rFonts w:ascii="Times New Roman" w:eastAsia="DejaVu Sans" w:hAnsi="Times New Roman" w:cs="Times New Roman"/>
                <w:b/>
                <w:color w:val="000000"/>
                <w:sz w:val="20"/>
                <w:szCs w:val="20"/>
                <w:lang w:val="en-US"/>
              </w:rPr>
              <w:t xml:space="preserve"> distributional effects</w:t>
            </w:r>
          </w:p>
        </w:tc>
        <w:tc>
          <w:tcPr>
            <w:tcW w:w="0" w:type="auto"/>
            <w:shd w:val="clear" w:color="auto" w:fill="FFFFFF"/>
            <w:tcMar>
              <w:top w:w="0" w:type="dxa"/>
              <w:left w:w="0" w:type="dxa"/>
              <w:bottom w:w="0" w:type="dxa"/>
              <w:right w:w="0" w:type="dxa"/>
            </w:tcMar>
          </w:tcPr>
          <w:p w14:paraId="3B6F7AD5"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19</w:t>
            </w:r>
          </w:p>
        </w:tc>
        <w:tc>
          <w:tcPr>
            <w:tcW w:w="0" w:type="auto"/>
            <w:shd w:val="clear" w:color="auto" w:fill="FFFFFF"/>
            <w:tcMar>
              <w:top w:w="0" w:type="dxa"/>
              <w:left w:w="0" w:type="dxa"/>
              <w:bottom w:w="0" w:type="dxa"/>
              <w:right w:w="0" w:type="dxa"/>
            </w:tcMar>
          </w:tcPr>
          <w:p w14:paraId="3EC81220"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Describe how impacts are distributed across different individuals or adjustments made to reflect priority populations.</w:t>
            </w:r>
          </w:p>
        </w:tc>
        <w:tc>
          <w:tcPr>
            <w:tcW w:w="0" w:type="auto"/>
            <w:tcBorders>
              <w:right w:val="single" w:sz="8" w:space="0" w:color="000000"/>
            </w:tcBorders>
            <w:shd w:val="clear" w:color="auto" w:fill="FFFFFF"/>
            <w:tcMar>
              <w:top w:w="0" w:type="dxa"/>
              <w:left w:w="0" w:type="dxa"/>
              <w:bottom w:w="0" w:type="dxa"/>
              <w:right w:w="0" w:type="dxa"/>
            </w:tcMar>
          </w:tcPr>
          <w:p w14:paraId="1C6C19D0"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Not applicable</w:t>
            </w:r>
          </w:p>
        </w:tc>
      </w:tr>
      <w:tr w:rsidR="00503BD6" w:rsidRPr="00E7546E" w14:paraId="635A6E3A"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451C21E8"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roofErr w:type="spellStart"/>
            <w:r w:rsidRPr="00BE6ADB">
              <w:rPr>
                <w:rFonts w:ascii="Times New Roman" w:eastAsia="DejaVu Sans" w:hAnsi="Times New Roman" w:cs="Times New Roman"/>
                <w:b/>
                <w:color w:val="000000"/>
                <w:sz w:val="20"/>
                <w:szCs w:val="20"/>
                <w:lang w:val="en-US"/>
              </w:rPr>
              <w:t>Characterising</w:t>
            </w:r>
            <w:proofErr w:type="spellEnd"/>
            <w:r w:rsidRPr="00BE6ADB">
              <w:rPr>
                <w:rFonts w:ascii="Times New Roman" w:eastAsia="DejaVu Sans" w:hAnsi="Times New Roman" w:cs="Times New Roman"/>
                <w:b/>
                <w:color w:val="000000"/>
                <w:sz w:val="20"/>
                <w:szCs w:val="20"/>
                <w:lang w:val="en-US"/>
              </w:rPr>
              <w:t xml:space="preserve"> uncertainty</w:t>
            </w:r>
          </w:p>
        </w:tc>
        <w:tc>
          <w:tcPr>
            <w:tcW w:w="0" w:type="auto"/>
            <w:shd w:val="clear" w:color="auto" w:fill="FFFFFF"/>
            <w:tcMar>
              <w:top w:w="0" w:type="dxa"/>
              <w:left w:w="0" w:type="dxa"/>
              <w:bottom w:w="0" w:type="dxa"/>
              <w:right w:w="0" w:type="dxa"/>
            </w:tcMar>
          </w:tcPr>
          <w:p w14:paraId="634D9653"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20</w:t>
            </w:r>
          </w:p>
        </w:tc>
        <w:tc>
          <w:tcPr>
            <w:tcW w:w="0" w:type="auto"/>
            <w:shd w:val="clear" w:color="auto" w:fill="FFFFFF"/>
            <w:tcMar>
              <w:top w:w="0" w:type="dxa"/>
              <w:left w:w="0" w:type="dxa"/>
              <w:bottom w:w="0" w:type="dxa"/>
              <w:right w:w="0" w:type="dxa"/>
            </w:tcMar>
          </w:tcPr>
          <w:p w14:paraId="328CCE36"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 xml:space="preserve">Describe methods to </w:t>
            </w:r>
            <w:proofErr w:type="spellStart"/>
            <w:r w:rsidRPr="00BE6ADB">
              <w:rPr>
                <w:rFonts w:ascii="Times New Roman" w:eastAsia="DejaVu Sans" w:hAnsi="Times New Roman" w:cs="Times New Roman"/>
                <w:color w:val="000000"/>
                <w:sz w:val="20"/>
                <w:szCs w:val="20"/>
                <w:lang w:val="en-US"/>
              </w:rPr>
              <w:t>characterise</w:t>
            </w:r>
            <w:proofErr w:type="spellEnd"/>
            <w:r w:rsidRPr="00BE6ADB">
              <w:rPr>
                <w:rFonts w:ascii="Times New Roman" w:eastAsia="DejaVu Sans" w:hAnsi="Times New Roman" w:cs="Times New Roman"/>
                <w:color w:val="000000"/>
                <w:sz w:val="20"/>
                <w:szCs w:val="20"/>
                <w:lang w:val="en-US"/>
              </w:rPr>
              <w:t xml:space="preserve"> any sources of uncertainty in the analysis.</w:t>
            </w:r>
          </w:p>
        </w:tc>
        <w:tc>
          <w:tcPr>
            <w:tcW w:w="0" w:type="auto"/>
            <w:tcBorders>
              <w:right w:val="single" w:sz="8" w:space="0" w:color="000000"/>
            </w:tcBorders>
            <w:shd w:val="clear" w:color="auto" w:fill="FFFFFF"/>
            <w:tcMar>
              <w:top w:w="0" w:type="dxa"/>
              <w:left w:w="0" w:type="dxa"/>
              <w:bottom w:w="0" w:type="dxa"/>
              <w:right w:w="0" w:type="dxa"/>
            </w:tcMar>
          </w:tcPr>
          <w:p w14:paraId="5ECFC236" w14:textId="3A573738" w:rsidR="00BE6ADB" w:rsidRPr="00BE6ADB" w:rsidRDefault="001A21ED"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analysis</w:t>
            </w:r>
          </w:p>
        </w:tc>
      </w:tr>
      <w:tr w:rsidR="00503BD6" w:rsidRPr="00E7546E" w14:paraId="744BE7CD"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1F439465"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Approach to engagement with patients and others affected by the study</w:t>
            </w:r>
          </w:p>
        </w:tc>
        <w:tc>
          <w:tcPr>
            <w:tcW w:w="0" w:type="auto"/>
            <w:shd w:val="clear" w:color="auto" w:fill="FFFFFF"/>
            <w:tcMar>
              <w:top w:w="0" w:type="dxa"/>
              <w:left w:w="0" w:type="dxa"/>
              <w:bottom w:w="0" w:type="dxa"/>
              <w:right w:w="0" w:type="dxa"/>
            </w:tcMar>
          </w:tcPr>
          <w:p w14:paraId="7EA09AB0"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21</w:t>
            </w:r>
          </w:p>
        </w:tc>
        <w:tc>
          <w:tcPr>
            <w:tcW w:w="0" w:type="auto"/>
            <w:shd w:val="clear" w:color="auto" w:fill="FFFFFF"/>
            <w:tcMar>
              <w:top w:w="0" w:type="dxa"/>
              <w:left w:w="0" w:type="dxa"/>
              <w:bottom w:w="0" w:type="dxa"/>
              <w:right w:w="0" w:type="dxa"/>
            </w:tcMar>
          </w:tcPr>
          <w:p w14:paraId="725B5463"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 xml:space="preserve">Describe any approaches to engage patients or service recipients, the </w:t>
            </w:r>
            <w:proofErr w:type="gramStart"/>
            <w:r w:rsidRPr="00BE6ADB">
              <w:rPr>
                <w:rFonts w:ascii="Times New Roman" w:eastAsia="DejaVu Sans" w:hAnsi="Times New Roman" w:cs="Times New Roman"/>
                <w:color w:val="000000"/>
                <w:sz w:val="20"/>
                <w:szCs w:val="20"/>
                <w:lang w:val="en-US"/>
              </w:rPr>
              <w:t>general public</w:t>
            </w:r>
            <w:proofErr w:type="gramEnd"/>
            <w:r w:rsidRPr="00BE6ADB">
              <w:rPr>
                <w:rFonts w:ascii="Times New Roman" w:eastAsia="DejaVu Sans" w:hAnsi="Times New Roman" w:cs="Times New Roman"/>
                <w:color w:val="000000"/>
                <w:sz w:val="20"/>
                <w:szCs w:val="20"/>
                <w:lang w:val="en-US"/>
              </w:rPr>
              <w:t>, communities, or stakeholders (such as clinicians or payers) in the design of the study.</w:t>
            </w:r>
          </w:p>
        </w:tc>
        <w:tc>
          <w:tcPr>
            <w:tcW w:w="0" w:type="auto"/>
            <w:tcBorders>
              <w:right w:val="single" w:sz="8" w:space="0" w:color="000000"/>
            </w:tcBorders>
            <w:shd w:val="clear" w:color="auto" w:fill="FFFFFF"/>
            <w:tcMar>
              <w:top w:w="0" w:type="dxa"/>
              <w:left w:w="0" w:type="dxa"/>
              <w:bottom w:w="0" w:type="dxa"/>
              <w:right w:w="0" w:type="dxa"/>
            </w:tcMar>
          </w:tcPr>
          <w:p w14:paraId="34C13CF2" w14:textId="738E17FC" w:rsidR="00BE6ADB" w:rsidRPr="00BE6ADB" w:rsidRDefault="001A21ED"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Model structure</w:t>
            </w:r>
            <w:r w:rsidR="00BE6ADB" w:rsidRPr="00BE6ADB">
              <w:rPr>
                <w:rFonts w:ascii="Times New Roman" w:eastAsia="DejaVu Sans" w:hAnsi="Times New Roman" w:cs="Times New Roman"/>
                <w:color w:val="000000"/>
                <w:sz w:val="20"/>
                <w:szCs w:val="20"/>
                <w:lang w:val="en-US"/>
              </w:rPr>
              <w:t>.</w:t>
            </w:r>
          </w:p>
        </w:tc>
      </w:tr>
      <w:tr w:rsidR="00503BD6" w:rsidRPr="00E7546E" w14:paraId="4F184D1D" w14:textId="77777777" w:rsidTr="00A01C6C">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1F08A626"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Results</w:t>
            </w:r>
          </w:p>
        </w:tc>
        <w:tc>
          <w:tcPr>
            <w:tcW w:w="0" w:type="auto"/>
            <w:shd w:val="clear" w:color="auto" w:fill="FFFFCC"/>
            <w:tcMar>
              <w:top w:w="0" w:type="dxa"/>
              <w:left w:w="0" w:type="dxa"/>
              <w:bottom w:w="0" w:type="dxa"/>
              <w:right w:w="0" w:type="dxa"/>
            </w:tcMar>
          </w:tcPr>
          <w:p w14:paraId="29DAD141"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c>
          <w:tcPr>
            <w:tcW w:w="0" w:type="auto"/>
            <w:shd w:val="clear" w:color="auto" w:fill="FFFFCC"/>
            <w:tcMar>
              <w:top w:w="0" w:type="dxa"/>
              <w:left w:w="0" w:type="dxa"/>
              <w:bottom w:w="0" w:type="dxa"/>
              <w:right w:w="0" w:type="dxa"/>
            </w:tcMar>
          </w:tcPr>
          <w:p w14:paraId="4A9A6F19"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
        </w:tc>
        <w:tc>
          <w:tcPr>
            <w:tcW w:w="0" w:type="auto"/>
            <w:tcBorders>
              <w:right w:val="single" w:sz="8" w:space="0" w:color="000000"/>
            </w:tcBorders>
            <w:shd w:val="clear" w:color="auto" w:fill="FFFFCC"/>
            <w:tcMar>
              <w:top w:w="0" w:type="dxa"/>
              <w:left w:w="0" w:type="dxa"/>
              <w:bottom w:w="0" w:type="dxa"/>
              <w:right w:w="0" w:type="dxa"/>
            </w:tcMar>
          </w:tcPr>
          <w:p w14:paraId="21A4ECAC"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r>
      <w:tr w:rsidR="00503BD6" w:rsidRPr="00E7546E" w14:paraId="4199077D"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72532813"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Study parameters</w:t>
            </w:r>
          </w:p>
        </w:tc>
        <w:tc>
          <w:tcPr>
            <w:tcW w:w="0" w:type="auto"/>
            <w:shd w:val="clear" w:color="auto" w:fill="FFFFFF"/>
            <w:tcMar>
              <w:top w:w="0" w:type="dxa"/>
              <w:left w:w="0" w:type="dxa"/>
              <w:bottom w:w="0" w:type="dxa"/>
              <w:right w:w="0" w:type="dxa"/>
            </w:tcMar>
          </w:tcPr>
          <w:p w14:paraId="7B35593C"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22</w:t>
            </w:r>
          </w:p>
        </w:tc>
        <w:tc>
          <w:tcPr>
            <w:tcW w:w="0" w:type="auto"/>
            <w:shd w:val="clear" w:color="auto" w:fill="FFFFFF"/>
            <w:tcMar>
              <w:top w:w="0" w:type="dxa"/>
              <w:left w:w="0" w:type="dxa"/>
              <w:bottom w:w="0" w:type="dxa"/>
              <w:right w:w="0" w:type="dxa"/>
            </w:tcMar>
          </w:tcPr>
          <w:p w14:paraId="48AD4836"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Report all analytic inputs (such as values, ranges, references) including uncertainty or distributional assumptions.</w:t>
            </w:r>
          </w:p>
        </w:tc>
        <w:tc>
          <w:tcPr>
            <w:tcW w:w="0" w:type="auto"/>
            <w:tcBorders>
              <w:right w:val="single" w:sz="8" w:space="0" w:color="000000"/>
            </w:tcBorders>
            <w:shd w:val="clear" w:color="auto" w:fill="FFFFFF"/>
            <w:tcMar>
              <w:top w:w="0" w:type="dxa"/>
              <w:left w:w="0" w:type="dxa"/>
              <w:bottom w:w="0" w:type="dxa"/>
              <w:right w:w="0" w:type="dxa"/>
            </w:tcMar>
          </w:tcPr>
          <w:p w14:paraId="3AB80B5F" w14:textId="70948BD4" w:rsidR="00BE6ADB" w:rsidRPr="00BE6ADB" w:rsidRDefault="002531AF"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Table 1</w:t>
            </w:r>
          </w:p>
        </w:tc>
      </w:tr>
      <w:tr w:rsidR="00503BD6" w:rsidRPr="00E7546E" w14:paraId="0F0877A3"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26C1274B"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Summary of main results</w:t>
            </w:r>
          </w:p>
        </w:tc>
        <w:tc>
          <w:tcPr>
            <w:tcW w:w="0" w:type="auto"/>
            <w:shd w:val="clear" w:color="auto" w:fill="FFFFFF"/>
            <w:tcMar>
              <w:top w:w="0" w:type="dxa"/>
              <w:left w:w="0" w:type="dxa"/>
              <w:bottom w:w="0" w:type="dxa"/>
              <w:right w:w="0" w:type="dxa"/>
            </w:tcMar>
          </w:tcPr>
          <w:p w14:paraId="5B0D3CC4"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23</w:t>
            </w:r>
          </w:p>
        </w:tc>
        <w:tc>
          <w:tcPr>
            <w:tcW w:w="0" w:type="auto"/>
            <w:shd w:val="clear" w:color="auto" w:fill="FFFFFF"/>
            <w:tcMar>
              <w:top w:w="0" w:type="dxa"/>
              <w:left w:w="0" w:type="dxa"/>
              <w:bottom w:w="0" w:type="dxa"/>
              <w:right w:w="0" w:type="dxa"/>
            </w:tcMar>
          </w:tcPr>
          <w:p w14:paraId="25E100D9"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 xml:space="preserve">Report the mean values for the main categories of costs and outcomes of interest and </w:t>
            </w:r>
            <w:proofErr w:type="spellStart"/>
            <w:r w:rsidRPr="00BE6ADB">
              <w:rPr>
                <w:rFonts w:ascii="Times New Roman" w:eastAsia="DejaVu Sans" w:hAnsi="Times New Roman" w:cs="Times New Roman"/>
                <w:color w:val="000000"/>
                <w:sz w:val="20"/>
                <w:szCs w:val="20"/>
                <w:lang w:val="en-US"/>
              </w:rPr>
              <w:t>summarise</w:t>
            </w:r>
            <w:proofErr w:type="spellEnd"/>
            <w:r w:rsidRPr="00BE6ADB">
              <w:rPr>
                <w:rFonts w:ascii="Times New Roman" w:eastAsia="DejaVu Sans" w:hAnsi="Times New Roman" w:cs="Times New Roman"/>
                <w:color w:val="000000"/>
                <w:sz w:val="20"/>
                <w:szCs w:val="20"/>
                <w:lang w:val="en-US"/>
              </w:rPr>
              <w:t xml:space="preserve"> them in the most appropriate overall measure.</w:t>
            </w:r>
          </w:p>
        </w:tc>
        <w:tc>
          <w:tcPr>
            <w:tcW w:w="0" w:type="auto"/>
            <w:tcBorders>
              <w:right w:val="single" w:sz="8" w:space="0" w:color="000000"/>
            </w:tcBorders>
            <w:shd w:val="clear" w:color="auto" w:fill="FFFFFF"/>
            <w:tcMar>
              <w:top w:w="0" w:type="dxa"/>
              <w:left w:w="0" w:type="dxa"/>
              <w:bottom w:w="0" w:type="dxa"/>
              <w:right w:w="0" w:type="dxa"/>
            </w:tcMar>
          </w:tcPr>
          <w:p w14:paraId="43EA4FE9" w14:textId="7072BC31" w:rsidR="00BE6ADB" w:rsidRPr="00BE6ADB" w:rsidRDefault="002531AF"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Results</w:t>
            </w:r>
          </w:p>
        </w:tc>
      </w:tr>
      <w:tr w:rsidR="00503BD6" w:rsidRPr="00E7546E" w14:paraId="4306289D"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2E26176"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lastRenderedPageBreak/>
              <w:t>Effect of uncertainty</w:t>
            </w:r>
          </w:p>
        </w:tc>
        <w:tc>
          <w:tcPr>
            <w:tcW w:w="0" w:type="auto"/>
            <w:shd w:val="clear" w:color="auto" w:fill="FFFFFF"/>
            <w:tcMar>
              <w:top w:w="0" w:type="dxa"/>
              <w:left w:w="0" w:type="dxa"/>
              <w:bottom w:w="0" w:type="dxa"/>
              <w:right w:w="0" w:type="dxa"/>
            </w:tcMar>
          </w:tcPr>
          <w:p w14:paraId="51C1BD04"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24</w:t>
            </w:r>
          </w:p>
        </w:tc>
        <w:tc>
          <w:tcPr>
            <w:tcW w:w="0" w:type="auto"/>
            <w:shd w:val="clear" w:color="auto" w:fill="FFFFFF"/>
            <w:tcMar>
              <w:top w:w="0" w:type="dxa"/>
              <w:left w:w="0" w:type="dxa"/>
              <w:bottom w:w="0" w:type="dxa"/>
              <w:right w:w="0" w:type="dxa"/>
            </w:tcMar>
          </w:tcPr>
          <w:p w14:paraId="107D116E"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Describe how uncertainty about analytic judgments, inputs, or projections affect findings. Report the effect of choice of discount rate and time horizon, if applicable.</w:t>
            </w:r>
          </w:p>
        </w:tc>
        <w:tc>
          <w:tcPr>
            <w:tcW w:w="0" w:type="auto"/>
            <w:tcBorders>
              <w:right w:val="single" w:sz="8" w:space="0" w:color="000000"/>
            </w:tcBorders>
            <w:shd w:val="clear" w:color="auto" w:fill="FFFFFF"/>
            <w:tcMar>
              <w:top w:w="0" w:type="dxa"/>
              <w:left w:w="0" w:type="dxa"/>
              <w:bottom w:w="0" w:type="dxa"/>
              <w:right w:w="0" w:type="dxa"/>
            </w:tcMar>
          </w:tcPr>
          <w:p w14:paraId="29126DAC" w14:textId="18842A68" w:rsidR="00BE6ADB" w:rsidRPr="00BE6ADB" w:rsidRDefault="002531AF"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Results</w:t>
            </w:r>
          </w:p>
        </w:tc>
      </w:tr>
      <w:tr w:rsidR="00503BD6" w:rsidRPr="00E7546E" w14:paraId="748DB2B5"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E50F3AA"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Effect of engagement with patients and others affected by the study</w:t>
            </w:r>
          </w:p>
        </w:tc>
        <w:tc>
          <w:tcPr>
            <w:tcW w:w="0" w:type="auto"/>
            <w:shd w:val="clear" w:color="auto" w:fill="FFFFFF"/>
            <w:tcMar>
              <w:top w:w="0" w:type="dxa"/>
              <w:left w:w="0" w:type="dxa"/>
              <w:bottom w:w="0" w:type="dxa"/>
              <w:right w:w="0" w:type="dxa"/>
            </w:tcMar>
          </w:tcPr>
          <w:p w14:paraId="62A0986C"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25</w:t>
            </w:r>
          </w:p>
        </w:tc>
        <w:tc>
          <w:tcPr>
            <w:tcW w:w="0" w:type="auto"/>
            <w:shd w:val="clear" w:color="auto" w:fill="FFFFFF"/>
            <w:tcMar>
              <w:top w:w="0" w:type="dxa"/>
              <w:left w:w="0" w:type="dxa"/>
              <w:bottom w:w="0" w:type="dxa"/>
              <w:right w:w="0" w:type="dxa"/>
            </w:tcMar>
          </w:tcPr>
          <w:p w14:paraId="46045501"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 xml:space="preserve">Report on any difference patient/service recipient, </w:t>
            </w:r>
            <w:proofErr w:type="gramStart"/>
            <w:r w:rsidRPr="00BE6ADB">
              <w:rPr>
                <w:rFonts w:ascii="Times New Roman" w:eastAsia="DejaVu Sans" w:hAnsi="Times New Roman" w:cs="Times New Roman"/>
                <w:color w:val="000000"/>
                <w:sz w:val="20"/>
                <w:szCs w:val="20"/>
                <w:lang w:val="en-US"/>
              </w:rPr>
              <w:t>general public</w:t>
            </w:r>
            <w:proofErr w:type="gramEnd"/>
            <w:r w:rsidRPr="00BE6ADB">
              <w:rPr>
                <w:rFonts w:ascii="Times New Roman" w:eastAsia="DejaVu Sans" w:hAnsi="Times New Roman" w:cs="Times New Roman"/>
                <w:color w:val="000000"/>
                <w:sz w:val="20"/>
                <w:szCs w:val="20"/>
                <w:lang w:val="en-US"/>
              </w:rPr>
              <w:t>, community, or stakeholder involvement made to the approach or findings of the study</w:t>
            </w:r>
          </w:p>
        </w:tc>
        <w:tc>
          <w:tcPr>
            <w:tcW w:w="0" w:type="auto"/>
            <w:tcBorders>
              <w:right w:val="single" w:sz="8" w:space="0" w:color="000000"/>
            </w:tcBorders>
            <w:shd w:val="clear" w:color="auto" w:fill="FFFFFF"/>
            <w:tcMar>
              <w:top w:w="0" w:type="dxa"/>
              <w:left w:w="0" w:type="dxa"/>
              <w:bottom w:w="0" w:type="dxa"/>
              <w:right w:w="0" w:type="dxa"/>
            </w:tcMar>
          </w:tcPr>
          <w:p w14:paraId="2F3DE52D"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Not applicable</w:t>
            </w:r>
          </w:p>
        </w:tc>
      </w:tr>
      <w:tr w:rsidR="00503BD6" w:rsidRPr="00E7546E" w14:paraId="700718CE" w14:textId="77777777" w:rsidTr="00A01C6C">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7B0DAEE7"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Discussion</w:t>
            </w:r>
          </w:p>
        </w:tc>
        <w:tc>
          <w:tcPr>
            <w:tcW w:w="0" w:type="auto"/>
            <w:shd w:val="clear" w:color="auto" w:fill="FFFFCC"/>
            <w:tcMar>
              <w:top w:w="0" w:type="dxa"/>
              <w:left w:w="0" w:type="dxa"/>
              <w:bottom w:w="0" w:type="dxa"/>
              <w:right w:w="0" w:type="dxa"/>
            </w:tcMar>
          </w:tcPr>
          <w:p w14:paraId="56FBDC83"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c>
          <w:tcPr>
            <w:tcW w:w="0" w:type="auto"/>
            <w:shd w:val="clear" w:color="auto" w:fill="FFFFCC"/>
            <w:tcMar>
              <w:top w:w="0" w:type="dxa"/>
              <w:left w:w="0" w:type="dxa"/>
              <w:bottom w:w="0" w:type="dxa"/>
              <w:right w:w="0" w:type="dxa"/>
            </w:tcMar>
          </w:tcPr>
          <w:p w14:paraId="17476C87"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p>
        </w:tc>
        <w:tc>
          <w:tcPr>
            <w:tcW w:w="0" w:type="auto"/>
            <w:tcBorders>
              <w:right w:val="single" w:sz="8" w:space="0" w:color="000000"/>
            </w:tcBorders>
            <w:shd w:val="clear" w:color="auto" w:fill="FFFFCC"/>
            <w:tcMar>
              <w:top w:w="0" w:type="dxa"/>
              <w:left w:w="0" w:type="dxa"/>
              <w:bottom w:w="0" w:type="dxa"/>
              <w:right w:w="0" w:type="dxa"/>
            </w:tcMar>
          </w:tcPr>
          <w:p w14:paraId="2A1B2FD7"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p>
        </w:tc>
      </w:tr>
      <w:tr w:rsidR="00503BD6" w:rsidRPr="00E7546E" w14:paraId="10E08A34"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5B4F7E89"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b/>
                <w:color w:val="000000"/>
                <w:sz w:val="20"/>
                <w:szCs w:val="20"/>
                <w:lang w:val="en-US"/>
              </w:rPr>
              <w:t xml:space="preserve">Study findings, limitations, </w:t>
            </w:r>
            <w:proofErr w:type="spellStart"/>
            <w:r w:rsidRPr="00BE6ADB">
              <w:rPr>
                <w:rFonts w:ascii="Times New Roman" w:eastAsia="DejaVu Sans" w:hAnsi="Times New Roman" w:cs="Times New Roman"/>
                <w:b/>
                <w:color w:val="000000"/>
                <w:sz w:val="20"/>
                <w:szCs w:val="20"/>
                <w:lang w:val="en-US"/>
              </w:rPr>
              <w:t>generalisability</w:t>
            </w:r>
            <w:proofErr w:type="spellEnd"/>
            <w:r w:rsidRPr="00BE6ADB">
              <w:rPr>
                <w:rFonts w:ascii="Times New Roman" w:eastAsia="DejaVu Sans" w:hAnsi="Times New Roman" w:cs="Times New Roman"/>
                <w:b/>
                <w:color w:val="000000"/>
                <w:sz w:val="20"/>
                <w:szCs w:val="20"/>
                <w:lang w:val="en-US"/>
              </w:rPr>
              <w:t>, and current knowledge</w:t>
            </w:r>
          </w:p>
        </w:tc>
        <w:tc>
          <w:tcPr>
            <w:tcW w:w="0" w:type="auto"/>
            <w:shd w:val="clear" w:color="auto" w:fill="FFFFFF"/>
            <w:tcMar>
              <w:top w:w="0" w:type="dxa"/>
              <w:left w:w="0" w:type="dxa"/>
              <w:bottom w:w="0" w:type="dxa"/>
              <w:right w:w="0" w:type="dxa"/>
            </w:tcMar>
          </w:tcPr>
          <w:p w14:paraId="13B63699"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26</w:t>
            </w:r>
          </w:p>
        </w:tc>
        <w:tc>
          <w:tcPr>
            <w:tcW w:w="0" w:type="auto"/>
            <w:shd w:val="clear" w:color="auto" w:fill="FFFFFF"/>
            <w:tcMar>
              <w:top w:w="0" w:type="dxa"/>
              <w:left w:w="0" w:type="dxa"/>
              <w:bottom w:w="0" w:type="dxa"/>
              <w:right w:w="0" w:type="dxa"/>
            </w:tcMar>
          </w:tcPr>
          <w:p w14:paraId="5059437A" w14:textId="77777777" w:rsidR="00BE6ADB" w:rsidRPr="00BE6ADB" w:rsidRDefault="00BE6ADB" w:rsidP="00BE6ADB">
            <w:pPr>
              <w:spacing w:before="100" w:after="100" w:line="240" w:lineRule="auto"/>
              <w:ind w:left="100" w:right="100"/>
              <w:rPr>
                <w:rFonts w:ascii="Times New Roman" w:eastAsia="Cambria" w:hAnsi="Times New Roman" w:cs="Times New Roman"/>
                <w:sz w:val="20"/>
                <w:szCs w:val="20"/>
                <w:lang w:val="en-US"/>
              </w:rPr>
            </w:pPr>
            <w:r w:rsidRPr="00BE6ADB">
              <w:rPr>
                <w:rFonts w:ascii="Times New Roman" w:eastAsia="DejaVu Sans" w:hAnsi="Times New Roman" w:cs="Times New Roman"/>
                <w:color w:val="000000"/>
                <w:sz w:val="20"/>
                <w:szCs w:val="20"/>
                <w:lang w:val="en-US"/>
              </w:rPr>
              <w:t>Report key findings, limitations, ethical or equity considerations not captured, and how these could affect patients, policy, or practice.</w:t>
            </w:r>
          </w:p>
        </w:tc>
        <w:tc>
          <w:tcPr>
            <w:tcW w:w="0" w:type="auto"/>
            <w:tcBorders>
              <w:right w:val="single" w:sz="8" w:space="0" w:color="000000"/>
            </w:tcBorders>
            <w:shd w:val="clear" w:color="auto" w:fill="FFFFFF"/>
            <w:tcMar>
              <w:top w:w="0" w:type="dxa"/>
              <w:left w:w="0" w:type="dxa"/>
              <w:bottom w:w="0" w:type="dxa"/>
              <w:right w:w="0" w:type="dxa"/>
            </w:tcMar>
          </w:tcPr>
          <w:p w14:paraId="0B7E8C7F" w14:textId="568B24B8" w:rsidR="00BE6ADB" w:rsidRPr="00BE6ADB" w:rsidRDefault="008E4E85" w:rsidP="00BE6ADB">
            <w:pPr>
              <w:spacing w:before="100" w:after="100" w:line="240" w:lineRule="auto"/>
              <w:ind w:left="100" w:right="100"/>
              <w:jc w:val="center"/>
              <w:rPr>
                <w:rFonts w:ascii="Times New Roman" w:eastAsia="Cambria" w:hAnsi="Times New Roman" w:cs="Times New Roman"/>
                <w:sz w:val="20"/>
                <w:szCs w:val="20"/>
                <w:lang w:val="en-US"/>
              </w:rPr>
            </w:pPr>
            <w:r w:rsidRPr="00E7546E">
              <w:rPr>
                <w:rFonts w:ascii="Times New Roman" w:eastAsia="DejaVu Sans" w:hAnsi="Times New Roman" w:cs="Times New Roman"/>
                <w:color w:val="000000"/>
                <w:sz w:val="20"/>
                <w:szCs w:val="20"/>
                <w:lang w:val="en-US"/>
              </w:rPr>
              <w:t>Manuscript, Discussion</w:t>
            </w:r>
          </w:p>
        </w:tc>
      </w:tr>
      <w:tr w:rsidR="00503BD6" w:rsidRPr="00E7546E" w14:paraId="36D7B4F9" w14:textId="77777777" w:rsidTr="00A01C6C">
        <w:trPr>
          <w:cantSplit/>
          <w:jc w:val="center"/>
        </w:trPr>
        <w:tc>
          <w:tcPr>
            <w:tcW w:w="0" w:type="auto"/>
            <w:tcBorders>
              <w:left w:val="single" w:sz="8" w:space="0" w:color="000000"/>
            </w:tcBorders>
            <w:shd w:val="clear" w:color="auto" w:fill="FFFFCC"/>
            <w:tcMar>
              <w:top w:w="0" w:type="dxa"/>
              <w:left w:w="0" w:type="dxa"/>
              <w:bottom w:w="0" w:type="dxa"/>
              <w:right w:w="0" w:type="dxa"/>
            </w:tcMar>
          </w:tcPr>
          <w:p w14:paraId="1122AADC" w14:textId="77777777" w:rsidR="00BE6ADB" w:rsidRPr="00BE6ADB" w:rsidRDefault="00BE6ADB" w:rsidP="00BE6ADB">
            <w:pPr>
              <w:spacing w:before="100" w:after="100" w:line="240" w:lineRule="auto"/>
              <w:ind w:left="100" w:right="100"/>
              <w:rPr>
                <w:rFonts w:ascii="Times New Roman" w:eastAsia="Cambria" w:hAnsi="Times New Roman" w:cs="Times New Roman"/>
                <w:sz w:val="24"/>
                <w:szCs w:val="24"/>
                <w:lang w:val="en-US"/>
              </w:rPr>
            </w:pPr>
            <w:r w:rsidRPr="00BE6ADB">
              <w:rPr>
                <w:rFonts w:ascii="Times New Roman" w:eastAsia="DejaVu Sans" w:hAnsi="Times New Roman" w:cs="Times New Roman"/>
                <w:b/>
                <w:color w:val="000000"/>
                <w:sz w:val="18"/>
                <w:szCs w:val="18"/>
                <w:lang w:val="en-US"/>
              </w:rPr>
              <w:t>Other relevant information</w:t>
            </w:r>
          </w:p>
        </w:tc>
        <w:tc>
          <w:tcPr>
            <w:tcW w:w="0" w:type="auto"/>
            <w:shd w:val="clear" w:color="auto" w:fill="FFFFCC"/>
            <w:tcMar>
              <w:top w:w="0" w:type="dxa"/>
              <w:left w:w="0" w:type="dxa"/>
              <w:bottom w:w="0" w:type="dxa"/>
              <w:right w:w="0" w:type="dxa"/>
            </w:tcMar>
          </w:tcPr>
          <w:p w14:paraId="7A0175B6"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4"/>
                <w:szCs w:val="24"/>
                <w:lang w:val="en-US"/>
              </w:rPr>
            </w:pPr>
          </w:p>
        </w:tc>
        <w:tc>
          <w:tcPr>
            <w:tcW w:w="0" w:type="auto"/>
            <w:shd w:val="clear" w:color="auto" w:fill="FFFFCC"/>
            <w:tcMar>
              <w:top w:w="0" w:type="dxa"/>
              <w:left w:w="0" w:type="dxa"/>
              <w:bottom w:w="0" w:type="dxa"/>
              <w:right w:w="0" w:type="dxa"/>
            </w:tcMar>
          </w:tcPr>
          <w:p w14:paraId="250DC560" w14:textId="77777777" w:rsidR="00BE6ADB" w:rsidRPr="00BE6ADB" w:rsidRDefault="00BE6ADB" w:rsidP="00BE6ADB">
            <w:pPr>
              <w:spacing w:before="100" w:after="100" w:line="240" w:lineRule="auto"/>
              <w:ind w:left="100" w:right="100"/>
              <w:rPr>
                <w:rFonts w:ascii="Times New Roman" w:eastAsia="Cambria" w:hAnsi="Times New Roman" w:cs="Times New Roman"/>
                <w:sz w:val="24"/>
                <w:szCs w:val="24"/>
                <w:lang w:val="en-US"/>
              </w:rPr>
            </w:pPr>
          </w:p>
        </w:tc>
        <w:tc>
          <w:tcPr>
            <w:tcW w:w="0" w:type="auto"/>
            <w:tcBorders>
              <w:right w:val="single" w:sz="8" w:space="0" w:color="000000"/>
            </w:tcBorders>
            <w:shd w:val="clear" w:color="auto" w:fill="FFFFCC"/>
            <w:tcMar>
              <w:top w:w="0" w:type="dxa"/>
              <w:left w:w="0" w:type="dxa"/>
              <w:bottom w:w="0" w:type="dxa"/>
              <w:right w:w="0" w:type="dxa"/>
            </w:tcMar>
          </w:tcPr>
          <w:p w14:paraId="1C59A9E7"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4"/>
                <w:szCs w:val="24"/>
                <w:lang w:val="en-US"/>
              </w:rPr>
            </w:pPr>
          </w:p>
        </w:tc>
      </w:tr>
      <w:tr w:rsidR="00503BD6" w:rsidRPr="00E7546E" w14:paraId="4B110549" w14:textId="77777777" w:rsidTr="00A01C6C">
        <w:trPr>
          <w:cantSplit/>
          <w:jc w:val="center"/>
        </w:trPr>
        <w:tc>
          <w:tcPr>
            <w:tcW w:w="0" w:type="auto"/>
            <w:tcBorders>
              <w:left w:val="single" w:sz="8" w:space="0" w:color="000000"/>
            </w:tcBorders>
            <w:shd w:val="clear" w:color="auto" w:fill="FFFFFF"/>
            <w:tcMar>
              <w:top w:w="0" w:type="dxa"/>
              <w:left w:w="0" w:type="dxa"/>
              <w:bottom w:w="0" w:type="dxa"/>
              <w:right w:w="0" w:type="dxa"/>
            </w:tcMar>
          </w:tcPr>
          <w:p w14:paraId="0C4674D3" w14:textId="77777777" w:rsidR="00BE6ADB" w:rsidRPr="00BE6ADB" w:rsidRDefault="00BE6ADB" w:rsidP="00BE6ADB">
            <w:pPr>
              <w:spacing w:before="100" w:after="100" w:line="240" w:lineRule="auto"/>
              <w:ind w:left="100" w:right="100"/>
              <w:rPr>
                <w:rFonts w:ascii="Times New Roman" w:eastAsia="Cambria" w:hAnsi="Times New Roman" w:cs="Times New Roman"/>
                <w:sz w:val="24"/>
                <w:szCs w:val="24"/>
                <w:lang w:val="en-US"/>
              </w:rPr>
            </w:pPr>
            <w:r w:rsidRPr="00BE6ADB">
              <w:rPr>
                <w:rFonts w:ascii="Times New Roman" w:eastAsia="DejaVu Sans" w:hAnsi="Times New Roman" w:cs="Times New Roman"/>
                <w:b/>
                <w:color w:val="000000"/>
                <w:sz w:val="18"/>
                <w:szCs w:val="18"/>
                <w:lang w:val="en-US"/>
              </w:rPr>
              <w:t>Source of funding</w:t>
            </w:r>
          </w:p>
        </w:tc>
        <w:tc>
          <w:tcPr>
            <w:tcW w:w="0" w:type="auto"/>
            <w:shd w:val="clear" w:color="auto" w:fill="FFFFFF"/>
            <w:tcMar>
              <w:top w:w="0" w:type="dxa"/>
              <w:left w:w="0" w:type="dxa"/>
              <w:bottom w:w="0" w:type="dxa"/>
              <w:right w:w="0" w:type="dxa"/>
            </w:tcMar>
          </w:tcPr>
          <w:p w14:paraId="05FC7742"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4"/>
                <w:szCs w:val="24"/>
                <w:lang w:val="en-US"/>
              </w:rPr>
            </w:pPr>
            <w:r w:rsidRPr="00BE6ADB">
              <w:rPr>
                <w:rFonts w:ascii="Times New Roman" w:eastAsia="DejaVu Sans" w:hAnsi="Times New Roman" w:cs="Times New Roman"/>
                <w:color w:val="000000"/>
                <w:sz w:val="18"/>
                <w:szCs w:val="18"/>
                <w:lang w:val="en-US"/>
              </w:rPr>
              <w:t>27</w:t>
            </w:r>
          </w:p>
        </w:tc>
        <w:tc>
          <w:tcPr>
            <w:tcW w:w="0" w:type="auto"/>
            <w:shd w:val="clear" w:color="auto" w:fill="FFFFFF"/>
            <w:tcMar>
              <w:top w:w="0" w:type="dxa"/>
              <w:left w:w="0" w:type="dxa"/>
              <w:bottom w:w="0" w:type="dxa"/>
              <w:right w:w="0" w:type="dxa"/>
            </w:tcMar>
          </w:tcPr>
          <w:p w14:paraId="4177BFB8" w14:textId="77777777" w:rsidR="00BE6ADB" w:rsidRPr="00BE6ADB" w:rsidRDefault="00BE6ADB" w:rsidP="00BE6ADB">
            <w:pPr>
              <w:spacing w:before="100" w:after="100" w:line="240" w:lineRule="auto"/>
              <w:ind w:left="100" w:right="100"/>
              <w:rPr>
                <w:rFonts w:ascii="Times New Roman" w:eastAsia="Cambria" w:hAnsi="Times New Roman" w:cs="Times New Roman"/>
                <w:sz w:val="24"/>
                <w:szCs w:val="24"/>
                <w:lang w:val="en-US"/>
              </w:rPr>
            </w:pPr>
            <w:r w:rsidRPr="00BE6ADB">
              <w:rPr>
                <w:rFonts w:ascii="Times New Roman" w:eastAsia="DejaVu Sans" w:hAnsi="Times New Roman" w:cs="Times New Roman"/>
                <w:color w:val="000000"/>
                <w:sz w:val="18"/>
                <w:szCs w:val="18"/>
                <w:lang w:val="en-US"/>
              </w:rPr>
              <w:t>Describe how the study was funded and any role of the funder in the identification, design, conduct, and reporting of the analysis</w:t>
            </w:r>
          </w:p>
        </w:tc>
        <w:tc>
          <w:tcPr>
            <w:tcW w:w="0" w:type="auto"/>
            <w:tcBorders>
              <w:right w:val="single" w:sz="8" w:space="0" w:color="000000"/>
            </w:tcBorders>
            <w:shd w:val="clear" w:color="auto" w:fill="FFFFFF"/>
            <w:tcMar>
              <w:top w:w="0" w:type="dxa"/>
              <w:left w:w="0" w:type="dxa"/>
              <w:bottom w:w="0" w:type="dxa"/>
              <w:right w:w="0" w:type="dxa"/>
            </w:tcMar>
          </w:tcPr>
          <w:p w14:paraId="2A02DE25" w14:textId="75A64F82" w:rsidR="00BE6ADB" w:rsidRPr="00BE6ADB" w:rsidRDefault="00BE6ADB" w:rsidP="00BE6ADB">
            <w:pPr>
              <w:spacing w:before="100" w:after="100" w:line="240" w:lineRule="auto"/>
              <w:ind w:left="100" w:right="100"/>
              <w:jc w:val="center"/>
              <w:rPr>
                <w:rFonts w:ascii="Times New Roman" w:eastAsia="Cambria" w:hAnsi="Times New Roman" w:cs="Times New Roman"/>
                <w:sz w:val="24"/>
                <w:szCs w:val="24"/>
                <w:lang w:val="en-US"/>
              </w:rPr>
            </w:pPr>
            <w:r w:rsidRPr="00BE6ADB">
              <w:rPr>
                <w:rFonts w:ascii="Times New Roman" w:eastAsia="DejaVu Sans" w:hAnsi="Times New Roman" w:cs="Times New Roman"/>
                <w:color w:val="000000"/>
                <w:sz w:val="18"/>
                <w:szCs w:val="18"/>
                <w:lang w:val="en-US"/>
              </w:rPr>
              <w:t>Page i</w:t>
            </w:r>
            <w:r w:rsidR="00AD1AB4" w:rsidRPr="00E7546E">
              <w:rPr>
                <w:rFonts w:ascii="Times New Roman" w:eastAsia="DejaVu Sans" w:hAnsi="Times New Roman" w:cs="Times New Roman"/>
                <w:color w:val="000000"/>
                <w:sz w:val="18"/>
                <w:szCs w:val="18"/>
                <w:lang w:val="en-US"/>
              </w:rPr>
              <w:t>ii</w:t>
            </w:r>
          </w:p>
        </w:tc>
      </w:tr>
      <w:tr w:rsidR="00503BD6" w:rsidRPr="00E7546E" w14:paraId="33675E26" w14:textId="77777777" w:rsidTr="00A01C6C">
        <w:trPr>
          <w:cantSplit/>
          <w:jc w:val="center"/>
        </w:trPr>
        <w:tc>
          <w:tcPr>
            <w:tcW w:w="0" w:type="auto"/>
            <w:tcBorders>
              <w:left w:val="single" w:sz="8" w:space="0" w:color="000000"/>
              <w:bottom w:val="single" w:sz="8" w:space="0" w:color="000000"/>
            </w:tcBorders>
            <w:shd w:val="clear" w:color="auto" w:fill="FFFFFF"/>
            <w:tcMar>
              <w:top w:w="0" w:type="dxa"/>
              <w:left w:w="0" w:type="dxa"/>
              <w:bottom w:w="0" w:type="dxa"/>
              <w:right w:w="0" w:type="dxa"/>
            </w:tcMar>
          </w:tcPr>
          <w:p w14:paraId="6704A52C" w14:textId="77777777" w:rsidR="00BE6ADB" w:rsidRPr="00BE6ADB" w:rsidRDefault="00BE6ADB" w:rsidP="00BE6ADB">
            <w:pPr>
              <w:spacing w:before="100" w:after="100" w:line="240" w:lineRule="auto"/>
              <w:ind w:left="100" w:right="100"/>
              <w:rPr>
                <w:rFonts w:ascii="Times New Roman" w:eastAsia="Cambria" w:hAnsi="Times New Roman" w:cs="Times New Roman"/>
                <w:sz w:val="24"/>
                <w:szCs w:val="24"/>
                <w:lang w:val="en-US"/>
              </w:rPr>
            </w:pPr>
            <w:r w:rsidRPr="00BE6ADB">
              <w:rPr>
                <w:rFonts w:ascii="Times New Roman" w:eastAsia="DejaVu Sans" w:hAnsi="Times New Roman" w:cs="Times New Roman"/>
                <w:b/>
                <w:color w:val="000000"/>
                <w:sz w:val="18"/>
                <w:szCs w:val="18"/>
                <w:lang w:val="en-US"/>
              </w:rPr>
              <w:t>Conflicts of interest</w:t>
            </w:r>
          </w:p>
        </w:tc>
        <w:tc>
          <w:tcPr>
            <w:tcW w:w="0" w:type="auto"/>
            <w:tcBorders>
              <w:bottom w:val="single" w:sz="8" w:space="0" w:color="000000"/>
            </w:tcBorders>
            <w:shd w:val="clear" w:color="auto" w:fill="FFFFFF"/>
            <w:tcMar>
              <w:top w:w="0" w:type="dxa"/>
              <w:left w:w="0" w:type="dxa"/>
              <w:bottom w:w="0" w:type="dxa"/>
              <w:right w:w="0" w:type="dxa"/>
            </w:tcMar>
          </w:tcPr>
          <w:p w14:paraId="38417927" w14:textId="77777777" w:rsidR="00BE6ADB" w:rsidRPr="00BE6ADB" w:rsidRDefault="00BE6ADB" w:rsidP="00BE6ADB">
            <w:pPr>
              <w:spacing w:before="100" w:after="100" w:line="240" w:lineRule="auto"/>
              <w:ind w:left="100" w:right="100"/>
              <w:jc w:val="center"/>
              <w:rPr>
                <w:rFonts w:ascii="Times New Roman" w:eastAsia="Cambria" w:hAnsi="Times New Roman" w:cs="Times New Roman"/>
                <w:sz w:val="24"/>
                <w:szCs w:val="24"/>
                <w:lang w:val="en-US"/>
              </w:rPr>
            </w:pPr>
            <w:r w:rsidRPr="00BE6ADB">
              <w:rPr>
                <w:rFonts w:ascii="Times New Roman" w:eastAsia="DejaVu Sans" w:hAnsi="Times New Roman" w:cs="Times New Roman"/>
                <w:color w:val="000000"/>
                <w:sz w:val="18"/>
                <w:szCs w:val="18"/>
                <w:lang w:val="en-US"/>
              </w:rPr>
              <w:t>28</w:t>
            </w:r>
          </w:p>
        </w:tc>
        <w:tc>
          <w:tcPr>
            <w:tcW w:w="0" w:type="auto"/>
            <w:tcBorders>
              <w:bottom w:val="single" w:sz="8" w:space="0" w:color="000000"/>
            </w:tcBorders>
            <w:shd w:val="clear" w:color="auto" w:fill="FFFFFF"/>
            <w:tcMar>
              <w:top w:w="0" w:type="dxa"/>
              <w:left w:w="0" w:type="dxa"/>
              <w:bottom w:w="0" w:type="dxa"/>
              <w:right w:w="0" w:type="dxa"/>
            </w:tcMar>
          </w:tcPr>
          <w:p w14:paraId="42D1A3C9" w14:textId="77777777" w:rsidR="00BE6ADB" w:rsidRPr="00BE6ADB" w:rsidRDefault="00BE6ADB" w:rsidP="00BE6ADB">
            <w:pPr>
              <w:spacing w:before="100" w:after="100" w:line="240" w:lineRule="auto"/>
              <w:ind w:left="100" w:right="100"/>
              <w:rPr>
                <w:rFonts w:ascii="Times New Roman" w:eastAsia="Cambria" w:hAnsi="Times New Roman" w:cs="Times New Roman"/>
                <w:sz w:val="24"/>
                <w:szCs w:val="24"/>
                <w:lang w:val="en-US"/>
              </w:rPr>
            </w:pPr>
            <w:r w:rsidRPr="00BE6ADB">
              <w:rPr>
                <w:rFonts w:ascii="Times New Roman" w:eastAsia="DejaVu Sans" w:hAnsi="Times New Roman" w:cs="Times New Roman"/>
                <w:color w:val="000000"/>
                <w:sz w:val="18"/>
                <w:szCs w:val="18"/>
                <w:lang w:val="en-US"/>
              </w:rPr>
              <w:t>Report authors conflicts of interest according to journal or International Committee of Medical Journal Editors requirements.</w:t>
            </w:r>
          </w:p>
        </w:tc>
        <w:tc>
          <w:tcPr>
            <w:tcW w:w="0" w:type="auto"/>
            <w:tcBorders>
              <w:bottom w:val="single" w:sz="8" w:space="0" w:color="000000"/>
              <w:right w:val="single" w:sz="8" w:space="0" w:color="000000"/>
            </w:tcBorders>
            <w:shd w:val="clear" w:color="auto" w:fill="FFFFFF"/>
            <w:tcMar>
              <w:top w:w="0" w:type="dxa"/>
              <w:left w:w="0" w:type="dxa"/>
              <w:bottom w:w="0" w:type="dxa"/>
              <w:right w:w="0" w:type="dxa"/>
            </w:tcMar>
          </w:tcPr>
          <w:p w14:paraId="7F852EF5" w14:textId="1082C658" w:rsidR="00BE6ADB" w:rsidRPr="00BE6ADB" w:rsidRDefault="00E7546E" w:rsidP="00BE6ADB">
            <w:pPr>
              <w:spacing w:before="100" w:after="100" w:line="240" w:lineRule="auto"/>
              <w:ind w:left="100" w:right="100"/>
              <w:jc w:val="center"/>
              <w:rPr>
                <w:rFonts w:ascii="Times New Roman" w:eastAsia="Cambria" w:hAnsi="Times New Roman" w:cs="Times New Roman"/>
                <w:sz w:val="24"/>
                <w:szCs w:val="24"/>
                <w:lang w:val="en-US"/>
              </w:rPr>
            </w:pPr>
            <w:r w:rsidRPr="00E7546E">
              <w:rPr>
                <w:rFonts w:ascii="Times New Roman" w:eastAsia="DejaVu Sans" w:hAnsi="Times New Roman" w:cs="Times New Roman"/>
                <w:color w:val="000000"/>
                <w:sz w:val="18"/>
                <w:szCs w:val="18"/>
                <w:lang w:val="en-US"/>
              </w:rPr>
              <w:t>Page iii</w:t>
            </w:r>
          </w:p>
        </w:tc>
      </w:tr>
    </w:tbl>
    <w:p w14:paraId="0E101BE7" w14:textId="1B2879C2" w:rsidR="00E7546E" w:rsidRDefault="00E7546E" w:rsidP="00424458">
      <w:pPr>
        <w:pStyle w:val="Caption"/>
        <w:keepNext/>
        <w:rPr>
          <w:rFonts w:ascii="Times New Roman" w:hAnsi="Times New Roman" w:cs="Times New Roman"/>
          <w:b/>
          <w:bCs/>
          <w:i w:val="0"/>
          <w:iCs w:val="0"/>
          <w:color w:val="auto"/>
          <w:sz w:val="28"/>
          <w:szCs w:val="28"/>
        </w:rPr>
      </w:pPr>
    </w:p>
    <w:p w14:paraId="7AD3B794" w14:textId="77777777" w:rsidR="00E7546E" w:rsidRDefault="00E7546E">
      <w:pPr>
        <w:rPr>
          <w:rFonts w:ascii="Times New Roman" w:hAnsi="Times New Roman" w:cs="Times New Roman"/>
          <w:b/>
          <w:bCs/>
          <w:sz w:val="28"/>
          <w:szCs w:val="28"/>
        </w:rPr>
      </w:pPr>
      <w:r>
        <w:rPr>
          <w:rFonts w:ascii="Times New Roman" w:hAnsi="Times New Roman" w:cs="Times New Roman"/>
          <w:b/>
          <w:bCs/>
          <w:i/>
          <w:iCs/>
          <w:sz w:val="28"/>
          <w:szCs w:val="28"/>
        </w:rPr>
        <w:br w:type="page"/>
      </w:r>
    </w:p>
    <w:p w14:paraId="40B02CCA" w14:textId="01C5A522" w:rsidR="00B37902" w:rsidRPr="00E7546E" w:rsidRDefault="00B37902" w:rsidP="00B37902">
      <w:pPr>
        <w:pStyle w:val="Caption"/>
        <w:keepNext/>
        <w:rPr>
          <w:rFonts w:ascii="Times New Roman" w:hAnsi="Times New Roman" w:cs="Times New Roman"/>
          <w:b/>
          <w:bCs/>
          <w:i w:val="0"/>
          <w:iCs w:val="0"/>
          <w:color w:val="auto"/>
          <w:sz w:val="28"/>
          <w:szCs w:val="28"/>
        </w:rPr>
      </w:pPr>
      <w:r w:rsidRPr="00E7546E">
        <w:rPr>
          <w:rFonts w:ascii="Times New Roman" w:hAnsi="Times New Roman" w:cs="Times New Roman"/>
          <w:b/>
          <w:bCs/>
          <w:i w:val="0"/>
          <w:iCs w:val="0"/>
          <w:color w:val="auto"/>
          <w:sz w:val="28"/>
          <w:szCs w:val="28"/>
        </w:rPr>
        <w:lastRenderedPageBreak/>
        <w:t xml:space="preserve">Supplementary table 2. </w:t>
      </w:r>
      <w:r w:rsidRPr="00E7546E">
        <w:rPr>
          <w:rFonts w:ascii="Times New Roman" w:hAnsi="Times New Roman" w:cs="Times New Roman"/>
          <w:b/>
          <w:bCs/>
          <w:i w:val="0"/>
          <w:iCs w:val="0"/>
          <w:color w:val="auto"/>
          <w:sz w:val="28"/>
          <w:szCs w:val="28"/>
        </w:rPr>
        <w:fldChar w:fldCharType="begin"/>
      </w:r>
      <w:r w:rsidRPr="00E7546E">
        <w:rPr>
          <w:rFonts w:ascii="Times New Roman" w:hAnsi="Times New Roman" w:cs="Times New Roman"/>
          <w:b/>
          <w:bCs/>
          <w:i w:val="0"/>
          <w:iCs w:val="0"/>
          <w:color w:val="auto"/>
          <w:sz w:val="28"/>
          <w:szCs w:val="28"/>
        </w:rPr>
        <w:instrText xml:space="preserve"> SEQ Supplementary_table_2. \* ARABIC </w:instrText>
      </w:r>
      <w:r w:rsidRPr="00E7546E">
        <w:rPr>
          <w:rFonts w:ascii="Times New Roman" w:hAnsi="Times New Roman" w:cs="Times New Roman"/>
          <w:b/>
          <w:bCs/>
          <w:i w:val="0"/>
          <w:iCs w:val="0"/>
          <w:color w:val="auto"/>
          <w:sz w:val="28"/>
          <w:szCs w:val="28"/>
        </w:rPr>
        <w:fldChar w:fldCharType="separate"/>
      </w:r>
      <w:r w:rsidR="003F7DED" w:rsidRPr="00E7546E">
        <w:rPr>
          <w:rFonts w:ascii="Times New Roman" w:hAnsi="Times New Roman" w:cs="Times New Roman"/>
          <w:b/>
          <w:bCs/>
          <w:i w:val="0"/>
          <w:iCs w:val="0"/>
          <w:noProof/>
          <w:color w:val="auto"/>
          <w:sz w:val="28"/>
          <w:szCs w:val="28"/>
        </w:rPr>
        <w:t>2</w:t>
      </w:r>
      <w:r w:rsidRPr="00E7546E">
        <w:rPr>
          <w:rFonts w:ascii="Times New Roman" w:hAnsi="Times New Roman" w:cs="Times New Roman"/>
          <w:b/>
          <w:bCs/>
          <w:i w:val="0"/>
          <w:iCs w:val="0"/>
          <w:color w:val="auto"/>
          <w:sz w:val="28"/>
          <w:szCs w:val="28"/>
        </w:rPr>
        <w:fldChar w:fldCharType="end"/>
      </w:r>
      <w:r w:rsidR="00C907DA" w:rsidRPr="00E7546E">
        <w:rPr>
          <w:rFonts w:ascii="Times New Roman" w:hAnsi="Times New Roman" w:cs="Times New Roman"/>
          <w:b/>
          <w:bCs/>
          <w:i w:val="0"/>
          <w:iCs w:val="0"/>
          <w:color w:val="auto"/>
          <w:sz w:val="28"/>
          <w:szCs w:val="28"/>
        </w:rPr>
        <w:t xml:space="preserve"> </w:t>
      </w:r>
      <w:r w:rsidR="00CD5305" w:rsidRPr="00E7546E">
        <w:rPr>
          <w:rFonts w:ascii="Times New Roman" w:hAnsi="Times New Roman" w:cs="Times New Roman"/>
          <w:b/>
          <w:bCs/>
          <w:i w:val="0"/>
          <w:iCs w:val="0"/>
          <w:color w:val="auto"/>
          <w:sz w:val="28"/>
          <w:szCs w:val="28"/>
        </w:rPr>
        <w:t>STRESS-DES checklist</w:t>
      </w:r>
    </w:p>
    <w:tbl>
      <w:tblPr>
        <w:tblStyle w:val="TableGrid"/>
        <w:tblW w:w="15026" w:type="dxa"/>
        <w:tblInd w:w="-5" w:type="dxa"/>
        <w:tblLook w:val="04A0" w:firstRow="1" w:lastRow="0" w:firstColumn="1" w:lastColumn="0" w:noHBand="0" w:noVBand="1"/>
      </w:tblPr>
      <w:tblGrid>
        <w:gridCol w:w="2457"/>
        <w:gridCol w:w="827"/>
        <w:gridCol w:w="2386"/>
        <w:gridCol w:w="9356"/>
      </w:tblGrid>
      <w:tr w:rsidR="009744C0" w:rsidRPr="00E7546E" w14:paraId="1ABA26CF" w14:textId="77777777" w:rsidTr="00646FF2">
        <w:tc>
          <w:tcPr>
            <w:tcW w:w="2457" w:type="dxa"/>
            <w:shd w:val="clear" w:color="auto" w:fill="222A35" w:themeFill="text2" w:themeFillShade="80"/>
          </w:tcPr>
          <w:p w14:paraId="12D5D059" w14:textId="7577C010" w:rsidR="009744C0" w:rsidRPr="00E7546E" w:rsidRDefault="009744C0" w:rsidP="009744C0">
            <w:pPr>
              <w:spacing w:after="120"/>
              <w:contextualSpacing/>
              <w:rPr>
                <w:rFonts w:ascii="Times New Roman" w:eastAsia="Times New Roman" w:hAnsi="Times New Roman" w:cs="Times New Roman"/>
                <w:b/>
                <w:bCs/>
                <w:color w:val="FFFFFF" w:themeColor="background1"/>
                <w:sz w:val="24"/>
                <w:szCs w:val="24"/>
                <w:lang w:eastAsia="en-GB"/>
              </w:rPr>
            </w:pPr>
            <w:r w:rsidRPr="00E7546E">
              <w:rPr>
                <w:rFonts w:ascii="Times New Roman" w:eastAsia="Times New Roman" w:hAnsi="Times New Roman" w:cs="Times New Roman"/>
                <w:b/>
                <w:bCs/>
                <w:color w:val="FFFFFF" w:themeColor="background1"/>
                <w:sz w:val="24"/>
                <w:szCs w:val="24"/>
                <w:lang w:eastAsia="en-GB"/>
              </w:rPr>
              <w:t>Section/Subsection</w:t>
            </w:r>
          </w:p>
        </w:tc>
        <w:tc>
          <w:tcPr>
            <w:tcW w:w="827" w:type="dxa"/>
            <w:shd w:val="clear" w:color="auto" w:fill="222A35" w:themeFill="text2" w:themeFillShade="80"/>
          </w:tcPr>
          <w:p w14:paraId="2FA6B442" w14:textId="77777777" w:rsidR="009744C0" w:rsidRPr="00E7546E" w:rsidRDefault="009744C0" w:rsidP="009744C0">
            <w:pPr>
              <w:spacing w:after="120"/>
              <w:contextualSpacing/>
              <w:rPr>
                <w:rFonts w:ascii="Times New Roman" w:eastAsia="Times New Roman" w:hAnsi="Times New Roman" w:cs="Times New Roman"/>
                <w:b/>
                <w:bCs/>
                <w:color w:val="FFFFFF" w:themeColor="background1"/>
                <w:sz w:val="24"/>
                <w:szCs w:val="24"/>
                <w:lang w:eastAsia="en-GB"/>
              </w:rPr>
            </w:pPr>
            <w:r w:rsidRPr="00E7546E">
              <w:rPr>
                <w:rFonts w:ascii="Times New Roman" w:eastAsia="Times New Roman" w:hAnsi="Times New Roman" w:cs="Times New Roman"/>
                <w:b/>
                <w:bCs/>
                <w:color w:val="FFFFFF" w:themeColor="background1"/>
                <w:sz w:val="24"/>
                <w:szCs w:val="24"/>
                <w:lang w:eastAsia="en-GB"/>
              </w:rPr>
              <w:t>Item</w:t>
            </w:r>
          </w:p>
        </w:tc>
        <w:tc>
          <w:tcPr>
            <w:tcW w:w="11742" w:type="dxa"/>
            <w:gridSpan w:val="2"/>
            <w:shd w:val="clear" w:color="auto" w:fill="222A35" w:themeFill="text2" w:themeFillShade="80"/>
          </w:tcPr>
          <w:p w14:paraId="295E1E39" w14:textId="7C3D193D" w:rsidR="009744C0" w:rsidRPr="00E7546E" w:rsidRDefault="00753F4B" w:rsidP="009744C0">
            <w:pPr>
              <w:spacing w:after="120"/>
              <w:contextualSpacing/>
              <w:rPr>
                <w:rFonts w:ascii="Times New Roman" w:eastAsia="Times New Roman" w:hAnsi="Times New Roman" w:cs="Times New Roman"/>
                <w:b/>
                <w:bCs/>
                <w:color w:val="FFFFFF" w:themeColor="background1"/>
                <w:sz w:val="24"/>
                <w:szCs w:val="24"/>
                <w:lang w:eastAsia="en-GB"/>
              </w:rPr>
            </w:pPr>
            <w:r w:rsidRPr="00E7546E">
              <w:rPr>
                <w:rFonts w:ascii="Times New Roman" w:eastAsia="Times New Roman" w:hAnsi="Times New Roman" w:cs="Times New Roman"/>
                <w:b/>
                <w:bCs/>
                <w:color w:val="FFFFFF" w:themeColor="background1"/>
                <w:sz w:val="24"/>
                <w:szCs w:val="24"/>
                <w:lang w:eastAsia="en-GB"/>
              </w:rPr>
              <w:t>Details/location in Manuscript where details are reported</w:t>
            </w:r>
          </w:p>
        </w:tc>
      </w:tr>
      <w:tr w:rsidR="009744C0" w:rsidRPr="00E7546E" w14:paraId="42409F9D" w14:textId="77777777" w:rsidTr="00646FF2">
        <w:tc>
          <w:tcPr>
            <w:tcW w:w="2457" w:type="dxa"/>
          </w:tcPr>
          <w:p w14:paraId="726F8C38" w14:textId="77777777" w:rsidR="009744C0" w:rsidRPr="00E7546E" w:rsidRDefault="009744C0" w:rsidP="009744C0">
            <w:pPr>
              <w:numPr>
                <w:ilvl w:val="0"/>
                <w:numId w:val="1"/>
              </w:numPr>
              <w:contextualSpacing/>
              <w:rPr>
                <w:rFonts w:ascii="Times New Roman" w:eastAsia="Times New Roman" w:hAnsi="Times New Roman" w:cs="Times New Roman"/>
                <w:b/>
                <w:bCs/>
                <w:color w:val="000000"/>
                <w:sz w:val="24"/>
                <w:szCs w:val="24"/>
                <w:lang w:eastAsia="en-GB"/>
              </w:rPr>
            </w:pPr>
            <w:r w:rsidRPr="00E7546E">
              <w:rPr>
                <w:rFonts w:ascii="Times New Roman" w:eastAsia="Times New Roman" w:hAnsi="Times New Roman" w:cs="Times New Roman"/>
                <w:b/>
                <w:bCs/>
                <w:color w:val="000000"/>
                <w:sz w:val="24"/>
                <w:szCs w:val="24"/>
                <w:lang w:eastAsia="en-GB"/>
              </w:rPr>
              <w:t>Objectives</w:t>
            </w:r>
          </w:p>
        </w:tc>
        <w:tc>
          <w:tcPr>
            <w:tcW w:w="12569" w:type="dxa"/>
            <w:gridSpan w:val="3"/>
          </w:tcPr>
          <w:p w14:paraId="3C6322F3"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p>
        </w:tc>
      </w:tr>
      <w:tr w:rsidR="009744C0" w:rsidRPr="00E7546E" w14:paraId="5E044A92" w14:textId="77777777" w:rsidTr="00646FF2">
        <w:tc>
          <w:tcPr>
            <w:tcW w:w="2457" w:type="dxa"/>
          </w:tcPr>
          <w:p w14:paraId="443833FC"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Purpose of the model</w:t>
            </w:r>
          </w:p>
        </w:tc>
        <w:tc>
          <w:tcPr>
            <w:tcW w:w="827" w:type="dxa"/>
          </w:tcPr>
          <w:p w14:paraId="3B2F1E3E"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1.1</w:t>
            </w:r>
          </w:p>
        </w:tc>
        <w:tc>
          <w:tcPr>
            <w:tcW w:w="11742" w:type="dxa"/>
            <w:gridSpan w:val="2"/>
          </w:tcPr>
          <w:p w14:paraId="3DC38A09" w14:textId="48166089" w:rsidR="00F258AC" w:rsidRDefault="004843FE"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collaboration with the Leeds Teaching Hospitals NHS Trust and the University of Leeds, </w:t>
            </w:r>
            <w:proofErr w:type="spellStart"/>
            <w:r w:rsidR="00A4114C" w:rsidRPr="00E7546E">
              <w:rPr>
                <w:rFonts w:ascii="Times New Roman" w:eastAsia="Times New Roman" w:hAnsi="Times New Roman" w:cs="Times New Roman"/>
                <w:color w:val="000000"/>
                <w:sz w:val="24"/>
                <w:szCs w:val="24"/>
                <w:lang w:eastAsia="en-GB"/>
              </w:rPr>
              <w:t>PinPoint</w:t>
            </w:r>
            <w:proofErr w:type="spellEnd"/>
            <w:r w:rsidR="00A4114C" w:rsidRPr="00E7546E">
              <w:rPr>
                <w:rFonts w:ascii="Times New Roman" w:eastAsia="Times New Roman" w:hAnsi="Times New Roman" w:cs="Times New Roman"/>
                <w:color w:val="000000"/>
                <w:sz w:val="24"/>
                <w:szCs w:val="24"/>
                <w:lang w:eastAsia="en-GB"/>
              </w:rPr>
              <w:t xml:space="preserve"> Data Science Ltd have developed a multivariable machine learning algorithm, hereafter referred to as the </w:t>
            </w:r>
            <w:proofErr w:type="spellStart"/>
            <w:r w:rsidR="00A4114C" w:rsidRPr="00E7546E">
              <w:rPr>
                <w:rFonts w:ascii="Times New Roman" w:eastAsia="Times New Roman" w:hAnsi="Times New Roman" w:cs="Times New Roman"/>
                <w:color w:val="000000"/>
                <w:sz w:val="24"/>
                <w:szCs w:val="24"/>
                <w:lang w:eastAsia="en-GB"/>
              </w:rPr>
              <w:t>PinPoint</w:t>
            </w:r>
            <w:proofErr w:type="spellEnd"/>
            <w:r w:rsidR="00A4114C" w:rsidRPr="00E7546E">
              <w:rPr>
                <w:rFonts w:ascii="Times New Roman" w:eastAsia="Times New Roman" w:hAnsi="Times New Roman" w:cs="Times New Roman"/>
                <w:color w:val="000000"/>
                <w:sz w:val="24"/>
                <w:szCs w:val="24"/>
                <w:lang w:eastAsia="en-GB"/>
              </w:rPr>
              <w:t xml:space="preserve"> test, to predict risk of cancer in symptomatic patients </w:t>
            </w:r>
            <w:r w:rsidR="000516BA" w:rsidRPr="00E7546E">
              <w:rPr>
                <w:rFonts w:ascii="Times New Roman" w:eastAsia="Times New Roman" w:hAnsi="Times New Roman" w:cs="Times New Roman"/>
                <w:color w:val="000000"/>
                <w:sz w:val="24"/>
                <w:szCs w:val="24"/>
                <w:lang w:eastAsia="en-GB"/>
              </w:rPr>
              <w:t xml:space="preserve">urgently </w:t>
            </w:r>
            <w:r w:rsidR="00A4114C" w:rsidRPr="00E7546E">
              <w:rPr>
                <w:rFonts w:ascii="Times New Roman" w:eastAsia="Times New Roman" w:hAnsi="Times New Roman" w:cs="Times New Roman"/>
                <w:color w:val="000000"/>
                <w:sz w:val="24"/>
                <w:szCs w:val="24"/>
                <w:lang w:eastAsia="en-GB"/>
              </w:rPr>
              <w:t xml:space="preserve">referred from primary care. </w:t>
            </w:r>
            <w:r w:rsidR="0021748C" w:rsidRPr="00E7546E">
              <w:rPr>
                <w:rFonts w:ascii="Times New Roman" w:eastAsia="Times New Roman" w:hAnsi="Times New Roman" w:cs="Times New Roman"/>
                <w:color w:val="000000"/>
                <w:sz w:val="24"/>
                <w:szCs w:val="24"/>
                <w:lang w:eastAsia="en-GB"/>
              </w:rPr>
              <w:t xml:space="preserve">The test has been designed to determine patients’ risk of cancer based on several routine blood tests (including haematological, biochemical and tumour markers), producing a calibrated risk probability of cancer ranging between 0 and 1 (with higher values indicating a higher risk of having cancer). The </w:t>
            </w:r>
            <w:proofErr w:type="spellStart"/>
            <w:r w:rsidR="0021748C" w:rsidRPr="00E7546E">
              <w:rPr>
                <w:rFonts w:ascii="Times New Roman" w:eastAsia="Times New Roman" w:hAnsi="Times New Roman" w:cs="Times New Roman"/>
                <w:color w:val="000000"/>
                <w:sz w:val="24"/>
                <w:szCs w:val="24"/>
                <w:lang w:eastAsia="en-GB"/>
              </w:rPr>
              <w:t>PinPoint</w:t>
            </w:r>
            <w:proofErr w:type="spellEnd"/>
            <w:r w:rsidR="0021748C" w:rsidRPr="00E7546E">
              <w:rPr>
                <w:rFonts w:ascii="Times New Roman" w:eastAsia="Times New Roman" w:hAnsi="Times New Roman" w:cs="Times New Roman"/>
                <w:color w:val="000000"/>
                <w:sz w:val="24"/>
                <w:szCs w:val="24"/>
                <w:lang w:eastAsia="en-GB"/>
              </w:rPr>
              <w:t xml:space="preserve"> test has been developed to </w:t>
            </w:r>
            <w:r w:rsidR="00F258AC">
              <w:rPr>
                <w:rFonts w:ascii="Times New Roman" w:eastAsia="Times New Roman" w:hAnsi="Times New Roman" w:cs="Times New Roman"/>
                <w:color w:val="000000"/>
                <w:sz w:val="24"/>
                <w:szCs w:val="24"/>
                <w:lang w:eastAsia="en-GB"/>
              </w:rPr>
              <w:t>(1) to identify and prioritise high risk individuals (</w:t>
            </w:r>
            <w:proofErr w:type="gramStart"/>
            <w:r w:rsidR="00F258AC">
              <w:rPr>
                <w:rFonts w:ascii="Times New Roman" w:eastAsia="Times New Roman" w:hAnsi="Times New Roman" w:cs="Times New Roman"/>
                <w:color w:val="000000"/>
                <w:sz w:val="24"/>
                <w:szCs w:val="24"/>
                <w:lang w:eastAsia="en-GB"/>
              </w:rPr>
              <w:t>i.e.</w:t>
            </w:r>
            <w:proofErr w:type="gramEnd"/>
            <w:r w:rsidR="00F258AC">
              <w:rPr>
                <w:rFonts w:ascii="Times New Roman" w:eastAsia="Times New Roman" w:hAnsi="Times New Roman" w:cs="Times New Roman"/>
                <w:color w:val="000000"/>
                <w:sz w:val="24"/>
                <w:szCs w:val="24"/>
                <w:lang w:eastAsia="en-GB"/>
              </w:rPr>
              <w:t xml:space="preserve"> fast-tracking urgent referrals for these individuals) [‘prioritisation’ use case]; and (2) to identify individuals who can be safely removed from the two-week waiting cancer pathways and prioritise high risk individuals for urgent referrals [‘triage and prioritisation’ use case] based </w:t>
            </w:r>
            <w:r w:rsidR="00F258AC" w:rsidRPr="00E7546E">
              <w:rPr>
                <w:rFonts w:ascii="Times New Roman" w:eastAsia="Times New Roman" w:hAnsi="Times New Roman" w:cs="Times New Roman"/>
                <w:color w:val="000000"/>
                <w:sz w:val="24"/>
                <w:szCs w:val="24"/>
                <w:lang w:eastAsia="en-GB"/>
              </w:rPr>
              <w:t>on a blood test</w:t>
            </w:r>
            <w:r w:rsidR="00F258AC">
              <w:rPr>
                <w:rFonts w:ascii="Times New Roman" w:eastAsia="Times New Roman" w:hAnsi="Times New Roman" w:cs="Times New Roman"/>
                <w:color w:val="000000"/>
                <w:sz w:val="24"/>
                <w:szCs w:val="24"/>
                <w:lang w:eastAsia="en-GB"/>
              </w:rPr>
              <w:t xml:space="preserve">. </w:t>
            </w:r>
          </w:p>
          <w:p w14:paraId="1E9F6503" w14:textId="77777777" w:rsidR="004843FE" w:rsidRPr="00E7546E" w:rsidRDefault="004843FE" w:rsidP="009744C0">
            <w:pPr>
              <w:spacing w:after="120"/>
              <w:contextualSpacing/>
              <w:rPr>
                <w:rFonts w:ascii="Times New Roman" w:eastAsia="Times New Roman" w:hAnsi="Times New Roman" w:cs="Times New Roman"/>
                <w:color w:val="000000"/>
                <w:sz w:val="24"/>
                <w:szCs w:val="24"/>
                <w:lang w:eastAsia="en-GB"/>
              </w:rPr>
            </w:pPr>
          </w:p>
          <w:p w14:paraId="5A083D8E" w14:textId="086D4AD5" w:rsidR="000A5E05" w:rsidRPr="00E7546E" w:rsidRDefault="00FA6074"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The aim of the urological models presented in the manuscript was to </w:t>
            </w:r>
            <w:r w:rsidR="00C743AD" w:rsidRPr="00E7546E">
              <w:rPr>
                <w:rFonts w:ascii="Times New Roman" w:eastAsia="Times New Roman" w:hAnsi="Times New Roman" w:cs="Times New Roman"/>
                <w:color w:val="000000"/>
                <w:sz w:val="24"/>
                <w:szCs w:val="24"/>
                <w:lang w:eastAsia="en-GB"/>
              </w:rPr>
              <w:t xml:space="preserve">explore the potential cost-effectiveness of the </w:t>
            </w:r>
            <w:proofErr w:type="spellStart"/>
            <w:r w:rsidR="00C743AD" w:rsidRPr="00E7546E">
              <w:rPr>
                <w:rFonts w:ascii="Times New Roman" w:eastAsia="Times New Roman" w:hAnsi="Times New Roman" w:cs="Times New Roman"/>
                <w:color w:val="000000"/>
                <w:sz w:val="24"/>
                <w:szCs w:val="24"/>
                <w:lang w:eastAsia="en-GB"/>
              </w:rPr>
              <w:t>PinPoint</w:t>
            </w:r>
            <w:proofErr w:type="spellEnd"/>
            <w:r w:rsidR="00C743AD" w:rsidRPr="00E7546E">
              <w:rPr>
                <w:rFonts w:ascii="Times New Roman" w:eastAsia="Times New Roman" w:hAnsi="Times New Roman" w:cs="Times New Roman"/>
                <w:color w:val="000000"/>
                <w:sz w:val="24"/>
                <w:szCs w:val="24"/>
                <w:lang w:eastAsia="en-GB"/>
              </w:rPr>
              <w:t xml:space="preserve"> test compared to usual care in primary and secondary care from a UK NHS perspective for patients with </w:t>
            </w:r>
            <w:r w:rsidR="008B09D2">
              <w:rPr>
                <w:rFonts w:ascii="Times New Roman" w:eastAsia="Times New Roman" w:hAnsi="Times New Roman" w:cs="Times New Roman"/>
                <w:color w:val="000000"/>
                <w:sz w:val="24"/>
                <w:szCs w:val="24"/>
                <w:lang w:eastAsia="en-GB"/>
              </w:rPr>
              <w:t xml:space="preserve">urgent </w:t>
            </w:r>
            <w:r w:rsidR="00C743AD" w:rsidRPr="00E7546E">
              <w:rPr>
                <w:rFonts w:ascii="Times New Roman" w:eastAsia="Times New Roman" w:hAnsi="Times New Roman" w:cs="Times New Roman"/>
                <w:color w:val="000000"/>
                <w:sz w:val="24"/>
                <w:szCs w:val="24"/>
                <w:lang w:eastAsia="en-GB"/>
              </w:rPr>
              <w:t>suspected urological cancer, including (</w:t>
            </w:r>
            <w:proofErr w:type="spellStart"/>
            <w:r w:rsidR="00C743AD" w:rsidRPr="00E7546E">
              <w:rPr>
                <w:rFonts w:ascii="Times New Roman" w:eastAsia="Times New Roman" w:hAnsi="Times New Roman" w:cs="Times New Roman"/>
                <w:color w:val="000000"/>
                <w:sz w:val="24"/>
                <w:szCs w:val="24"/>
                <w:lang w:eastAsia="en-GB"/>
              </w:rPr>
              <w:t>i</w:t>
            </w:r>
            <w:proofErr w:type="spellEnd"/>
            <w:r w:rsidR="00C743AD" w:rsidRPr="00E7546E">
              <w:rPr>
                <w:rFonts w:ascii="Times New Roman" w:eastAsia="Times New Roman" w:hAnsi="Times New Roman" w:cs="Times New Roman"/>
                <w:color w:val="000000"/>
                <w:sz w:val="24"/>
                <w:szCs w:val="24"/>
                <w:lang w:eastAsia="en-GB"/>
              </w:rPr>
              <w:t>) prostate cancer; and (ii) bladder and kidney cancer</w:t>
            </w:r>
            <w:r w:rsidR="005B2435" w:rsidRPr="00E7546E">
              <w:rPr>
                <w:rFonts w:ascii="Times New Roman" w:eastAsia="Times New Roman" w:hAnsi="Times New Roman" w:cs="Times New Roman"/>
                <w:color w:val="000000"/>
                <w:sz w:val="24"/>
                <w:szCs w:val="24"/>
                <w:lang w:eastAsia="en-GB"/>
              </w:rPr>
              <w:t xml:space="preserve">. </w:t>
            </w:r>
          </w:p>
          <w:p w14:paraId="543F9759" w14:textId="77777777" w:rsidR="005B2435" w:rsidRPr="00E7546E" w:rsidRDefault="005B2435" w:rsidP="009744C0">
            <w:pPr>
              <w:spacing w:after="120"/>
              <w:contextualSpacing/>
              <w:rPr>
                <w:rFonts w:ascii="Times New Roman" w:eastAsia="Times New Roman" w:hAnsi="Times New Roman" w:cs="Times New Roman"/>
                <w:color w:val="000000"/>
                <w:sz w:val="24"/>
                <w:szCs w:val="24"/>
                <w:lang w:eastAsia="en-GB"/>
              </w:rPr>
            </w:pPr>
          </w:p>
          <w:p w14:paraId="0AE09F6B" w14:textId="77CC9378" w:rsidR="005B2435" w:rsidRPr="00E7546E" w:rsidRDefault="005B2435"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The models focused on the potential application of </w:t>
            </w:r>
            <w:proofErr w:type="spellStart"/>
            <w:r w:rsidRPr="00E7546E">
              <w:rPr>
                <w:rFonts w:ascii="Times New Roman" w:eastAsia="Times New Roman" w:hAnsi="Times New Roman" w:cs="Times New Roman"/>
                <w:color w:val="000000"/>
                <w:sz w:val="24"/>
                <w:szCs w:val="24"/>
                <w:lang w:eastAsia="en-GB"/>
              </w:rPr>
              <w:t>PinPoint</w:t>
            </w:r>
            <w:proofErr w:type="spellEnd"/>
            <w:r w:rsidRPr="00E7546E">
              <w:rPr>
                <w:rFonts w:ascii="Times New Roman" w:eastAsia="Times New Roman" w:hAnsi="Times New Roman" w:cs="Times New Roman"/>
                <w:color w:val="000000"/>
                <w:sz w:val="24"/>
                <w:szCs w:val="24"/>
                <w:lang w:eastAsia="en-GB"/>
              </w:rPr>
              <w:t xml:space="preserve"> test as </w:t>
            </w:r>
            <w:r w:rsidR="00F258AC">
              <w:rPr>
                <w:rFonts w:ascii="Times New Roman" w:eastAsia="Times New Roman" w:hAnsi="Times New Roman" w:cs="Times New Roman"/>
                <w:color w:val="000000"/>
                <w:sz w:val="24"/>
                <w:szCs w:val="24"/>
                <w:lang w:eastAsia="en-GB"/>
              </w:rPr>
              <w:t>(</w:t>
            </w:r>
            <w:proofErr w:type="spellStart"/>
            <w:r w:rsidR="00F258AC">
              <w:rPr>
                <w:rFonts w:ascii="Times New Roman" w:eastAsia="Times New Roman" w:hAnsi="Times New Roman" w:cs="Times New Roman"/>
                <w:color w:val="000000"/>
                <w:sz w:val="24"/>
                <w:szCs w:val="24"/>
                <w:lang w:eastAsia="en-GB"/>
              </w:rPr>
              <w:t>i</w:t>
            </w:r>
            <w:proofErr w:type="spellEnd"/>
            <w:r w:rsidR="00F258AC">
              <w:rPr>
                <w:rFonts w:ascii="Times New Roman" w:eastAsia="Times New Roman" w:hAnsi="Times New Roman" w:cs="Times New Roman"/>
                <w:color w:val="000000"/>
                <w:sz w:val="24"/>
                <w:szCs w:val="24"/>
                <w:lang w:eastAsia="en-GB"/>
              </w:rPr>
              <w:t xml:space="preserve">) </w:t>
            </w:r>
            <w:r w:rsidRPr="00E7546E">
              <w:rPr>
                <w:rFonts w:ascii="Times New Roman" w:eastAsia="Times New Roman" w:hAnsi="Times New Roman" w:cs="Times New Roman"/>
                <w:color w:val="000000"/>
                <w:sz w:val="24"/>
                <w:szCs w:val="24"/>
                <w:lang w:eastAsia="en-GB"/>
              </w:rPr>
              <w:t xml:space="preserve">a prioritisation tool </w:t>
            </w:r>
            <w:r w:rsidR="0070302D" w:rsidRPr="00E7546E">
              <w:rPr>
                <w:rFonts w:ascii="Times New Roman" w:eastAsia="Times New Roman" w:hAnsi="Times New Roman" w:cs="Times New Roman"/>
                <w:color w:val="000000"/>
                <w:sz w:val="24"/>
                <w:szCs w:val="24"/>
                <w:lang w:eastAsia="en-GB"/>
              </w:rPr>
              <w:t>to identify patients with high risk of having cancer who should be fast-tracked for urgent referrals in secondary care for further investigations</w:t>
            </w:r>
            <w:r w:rsidR="00F258AC">
              <w:rPr>
                <w:rFonts w:ascii="Times New Roman" w:eastAsia="Times New Roman" w:hAnsi="Times New Roman" w:cs="Times New Roman"/>
                <w:color w:val="000000"/>
                <w:sz w:val="24"/>
                <w:szCs w:val="24"/>
                <w:lang w:eastAsia="en-GB"/>
              </w:rPr>
              <w:t xml:space="preserve">; and (ii) triage patients with low risk of having cancer and prioritise patients with high risk of having cancer for urgent referral in secondary care. </w:t>
            </w:r>
          </w:p>
          <w:p w14:paraId="19A8063E" w14:textId="66508B55" w:rsidR="00E17F96" w:rsidRPr="00E7546E" w:rsidRDefault="00E17F96" w:rsidP="0021748C">
            <w:pPr>
              <w:spacing w:after="120"/>
              <w:contextualSpacing/>
              <w:rPr>
                <w:rFonts w:ascii="Times New Roman" w:eastAsia="Times New Roman" w:hAnsi="Times New Roman" w:cs="Times New Roman"/>
                <w:color w:val="000000"/>
                <w:sz w:val="24"/>
                <w:szCs w:val="24"/>
                <w:lang w:eastAsia="en-GB"/>
              </w:rPr>
            </w:pPr>
          </w:p>
        </w:tc>
      </w:tr>
      <w:tr w:rsidR="009744C0" w:rsidRPr="00E7546E" w14:paraId="1FC77940" w14:textId="77777777" w:rsidTr="00646FF2">
        <w:trPr>
          <w:trHeight w:val="1037"/>
        </w:trPr>
        <w:tc>
          <w:tcPr>
            <w:tcW w:w="2457" w:type="dxa"/>
          </w:tcPr>
          <w:p w14:paraId="65AD98E8"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Model Outputs</w:t>
            </w:r>
          </w:p>
        </w:tc>
        <w:tc>
          <w:tcPr>
            <w:tcW w:w="827" w:type="dxa"/>
          </w:tcPr>
          <w:p w14:paraId="4FCFDC44"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1.2</w:t>
            </w:r>
          </w:p>
        </w:tc>
        <w:tc>
          <w:tcPr>
            <w:tcW w:w="11742" w:type="dxa"/>
            <w:gridSpan w:val="2"/>
          </w:tcPr>
          <w:p w14:paraId="7441EA53" w14:textId="588C1198" w:rsidR="009744C0" w:rsidRPr="00E7546E" w:rsidRDefault="002C3AAD" w:rsidP="009744C0">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The urological models evaluated t</w:t>
            </w:r>
            <w:r w:rsidR="00A95962" w:rsidRPr="00E7546E">
              <w:rPr>
                <w:rFonts w:ascii="Times New Roman" w:eastAsia="Times New Roman" w:hAnsi="Times New Roman" w:cs="Times New Roman"/>
                <w:color w:val="000000"/>
                <w:sz w:val="24"/>
                <w:szCs w:val="24"/>
                <w:lang w:eastAsia="en-GB"/>
              </w:rPr>
              <w:t>hree</w:t>
            </w:r>
            <w:r w:rsidR="00A43455" w:rsidRPr="00E7546E">
              <w:rPr>
                <w:rFonts w:ascii="Times New Roman" w:eastAsia="Times New Roman" w:hAnsi="Times New Roman" w:cs="Times New Roman"/>
                <w:color w:val="000000"/>
                <w:sz w:val="24"/>
                <w:szCs w:val="24"/>
                <w:lang w:eastAsia="en-GB"/>
              </w:rPr>
              <w:t xml:space="preserve"> primary outcome</w:t>
            </w:r>
            <w:r w:rsidR="006D36B1" w:rsidRPr="00E7546E">
              <w:rPr>
                <w:rFonts w:ascii="Times New Roman" w:eastAsia="Times New Roman" w:hAnsi="Times New Roman" w:cs="Times New Roman"/>
                <w:color w:val="000000"/>
                <w:sz w:val="24"/>
                <w:szCs w:val="24"/>
                <w:lang w:eastAsia="en-GB"/>
              </w:rPr>
              <w:t>s</w:t>
            </w:r>
            <w:r w:rsidRPr="00E7546E">
              <w:rPr>
                <w:rFonts w:ascii="Times New Roman" w:eastAsia="Times New Roman" w:hAnsi="Times New Roman" w:cs="Times New Roman"/>
                <w:color w:val="000000"/>
                <w:sz w:val="24"/>
                <w:szCs w:val="24"/>
                <w:lang w:eastAsia="en-GB"/>
              </w:rPr>
              <w:t>, including</w:t>
            </w:r>
            <w:r w:rsidR="00A43455" w:rsidRPr="00E7546E">
              <w:rPr>
                <w:rFonts w:ascii="Times New Roman" w:eastAsia="Times New Roman" w:hAnsi="Times New Roman" w:cs="Times New Roman"/>
                <w:color w:val="000000"/>
                <w:sz w:val="24"/>
                <w:szCs w:val="24"/>
                <w:lang w:eastAsia="en-GB"/>
              </w:rPr>
              <w:t>: (</w:t>
            </w:r>
            <w:proofErr w:type="spellStart"/>
            <w:r w:rsidR="00A43455" w:rsidRPr="00E7546E">
              <w:rPr>
                <w:rFonts w:ascii="Times New Roman" w:eastAsia="Times New Roman" w:hAnsi="Times New Roman" w:cs="Times New Roman"/>
                <w:color w:val="000000"/>
                <w:sz w:val="24"/>
                <w:szCs w:val="24"/>
                <w:lang w:eastAsia="en-GB"/>
              </w:rPr>
              <w:t>i</w:t>
            </w:r>
            <w:proofErr w:type="spellEnd"/>
            <w:r w:rsidR="00A43455" w:rsidRPr="00E7546E">
              <w:rPr>
                <w:rFonts w:ascii="Times New Roman" w:eastAsia="Times New Roman" w:hAnsi="Times New Roman" w:cs="Times New Roman"/>
                <w:color w:val="000000"/>
                <w:sz w:val="24"/>
                <w:szCs w:val="24"/>
                <w:lang w:eastAsia="en-GB"/>
              </w:rPr>
              <w:t>) referral patterns (</w:t>
            </w:r>
            <w:proofErr w:type="gramStart"/>
            <w:r w:rsidR="004B132D" w:rsidRPr="00E7546E">
              <w:rPr>
                <w:rFonts w:ascii="Times New Roman" w:eastAsia="Times New Roman" w:hAnsi="Times New Roman" w:cs="Times New Roman"/>
                <w:color w:val="000000"/>
                <w:sz w:val="24"/>
                <w:szCs w:val="24"/>
                <w:lang w:eastAsia="en-GB"/>
              </w:rPr>
              <w:t>i.e.</w:t>
            </w:r>
            <w:proofErr w:type="gramEnd"/>
            <w:r w:rsidR="004B132D" w:rsidRPr="00E7546E">
              <w:rPr>
                <w:rFonts w:ascii="Times New Roman" w:eastAsia="Times New Roman" w:hAnsi="Times New Roman" w:cs="Times New Roman"/>
                <w:color w:val="000000"/>
                <w:sz w:val="24"/>
                <w:szCs w:val="24"/>
                <w:lang w:eastAsia="en-GB"/>
              </w:rPr>
              <w:t xml:space="preserve"> number of patients referred and not referred, number of patients seen within </w:t>
            </w:r>
            <w:r w:rsidR="00654BBC" w:rsidRPr="00E7546E">
              <w:rPr>
                <w:rFonts w:ascii="Times New Roman" w:eastAsia="Times New Roman" w:hAnsi="Times New Roman" w:cs="Times New Roman"/>
                <w:color w:val="000000"/>
                <w:sz w:val="24"/>
                <w:szCs w:val="24"/>
                <w:lang w:eastAsia="en-GB"/>
              </w:rPr>
              <w:t xml:space="preserve">and </w:t>
            </w:r>
            <w:r w:rsidR="004B132D" w:rsidRPr="00E7546E">
              <w:rPr>
                <w:rFonts w:ascii="Times New Roman" w:eastAsia="Times New Roman" w:hAnsi="Times New Roman" w:cs="Times New Roman"/>
                <w:color w:val="000000"/>
                <w:sz w:val="24"/>
                <w:szCs w:val="24"/>
                <w:lang w:eastAsia="en-GB"/>
              </w:rPr>
              <w:t xml:space="preserve">two weeks, number of </w:t>
            </w:r>
            <w:r w:rsidR="00654BBC" w:rsidRPr="00E7546E">
              <w:rPr>
                <w:rFonts w:ascii="Times New Roman" w:eastAsia="Times New Roman" w:hAnsi="Times New Roman" w:cs="Times New Roman"/>
                <w:color w:val="000000"/>
                <w:sz w:val="24"/>
                <w:szCs w:val="24"/>
                <w:lang w:eastAsia="en-GB"/>
              </w:rPr>
              <w:t>patients seen after 28 days); and (iii) total costs</w:t>
            </w:r>
            <w:r w:rsidR="00EE072C" w:rsidRPr="00E7546E">
              <w:rPr>
                <w:rFonts w:ascii="Times New Roman" w:eastAsia="Times New Roman" w:hAnsi="Times New Roman" w:cs="Times New Roman"/>
                <w:color w:val="000000"/>
                <w:sz w:val="24"/>
                <w:szCs w:val="24"/>
                <w:lang w:eastAsia="en-GB"/>
              </w:rPr>
              <w:t>.</w:t>
            </w:r>
          </w:p>
        </w:tc>
      </w:tr>
      <w:tr w:rsidR="009744C0" w:rsidRPr="00E7546E" w14:paraId="3724FE24" w14:textId="77777777" w:rsidTr="00646FF2">
        <w:tc>
          <w:tcPr>
            <w:tcW w:w="2457" w:type="dxa"/>
          </w:tcPr>
          <w:p w14:paraId="428352E8"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Experimentation Aims</w:t>
            </w:r>
          </w:p>
        </w:tc>
        <w:tc>
          <w:tcPr>
            <w:tcW w:w="827" w:type="dxa"/>
          </w:tcPr>
          <w:p w14:paraId="43107323"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1.3</w:t>
            </w:r>
          </w:p>
        </w:tc>
        <w:tc>
          <w:tcPr>
            <w:tcW w:w="11742" w:type="dxa"/>
            <w:gridSpan w:val="2"/>
          </w:tcPr>
          <w:p w14:paraId="59927697" w14:textId="415D6161" w:rsidR="005C083F" w:rsidRPr="00E7546E" w:rsidRDefault="00901B27"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The experimental aims </w:t>
            </w:r>
            <w:r w:rsidR="004F16D3" w:rsidRPr="00E7546E">
              <w:rPr>
                <w:rFonts w:ascii="Times New Roman" w:eastAsia="Times New Roman" w:hAnsi="Times New Roman" w:cs="Times New Roman"/>
                <w:color w:val="000000"/>
                <w:sz w:val="24"/>
                <w:szCs w:val="24"/>
                <w:lang w:eastAsia="en-GB"/>
              </w:rPr>
              <w:t>of th</w:t>
            </w:r>
            <w:r w:rsidR="002C3AAD" w:rsidRPr="00E7546E">
              <w:rPr>
                <w:rFonts w:ascii="Times New Roman" w:eastAsia="Times New Roman" w:hAnsi="Times New Roman" w:cs="Times New Roman"/>
                <w:color w:val="000000"/>
                <w:sz w:val="24"/>
                <w:szCs w:val="24"/>
                <w:lang w:eastAsia="en-GB"/>
              </w:rPr>
              <w:t>ese</w:t>
            </w:r>
            <w:r w:rsidR="004F16D3" w:rsidRPr="00E7546E">
              <w:rPr>
                <w:rFonts w:ascii="Times New Roman" w:eastAsia="Times New Roman" w:hAnsi="Times New Roman" w:cs="Times New Roman"/>
                <w:color w:val="000000"/>
                <w:sz w:val="24"/>
                <w:szCs w:val="24"/>
                <w:lang w:eastAsia="en-GB"/>
              </w:rPr>
              <w:t xml:space="preserve"> model</w:t>
            </w:r>
            <w:r w:rsidR="002C3AAD" w:rsidRPr="00E7546E">
              <w:rPr>
                <w:rFonts w:ascii="Times New Roman" w:eastAsia="Times New Roman" w:hAnsi="Times New Roman" w:cs="Times New Roman"/>
                <w:color w:val="000000"/>
                <w:sz w:val="24"/>
                <w:szCs w:val="24"/>
                <w:lang w:eastAsia="en-GB"/>
              </w:rPr>
              <w:t>s</w:t>
            </w:r>
            <w:r w:rsidR="004F16D3" w:rsidRPr="00E7546E">
              <w:rPr>
                <w:rFonts w:ascii="Times New Roman" w:eastAsia="Times New Roman" w:hAnsi="Times New Roman" w:cs="Times New Roman"/>
                <w:color w:val="000000"/>
                <w:sz w:val="24"/>
                <w:szCs w:val="24"/>
                <w:lang w:eastAsia="en-GB"/>
              </w:rPr>
              <w:t xml:space="preserve"> were </w:t>
            </w:r>
            <w:r w:rsidR="000656E8" w:rsidRPr="00E7546E">
              <w:rPr>
                <w:rFonts w:ascii="Times New Roman" w:eastAsia="Times New Roman" w:hAnsi="Times New Roman" w:cs="Times New Roman"/>
                <w:color w:val="000000"/>
                <w:sz w:val="24"/>
                <w:szCs w:val="24"/>
                <w:lang w:eastAsia="en-GB"/>
              </w:rPr>
              <w:t>two-fold, including: (</w:t>
            </w:r>
            <w:proofErr w:type="spellStart"/>
            <w:r w:rsidR="000656E8" w:rsidRPr="00E7546E">
              <w:rPr>
                <w:rFonts w:ascii="Times New Roman" w:eastAsia="Times New Roman" w:hAnsi="Times New Roman" w:cs="Times New Roman"/>
                <w:color w:val="000000"/>
                <w:sz w:val="24"/>
                <w:szCs w:val="24"/>
                <w:lang w:eastAsia="en-GB"/>
              </w:rPr>
              <w:t>i</w:t>
            </w:r>
            <w:proofErr w:type="spellEnd"/>
            <w:r w:rsidR="000656E8" w:rsidRPr="00E7546E">
              <w:rPr>
                <w:rFonts w:ascii="Times New Roman" w:eastAsia="Times New Roman" w:hAnsi="Times New Roman" w:cs="Times New Roman"/>
                <w:color w:val="000000"/>
                <w:sz w:val="24"/>
                <w:szCs w:val="24"/>
                <w:lang w:eastAsia="en-GB"/>
              </w:rPr>
              <w:t xml:space="preserve">) </w:t>
            </w:r>
            <w:r w:rsidR="004F16D3" w:rsidRPr="00E7546E">
              <w:rPr>
                <w:rFonts w:ascii="Times New Roman" w:eastAsia="Times New Roman" w:hAnsi="Times New Roman" w:cs="Times New Roman"/>
                <w:color w:val="000000"/>
                <w:sz w:val="24"/>
                <w:szCs w:val="24"/>
                <w:lang w:eastAsia="en-GB"/>
              </w:rPr>
              <w:t xml:space="preserve">to </w:t>
            </w:r>
            <w:r w:rsidR="00C96AD1" w:rsidRPr="00E7546E">
              <w:rPr>
                <w:rFonts w:ascii="Times New Roman" w:eastAsia="Times New Roman" w:hAnsi="Times New Roman" w:cs="Times New Roman"/>
                <w:color w:val="000000"/>
                <w:sz w:val="24"/>
                <w:szCs w:val="24"/>
                <w:lang w:eastAsia="en-GB"/>
              </w:rPr>
              <w:t xml:space="preserve">determine the impact of the </w:t>
            </w:r>
            <w:proofErr w:type="spellStart"/>
            <w:r w:rsidR="00C96AD1" w:rsidRPr="00E7546E">
              <w:rPr>
                <w:rFonts w:ascii="Times New Roman" w:eastAsia="Times New Roman" w:hAnsi="Times New Roman" w:cs="Times New Roman"/>
                <w:color w:val="000000"/>
                <w:sz w:val="24"/>
                <w:szCs w:val="24"/>
                <w:lang w:eastAsia="en-GB"/>
              </w:rPr>
              <w:t>PinPoint</w:t>
            </w:r>
            <w:proofErr w:type="spellEnd"/>
            <w:r w:rsidR="00C96AD1" w:rsidRPr="00E7546E">
              <w:rPr>
                <w:rFonts w:ascii="Times New Roman" w:eastAsia="Times New Roman" w:hAnsi="Times New Roman" w:cs="Times New Roman"/>
                <w:color w:val="000000"/>
                <w:sz w:val="24"/>
                <w:szCs w:val="24"/>
                <w:lang w:eastAsia="en-GB"/>
              </w:rPr>
              <w:t xml:space="preserve"> test used as a </w:t>
            </w:r>
            <w:r w:rsidR="00F258AC">
              <w:rPr>
                <w:rFonts w:ascii="Times New Roman" w:eastAsia="Times New Roman" w:hAnsi="Times New Roman" w:cs="Times New Roman"/>
                <w:color w:val="000000"/>
                <w:sz w:val="24"/>
                <w:szCs w:val="24"/>
                <w:lang w:eastAsia="en-GB"/>
              </w:rPr>
              <w:t xml:space="preserve">triage and/or </w:t>
            </w:r>
            <w:r w:rsidR="00C96AD1" w:rsidRPr="00E7546E">
              <w:rPr>
                <w:rFonts w:ascii="Times New Roman" w:eastAsia="Times New Roman" w:hAnsi="Times New Roman" w:cs="Times New Roman"/>
                <w:color w:val="000000"/>
                <w:sz w:val="24"/>
                <w:szCs w:val="24"/>
                <w:lang w:eastAsia="en-GB"/>
              </w:rPr>
              <w:t>p</w:t>
            </w:r>
            <w:r w:rsidR="00D20518" w:rsidRPr="00E7546E">
              <w:rPr>
                <w:rFonts w:ascii="Times New Roman" w:eastAsia="Times New Roman" w:hAnsi="Times New Roman" w:cs="Times New Roman"/>
                <w:color w:val="000000"/>
                <w:sz w:val="24"/>
                <w:szCs w:val="24"/>
                <w:lang w:eastAsia="en-GB"/>
              </w:rPr>
              <w:t xml:space="preserve">rioritisation tool on the ability of secondary care </w:t>
            </w:r>
            <w:r w:rsidR="009F6F60" w:rsidRPr="00E7546E">
              <w:rPr>
                <w:rFonts w:ascii="Times New Roman" w:eastAsia="Times New Roman" w:hAnsi="Times New Roman" w:cs="Times New Roman"/>
                <w:color w:val="000000"/>
                <w:sz w:val="24"/>
                <w:szCs w:val="24"/>
                <w:lang w:eastAsia="en-GB"/>
              </w:rPr>
              <w:t xml:space="preserve">cancer clinics to see </w:t>
            </w:r>
            <w:r w:rsidR="00DE68BE" w:rsidRPr="00E7546E">
              <w:rPr>
                <w:rFonts w:ascii="Times New Roman" w:eastAsia="Times New Roman" w:hAnsi="Times New Roman" w:cs="Times New Roman"/>
                <w:color w:val="000000"/>
                <w:sz w:val="24"/>
                <w:szCs w:val="24"/>
                <w:lang w:eastAsia="en-GB"/>
              </w:rPr>
              <w:t xml:space="preserve">more </w:t>
            </w:r>
            <w:r w:rsidR="009F6F60" w:rsidRPr="00E7546E">
              <w:rPr>
                <w:rFonts w:ascii="Times New Roman" w:eastAsia="Times New Roman" w:hAnsi="Times New Roman" w:cs="Times New Roman"/>
                <w:color w:val="000000"/>
                <w:sz w:val="24"/>
                <w:szCs w:val="24"/>
                <w:lang w:eastAsia="en-GB"/>
              </w:rPr>
              <w:t xml:space="preserve">patients </w:t>
            </w:r>
            <w:r w:rsidR="00DE68BE" w:rsidRPr="00E7546E">
              <w:rPr>
                <w:rFonts w:ascii="Times New Roman" w:eastAsia="Times New Roman" w:hAnsi="Times New Roman" w:cs="Times New Roman"/>
                <w:color w:val="000000"/>
                <w:sz w:val="24"/>
                <w:szCs w:val="24"/>
                <w:lang w:eastAsia="en-GB"/>
              </w:rPr>
              <w:t xml:space="preserve">in a </w:t>
            </w:r>
            <w:proofErr w:type="gramStart"/>
            <w:r w:rsidR="00DE68BE" w:rsidRPr="00E7546E">
              <w:rPr>
                <w:rFonts w:ascii="Times New Roman" w:eastAsia="Times New Roman" w:hAnsi="Times New Roman" w:cs="Times New Roman"/>
                <w:color w:val="000000"/>
                <w:sz w:val="24"/>
                <w:szCs w:val="24"/>
                <w:lang w:eastAsia="en-GB"/>
              </w:rPr>
              <w:t>more timely</w:t>
            </w:r>
            <w:proofErr w:type="gramEnd"/>
            <w:r w:rsidR="00DE68BE" w:rsidRPr="00E7546E">
              <w:rPr>
                <w:rFonts w:ascii="Times New Roman" w:eastAsia="Times New Roman" w:hAnsi="Times New Roman" w:cs="Times New Roman"/>
                <w:color w:val="000000"/>
                <w:sz w:val="24"/>
                <w:szCs w:val="24"/>
                <w:lang w:eastAsia="en-GB"/>
              </w:rPr>
              <w:t xml:space="preserve"> manner </w:t>
            </w:r>
            <w:r w:rsidR="005224AB" w:rsidRPr="00E7546E">
              <w:rPr>
                <w:rFonts w:ascii="Times New Roman" w:eastAsia="Times New Roman" w:hAnsi="Times New Roman" w:cs="Times New Roman"/>
                <w:color w:val="000000"/>
                <w:sz w:val="24"/>
                <w:szCs w:val="24"/>
                <w:lang w:eastAsia="en-GB"/>
              </w:rPr>
              <w:t>upon GP referral</w:t>
            </w:r>
            <w:r w:rsidR="00DE68BE" w:rsidRPr="00E7546E">
              <w:rPr>
                <w:rFonts w:ascii="Times New Roman" w:eastAsia="Times New Roman" w:hAnsi="Times New Roman" w:cs="Times New Roman"/>
                <w:color w:val="000000"/>
                <w:sz w:val="24"/>
                <w:szCs w:val="24"/>
                <w:lang w:eastAsia="en-GB"/>
              </w:rPr>
              <w:t xml:space="preserve">; (ii) to </w:t>
            </w:r>
            <w:r w:rsidR="00753F4B" w:rsidRPr="00E7546E">
              <w:rPr>
                <w:rFonts w:ascii="Times New Roman" w:eastAsia="Times New Roman" w:hAnsi="Times New Roman" w:cs="Times New Roman"/>
                <w:color w:val="000000"/>
                <w:sz w:val="24"/>
                <w:szCs w:val="24"/>
                <w:lang w:eastAsia="en-GB"/>
              </w:rPr>
              <w:t>evaluate</w:t>
            </w:r>
            <w:r w:rsidR="00DE68BE" w:rsidRPr="00E7546E">
              <w:rPr>
                <w:rFonts w:ascii="Times New Roman" w:eastAsia="Times New Roman" w:hAnsi="Times New Roman" w:cs="Times New Roman"/>
                <w:color w:val="000000"/>
                <w:sz w:val="24"/>
                <w:szCs w:val="24"/>
                <w:lang w:eastAsia="en-GB"/>
              </w:rPr>
              <w:t xml:space="preserve"> the cost-effectiveness of </w:t>
            </w:r>
            <w:proofErr w:type="spellStart"/>
            <w:r w:rsidR="00DE68BE" w:rsidRPr="00E7546E">
              <w:rPr>
                <w:rFonts w:ascii="Times New Roman" w:eastAsia="Times New Roman" w:hAnsi="Times New Roman" w:cs="Times New Roman"/>
                <w:color w:val="000000"/>
                <w:sz w:val="24"/>
                <w:szCs w:val="24"/>
                <w:lang w:eastAsia="en-GB"/>
              </w:rPr>
              <w:t>PinPoint</w:t>
            </w:r>
            <w:proofErr w:type="spellEnd"/>
            <w:r w:rsidR="00DE68BE" w:rsidRPr="00E7546E">
              <w:rPr>
                <w:rFonts w:ascii="Times New Roman" w:eastAsia="Times New Roman" w:hAnsi="Times New Roman" w:cs="Times New Roman"/>
                <w:color w:val="000000"/>
                <w:sz w:val="24"/>
                <w:szCs w:val="24"/>
                <w:lang w:eastAsia="en-GB"/>
              </w:rPr>
              <w:t xml:space="preserve"> test </w:t>
            </w:r>
            <w:r w:rsidR="009C45B2" w:rsidRPr="00E7546E">
              <w:rPr>
                <w:rFonts w:ascii="Times New Roman" w:eastAsia="Times New Roman" w:hAnsi="Times New Roman" w:cs="Times New Roman"/>
                <w:color w:val="000000"/>
                <w:sz w:val="24"/>
                <w:szCs w:val="24"/>
                <w:lang w:eastAsia="en-GB"/>
              </w:rPr>
              <w:t>compared to usual care</w:t>
            </w:r>
            <w:r w:rsidR="002C3AAD" w:rsidRPr="00E7546E">
              <w:rPr>
                <w:rFonts w:ascii="Times New Roman" w:eastAsia="Times New Roman" w:hAnsi="Times New Roman" w:cs="Times New Roman"/>
                <w:color w:val="000000"/>
                <w:sz w:val="24"/>
                <w:szCs w:val="24"/>
                <w:lang w:eastAsia="en-GB"/>
              </w:rPr>
              <w:t xml:space="preserve">. </w:t>
            </w:r>
          </w:p>
          <w:p w14:paraId="3AE75D5A" w14:textId="77777777" w:rsidR="005C083F" w:rsidRPr="00E7546E" w:rsidRDefault="005C083F" w:rsidP="009744C0">
            <w:pPr>
              <w:spacing w:after="120"/>
              <w:contextualSpacing/>
              <w:rPr>
                <w:rFonts w:ascii="Times New Roman" w:eastAsia="Times New Roman" w:hAnsi="Times New Roman" w:cs="Times New Roman"/>
                <w:color w:val="000000"/>
                <w:sz w:val="24"/>
                <w:szCs w:val="24"/>
                <w:lang w:eastAsia="en-GB"/>
              </w:rPr>
            </w:pPr>
          </w:p>
          <w:p w14:paraId="691DCBEC" w14:textId="5B194538" w:rsidR="009744C0" w:rsidRPr="00E7546E" w:rsidRDefault="005C083F"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The findings of these early economic models should be considered exploratory</w:t>
            </w:r>
            <w:r w:rsidR="0042744B" w:rsidRPr="00E7546E">
              <w:rPr>
                <w:rFonts w:ascii="Times New Roman" w:eastAsia="Times New Roman" w:hAnsi="Times New Roman" w:cs="Times New Roman"/>
                <w:color w:val="000000"/>
                <w:sz w:val="24"/>
                <w:szCs w:val="24"/>
                <w:lang w:eastAsia="en-GB"/>
              </w:rPr>
              <w:t xml:space="preserve"> onl</w:t>
            </w:r>
            <w:r w:rsidR="005A753D" w:rsidRPr="00E7546E">
              <w:rPr>
                <w:rFonts w:ascii="Times New Roman" w:eastAsia="Times New Roman" w:hAnsi="Times New Roman" w:cs="Times New Roman"/>
                <w:color w:val="000000"/>
                <w:sz w:val="24"/>
                <w:szCs w:val="24"/>
                <w:lang w:eastAsia="en-GB"/>
              </w:rPr>
              <w:t xml:space="preserve">y as the early development stages of the </w:t>
            </w:r>
            <w:proofErr w:type="spellStart"/>
            <w:r w:rsidR="005A753D" w:rsidRPr="00E7546E">
              <w:rPr>
                <w:rFonts w:ascii="Times New Roman" w:eastAsia="Times New Roman" w:hAnsi="Times New Roman" w:cs="Times New Roman"/>
                <w:color w:val="000000"/>
                <w:sz w:val="24"/>
                <w:szCs w:val="24"/>
                <w:lang w:eastAsia="en-GB"/>
              </w:rPr>
              <w:t>PinPoint</w:t>
            </w:r>
            <w:proofErr w:type="spellEnd"/>
            <w:r w:rsidR="005A753D" w:rsidRPr="00E7546E">
              <w:rPr>
                <w:rFonts w:ascii="Times New Roman" w:eastAsia="Times New Roman" w:hAnsi="Times New Roman" w:cs="Times New Roman"/>
                <w:color w:val="000000"/>
                <w:sz w:val="24"/>
                <w:szCs w:val="24"/>
                <w:lang w:eastAsia="en-GB"/>
              </w:rPr>
              <w:t xml:space="preserve"> test. </w:t>
            </w:r>
            <w:r w:rsidR="0058786C" w:rsidRPr="00E7546E">
              <w:rPr>
                <w:rFonts w:ascii="Times New Roman" w:eastAsia="Times New Roman" w:hAnsi="Times New Roman" w:cs="Times New Roman"/>
                <w:color w:val="000000"/>
                <w:sz w:val="24"/>
                <w:szCs w:val="24"/>
                <w:lang w:eastAsia="en-GB"/>
              </w:rPr>
              <w:t xml:space="preserve"> </w:t>
            </w:r>
            <w:r w:rsidR="002F31D1" w:rsidRPr="00E7546E">
              <w:rPr>
                <w:rFonts w:ascii="Times New Roman" w:eastAsia="Times New Roman" w:hAnsi="Times New Roman" w:cs="Times New Roman"/>
                <w:color w:val="000000"/>
                <w:sz w:val="24"/>
                <w:szCs w:val="24"/>
                <w:lang w:eastAsia="en-GB"/>
              </w:rPr>
              <w:t xml:space="preserve"> </w:t>
            </w:r>
          </w:p>
        </w:tc>
      </w:tr>
      <w:tr w:rsidR="009744C0" w:rsidRPr="00E7546E" w14:paraId="36CD88F4" w14:textId="77777777" w:rsidTr="00646FF2">
        <w:tc>
          <w:tcPr>
            <w:tcW w:w="2457" w:type="dxa"/>
          </w:tcPr>
          <w:p w14:paraId="21368A04" w14:textId="77777777" w:rsidR="009744C0" w:rsidRPr="00E7546E" w:rsidRDefault="009744C0" w:rsidP="009744C0">
            <w:pPr>
              <w:numPr>
                <w:ilvl w:val="0"/>
                <w:numId w:val="1"/>
              </w:numPr>
              <w:contextualSpacing/>
              <w:rPr>
                <w:rFonts w:ascii="Times New Roman" w:eastAsia="Times New Roman" w:hAnsi="Times New Roman" w:cs="Times New Roman"/>
                <w:b/>
                <w:bCs/>
                <w:color w:val="000000"/>
                <w:sz w:val="24"/>
                <w:szCs w:val="24"/>
                <w:lang w:eastAsia="en-GB"/>
              </w:rPr>
            </w:pPr>
            <w:r w:rsidRPr="00E7546E">
              <w:rPr>
                <w:rFonts w:ascii="Times New Roman" w:eastAsia="Times New Roman" w:hAnsi="Times New Roman" w:cs="Times New Roman"/>
                <w:b/>
                <w:bCs/>
                <w:color w:val="000000"/>
                <w:sz w:val="24"/>
                <w:szCs w:val="24"/>
                <w:lang w:eastAsia="en-GB"/>
              </w:rPr>
              <w:t>Logic</w:t>
            </w:r>
          </w:p>
        </w:tc>
        <w:tc>
          <w:tcPr>
            <w:tcW w:w="12569" w:type="dxa"/>
            <w:gridSpan w:val="3"/>
          </w:tcPr>
          <w:p w14:paraId="44597440"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p>
        </w:tc>
      </w:tr>
      <w:tr w:rsidR="009744C0" w:rsidRPr="00E7546E" w14:paraId="39BEFDB3" w14:textId="77777777" w:rsidTr="00646FF2">
        <w:tc>
          <w:tcPr>
            <w:tcW w:w="2457" w:type="dxa"/>
          </w:tcPr>
          <w:p w14:paraId="060BB9FB"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lastRenderedPageBreak/>
              <w:t>Base model overview diagram</w:t>
            </w:r>
          </w:p>
        </w:tc>
        <w:tc>
          <w:tcPr>
            <w:tcW w:w="827" w:type="dxa"/>
          </w:tcPr>
          <w:p w14:paraId="0AEA94A6"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2.1</w:t>
            </w:r>
          </w:p>
        </w:tc>
        <w:tc>
          <w:tcPr>
            <w:tcW w:w="11742" w:type="dxa"/>
            <w:gridSpan w:val="2"/>
          </w:tcPr>
          <w:p w14:paraId="466CB7B9" w14:textId="77777777" w:rsidR="009744C0" w:rsidRDefault="001626A5"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The structure of the urological models is presented in </w:t>
            </w:r>
            <w:r w:rsidR="00B07F4C" w:rsidRPr="00E7546E">
              <w:rPr>
                <w:rFonts w:ascii="Times New Roman" w:eastAsia="Times New Roman" w:hAnsi="Times New Roman" w:cs="Times New Roman"/>
                <w:b/>
                <w:bCs/>
                <w:color w:val="000000"/>
                <w:sz w:val="24"/>
                <w:szCs w:val="24"/>
                <w:lang w:eastAsia="en-GB"/>
              </w:rPr>
              <w:t>Figure 1</w:t>
            </w:r>
            <w:r w:rsidR="00BF2F9B" w:rsidRPr="00E7546E">
              <w:rPr>
                <w:rFonts w:ascii="Times New Roman" w:eastAsia="Times New Roman" w:hAnsi="Times New Roman" w:cs="Times New Roman"/>
                <w:color w:val="000000"/>
                <w:sz w:val="24"/>
                <w:szCs w:val="24"/>
                <w:lang w:eastAsia="en-GB"/>
              </w:rPr>
              <w:t xml:space="preserve">. </w:t>
            </w:r>
          </w:p>
          <w:p w14:paraId="282518B6" w14:textId="77777777" w:rsidR="002344CA" w:rsidRDefault="002344CA" w:rsidP="009744C0">
            <w:pPr>
              <w:spacing w:after="120"/>
              <w:contextualSpacing/>
              <w:rPr>
                <w:rFonts w:ascii="Times New Roman" w:eastAsia="Times New Roman" w:hAnsi="Times New Roman" w:cs="Times New Roman"/>
                <w:color w:val="000000"/>
                <w:sz w:val="24"/>
                <w:szCs w:val="24"/>
                <w:lang w:eastAsia="en-GB"/>
              </w:rPr>
            </w:pPr>
          </w:p>
          <w:p w14:paraId="2493077F" w14:textId="440932F7" w:rsidR="002344CA" w:rsidRPr="002344CA" w:rsidRDefault="002344CA" w:rsidP="002344CA">
            <w:pPr>
              <w:spacing w:after="120"/>
              <w:contextualSpacing/>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It was decided to develop a discrete event simulation (DES) model due to the </w:t>
            </w:r>
            <w:r w:rsidRPr="002344CA">
              <w:rPr>
                <w:rFonts w:ascii="Times New Roman" w:eastAsia="Times New Roman" w:hAnsi="Times New Roman" w:cs="Times New Roman"/>
                <w:color w:val="000000"/>
                <w:sz w:val="24"/>
                <w:szCs w:val="24"/>
                <w:lang w:eastAsia="en-GB"/>
              </w:rPr>
              <w:t>primary advantages of DES modelling</w:t>
            </w:r>
            <w:r>
              <w:rPr>
                <w:rFonts w:ascii="Times New Roman" w:eastAsia="Times New Roman" w:hAnsi="Times New Roman" w:cs="Times New Roman"/>
                <w:color w:val="000000"/>
                <w:sz w:val="24"/>
                <w:szCs w:val="24"/>
                <w:lang w:eastAsia="en-GB"/>
              </w:rPr>
              <w:t>, including</w:t>
            </w:r>
            <w:r w:rsidRPr="002344CA">
              <w:rPr>
                <w:rFonts w:ascii="Times New Roman" w:eastAsia="Times New Roman" w:hAnsi="Times New Roman" w:cs="Times New Roman"/>
                <w:color w:val="000000"/>
                <w:sz w:val="24"/>
                <w:szCs w:val="24"/>
                <w:lang w:eastAsia="en-GB"/>
              </w:rPr>
              <w:t>: (</w:t>
            </w:r>
            <w:proofErr w:type="spellStart"/>
            <w:r w:rsidRPr="002344CA">
              <w:rPr>
                <w:rFonts w:ascii="Times New Roman" w:eastAsia="Times New Roman" w:hAnsi="Times New Roman" w:cs="Times New Roman"/>
                <w:color w:val="000000"/>
                <w:sz w:val="24"/>
                <w:szCs w:val="24"/>
                <w:lang w:eastAsia="en-GB"/>
              </w:rPr>
              <w:t>i</w:t>
            </w:r>
            <w:proofErr w:type="spellEnd"/>
            <w:r w:rsidRPr="002344CA">
              <w:rPr>
                <w:rFonts w:ascii="Times New Roman" w:eastAsia="Times New Roman" w:hAnsi="Times New Roman" w:cs="Times New Roman"/>
                <w:color w:val="000000"/>
                <w:sz w:val="24"/>
                <w:szCs w:val="24"/>
                <w:lang w:eastAsia="en-GB"/>
              </w:rPr>
              <w:t xml:space="preserve">) the ability to accurately measure the timing of events, and their associated costs and outcomes; (iii) the ability to capture a sequence of hospital processes patients suspected with urological cancer undergo; and (iv) the ability to capture capacity constraints and queues in the system (i.e. limited capacity to see patients within two weeks upon GP referral) </w:t>
            </w:r>
            <w:r w:rsidRPr="002344CA">
              <w:rPr>
                <w:rFonts w:ascii="Times New Roman" w:eastAsia="Times New Roman" w:hAnsi="Times New Roman" w:cs="Times New Roman"/>
                <w:color w:val="000000"/>
                <w:sz w:val="24"/>
                <w:szCs w:val="24"/>
                <w:lang w:eastAsia="en-GB"/>
              </w:rPr>
              <w:fldChar w:fldCharType="begin">
                <w:fldData xml:space="preserve">PEVuZE5vdGU+PENpdGU+PEF1dGhvcj5CcmVubmFuPC9BdXRob3I+PFllYXI+MjAwNjwvWWVhcj48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</w:fldData>
              </w:fldChar>
            </w:r>
            <w:r w:rsidR="00AE3D70">
              <w:rPr>
                <w:rFonts w:ascii="Times New Roman" w:eastAsia="Times New Roman" w:hAnsi="Times New Roman" w:cs="Times New Roman"/>
                <w:color w:val="000000"/>
                <w:sz w:val="24"/>
                <w:szCs w:val="24"/>
                <w:lang w:eastAsia="en-GB"/>
              </w:rPr>
              <w:instrText xml:space="preserve"> ADDIN EN.CITE </w:instrText>
            </w:r>
            <w:r w:rsidR="00AE3D70">
              <w:rPr>
                <w:rFonts w:ascii="Times New Roman" w:eastAsia="Times New Roman" w:hAnsi="Times New Roman" w:cs="Times New Roman"/>
                <w:color w:val="000000"/>
                <w:sz w:val="24"/>
                <w:szCs w:val="24"/>
                <w:lang w:eastAsia="en-GB"/>
              </w:rPr>
              <w:fldChar w:fldCharType="begin">
                <w:fldData xml:space="preserve">PEVuZE5vdGU+PENpdGU+PEF1dGhvcj5CcmVubmFuPC9BdXRob3I+PFllYXI+MjAwNjwvWWVhcj48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</w:fldData>
              </w:fldChar>
            </w:r>
            <w:r w:rsidR="00AE3D70">
              <w:rPr>
                <w:rFonts w:ascii="Times New Roman" w:eastAsia="Times New Roman" w:hAnsi="Times New Roman" w:cs="Times New Roman"/>
                <w:color w:val="000000"/>
                <w:sz w:val="24"/>
                <w:szCs w:val="24"/>
                <w:lang w:eastAsia="en-GB"/>
              </w:rPr>
              <w:instrText xml:space="preserve"> ADDIN EN.CITE.DATA </w:instrText>
            </w:r>
            <w:r w:rsidR="00AE3D70">
              <w:rPr>
                <w:rFonts w:ascii="Times New Roman" w:eastAsia="Times New Roman" w:hAnsi="Times New Roman" w:cs="Times New Roman"/>
                <w:color w:val="000000"/>
                <w:sz w:val="24"/>
                <w:szCs w:val="24"/>
                <w:lang w:eastAsia="en-GB"/>
              </w:rPr>
            </w:r>
            <w:r w:rsidR="00AE3D70">
              <w:rPr>
                <w:rFonts w:ascii="Times New Roman" w:eastAsia="Times New Roman" w:hAnsi="Times New Roman" w:cs="Times New Roman"/>
                <w:color w:val="000000"/>
                <w:sz w:val="24"/>
                <w:szCs w:val="24"/>
                <w:lang w:eastAsia="en-GB"/>
              </w:rPr>
              <w:fldChar w:fldCharType="end"/>
            </w:r>
            <w:r w:rsidRPr="002344CA">
              <w:rPr>
                <w:rFonts w:ascii="Times New Roman" w:eastAsia="Times New Roman" w:hAnsi="Times New Roman" w:cs="Times New Roman"/>
                <w:color w:val="000000"/>
                <w:sz w:val="24"/>
                <w:szCs w:val="24"/>
                <w:lang w:eastAsia="en-GB"/>
              </w:rPr>
            </w:r>
            <w:r w:rsidRPr="002344CA">
              <w:rPr>
                <w:rFonts w:ascii="Times New Roman" w:eastAsia="Times New Roman" w:hAnsi="Times New Roman" w:cs="Times New Roman"/>
                <w:color w:val="000000"/>
                <w:sz w:val="24"/>
                <w:szCs w:val="24"/>
                <w:lang w:eastAsia="en-GB"/>
              </w:rPr>
              <w:fldChar w:fldCharType="separate"/>
            </w:r>
            <w:r w:rsidR="00AE3D70" w:rsidRPr="00AE3D70">
              <w:rPr>
                <w:rFonts w:ascii="Arial" w:eastAsia="Times New Roman" w:hAnsi="Arial" w:cs="Arial"/>
                <w:noProof/>
                <w:color w:val="000000"/>
                <w:sz w:val="24"/>
                <w:szCs w:val="24"/>
                <w:lang w:eastAsia="en-GB"/>
              </w:rPr>
              <w:t>[3-5]</w:t>
            </w:r>
            <w:r w:rsidRPr="002344CA">
              <w:rPr>
                <w:rFonts w:ascii="Times New Roman" w:eastAsia="Times New Roman" w:hAnsi="Times New Roman" w:cs="Times New Roman"/>
                <w:color w:val="000000"/>
                <w:sz w:val="24"/>
                <w:szCs w:val="24"/>
                <w:lang w:eastAsia="en-GB"/>
              </w:rPr>
              <w:fldChar w:fldCharType="end"/>
            </w:r>
            <w:r w:rsidRPr="002344CA">
              <w:rPr>
                <w:rFonts w:ascii="Times New Roman" w:eastAsia="Times New Roman" w:hAnsi="Times New Roman" w:cs="Times New Roman"/>
                <w:color w:val="000000"/>
                <w:sz w:val="24"/>
                <w:szCs w:val="24"/>
                <w:lang w:eastAsia="en-GB"/>
              </w:rPr>
              <w:t xml:space="preserve">. </w:t>
            </w:r>
          </w:p>
          <w:p w14:paraId="0D87D7B2" w14:textId="77777777" w:rsidR="002344CA" w:rsidRPr="00E7546E" w:rsidRDefault="002344CA" w:rsidP="009744C0">
            <w:pPr>
              <w:spacing w:after="120"/>
              <w:contextualSpacing/>
              <w:rPr>
                <w:rFonts w:ascii="Times New Roman" w:eastAsia="Times New Roman" w:hAnsi="Times New Roman" w:cs="Times New Roman"/>
                <w:color w:val="000000"/>
                <w:sz w:val="24"/>
                <w:szCs w:val="24"/>
                <w:lang w:eastAsia="en-GB"/>
              </w:rPr>
            </w:pPr>
          </w:p>
          <w:p w14:paraId="18031DCA" w14:textId="77777777" w:rsidR="00892F9F" w:rsidRPr="00E7546E" w:rsidRDefault="00892F9F" w:rsidP="009744C0">
            <w:pPr>
              <w:spacing w:after="120"/>
              <w:contextualSpacing/>
              <w:rPr>
                <w:rFonts w:ascii="Times New Roman" w:eastAsia="Times New Roman" w:hAnsi="Times New Roman" w:cs="Times New Roman"/>
                <w:color w:val="000000"/>
                <w:sz w:val="24"/>
                <w:szCs w:val="24"/>
                <w:lang w:eastAsia="en-GB"/>
              </w:rPr>
            </w:pPr>
          </w:p>
          <w:p w14:paraId="1C25BFFA" w14:textId="250A515A" w:rsidR="00F258AC" w:rsidRDefault="00892F9F"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Both models </w:t>
            </w:r>
            <w:r w:rsidR="00EF23F1" w:rsidRPr="00E7546E">
              <w:rPr>
                <w:rFonts w:ascii="Times New Roman" w:eastAsia="Times New Roman" w:hAnsi="Times New Roman" w:cs="Times New Roman"/>
                <w:color w:val="000000"/>
                <w:sz w:val="24"/>
                <w:szCs w:val="24"/>
                <w:lang w:eastAsia="en-GB"/>
              </w:rPr>
              <w:t>track</w:t>
            </w:r>
            <w:r w:rsidRPr="00E7546E">
              <w:rPr>
                <w:rFonts w:ascii="Times New Roman" w:eastAsia="Times New Roman" w:hAnsi="Times New Roman" w:cs="Times New Roman"/>
                <w:color w:val="000000"/>
                <w:sz w:val="24"/>
                <w:szCs w:val="24"/>
                <w:lang w:eastAsia="en-GB"/>
              </w:rPr>
              <w:t xml:space="preserve"> </w:t>
            </w:r>
            <w:r w:rsidR="00D06134" w:rsidRPr="00E7546E">
              <w:rPr>
                <w:rFonts w:ascii="Times New Roman" w:eastAsia="Times New Roman" w:hAnsi="Times New Roman" w:cs="Times New Roman"/>
                <w:color w:val="000000"/>
                <w:sz w:val="24"/>
                <w:szCs w:val="24"/>
                <w:lang w:eastAsia="en-GB"/>
              </w:rPr>
              <w:t xml:space="preserve">the flow of patients </w:t>
            </w:r>
            <w:r w:rsidR="00DA13B2" w:rsidRPr="00E7546E">
              <w:rPr>
                <w:rFonts w:ascii="Times New Roman" w:eastAsia="Times New Roman" w:hAnsi="Times New Roman" w:cs="Times New Roman"/>
                <w:color w:val="000000"/>
                <w:sz w:val="24"/>
                <w:szCs w:val="24"/>
                <w:lang w:eastAsia="en-GB"/>
              </w:rPr>
              <w:t xml:space="preserve">suspected with urological cancer from GP consultation in primary care up to diagnosis in secondary care. </w:t>
            </w:r>
            <w:r w:rsidR="009700A1" w:rsidRPr="00E7546E">
              <w:rPr>
                <w:rFonts w:ascii="Times New Roman" w:eastAsia="Times New Roman" w:hAnsi="Times New Roman" w:cs="Times New Roman"/>
                <w:color w:val="000000"/>
                <w:sz w:val="24"/>
                <w:szCs w:val="24"/>
                <w:lang w:eastAsia="en-GB"/>
              </w:rPr>
              <w:t xml:space="preserve">All patients with symptoms indicative of urological cancer are </w:t>
            </w:r>
            <w:r w:rsidR="00951FB6">
              <w:rPr>
                <w:rFonts w:ascii="Times New Roman" w:eastAsia="Times New Roman" w:hAnsi="Times New Roman" w:cs="Times New Roman"/>
                <w:color w:val="000000"/>
                <w:sz w:val="24"/>
                <w:szCs w:val="24"/>
                <w:lang w:eastAsia="en-GB"/>
              </w:rPr>
              <w:t xml:space="preserve">urgently </w:t>
            </w:r>
            <w:r w:rsidR="009700A1" w:rsidRPr="00E7546E">
              <w:rPr>
                <w:rFonts w:ascii="Times New Roman" w:eastAsia="Times New Roman" w:hAnsi="Times New Roman" w:cs="Times New Roman"/>
                <w:color w:val="000000"/>
                <w:sz w:val="24"/>
                <w:szCs w:val="24"/>
                <w:lang w:eastAsia="en-GB"/>
              </w:rPr>
              <w:t>referred to secondary care for further investigations.</w:t>
            </w:r>
            <w:r w:rsidR="0015795D" w:rsidRPr="00E7546E">
              <w:rPr>
                <w:rFonts w:ascii="Times New Roman" w:eastAsia="Times New Roman" w:hAnsi="Times New Roman" w:cs="Times New Roman"/>
                <w:color w:val="000000"/>
                <w:sz w:val="24"/>
                <w:szCs w:val="24"/>
                <w:lang w:eastAsia="en-GB"/>
              </w:rPr>
              <w:t xml:space="preserve"> After </w:t>
            </w:r>
            <w:r w:rsidR="00951FB6">
              <w:rPr>
                <w:rFonts w:ascii="Times New Roman" w:eastAsia="Times New Roman" w:hAnsi="Times New Roman" w:cs="Times New Roman"/>
                <w:color w:val="000000"/>
                <w:sz w:val="24"/>
                <w:szCs w:val="24"/>
                <w:lang w:eastAsia="en-GB"/>
              </w:rPr>
              <w:t xml:space="preserve">urgent </w:t>
            </w:r>
            <w:r w:rsidR="0015795D" w:rsidRPr="00E7546E">
              <w:rPr>
                <w:rFonts w:ascii="Times New Roman" w:eastAsia="Times New Roman" w:hAnsi="Times New Roman" w:cs="Times New Roman"/>
                <w:color w:val="000000"/>
                <w:sz w:val="24"/>
                <w:szCs w:val="24"/>
                <w:lang w:eastAsia="en-GB"/>
              </w:rPr>
              <w:t xml:space="preserve">referral to secondary care, all patients wait a minimum of </w:t>
            </w:r>
            <w:r w:rsidR="00CA7E30" w:rsidRPr="00E7546E">
              <w:rPr>
                <w:rFonts w:ascii="Times New Roman" w:eastAsia="Times New Roman" w:hAnsi="Times New Roman" w:cs="Times New Roman"/>
                <w:color w:val="000000"/>
                <w:sz w:val="24"/>
                <w:szCs w:val="24"/>
                <w:lang w:eastAsia="en-GB"/>
              </w:rPr>
              <w:t>13 days due to (</w:t>
            </w:r>
            <w:proofErr w:type="spellStart"/>
            <w:r w:rsidR="00CA7E30" w:rsidRPr="00E7546E">
              <w:rPr>
                <w:rFonts w:ascii="Times New Roman" w:eastAsia="Times New Roman" w:hAnsi="Times New Roman" w:cs="Times New Roman"/>
                <w:color w:val="000000"/>
                <w:sz w:val="24"/>
                <w:szCs w:val="24"/>
                <w:lang w:eastAsia="en-GB"/>
              </w:rPr>
              <w:t>i</w:t>
            </w:r>
            <w:proofErr w:type="spellEnd"/>
            <w:r w:rsidR="00CA7E30" w:rsidRPr="00E7546E">
              <w:rPr>
                <w:rFonts w:ascii="Times New Roman" w:eastAsia="Times New Roman" w:hAnsi="Times New Roman" w:cs="Times New Roman"/>
                <w:color w:val="000000"/>
                <w:sz w:val="24"/>
                <w:szCs w:val="24"/>
                <w:lang w:eastAsia="en-GB"/>
              </w:rPr>
              <w:t>) logistical reasons (</w:t>
            </w:r>
            <w:proofErr w:type="gramStart"/>
            <w:r w:rsidR="00CA7E30" w:rsidRPr="00E7546E">
              <w:rPr>
                <w:rFonts w:ascii="Times New Roman" w:eastAsia="Times New Roman" w:hAnsi="Times New Roman" w:cs="Times New Roman"/>
                <w:color w:val="000000"/>
                <w:sz w:val="24"/>
                <w:szCs w:val="24"/>
                <w:lang w:eastAsia="en-GB"/>
              </w:rPr>
              <w:t>e.g.</w:t>
            </w:r>
            <w:proofErr w:type="gramEnd"/>
            <w:r w:rsidR="00CA7E30" w:rsidRPr="00E7546E">
              <w:rPr>
                <w:rFonts w:ascii="Times New Roman" w:eastAsia="Times New Roman" w:hAnsi="Times New Roman" w:cs="Times New Roman"/>
                <w:color w:val="000000"/>
                <w:sz w:val="24"/>
                <w:szCs w:val="24"/>
                <w:lang w:eastAsia="en-GB"/>
              </w:rPr>
              <w:t xml:space="preserve"> booking, phone calls) and (ii) based on the NHS England Waiting Time Statistics</w:t>
            </w:r>
            <w:r w:rsidR="00194AC9" w:rsidRPr="00E7546E">
              <w:rPr>
                <w:rFonts w:ascii="Times New Roman" w:eastAsia="Times New Roman" w:hAnsi="Times New Roman" w:cs="Times New Roman"/>
                <w:color w:val="000000"/>
                <w:sz w:val="24"/>
                <w:szCs w:val="24"/>
                <w:lang w:eastAsia="en-GB"/>
              </w:rPr>
              <w:t xml:space="preserve">, </w:t>
            </w:r>
            <w:r w:rsidR="00CA3924" w:rsidRPr="00E7546E">
              <w:rPr>
                <w:rFonts w:ascii="Times New Roman" w:eastAsia="Times New Roman" w:hAnsi="Times New Roman" w:cs="Times New Roman"/>
                <w:color w:val="000000"/>
                <w:sz w:val="24"/>
                <w:szCs w:val="24"/>
                <w:lang w:eastAsia="en-GB"/>
              </w:rPr>
              <w:t xml:space="preserve">it is unknown </w:t>
            </w:r>
            <w:r w:rsidR="00194AC9" w:rsidRPr="00E7546E">
              <w:rPr>
                <w:rFonts w:ascii="Times New Roman" w:eastAsia="Times New Roman" w:hAnsi="Times New Roman" w:cs="Times New Roman"/>
                <w:color w:val="000000"/>
                <w:sz w:val="24"/>
                <w:szCs w:val="24"/>
                <w:lang w:eastAsia="en-GB"/>
              </w:rPr>
              <w:t xml:space="preserve">exactly </w:t>
            </w:r>
            <w:r w:rsidR="00E6222F" w:rsidRPr="00E7546E">
              <w:rPr>
                <w:rFonts w:ascii="Times New Roman" w:eastAsia="Times New Roman" w:hAnsi="Times New Roman" w:cs="Times New Roman"/>
                <w:color w:val="000000"/>
                <w:sz w:val="24"/>
                <w:szCs w:val="24"/>
                <w:lang w:eastAsia="en-GB"/>
              </w:rPr>
              <w:t>the day within two weeks patients are actually seen in secondary care</w:t>
            </w:r>
            <w:r w:rsidR="0015795D" w:rsidRPr="00E7546E">
              <w:rPr>
                <w:rFonts w:ascii="Times New Roman" w:eastAsia="Times New Roman" w:hAnsi="Times New Roman" w:cs="Times New Roman"/>
                <w:color w:val="000000"/>
                <w:sz w:val="24"/>
                <w:szCs w:val="24"/>
                <w:lang w:eastAsia="en-GB"/>
              </w:rPr>
              <w:t xml:space="preserve">. </w:t>
            </w:r>
            <w:r w:rsidR="00777F98" w:rsidRPr="00E7546E">
              <w:rPr>
                <w:rFonts w:ascii="Times New Roman" w:eastAsia="Times New Roman" w:hAnsi="Times New Roman" w:cs="Times New Roman"/>
                <w:color w:val="000000"/>
                <w:sz w:val="24"/>
                <w:szCs w:val="24"/>
                <w:lang w:eastAsia="en-GB"/>
              </w:rPr>
              <w:t xml:space="preserve">The secondary care clinic has a limited capacity to see patients within two weeks upon referral – depending on the number of patients referred and the maximum of referred patients seen within two weeks, some patients need to wait to enter secondary care. </w:t>
            </w:r>
          </w:p>
          <w:p w14:paraId="2A014B13" w14:textId="772245A4" w:rsidR="0015795D" w:rsidRPr="00E7546E" w:rsidRDefault="00777F98"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Across both models, in the </w:t>
            </w:r>
            <w:proofErr w:type="spellStart"/>
            <w:r w:rsidRPr="00E7546E">
              <w:rPr>
                <w:rFonts w:ascii="Times New Roman" w:eastAsia="Times New Roman" w:hAnsi="Times New Roman" w:cs="Times New Roman"/>
                <w:color w:val="000000"/>
                <w:sz w:val="24"/>
                <w:szCs w:val="24"/>
                <w:lang w:eastAsia="en-GB"/>
              </w:rPr>
              <w:t>PinPoint</w:t>
            </w:r>
            <w:proofErr w:type="spellEnd"/>
            <w:r w:rsidRPr="00E7546E">
              <w:rPr>
                <w:rFonts w:ascii="Times New Roman" w:eastAsia="Times New Roman" w:hAnsi="Times New Roman" w:cs="Times New Roman"/>
                <w:color w:val="000000"/>
                <w:sz w:val="24"/>
                <w:szCs w:val="24"/>
                <w:lang w:eastAsia="en-GB"/>
              </w:rPr>
              <w:t xml:space="preserve"> test arm, patients are prioritised to be seen in secondary within two weeks upon GP referral based on their risk of having cancer. </w:t>
            </w:r>
            <w:r w:rsidR="008057E8" w:rsidRPr="00E7546E">
              <w:rPr>
                <w:rFonts w:ascii="Times New Roman" w:eastAsia="Times New Roman" w:hAnsi="Times New Roman" w:cs="Times New Roman"/>
                <w:color w:val="000000"/>
                <w:sz w:val="24"/>
                <w:szCs w:val="24"/>
                <w:lang w:eastAsia="en-GB"/>
              </w:rPr>
              <w:t xml:space="preserve">With </w:t>
            </w:r>
            <w:proofErr w:type="spellStart"/>
            <w:r w:rsidR="008057E8" w:rsidRPr="00E7546E">
              <w:rPr>
                <w:rFonts w:ascii="Times New Roman" w:eastAsia="Times New Roman" w:hAnsi="Times New Roman" w:cs="Times New Roman"/>
                <w:color w:val="000000"/>
                <w:sz w:val="24"/>
                <w:szCs w:val="24"/>
                <w:lang w:eastAsia="en-GB"/>
              </w:rPr>
              <w:t>PinPoint</w:t>
            </w:r>
            <w:proofErr w:type="spellEnd"/>
            <w:r w:rsidR="008057E8" w:rsidRPr="00E7546E">
              <w:rPr>
                <w:rFonts w:ascii="Times New Roman" w:eastAsia="Times New Roman" w:hAnsi="Times New Roman" w:cs="Times New Roman"/>
                <w:color w:val="000000"/>
                <w:sz w:val="24"/>
                <w:szCs w:val="24"/>
                <w:lang w:eastAsia="en-GB"/>
              </w:rPr>
              <w:t xml:space="preserve"> test</w:t>
            </w:r>
            <w:r w:rsidR="00F258AC">
              <w:rPr>
                <w:rFonts w:ascii="Times New Roman" w:eastAsia="Times New Roman" w:hAnsi="Times New Roman" w:cs="Times New Roman"/>
                <w:color w:val="000000"/>
                <w:sz w:val="24"/>
                <w:szCs w:val="24"/>
                <w:lang w:eastAsia="en-GB"/>
              </w:rPr>
              <w:t xml:space="preserve"> used as a prioritisation tool</w:t>
            </w:r>
            <w:r w:rsidR="008057E8" w:rsidRPr="00E7546E">
              <w:rPr>
                <w:rFonts w:ascii="Times New Roman" w:eastAsia="Times New Roman" w:hAnsi="Times New Roman" w:cs="Times New Roman"/>
                <w:color w:val="000000"/>
                <w:sz w:val="24"/>
                <w:szCs w:val="24"/>
                <w:lang w:eastAsia="en-GB"/>
              </w:rPr>
              <w:t xml:space="preserve">, </w:t>
            </w:r>
            <w:r w:rsidR="00FA4766">
              <w:rPr>
                <w:rFonts w:ascii="Times New Roman" w:eastAsia="Times New Roman" w:hAnsi="Times New Roman" w:cs="Times New Roman"/>
                <w:color w:val="000000"/>
                <w:sz w:val="24"/>
                <w:szCs w:val="24"/>
                <w:lang w:eastAsia="en-GB"/>
              </w:rPr>
              <w:t>high risk individuals</w:t>
            </w:r>
            <w:r w:rsidR="008057E8" w:rsidRPr="00E7546E">
              <w:rPr>
                <w:rFonts w:ascii="Times New Roman" w:eastAsia="Times New Roman" w:hAnsi="Times New Roman" w:cs="Times New Roman"/>
                <w:color w:val="000000"/>
                <w:sz w:val="24"/>
                <w:szCs w:val="24"/>
                <w:lang w:eastAsia="en-GB"/>
              </w:rPr>
              <w:t xml:space="preserve"> are assigned a higher priority</w:t>
            </w:r>
            <w:r w:rsidR="00C56745" w:rsidRPr="00E7546E">
              <w:rPr>
                <w:rFonts w:ascii="Times New Roman" w:eastAsia="Times New Roman" w:hAnsi="Times New Roman" w:cs="Times New Roman"/>
                <w:color w:val="000000"/>
                <w:sz w:val="24"/>
                <w:szCs w:val="24"/>
                <w:lang w:eastAsia="en-GB"/>
              </w:rPr>
              <w:t xml:space="preserve"> to be seen in secondary care within two weeks</w:t>
            </w:r>
            <w:r w:rsidR="008057E8" w:rsidRPr="00E7546E">
              <w:rPr>
                <w:rFonts w:ascii="Times New Roman" w:eastAsia="Times New Roman" w:hAnsi="Times New Roman" w:cs="Times New Roman"/>
                <w:color w:val="000000"/>
                <w:sz w:val="24"/>
                <w:szCs w:val="24"/>
                <w:lang w:eastAsia="en-GB"/>
              </w:rPr>
              <w:t xml:space="preserve"> over </w:t>
            </w:r>
            <w:r w:rsidR="00FA4766">
              <w:rPr>
                <w:rFonts w:ascii="Times New Roman" w:eastAsia="Times New Roman" w:hAnsi="Times New Roman" w:cs="Times New Roman"/>
                <w:color w:val="000000"/>
                <w:sz w:val="24"/>
                <w:szCs w:val="24"/>
                <w:lang w:eastAsia="en-GB"/>
              </w:rPr>
              <w:t>medium risk</w:t>
            </w:r>
            <w:r w:rsidR="00FA4766" w:rsidRPr="00E7546E">
              <w:rPr>
                <w:rFonts w:ascii="Times New Roman" w:eastAsia="Times New Roman" w:hAnsi="Times New Roman" w:cs="Times New Roman"/>
                <w:color w:val="000000"/>
                <w:sz w:val="24"/>
                <w:szCs w:val="24"/>
                <w:lang w:eastAsia="en-GB"/>
              </w:rPr>
              <w:t xml:space="preserve"> </w:t>
            </w:r>
            <w:r w:rsidR="008057E8" w:rsidRPr="00E7546E">
              <w:rPr>
                <w:rFonts w:ascii="Times New Roman" w:eastAsia="Times New Roman" w:hAnsi="Times New Roman" w:cs="Times New Roman"/>
                <w:color w:val="000000"/>
                <w:sz w:val="24"/>
                <w:szCs w:val="24"/>
                <w:lang w:eastAsia="en-GB"/>
              </w:rPr>
              <w:t xml:space="preserve">and </w:t>
            </w:r>
            <w:r w:rsidR="00FA4766">
              <w:rPr>
                <w:rFonts w:ascii="Times New Roman" w:eastAsia="Times New Roman" w:hAnsi="Times New Roman" w:cs="Times New Roman"/>
                <w:color w:val="000000"/>
                <w:sz w:val="24"/>
                <w:szCs w:val="24"/>
                <w:lang w:eastAsia="en-GB"/>
              </w:rPr>
              <w:t>low risk individuals</w:t>
            </w:r>
            <w:r w:rsidR="008057E8" w:rsidRPr="00E7546E">
              <w:rPr>
                <w:rFonts w:ascii="Times New Roman" w:eastAsia="Times New Roman" w:hAnsi="Times New Roman" w:cs="Times New Roman"/>
                <w:color w:val="000000"/>
                <w:sz w:val="24"/>
                <w:szCs w:val="24"/>
                <w:lang w:eastAsia="en-GB"/>
              </w:rPr>
              <w:t xml:space="preserve">. </w:t>
            </w:r>
            <w:r w:rsidRPr="00E7546E">
              <w:rPr>
                <w:rFonts w:ascii="Times New Roman" w:eastAsia="Times New Roman" w:hAnsi="Times New Roman" w:cs="Times New Roman"/>
                <w:color w:val="000000"/>
                <w:sz w:val="24"/>
                <w:szCs w:val="24"/>
                <w:lang w:eastAsia="en-GB"/>
              </w:rPr>
              <w:t>In the standard care arm, there is no prioritisatio</w:t>
            </w:r>
            <w:r w:rsidR="00422C9E" w:rsidRPr="00E7546E">
              <w:rPr>
                <w:rFonts w:ascii="Times New Roman" w:eastAsia="Times New Roman" w:hAnsi="Times New Roman" w:cs="Times New Roman"/>
                <w:color w:val="000000"/>
                <w:sz w:val="24"/>
                <w:szCs w:val="24"/>
                <w:lang w:eastAsia="en-GB"/>
              </w:rPr>
              <w:t>n rule</w:t>
            </w:r>
            <w:r w:rsidR="00A40EAC" w:rsidRPr="00E7546E">
              <w:rPr>
                <w:rFonts w:ascii="Times New Roman" w:eastAsia="Times New Roman" w:hAnsi="Times New Roman" w:cs="Times New Roman"/>
                <w:color w:val="000000"/>
                <w:sz w:val="24"/>
                <w:szCs w:val="24"/>
                <w:lang w:eastAsia="en-GB"/>
              </w:rPr>
              <w:t xml:space="preserve"> therefore patients first referred first enter secondary care. </w:t>
            </w:r>
            <w:r w:rsidR="00F258AC">
              <w:rPr>
                <w:rFonts w:ascii="Times New Roman" w:eastAsia="Times New Roman" w:hAnsi="Times New Roman" w:cs="Times New Roman"/>
                <w:color w:val="000000"/>
                <w:sz w:val="24"/>
                <w:szCs w:val="24"/>
                <w:lang w:eastAsia="en-GB"/>
              </w:rPr>
              <w:t xml:space="preserve">In the context of </w:t>
            </w:r>
            <w:proofErr w:type="spellStart"/>
            <w:r w:rsidR="00F258AC">
              <w:rPr>
                <w:rFonts w:ascii="Times New Roman" w:eastAsia="Times New Roman" w:hAnsi="Times New Roman" w:cs="Times New Roman"/>
                <w:color w:val="000000"/>
                <w:sz w:val="24"/>
                <w:szCs w:val="24"/>
                <w:lang w:eastAsia="en-GB"/>
              </w:rPr>
              <w:t>PinPoint</w:t>
            </w:r>
            <w:proofErr w:type="spellEnd"/>
            <w:r w:rsidR="00F258AC">
              <w:rPr>
                <w:rFonts w:ascii="Times New Roman" w:eastAsia="Times New Roman" w:hAnsi="Times New Roman" w:cs="Times New Roman"/>
                <w:color w:val="000000"/>
                <w:sz w:val="24"/>
                <w:szCs w:val="24"/>
                <w:lang w:eastAsia="en-GB"/>
              </w:rPr>
              <w:t xml:space="preserve"> test as a triage and prioritisation tool,</w:t>
            </w:r>
            <w:r w:rsidR="00F258AC" w:rsidRPr="00F258AC">
              <w:rPr>
                <w:rFonts w:ascii="Times New Roman" w:eastAsia="Times New Roman" w:hAnsi="Times New Roman" w:cs="Times New Roman"/>
                <w:color w:val="000000"/>
                <w:sz w:val="24"/>
                <w:szCs w:val="24"/>
                <w:lang w:eastAsia="en-GB"/>
              </w:rPr>
              <w:t xml:space="preserve"> individuals who are categorised as low risk by the </w:t>
            </w:r>
            <w:proofErr w:type="spellStart"/>
            <w:r w:rsidR="00F258AC" w:rsidRPr="00F258AC">
              <w:rPr>
                <w:rFonts w:ascii="Times New Roman" w:eastAsia="Times New Roman" w:hAnsi="Times New Roman" w:cs="Times New Roman"/>
                <w:color w:val="000000"/>
                <w:sz w:val="24"/>
                <w:szCs w:val="24"/>
                <w:lang w:eastAsia="en-GB"/>
              </w:rPr>
              <w:t>PinPoint</w:t>
            </w:r>
            <w:proofErr w:type="spellEnd"/>
            <w:r w:rsidR="00F258AC" w:rsidRPr="00F258AC">
              <w:rPr>
                <w:rFonts w:ascii="Times New Roman" w:eastAsia="Times New Roman" w:hAnsi="Times New Roman" w:cs="Times New Roman"/>
                <w:color w:val="000000"/>
                <w:sz w:val="24"/>
                <w:szCs w:val="24"/>
                <w:lang w:eastAsia="en-GB"/>
              </w:rPr>
              <w:t xml:space="preserve"> test are </w:t>
            </w:r>
            <w:r w:rsidR="000421F6">
              <w:rPr>
                <w:rFonts w:ascii="Times New Roman" w:eastAsia="Times New Roman" w:hAnsi="Times New Roman" w:cs="Times New Roman"/>
                <w:color w:val="000000"/>
                <w:sz w:val="24"/>
                <w:szCs w:val="24"/>
                <w:lang w:eastAsia="en-GB"/>
              </w:rPr>
              <w:t xml:space="preserve">initially </w:t>
            </w:r>
            <w:r w:rsidR="00F258AC" w:rsidRPr="00F258AC">
              <w:rPr>
                <w:rFonts w:ascii="Times New Roman" w:eastAsia="Times New Roman" w:hAnsi="Times New Roman" w:cs="Times New Roman"/>
                <w:color w:val="000000"/>
                <w:sz w:val="24"/>
                <w:szCs w:val="24"/>
                <w:lang w:eastAsia="en-GB"/>
              </w:rPr>
              <w:t xml:space="preserve">not referred down to the urgent cancer pathway and only individuals classed as high and medium risk are referred to secondary care. </w:t>
            </w:r>
            <w:proofErr w:type="gramStart"/>
            <w:r w:rsidR="00F258AC" w:rsidRPr="00F258AC">
              <w:rPr>
                <w:rFonts w:ascii="Times New Roman" w:eastAsia="Times New Roman" w:hAnsi="Times New Roman" w:cs="Times New Roman"/>
                <w:color w:val="000000"/>
                <w:sz w:val="24"/>
                <w:szCs w:val="24"/>
                <w:lang w:eastAsia="en-GB"/>
              </w:rPr>
              <w:t>Similar to</w:t>
            </w:r>
            <w:proofErr w:type="gramEnd"/>
            <w:r w:rsidR="00F258AC" w:rsidRPr="00F258AC">
              <w:rPr>
                <w:rFonts w:ascii="Times New Roman" w:eastAsia="Times New Roman" w:hAnsi="Times New Roman" w:cs="Times New Roman"/>
                <w:color w:val="000000"/>
                <w:sz w:val="24"/>
                <w:szCs w:val="24"/>
                <w:lang w:eastAsia="en-GB"/>
              </w:rPr>
              <w:t xml:space="preserve"> the first use case, high risk individuals are seen first, followed by medium risk individuals</w:t>
            </w:r>
          </w:p>
          <w:p w14:paraId="0D77A680" w14:textId="77777777" w:rsidR="008F1E68" w:rsidRPr="00E7546E" w:rsidRDefault="008F1E68" w:rsidP="009744C0">
            <w:pPr>
              <w:spacing w:after="120"/>
              <w:contextualSpacing/>
              <w:rPr>
                <w:rFonts w:ascii="Times New Roman" w:eastAsia="Times New Roman" w:hAnsi="Times New Roman" w:cs="Times New Roman"/>
                <w:color w:val="000000"/>
                <w:sz w:val="24"/>
                <w:szCs w:val="24"/>
                <w:lang w:eastAsia="en-GB"/>
              </w:rPr>
            </w:pPr>
          </w:p>
          <w:p w14:paraId="203768BD" w14:textId="0187D77D" w:rsidR="00641395" w:rsidRPr="00E7546E" w:rsidRDefault="00EF23F1" w:rsidP="009744C0">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The diagnostic pathway in secondary care differs across urological models</w:t>
            </w:r>
            <w:r w:rsidR="00813C18" w:rsidRPr="00E7546E">
              <w:rPr>
                <w:rFonts w:ascii="Times New Roman" w:eastAsia="Times New Roman" w:hAnsi="Times New Roman" w:cs="Times New Roman"/>
                <w:color w:val="000000"/>
                <w:sz w:val="24"/>
                <w:szCs w:val="24"/>
                <w:lang w:eastAsia="en-GB"/>
              </w:rPr>
              <w:t>, specifically</w:t>
            </w:r>
            <w:r w:rsidRPr="00E7546E">
              <w:rPr>
                <w:rFonts w:ascii="Times New Roman" w:eastAsia="Times New Roman" w:hAnsi="Times New Roman" w:cs="Times New Roman"/>
                <w:color w:val="000000"/>
                <w:sz w:val="24"/>
                <w:szCs w:val="24"/>
                <w:lang w:eastAsia="en-GB"/>
              </w:rPr>
              <w:t xml:space="preserve">: </w:t>
            </w:r>
            <w:r w:rsidR="00F12E54" w:rsidRPr="00E7546E">
              <w:rPr>
                <w:rFonts w:ascii="Times New Roman" w:eastAsia="Times New Roman" w:hAnsi="Times New Roman" w:cs="Times New Roman"/>
                <w:color w:val="000000"/>
                <w:sz w:val="24"/>
                <w:szCs w:val="24"/>
                <w:lang w:eastAsia="en-GB"/>
              </w:rPr>
              <w:t xml:space="preserve"> </w:t>
            </w:r>
          </w:p>
          <w:p w14:paraId="7282B11C" w14:textId="6C2A6E58" w:rsidR="00AB41E9" w:rsidRPr="00E7546E" w:rsidRDefault="00AB41E9" w:rsidP="00AB41E9">
            <w:pPr>
              <w:pStyle w:val="ListParagraph"/>
              <w:numPr>
                <w:ilvl w:val="0"/>
                <w:numId w:val="4"/>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b/>
                <w:bCs/>
                <w:color w:val="000000"/>
                <w:sz w:val="24"/>
                <w:szCs w:val="24"/>
                <w:lang w:eastAsia="en-GB"/>
              </w:rPr>
              <w:t>Prostate cancer model</w:t>
            </w:r>
            <w:r w:rsidRPr="00E7546E">
              <w:rPr>
                <w:rFonts w:ascii="Times New Roman" w:eastAsia="Times New Roman" w:hAnsi="Times New Roman" w:cs="Times New Roman"/>
                <w:color w:val="000000"/>
                <w:sz w:val="24"/>
                <w:szCs w:val="24"/>
                <w:lang w:eastAsia="en-GB"/>
              </w:rPr>
              <w:t xml:space="preserve"> – initial triage, testing with multiparametric magnetic resonance imaging (mpMRI) to identify patients at high risk of prostate cancer</w:t>
            </w:r>
            <w:r w:rsidR="00E308E3" w:rsidRPr="00E7546E">
              <w:rPr>
                <w:rFonts w:ascii="Times New Roman" w:eastAsia="Times New Roman" w:hAnsi="Times New Roman" w:cs="Times New Roman"/>
                <w:color w:val="000000"/>
                <w:sz w:val="24"/>
                <w:szCs w:val="24"/>
                <w:lang w:eastAsia="en-GB"/>
              </w:rPr>
              <w:t xml:space="preserve">, and then </w:t>
            </w:r>
            <w:r w:rsidR="00887B31" w:rsidRPr="00E7546E">
              <w:rPr>
                <w:rFonts w:ascii="Times New Roman" w:eastAsia="Times New Roman" w:hAnsi="Times New Roman" w:cs="Times New Roman"/>
                <w:color w:val="000000"/>
                <w:sz w:val="24"/>
                <w:szCs w:val="24"/>
                <w:lang w:eastAsia="en-GB"/>
              </w:rPr>
              <w:t xml:space="preserve">transrectal ultrasound guided (TRUS) </w:t>
            </w:r>
            <w:r w:rsidR="00E308E3" w:rsidRPr="00E7546E">
              <w:rPr>
                <w:rFonts w:ascii="Times New Roman" w:eastAsia="Times New Roman" w:hAnsi="Times New Roman" w:cs="Times New Roman"/>
                <w:color w:val="000000"/>
                <w:sz w:val="24"/>
                <w:szCs w:val="24"/>
                <w:lang w:eastAsia="en-GB"/>
              </w:rPr>
              <w:t>biopsy</w:t>
            </w:r>
          </w:p>
          <w:p w14:paraId="14D412A6" w14:textId="4566F86D" w:rsidR="00E308E3" w:rsidRPr="00E7546E" w:rsidRDefault="00E308E3" w:rsidP="00AB41E9">
            <w:pPr>
              <w:pStyle w:val="ListParagraph"/>
              <w:numPr>
                <w:ilvl w:val="0"/>
                <w:numId w:val="4"/>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b/>
                <w:bCs/>
                <w:color w:val="000000"/>
                <w:sz w:val="24"/>
                <w:szCs w:val="24"/>
                <w:lang w:eastAsia="en-GB"/>
              </w:rPr>
              <w:t>Bladder and kidney cancer model</w:t>
            </w:r>
            <w:r w:rsidRPr="00E7546E">
              <w:rPr>
                <w:rFonts w:ascii="Times New Roman" w:eastAsia="Times New Roman" w:hAnsi="Times New Roman" w:cs="Times New Roman"/>
                <w:color w:val="000000"/>
                <w:sz w:val="24"/>
                <w:szCs w:val="24"/>
                <w:lang w:eastAsia="en-GB"/>
              </w:rPr>
              <w:t xml:space="preserve"> – cystoscopy, ultrasound and </w:t>
            </w:r>
            <w:r w:rsidR="00E34456" w:rsidRPr="00E7546E">
              <w:rPr>
                <w:rFonts w:ascii="Times New Roman" w:eastAsia="Times New Roman" w:hAnsi="Times New Roman" w:cs="Times New Roman"/>
                <w:color w:val="000000"/>
                <w:sz w:val="24"/>
                <w:szCs w:val="24"/>
                <w:lang w:eastAsia="en-GB"/>
              </w:rPr>
              <w:t>x-ray</w:t>
            </w:r>
            <w:r w:rsidRPr="00E7546E">
              <w:rPr>
                <w:rFonts w:ascii="Times New Roman" w:eastAsia="Times New Roman" w:hAnsi="Times New Roman" w:cs="Times New Roman"/>
                <w:color w:val="000000"/>
                <w:sz w:val="24"/>
                <w:szCs w:val="24"/>
                <w:lang w:eastAsia="en-GB"/>
              </w:rPr>
              <w:t xml:space="preserve">. </w:t>
            </w:r>
          </w:p>
          <w:p w14:paraId="64555C33" w14:textId="16D2911D" w:rsidR="00892F9F" w:rsidRPr="00E7546E" w:rsidRDefault="00DA13B2"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All patients, regardless of arm, exit the models with or without a diagnosis of urological cancer. </w:t>
            </w:r>
          </w:p>
        </w:tc>
      </w:tr>
      <w:tr w:rsidR="009744C0" w:rsidRPr="00E7546E" w14:paraId="0E596497" w14:textId="77777777" w:rsidTr="00646FF2">
        <w:tc>
          <w:tcPr>
            <w:tcW w:w="2457" w:type="dxa"/>
          </w:tcPr>
          <w:p w14:paraId="6F178874"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Base model logic</w:t>
            </w:r>
          </w:p>
        </w:tc>
        <w:tc>
          <w:tcPr>
            <w:tcW w:w="827" w:type="dxa"/>
          </w:tcPr>
          <w:p w14:paraId="74DAAE77"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2.2</w:t>
            </w:r>
          </w:p>
        </w:tc>
        <w:tc>
          <w:tcPr>
            <w:tcW w:w="11742" w:type="dxa"/>
            <w:gridSpan w:val="2"/>
          </w:tcPr>
          <w:p w14:paraId="11AE1409" w14:textId="6DE517FB" w:rsidR="009744C0" w:rsidRPr="00E7546E" w:rsidRDefault="000D69A1"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This section provides an overview of the logic </w:t>
            </w:r>
            <w:r w:rsidR="00903016" w:rsidRPr="00E7546E">
              <w:rPr>
                <w:rFonts w:ascii="Times New Roman" w:eastAsia="Times New Roman" w:hAnsi="Times New Roman" w:cs="Times New Roman"/>
                <w:color w:val="000000"/>
                <w:sz w:val="24"/>
                <w:szCs w:val="24"/>
                <w:lang w:eastAsia="en-GB"/>
              </w:rPr>
              <w:t>common to both</w:t>
            </w:r>
            <w:r w:rsidRPr="00E7546E">
              <w:rPr>
                <w:rFonts w:ascii="Times New Roman" w:eastAsia="Times New Roman" w:hAnsi="Times New Roman" w:cs="Times New Roman"/>
                <w:color w:val="000000"/>
                <w:sz w:val="24"/>
                <w:szCs w:val="24"/>
                <w:lang w:eastAsia="en-GB"/>
              </w:rPr>
              <w:t xml:space="preserve"> urological models</w:t>
            </w:r>
            <w:r w:rsidR="00961884" w:rsidRPr="00E7546E">
              <w:rPr>
                <w:rFonts w:ascii="Times New Roman" w:eastAsia="Times New Roman" w:hAnsi="Times New Roman" w:cs="Times New Roman"/>
                <w:color w:val="000000"/>
                <w:sz w:val="24"/>
                <w:szCs w:val="24"/>
                <w:lang w:eastAsia="en-GB"/>
              </w:rPr>
              <w:t xml:space="preserve"> – unless stated otherwise.</w:t>
            </w:r>
          </w:p>
          <w:p w14:paraId="59AB27F8" w14:textId="77777777" w:rsidR="00903016" w:rsidRPr="00E7546E" w:rsidRDefault="00903016" w:rsidP="009744C0">
            <w:pPr>
              <w:spacing w:after="120"/>
              <w:contextualSpacing/>
              <w:rPr>
                <w:rFonts w:ascii="Times New Roman" w:eastAsia="Times New Roman" w:hAnsi="Times New Roman" w:cs="Times New Roman"/>
                <w:color w:val="000000"/>
                <w:sz w:val="24"/>
                <w:szCs w:val="24"/>
                <w:lang w:eastAsia="en-GB"/>
              </w:rPr>
            </w:pPr>
          </w:p>
          <w:p w14:paraId="0D00D309" w14:textId="77777777" w:rsidR="00903016" w:rsidRPr="00E7546E" w:rsidRDefault="00903016"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lastRenderedPageBreak/>
              <w:t xml:space="preserve">Patients suspected with urological cancer enter the models. </w:t>
            </w:r>
            <w:r w:rsidR="00961884" w:rsidRPr="00E7546E">
              <w:rPr>
                <w:rFonts w:ascii="Times New Roman" w:eastAsia="Times New Roman" w:hAnsi="Times New Roman" w:cs="Times New Roman"/>
                <w:color w:val="000000"/>
                <w:sz w:val="24"/>
                <w:szCs w:val="24"/>
                <w:lang w:eastAsia="en-GB"/>
              </w:rPr>
              <w:t xml:space="preserve">A unique label identifier </w:t>
            </w:r>
            <w:r w:rsidR="00C56D40" w:rsidRPr="00E7546E">
              <w:rPr>
                <w:rFonts w:ascii="Times New Roman" w:eastAsia="Times New Roman" w:hAnsi="Times New Roman" w:cs="Times New Roman"/>
                <w:color w:val="000000"/>
                <w:sz w:val="24"/>
                <w:szCs w:val="24"/>
                <w:lang w:eastAsia="en-GB"/>
              </w:rPr>
              <w:t>‘</w:t>
            </w:r>
            <w:proofErr w:type="spellStart"/>
            <w:r w:rsidR="00C56D40" w:rsidRPr="00E7546E">
              <w:rPr>
                <w:rFonts w:ascii="Times New Roman" w:eastAsia="Times New Roman" w:hAnsi="Times New Roman" w:cs="Times New Roman"/>
                <w:color w:val="000000"/>
                <w:sz w:val="24"/>
                <w:szCs w:val="24"/>
                <w:lang w:eastAsia="en-GB"/>
              </w:rPr>
              <w:t>Patient_ID</w:t>
            </w:r>
            <w:proofErr w:type="spellEnd"/>
            <w:r w:rsidR="00C56D40" w:rsidRPr="00E7546E">
              <w:rPr>
                <w:rFonts w:ascii="Times New Roman" w:eastAsia="Times New Roman" w:hAnsi="Times New Roman" w:cs="Times New Roman"/>
                <w:color w:val="000000"/>
                <w:sz w:val="24"/>
                <w:szCs w:val="24"/>
                <w:lang w:eastAsia="en-GB"/>
              </w:rPr>
              <w:t xml:space="preserve">’ is assigned to all new arrivals at the ‘Starting Point’ to track patients </w:t>
            </w:r>
            <w:r w:rsidR="00C55D47" w:rsidRPr="00E7546E">
              <w:rPr>
                <w:rFonts w:ascii="Times New Roman" w:eastAsia="Times New Roman" w:hAnsi="Times New Roman" w:cs="Times New Roman"/>
                <w:color w:val="000000"/>
                <w:sz w:val="24"/>
                <w:szCs w:val="24"/>
                <w:lang w:eastAsia="en-GB"/>
              </w:rPr>
              <w:t xml:space="preserve">for internal validation purposes. </w:t>
            </w:r>
            <w:r w:rsidR="004E1D8D" w:rsidRPr="00E7546E">
              <w:rPr>
                <w:rFonts w:ascii="Times New Roman" w:eastAsia="Times New Roman" w:hAnsi="Times New Roman" w:cs="Times New Roman"/>
                <w:color w:val="000000"/>
                <w:sz w:val="24"/>
                <w:szCs w:val="24"/>
                <w:lang w:eastAsia="en-GB"/>
              </w:rPr>
              <w:t xml:space="preserve">For each </w:t>
            </w:r>
            <w:r w:rsidR="0050492B" w:rsidRPr="00E7546E">
              <w:rPr>
                <w:rFonts w:ascii="Times New Roman" w:eastAsia="Times New Roman" w:hAnsi="Times New Roman" w:cs="Times New Roman"/>
                <w:color w:val="000000"/>
                <w:sz w:val="24"/>
                <w:szCs w:val="24"/>
                <w:lang w:eastAsia="en-GB"/>
              </w:rPr>
              <w:t>new arrival, the following labels are assigned</w:t>
            </w:r>
          </w:p>
          <w:p w14:paraId="44F97E0C" w14:textId="7ECD3B4F" w:rsidR="0050492B" w:rsidRPr="00E7546E" w:rsidRDefault="0021181D" w:rsidP="0050492B">
            <w:pPr>
              <w:pStyle w:val="ListParagraph"/>
              <w:numPr>
                <w:ilvl w:val="0"/>
                <w:numId w:val="5"/>
              </w:numPr>
              <w:spacing w:after="120"/>
              <w:rPr>
                <w:rFonts w:ascii="Times New Roman" w:eastAsia="Times New Roman" w:hAnsi="Times New Roman" w:cs="Times New Roman"/>
                <w:color w:val="000000"/>
                <w:sz w:val="24"/>
                <w:szCs w:val="24"/>
                <w:lang w:eastAsia="en-GB"/>
              </w:rPr>
            </w:pPr>
            <w:proofErr w:type="spellStart"/>
            <w:r w:rsidRPr="00E7546E">
              <w:rPr>
                <w:rFonts w:ascii="Times New Roman" w:eastAsia="Times New Roman" w:hAnsi="Times New Roman" w:cs="Times New Roman"/>
                <w:color w:val="000000"/>
                <w:sz w:val="24"/>
                <w:szCs w:val="24"/>
                <w:lang w:eastAsia="en-GB"/>
              </w:rPr>
              <w:t>lbl_time</w:t>
            </w:r>
            <w:proofErr w:type="spellEnd"/>
            <w:r w:rsidRPr="00E7546E">
              <w:rPr>
                <w:rFonts w:ascii="Times New Roman" w:eastAsia="Times New Roman" w:hAnsi="Times New Roman" w:cs="Times New Roman"/>
                <w:color w:val="000000"/>
                <w:sz w:val="24"/>
                <w:szCs w:val="24"/>
                <w:lang w:eastAsia="en-GB"/>
              </w:rPr>
              <w:t xml:space="preserve"> at entry = to track </w:t>
            </w:r>
            <w:r w:rsidR="000718D4" w:rsidRPr="00E7546E">
              <w:rPr>
                <w:rFonts w:ascii="Times New Roman" w:eastAsia="Times New Roman" w:hAnsi="Times New Roman" w:cs="Times New Roman"/>
                <w:color w:val="000000"/>
                <w:sz w:val="24"/>
                <w:szCs w:val="24"/>
                <w:lang w:eastAsia="en-GB"/>
              </w:rPr>
              <w:t xml:space="preserve">when patients enter the </w:t>
            </w:r>
            <w:proofErr w:type="gramStart"/>
            <w:r w:rsidR="000718D4" w:rsidRPr="00E7546E">
              <w:rPr>
                <w:rFonts w:ascii="Times New Roman" w:eastAsia="Times New Roman" w:hAnsi="Times New Roman" w:cs="Times New Roman"/>
                <w:color w:val="000000"/>
                <w:sz w:val="24"/>
                <w:szCs w:val="24"/>
                <w:lang w:eastAsia="en-GB"/>
              </w:rPr>
              <w:t>model</w:t>
            </w:r>
            <w:r w:rsidR="00D41ACF" w:rsidRPr="00E7546E">
              <w:rPr>
                <w:rFonts w:ascii="Times New Roman" w:eastAsia="Times New Roman" w:hAnsi="Times New Roman" w:cs="Times New Roman"/>
                <w:color w:val="000000"/>
                <w:sz w:val="24"/>
                <w:szCs w:val="24"/>
                <w:lang w:eastAsia="en-GB"/>
              </w:rPr>
              <w:t>;</w:t>
            </w:r>
            <w:proofErr w:type="gramEnd"/>
          </w:p>
          <w:p w14:paraId="49CFD81B" w14:textId="634529DD" w:rsidR="00E21D9A" w:rsidRPr="00E7546E" w:rsidRDefault="00486521" w:rsidP="00E21D9A">
            <w:pPr>
              <w:pStyle w:val="ListParagraph"/>
              <w:numPr>
                <w:ilvl w:val="0"/>
                <w:numId w:val="5"/>
              </w:numPr>
              <w:spacing w:after="120"/>
              <w:rPr>
                <w:rFonts w:ascii="Times New Roman" w:eastAsia="Times New Roman" w:hAnsi="Times New Roman" w:cs="Times New Roman"/>
                <w:color w:val="000000"/>
                <w:sz w:val="24"/>
                <w:szCs w:val="24"/>
                <w:lang w:eastAsia="en-GB"/>
              </w:rPr>
            </w:pPr>
            <w:proofErr w:type="spellStart"/>
            <w:r w:rsidRPr="00E7546E">
              <w:rPr>
                <w:rFonts w:ascii="Times New Roman" w:eastAsia="Times New Roman" w:hAnsi="Times New Roman" w:cs="Times New Roman"/>
                <w:color w:val="000000"/>
                <w:sz w:val="24"/>
                <w:szCs w:val="24"/>
                <w:lang w:eastAsia="en-GB"/>
              </w:rPr>
              <w:t>lbl_</w:t>
            </w:r>
            <w:r w:rsidR="00E21D9A" w:rsidRPr="00E7546E">
              <w:rPr>
                <w:rFonts w:ascii="Times New Roman" w:eastAsia="Times New Roman" w:hAnsi="Times New Roman" w:cs="Times New Roman"/>
                <w:color w:val="000000"/>
                <w:sz w:val="24"/>
                <w:szCs w:val="24"/>
                <w:lang w:eastAsia="en-GB"/>
              </w:rPr>
              <w:t>month</w:t>
            </w:r>
            <w:proofErr w:type="spellEnd"/>
            <w:r w:rsidR="00E21D9A" w:rsidRPr="00E7546E">
              <w:rPr>
                <w:rFonts w:ascii="Times New Roman" w:eastAsia="Times New Roman" w:hAnsi="Times New Roman" w:cs="Times New Roman"/>
                <w:color w:val="000000"/>
                <w:sz w:val="24"/>
                <w:szCs w:val="24"/>
                <w:lang w:eastAsia="en-GB"/>
              </w:rPr>
              <w:t xml:space="preserve"> entry = to track in what month patients have entered the </w:t>
            </w:r>
            <w:proofErr w:type="gramStart"/>
            <w:r w:rsidR="00E21D9A" w:rsidRPr="00E7546E">
              <w:rPr>
                <w:rFonts w:ascii="Times New Roman" w:eastAsia="Times New Roman" w:hAnsi="Times New Roman" w:cs="Times New Roman"/>
                <w:color w:val="000000"/>
                <w:sz w:val="24"/>
                <w:szCs w:val="24"/>
                <w:lang w:eastAsia="en-GB"/>
              </w:rPr>
              <w:t>model;</w:t>
            </w:r>
            <w:proofErr w:type="gramEnd"/>
          </w:p>
          <w:p w14:paraId="7F1E46B4" w14:textId="77777777" w:rsidR="00D41ACF" w:rsidRPr="00E7546E" w:rsidRDefault="00D41ACF" w:rsidP="0050492B">
            <w:pPr>
              <w:pStyle w:val="ListParagraph"/>
              <w:numPr>
                <w:ilvl w:val="0"/>
                <w:numId w:val="5"/>
              </w:numPr>
              <w:spacing w:after="120"/>
              <w:rPr>
                <w:rFonts w:ascii="Times New Roman" w:eastAsia="Times New Roman" w:hAnsi="Times New Roman" w:cs="Times New Roman"/>
                <w:color w:val="000000"/>
                <w:sz w:val="24"/>
                <w:szCs w:val="24"/>
                <w:lang w:eastAsia="en-GB"/>
              </w:rPr>
            </w:pPr>
            <w:proofErr w:type="spellStart"/>
            <w:r w:rsidRPr="00E7546E">
              <w:rPr>
                <w:rFonts w:ascii="Times New Roman" w:eastAsia="Times New Roman" w:hAnsi="Times New Roman" w:cs="Times New Roman"/>
                <w:color w:val="000000"/>
                <w:sz w:val="24"/>
                <w:szCs w:val="24"/>
                <w:lang w:eastAsia="en-GB"/>
              </w:rPr>
              <w:t>true_cancer_status</w:t>
            </w:r>
            <w:proofErr w:type="spellEnd"/>
            <w:r w:rsidRPr="00E7546E">
              <w:rPr>
                <w:rFonts w:ascii="Times New Roman" w:eastAsia="Times New Roman" w:hAnsi="Times New Roman" w:cs="Times New Roman"/>
                <w:color w:val="000000"/>
                <w:sz w:val="24"/>
                <w:szCs w:val="24"/>
                <w:lang w:eastAsia="en-GB"/>
              </w:rPr>
              <w:t xml:space="preserve"> = </w:t>
            </w:r>
            <w:r w:rsidR="001D2501" w:rsidRPr="00E7546E">
              <w:rPr>
                <w:rFonts w:ascii="Times New Roman" w:eastAsia="Times New Roman" w:hAnsi="Times New Roman" w:cs="Times New Roman"/>
                <w:color w:val="000000"/>
                <w:sz w:val="24"/>
                <w:szCs w:val="24"/>
                <w:lang w:eastAsia="en-GB"/>
              </w:rPr>
              <w:t>depending on the probability profile for disease prevalence, patients either (</w:t>
            </w:r>
            <w:proofErr w:type="spellStart"/>
            <w:r w:rsidR="001D2501" w:rsidRPr="00E7546E">
              <w:rPr>
                <w:rFonts w:ascii="Times New Roman" w:eastAsia="Times New Roman" w:hAnsi="Times New Roman" w:cs="Times New Roman"/>
                <w:color w:val="000000"/>
                <w:sz w:val="24"/>
                <w:szCs w:val="24"/>
                <w:lang w:eastAsia="en-GB"/>
              </w:rPr>
              <w:t>i</w:t>
            </w:r>
            <w:proofErr w:type="spellEnd"/>
            <w:r w:rsidR="001D2501" w:rsidRPr="00E7546E">
              <w:rPr>
                <w:rFonts w:ascii="Times New Roman" w:eastAsia="Times New Roman" w:hAnsi="Times New Roman" w:cs="Times New Roman"/>
                <w:color w:val="000000"/>
                <w:sz w:val="24"/>
                <w:szCs w:val="24"/>
                <w:lang w:eastAsia="en-GB"/>
              </w:rPr>
              <w:t xml:space="preserve">) truly have urological cancer or (ii) truly do not have urological cancer. </w:t>
            </w:r>
          </w:p>
          <w:p w14:paraId="244AF0B3" w14:textId="16A3CE4C" w:rsidR="001D2501" w:rsidRPr="00E7546E" w:rsidRDefault="0044236C" w:rsidP="0044236C">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In the bladder and kidney cancer model, each patient is assigned a label ‘</w:t>
            </w:r>
            <w:proofErr w:type="spellStart"/>
            <w:r w:rsidRPr="00E7546E">
              <w:rPr>
                <w:rFonts w:ascii="Times New Roman" w:eastAsia="Times New Roman" w:hAnsi="Times New Roman" w:cs="Times New Roman"/>
                <w:color w:val="000000"/>
                <w:sz w:val="24"/>
                <w:szCs w:val="24"/>
                <w:lang w:eastAsia="en-GB"/>
              </w:rPr>
              <w:t>lbl_cancer_referral</w:t>
            </w:r>
            <w:proofErr w:type="spellEnd"/>
            <w:r w:rsidRPr="00E7546E">
              <w:rPr>
                <w:rFonts w:ascii="Times New Roman" w:eastAsia="Times New Roman" w:hAnsi="Times New Roman" w:cs="Times New Roman"/>
                <w:color w:val="000000"/>
                <w:sz w:val="24"/>
                <w:szCs w:val="24"/>
                <w:lang w:eastAsia="en-GB"/>
              </w:rPr>
              <w:t xml:space="preserve">’ reflecting if they were referred </w:t>
            </w:r>
            <w:r w:rsidR="007F7F51" w:rsidRPr="00E7546E">
              <w:rPr>
                <w:rFonts w:ascii="Times New Roman" w:eastAsia="Times New Roman" w:hAnsi="Times New Roman" w:cs="Times New Roman"/>
                <w:color w:val="000000"/>
                <w:sz w:val="24"/>
                <w:szCs w:val="24"/>
                <w:lang w:eastAsia="en-GB"/>
              </w:rPr>
              <w:t>upon suspicion of</w:t>
            </w:r>
            <w:r w:rsidRPr="00E7546E">
              <w:rPr>
                <w:rFonts w:ascii="Times New Roman" w:eastAsia="Times New Roman" w:hAnsi="Times New Roman" w:cs="Times New Roman"/>
                <w:color w:val="000000"/>
                <w:sz w:val="24"/>
                <w:szCs w:val="24"/>
                <w:lang w:eastAsia="en-GB"/>
              </w:rPr>
              <w:t xml:space="preserve"> bladder or kidney cancer based on a probabi</w:t>
            </w:r>
            <w:r w:rsidR="00FE5A48" w:rsidRPr="00E7546E">
              <w:rPr>
                <w:rFonts w:ascii="Times New Roman" w:eastAsia="Times New Roman" w:hAnsi="Times New Roman" w:cs="Times New Roman"/>
                <w:color w:val="000000"/>
                <w:sz w:val="24"/>
                <w:szCs w:val="24"/>
                <w:lang w:eastAsia="en-GB"/>
              </w:rPr>
              <w:t>l</w:t>
            </w:r>
            <w:r w:rsidRPr="00E7546E">
              <w:rPr>
                <w:rFonts w:ascii="Times New Roman" w:eastAsia="Times New Roman" w:hAnsi="Times New Roman" w:cs="Times New Roman"/>
                <w:color w:val="000000"/>
                <w:sz w:val="24"/>
                <w:szCs w:val="24"/>
                <w:lang w:eastAsia="en-GB"/>
              </w:rPr>
              <w:t>ity profile</w:t>
            </w:r>
            <w:r w:rsidR="00D01F04" w:rsidRPr="00E7546E">
              <w:rPr>
                <w:rFonts w:ascii="Times New Roman" w:eastAsia="Times New Roman" w:hAnsi="Times New Roman" w:cs="Times New Roman"/>
                <w:color w:val="000000"/>
                <w:sz w:val="24"/>
                <w:szCs w:val="24"/>
                <w:lang w:eastAsia="en-GB"/>
              </w:rPr>
              <w:t xml:space="preserve">. </w:t>
            </w:r>
            <w:r w:rsidR="00312CB0" w:rsidRPr="00312CB0">
              <w:rPr>
                <w:rFonts w:ascii="Times New Roman" w:eastAsia="Times New Roman" w:hAnsi="Times New Roman" w:cs="Times New Roman"/>
                <w:color w:val="000000"/>
                <w:sz w:val="24"/>
                <w:szCs w:val="24"/>
                <w:lang w:eastAsia="en-GB"/>
              </w:rPr>
              <w:t>This helped to assign each cancer patient who have to wait longer than 28 days to be seen in secondary care a decrement in 10-year survival specific to their cancer referral (</w:t>
            </w:r>
            <w:proofErr w:type="gramStart"/>
            <w:r w:rsidR="00312CB0" w:rsidRPr="00312CB0">
              <w:rPr>
                <w:rFonts w:ascii="Times New Roman" w:eastAsia="Times New Roman" w:hAnsi="Times New Roman" w:cs="Times New Roman"/>
                <w:color w:val="000000"/>
                <w:sz w:val="24"/>
                <w:szCs w:val="24"/>
                <w:lang w:eastAsia="en-GB"/>
              </w:rPr>
              <w:t>e.g.</w:t>
            </w:r>
            <w:proofErr w:type="gramEnd"/>
            <w:r w:rsidR="00312CB0" w:rsidRPr="00312CB0">
              <w:rPr>
                <w:rFonts w:ascii="Times New Roman" w:eastAsia="Times New Roman" w:hAnsi="Times New Roman" w:cs="Times New Roman"/>
                <w:color w:val="000000"/>
                <w:sz w:val="24"/>
                <w:szCs w:val="24"/>
                <w:lang w:eastAsia="en-GB"/>
              </w:rPr>
              <w:t xml:space="preserve"> prostate, bladder or kidney cancer), as part of the exploratory analysis</w:t>
            </w:r>
            <w:r w:rsidR="00312CB0">
              <w:rPr>
                <w:rFonts w:ascii="Times New Roman" w:eastAsia="Times New Roman" w:hAnsi="Times New Roman" w:cs="Times New Roman"/>
                <w:color w:val="000000"/>
                <w:sz w:val="24"/>
                <w:szCs w:val="24"/>
                <w:lang w:eastAsia="en-GB"/>
              </w:rPr>
              <w:t xml:space="preserve">. </w:t>
            </w:r>
          </w:p>
          <w:p w14:paraId="3954D9CD" w14:textId="77777777" w:rsidR="00D01F04" w:rsidRPr="00E7546E" w:rsidRDefault="00D01F04" w:rsidP="0044236C">
            <w:pPr>
              <w:spacing w:after="120"/>
              <w:rPr>
                <w:rFonts w:ascii="Times New Roman" w:eastAsia="Times New Roman" w:hAnsi="Times New Roman" w:cs="Times New Roman"/>
                <w:color w:val="000000"/>
                <w:sz w:val="24"/>
                <w:szCs w:val="24"/>
                <w:lang w:eastAsia="en-GB"/>
              </w:rPr>
            </w:pPr>
          </w:p>
          <w:p w14:paraId="1D360A1E" w14:textId="20A64C17" w:rsidR="00500CF2" w:rsidRPr="00E7546E" w:rsidRDefault="00D01F04" w:rsidP="0044236C">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Depending on the Simulation time, ‘Starting Point’ counts how many patients have entered the model </w:t>
            </w:r>
            <w:proofErr w:type="gramStart"/>
            <w:r w:rsidRPr="00E7546E">
              <w:rPr>
                <w:rFonts w:ascii="Times New Roman" w:eastAsia="Times New Roman" w:hAnsi="Times New Roman" w:cs="Times New Roman"/>
                <w:color w:val="000000"/>
                <w:sz w:val="24"/>
                <w:szCs w:val="24"/>
                <w:lang w:eastAsia="en-GB"/>
              </w:rPr>
              <w:t>in a given</w:t>
            </w:r>
            <w:proofErr w:type="gramEnd"/>
            <w:r w:rsidRPr="00E7546E">
              <w:rPr>
                <w:rFonts w:ascii="Times New Roman" w:eastAsia="Times New Roman" w:hAnsi="Times New Roman" w:cs="Times New Roman"/>
                <w:color w:val="000000"/>
                <w:sz w:val="24"/>
                <w:szCs w:val="24"/>
                <w:lang w:eastAsia="en-GB"/>
              </w:rPr>
              <w:t xml:space="preserve"> month</w:t>
            </w:r>
            <w:r w:rsidR="00041435" w:rsidRPr="00E7546E">
              <w:rPr>
                <w:rFonts w:ascii="Times New Roman" w:eastAsia="Times New Roman" w:hAnsi="Times New Roman" w:cs="Times New Roman"/>
                <w:color w:val="000000"/>
                <w:sz w:val="24"/>
                <w:szCs w:val="24"/>
                <w:lang w:eastAsia="en-GB"/>
              </w:rPr>
              <w:t xml:space="preserve">. </w:t>
            </w:r>
            <w:r w:rsidR="00C862F4" w:rsidRPr="00E7546E">
              <w:rPr>
                <w:rFonts w:ascii="Times New Roman" w:eastAsia="Times New Roman" w:hAnsi="Times New Roman" w:cs="Times New Roman"/>
                <w:color w:val="000000"/>
                <w:sz w:val="24"/>
                <w:szCs w:val="24"/>
                <w:lang w:eastAsia="en-GB"/>
              </w:rPr>
              <w:t xml:space="preserve">In the ‘Starting Point’, </w:t>
            </w:r>
            <w:r w:rsidR="00FD55A4" w:rsidRPr="00E7546E">
              <w:rPr>
                <w:rFonts w:ascii="Times New Roman" w:eastAsia="Times New Roman" w:hAnsi="Times New Roman" w:cs="Times New Roman"/>
                <w:color w:val="000000"/>
                <w:sz w:val="24"/>
                <w:szCs w:val="24"/>
                <w:lang w:eastAsia="en-GB"/>
              </w:rPr>
              <w:t>the simulation assigns an age group</w:t>
            </w:r>
            <w:r w:rsidR="00594033" w:rsidRPr="00E7546E">
              <w:rPr>
                <w:rFonts w:ascii="Times New Roman" w:eastAsia="Times New Roman" w:hAnsi="Times New Roman" w:cs="Times New Roman"/>
                <w:color w:val="000000"/>
                <w:sz w:val="24"/>
                <w:szCs w:val="24"/>
                <w:lang w:eastAsia="en-GB"/>
              </w:rPr>
              <w:t xml:space="preserve"> label</w:t>
            </w:r>
            <w:r w:rsidR="00FD55A4" w:rsidRPr="00E7546E">
              <w:rPr>
                <w:rFonts w:ascii="Times New Roman" w:eastAsia="Times New Roman" w:hAnsi="Times New Roman" w:cs="Times New Roman"/>
                <w:color w:val="000000"/>
                <w:sz w:val="24"/>
                <w:szCs w:val="24"/>
                <w:lang w:eastAsia="en-GB"/>
              </w:rPr>
              <w:t xml:space="preserve"> to all patients positive to urological cancer based on a distribution/probability profile called ‘</w:t>
            </w:r>
            <w:r w:rsidR="00594033" w:rsidRPr="00E7546E">
              <w:rPr>
                <w:rFonts w:ascii="Times New Roman" w:eastAsia="Times New Roman" w:hAnsi="Times New Roman" w:cs="Times New Roman"/>
                <w:color w:val="000000"/>
                <w:sz w:val="24"/>
                <w:szCs w:val="24"/>
                <w:lang w:eastAsia="en-GB"/>
              </w:rPr>
              <w:t xml:space="preserve">Age </w:t>
            </w:r>
            <w:proofErr w:type="spellStart"/>
            <w:r w:rsidR="00594033" w:rsidRPr="00E7546E">
              <w:rPr>
                <w:rFonts w:ascii="Times New Roman" w:eastAsia="Times New Roman" w:hAnsi="Times New Roman" w:cs="Times New Roman"/>
                <w:color w:val="000000"/>
                <w:sz w:val="24"/>
                <w:szCs w:val="24"/>
                <w:lang w:eastAsia="en-GB"/>
              </w:rPr>
              <w:t>groups_cancer</w:t>
            </w:r>
            <w:proofErr w:type="spellEnd"/>
            <w:r w:rsidR="00594033" w:rsidRPr="00E7546E">
              <w:rPr>
                <w:rFonts w:ascii="Times New Roman" w:eastAsia="Times New Roman" w:hAnsi="Times New Roman" w:cs="Times New Roman"/>
                <w:color w:val="000000"/>
                <w:sz w:val="24"/>
                <w:szCs w:val="24"/>
                <w:lang w:eastAsia="en-GB"/>
              </w:rPr>
              <w:t xml:space="preserve"> positive’</w:t>
            </w:r>
            <w:r w:rsidR="00FE5A48" w:rsidRPr="00E7546E">
              <w:rPr>
                <w:rFonts w:ascii="Times New Roman" w:eastAsia="Times New Roman" w:hAnsi="Times New Roman" w:cs="Times New Roman"/>
                <w:color w:val="000000"/>
                <w:sz w:val="24"/>
                <w:szCs w:val="24"/>
                <w:lang w:eastAsia="en-GB"/>
              </w:rPr>
              <w:t xml:space="preserve">. In the bladder and kidney cancer model, </w:t>
            </w:r>
            <w:r w:rsidR="009C4B3B" w:rsidRPr="00E7546E">
              <w:rPr>
                <w:rFonts w:ascii="Times New Roman" w:eastAsia="Times New Roman" w:hAnsi="Times New Roman" w:cs="Times New Roman"/>
                <w:color w:val="000000"/>
                <w:sz w:val="24"/>
                <w:szCs w:val="24"/>
                <w:lang w:eastAsia="en-GB"/>
              </w:rPr>
              <w:t>patients positive to either urological cancer are assigned a</w:t>
            </w:r>
            <w:r w:rsidR="005D3175" w:rsidRPr="00E7546E">
              <w:rPr>
                <w:rFonts w:ascii="Times New Roman" w:eastAsia="Times New Roman" w:hAnsi="Times New Roman" w:cs="Times New Roman"/>
                <w:color w:val="000000"/>
                <w:sz w:val="24"/>
                <w:szCs w:val="24"/>
                <w:lang w:eastAsia="en-GB"/>
              </w:rPr>
              <w:t>n</w:t>
            </w:r>
            <w:r w:rsidR="009C4B3B" w:rsidRPr="00E7546E">
              <w:rPr>
                <w:rFonts w:ascii="Times New Roman" w:eastAsia="Times New Roman" w:hAnsi="Times New Roman" w:cs="Times New Roman"/>
                <w:color w:val="000000"/>
                <w:sz w:val="24"/>
                <w:szCs w:val="24"/>
                <w:lang w:eastAsia="en-GB"/>
              </w:rPr>
              <w:t xml:space="preserve"> age group label </w:t>
            </w:r>
            <w:r w:rsidR="005D3175" w:rsidRPr="00E7546E">
              <w:rPr>
                <w:rFonts w:ascii="Times New Roman" w:eastAsia="Times New Roman" w:hAnsi="Times New Roman" w:cs="Times New Roman"/>
                <w:color w:val="000000"/>
                <w:sz w:val="24"/>
                <w:szCs w:val="24"/>
                <w:lang w:eastAsia="en-GB"/>
              </w:rPr>
              <w:t>conditional</w:t>
            </w:r>
            <w:r w:rsidR="009C4B3B" w:rsidRPr="00E7546E">
              <w:rPr>
                <w:rFonts w:ascii="Times New Roman" w:eastAsia="Times New Roman" w:hAnsi="Times New Roman" w:cs="Times New Roman"/>
                <w:color w:val="000000"/>
                <w:sz w:val="24"/>
                <w:szCs w:val="24"/>
                <w:lang w:eastAsia="en-GB"/>
              </w:rPr>
              <w:t xml:space="preserve"> on the cancer they were </w:t>
            </w:r>
            <w:r w:rsidR="00D97DF9" w:rsidRPr="00E7546E">
              <w:rPr>
                <w:rFonts w:ascii="Times New Roman" w:eastAsia="Times New Roman" w:hAnsi="Times New Roman" w:cs="Times New Roman"/>
                <w:color w:val="000000"/>
                <w:sz w:val="24"/>
                <w:szCs w:val="24"/>
                <w:lang w:eastAsia="en-GB"/>
              </w:rPr>
              <w:t xml:space="preserve">initially </w:t>
            </w:r>
            <w:r w:rsidR="009C4B3B" w:rsidRPr="00E7546E">
              <w:rPr>
                <w:rFonts w:ascii="Times New Roman" w:eastAsia="Times New Roman" w:hAnsi="Times New Roman" w:cs="Times New Roman"/>
                <w:color w:val="000000"/>
                <w:sz w:val="24"/>
                <w:szCs w:val="24"/>
                <w:lang w:eastAsia="en-GB"/>
              </w:rPr>
              <w:t>referred to (</w:t>
            </w:r>
            <w:proofErr w:type="gramStart"/>
            <w:r w:rsidR="009C4B3B" w:rsidRPr="00E7546E">
              <w:rPr>
                <w:rFonts w:ascii="Times New Roman" w:eastAsia="Times New Roman" w:hAnsi="Times New Roman" w:cs="Times New Roman"/>
                <w:color w:val="000000"/>
                <w:sz w:val="24"/>
                <w:szCs w:val="24"/>
                <w:lang w:eastAsia="en-GB"/>
              </w:rPr>
              <w:t>e.g</w:t>
            </w:r>
            <w:r w:rsidR="00D97DF9" w:rsidRPr="00E7546E">
              <w:rPr>
                <w:rFonts w:ascii="Times New Roman" w:eastAsia="Times New Roman" w:hAnsi="Times New Roman" w:cs="Times New Roman"/>
                <w:color w:val="000000"/>
                <w:sz w:val="24"/>
                <w:szCs w:val="24"/>
                <w:lang w:eastAsia="en-GB"/>
              </w:rPr>
              <w:t>.</w:t>
            </w:r>
            <w:proofErr w:type="gramEnd"/>
            <w:r w:rsidR="00D97DF9" w:rsidRPr="00E7546E">
              <w:rPr>
                <w:rFonts w:ascii="Times New Roman" w:eastAsia="Times New Roman" w:hAnsi="Times New Roman" w:cs="Times New Roman"/>
                <w:color w:val="000000"/>
                <w:sz w:val="24"/>
                <w:szCs w:val="24"/>
                <w:lang w:eastAsia="en-GB"/>
              </w:rPr>
              <w:t xml:space="preserve"> patients truly with bladder cancer will be assigned </w:t>
            </w:r>
            <w:proofErr w:type="spellStart"/>
            <w:r w:rsidR="00D97DF9" w:rsidRPr="00E7546E">
              <w:rPr>
                <w:rFonts w:ascii="Times New Roman" w:eastAsia="Times New Roman" w:hAnsi="Times New Roman" w:cs="Times New Roman"/>
                <w:color w:val="000000"/>
                <w:sz w:val="24"/>
                <w:szCs w:val="24"/>
                <w:lang w:eastAsia="en-GB"/>
              </w:rPr>
              <w:t>a</w:t>
            </w:r>
            <w:proofErr w:type="spellEnd"/>
            <w:r w:rsidR="00D97DF9" w:rsidRPr="00E7546E">
              <w:rPr>
                <w:rFonts w:ascii="Times New Roman" w:eastAsia="Times New Roman" w:hAnsi="Times New Roman" w:cs="Times New Roman"/>
                <w:color w:val="000000"/>
                <w:sz w:val="24"/>
                <w:szCs w:val="24"/>
                <w:lang w:eastAsia="en-GB"/>
              </w:rPr>
              <w:t xml:space="preserve"> age group</w:t>
            </w:r>
            <w:r w:rsidR="005B18E6" w:rsidRPr="00E7546E">
              <w:rPr>
                <w:rFonts w:ascii="Times New Roman" w:eastAsia="Times New Roman" w:hAnsi="Times New Roman" w:cs="Times New Roman"/>
                <w:color w:val="000000"/>
                <w:sz w:val="24"/>
                <w:szCs w:val="24"/>
                <w:lang w:eastAsia="en-GB"/>
              </w:rPr>
              <w:t xml:space="preserve"> specific to bladder cancer</w:t>
            </w:r>
            <w:r w:rsidR="009C4B3B" w:rsidRPr="00E7546E">
              <w:rPr>
                <w:rFonts w:ascii="Times New Roman" w:eastAsia="Times New Roman" w:hAnsi="Times New Roman" w:cs="Times New Roman"/>
                <w:color w:val="000000"/>
                <w:sz w:val="24"/>
                <w:szCs w:val="24"/>
                <w:lang w:eastAsia="en-GB"/>
              </w:rPr>
              <w:t xml:space="preserve">). </w:t>
            </w:r>
            <w:r w:rsidR="009176B5" w:rsidRPr="00E7546E">
              <w:rPr>
                <w:rFonts w:ascii="Times New Roman" w:eastAsia="Times New Roman" w:hAnsi="Times New Roman" w:cs="Times New Roman"/>
                <w:color w:val="000000"/>
                <w:sz w:val="24"/>
                <w:szCs w:val="24"/>
                <w:lang w:eastAsia="en-GB"/>
              </w:rPr>
              <w:t>Across both models, t</w:t>
            </w:r>
            <w:r w:rsidR="002029C4" w:rsidRPr="00E7546E">
              <w:rPr>
                <w:rFonts w:ascii="Times New Roman" w:eastAsia="Times New Roman" w:hAnsi="Times New Roman" w:cs="Times New Roman"/>
                <w:color w:val="000000"/>
                <w:sz w:val="24"/>
                <w:szCs w:val="24"/>
                <w:lang w:eastAsia="en-GB"/>
              </w:rPr>
              <w:t xml:space="preserve">he ‘Starting Point’ also assigns </w:t>
            </w:r>
            <w:r w:rsidR="00EE55F5" w:rsidRPr="00E7546E">
              <w:rPr>
                <w:rFonts w:ascii="Times New Roman" w:eastAsia="Times New Roman" w:hAnsi="Times New Roman" w:cs="Times New Roman"/>
                <w:color w:val="000000"/>
                <w:sz w:val="24"/>
                <w:szCs w:val="24"/>
                <w:lang w:eastAsia="en-GB"/>
              </w:rPr>
              <w:t>a label called ‘</w:t>
            </w:r>
            <w:proofErr w:type="spellStart"/>
            <w:r w:rsidR="00EE55F5" w:rsidRPr="00E7546E">
              <w:rPr>
                <w:rFonts w:ascii="Times New Roman" w:eastAsia="Times New Roman" w:hAnsi="Times New Roman" w:cs="Times New Roman"/>
                <w:color w:val="000000"/>
                <w:sz w:val="24"/>
                <w:szCs w:val="24"/>
                <w:lang w:eastAsia="en-GB"/>
              </w:rPr>
              <w:t>lbl_test</w:t>
            </w:r>
            <w:proofErr w:type="spellEnd"/>
            <w:r w:rsidR="00EE55F5" w:rsidRPr="00E7546E">
              <w:rPr>
                <w:rFonts w:ascii="Times New Roman" w:eastAsia="Times New Roman" w:hAnsi="Times New Roman" w:cs="Times New Roman"/>
                <w:color w:val="000000"/>
                <w:sz w:val="24"/>
                <w:szCs w:val="24"/>
                <w:lang w:eastAsia="en-GB"/>
              </w:rPr>
              <w:t xml:space="preserve">’ depending on the intervention being evaluated </w:t>
            </w:r>
            <w:r w:rsidR="00B81F9A" w:rsidRPr="00E7546E">
              <w:rPr>
                <w:rFonts w:ascii="Times New Roman" w:eastAsia="Times New Roman" w:hAnsi="Times New Roman" w:cs="Times New Roman"/>
                <w:color w:val="000000"/>
                <w:sz w:val="24"/>
                <w:szCs w:val="24"/>
                <w:lang w:eastAsia="en-GB"/>
              </w:rPr>
              <w:t xml:space="preserve">to ensure that entities follow the </w:t>
            </w:r>
            <w:r w:rsidR="005B18E6" w:rsidRPr="00E7546E">
              <w:rPr>
                <w:rFonts w:ascii="Times New Roman" w:eastAsia="Times New Roman" w:hAnsi="Times New Roman" w:cs="Times New Roman"/>
                <w:color w:val="000000"/>
                <w:sz w:val="24"/>
                <w:szCs w:val="24"/>
                <w:lang w:eastAsia="en-GB"/>
              </w:rPr>
              <w:t xml:space="preserve">correct </w:t>
            </w:r>
            <w:r w:rsidR="00B81F9A" w:rsidRPr="00E7546E">
              <w:rPr>
                <w:rFonts w:ascii="Times New Roman" w:eastAsia="Times New Roman" w:hAnsi="Times New Roman" w:cs="Times New Roman"/>
                <w:color w:val="000000"/>
                <w:sz w:val="24"/>
                <w:szCs w:val="24"/>
                <w:lang w:eastAsia="en-GB"/>
              </w:rPr>
              <w:t xml:space="preserve">diagnostic pathway in primary care. </w:t>
            </w:r>
          </w:p>
          <w:p w14:paraId="1F219756" w14:textId="77777777" w:rsidR="00C219B0" w:rsidRPr="00E7546E" w:rsidRDefault="00B2741F" w:rsidP="0044236C">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the </w:t>
            </w:r>
            <w:r w:rsidR="00C5746B" w:rsidRPr="00E7546E">
              <w:rPr>
                <w:rFonts w:ascii="Times New Roman" w:eastAsia="Times New Roman" w:hAnsi="Times New Roman" w:cs="Times New Roman"/>
                <w:color w:val="000000"/>
                <w:sz w:val="24"/>
                <w:szCs w:val="24"/>
                <w:lang w:eastAsia="en-GB"/>
              </w:rPr>
              <w:t>‘GP</w:t>
            </w:r>
            <w:r w:rsidR="005E30A8" w:rsidRPr="00E7546E">
              <w:rPr>
                <w:rFonts w:ascii="Times New Roman" w:eastAsia="Times New Roman" w:hAnsi="Times New Roman" w:cs="Times New Roman"/>
                <w:color w:val="000000"/>
                <w:sz w:val="24"/>
                <w:szCs w:val="24"/>
                <w:lang w:eastAsia="en-GB"/>
              </w:rPr>
              <w:t xml:space="preserve"> visit’ activity, </w:t>
            </w:r>
            <w:r w:rsidR="008669F5" w:rsidRPr="00E7546E">
              <w:rPr>
                <w:rFonts w:ascii="Times New Roman" w:eastAsia="Times New Roman" w:hAnsi="Times New Roman" w:cs="Times New Roman"/>
                <w:color w:val="000000"/>
                <w:sz w:val="24"/>
                <w:szCs w:val="24"/>
                <w:lang w:eastAsia="en-GB"/>
              </w:rPr>
              <w:t>the Rout</w:t>
            </w:r>
            <w:r w:rsidR="008B0E55" w:rsidRPr="00E7546E">
              <w:rPr>
                <w:rFonts w:ascii="Times New Roman" w:eastAsia="Times New Roman" w:hAnsi="Times New Roman" w:cs="Times New Roman"/>
                <w:color w:val="000000"/>
                <w:sz w:val="24"/>
                <w:szCs w:val="24"/>
                <w:lang w:eastAsia="en-GB"/>
              </w:rPr>
              <w:t xml:space="preserve">ing Out </w:t>
            </w:r>
            <w:proofErr w:type="gramStart"/>
            <w:r w:rsidR="008B0E55" w:rsidRPr="00E7546E">
              <w:rPr>
                <w:rFonts w:ascii="Times New Roman" w:eastAsia="Times New Roman" w:hAnsi="Times New Roman" w:cs="Times New Roman"/>
                <w:color w:val="000000"/>
                <w:sz w:val="24"/>
                <w:szCs w:val="24"/>
                <w:lang w:eastAsia="en-GB"/>
              </w:rPr>
              <w:t>On</w:t>
            </w:r>
            <w:proofErr w:type="gramEnd"/>
            <w:r w:rsidR="008B0E55" w:rsidRPr="00E7546E">
              <w:rPr>
                <w:rFonts w:ascii="Times New Roman" w:eastAsia="Times New Roman" w:hAnsi="Times New Roman" w:cs="Times New Roman"/>
                <w:color w:val="000000"/>
                <w:sz w:val="24"/>
                <w:szCs w:val="24"/>
                <w:lang w:eastAsia="en-GB"/>
              </w:rPr>
              <w:t xml:space="preserve"> Work Complete </w:t>
            </w:r>
            <w:r w:rsidR="00C219B0" w:rsidRPr="00E7546E">
              <w:rPr>
                <w:rFonts w:ascii="Times New Roman" w:eastAsia="Times New Roman" w:hAnsi="Times New Roman" w:cs="Times New Roman"/>
                <w:color w:val="000000"/>
                <w:sz w:val="24"/>
                <w:szCs w:val="24"/>
                <w:lang w:eastAsia="en-GB"/>
              </w:rPr>
              <w:t>performs the following tasks:</w:t>
            </w:r>
          </w:p>
          <w:p w14:paraId="570FE65A" w14:textId="77777777" w:rsidR="00B2741F" w:rsidRPr="00E7546E" w:rsidRDefault="00C219B0" w:rsidP="00C219B0">
            <w:pPr>
              <w:pStyle w:val="ListParagraph"/>
              <w:numPr>
                <w:ilvl w:val="0"/>
                <w:numId w:val="6"/>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A</w:t>
            </w:r>
            <w:r w:rsidR="008669F5" w:rsidRPr="00E7546E">
              <w:rPr>
                <w:rFonts w:ascii="Times New Roman" w:eastAsia="Times New Roman" w:hAnsi="Times New Roman" w:cs="Times New Roman"/>
                <w:color w:val="000000"/>
                <w:sz w:val="24"/>
                <w:szCs w:val="24"/>
                <w:lang w:eastAsia="en-GB"/>
              </w:rPr>
              <w:t xml:space="preserve"> global variable counts the number of GP </w:t>
            </w:r>
            <w:proofErr w:type="gramStart"/>
            <w:r w:rsidR="008669F5" w:rsidRPr="00E7546E">
              <w:rPr>
                <w:rFonts w:ascii="Times New Roman" w:eastAsia="Times New Roman" w:hAnsi="Times New Roman" w:cs="Times New Roman"/>
                <w:color w:val="000000"/>
                <w:sz w:val="24"/>
                <w:szCs w:val="24"/>
                <w:lang w:eastAsia="en-GB"/>
              </w:rPr>
              <w:t>consultations</w:t>
            </w:r>
            <w:r w:rsidRPr="00E7546E">
              <w:rPr>
                <w:rFonts w:ascii="Times New Roman" w:eastAsia="Times New Roman" w:hAnsi="Times New Roman" w:cs="Times New Roman"/>
                <w:color w:val="000000"/>
                <w:sz w:val="24"/>
                <w:szCs w:val="24"/>
                <w:lang w:eastAsia="en-GB"/>
              </w:rPr>
              <w:t>;</w:t>
            </w:r>
            <w:proofErr w:type="gramEnd"/>
          </w:p>
          <w:p w14:paraId="6FC1AD95" w14:textId="77777777" w:rsidR="006C5B39" w:rsidRPr="00E7546E" w:rsidRDefault="00500CF2" w:rsidP="006C5B39">
            <w:pPr>
              <w:pStyle w:val="ListParagraph"/>
              <w:numPr>
                <w:ilvl w:val="0"/>
                <w:numId w:val="6"/>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In the bladder and kidney cancer model only, e</w:t>
            </w:r>
            <w:r w:rsidR="00762B2B" w:rsidRPr="00E7546E">
              <w:rPr>
                <w:rFonts w:ascii="Times New Roman" w:eastAsia="Times New Roman" w:hAnsi="Times New Roman" w:cs="Times New Roman"/>
                <w:color w:val="000000"/>
                <w:sz w:val="24"/>
                <w:szCs w:val="24"/>
                <w:lang w:eastAsia="en-GB"/>
              </w:rPr>
              <w:t>ach patient is assigned a unique label called ‘</w:t>
            </w:r>
            <w:proofErr w:type="spellStart"/>
            <w:r w:rsidR="00762B2B" w:rsidRPr="00E7546E">
              <w:rPr>
                <w:rFonts w:ascii="Times New Roman" w:eastAsia="Times New Roman" w:hAnsi="Times New Roman" w:cs="Times New Roman"/>
                <w:color w:val="000000"/>
                <w:sz w:val="24"/>
                <w:szCs w:val="24"/>
                <w:lang w:eastAsia="en-GB"/>
              </w:rPr>
              <w:t>lbl_time</w:t>
            </w:r>
            <w:proofErr w:type="spellEnd"/>
            <w:r w:rsidR="00762B2B" w:rsidRPr="00E7546E">
              <w:rPr>
                <w:rFonts w:ascii="Times New Roman" w:eastAsia="Times New Roman" w:hAnsi="Times New Roman" w:cs="Times New Roman"/>
                <w:color w:val="000000"/>
                <w:sz w:val="24"/>
                <w:szCs w:val="24"/>
                <w:lang w:eastAsia="en-GB"/>
              </w:rPr>
              <w:t xml:space="preserve"> to request referral’ equal to Simulation time to track when the GP refers patients for further investigation in secondary </w:t>
            </w:r>
            <w:proofErr w:type="gramStart"/>
            <w:r w:rsidR="00762B2B" w:rsidRPr="00E7546E">
              <w:rPr>
                <w:rFonts w:ascii="Times New Roman" w:eastAsia="Times New Roman" w:hAnsi="Times New Roman" w:cs="Times New Roman"/>
                <w:color w:val="000000"/>
                <w:sz w:val="24"/>
                <w:szCs w:val="24"/>
                <w:lang w:eastAsia="en-GB"/>
              </w:rPr>
              <w:t>care;</w:t>
            </w:r>
            <w:proofErr w:type="gramEnd"/>
          </w:p>
          <w:p w14:paraId="1C8B8BF3" w14:textId="7980C067" w:rsidR="008A1A2B" w:rsidRPr="00E7546E" w:rsidRDefault="00500CF2" w:rsidP="006C5B39">
            <w:pPr>
              <w:pStyle w:val="ListParagraph"/>
              <w:numPr>
                <w:ilvl w:val="0"/>
                <w:numId w:val="6"/>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In the bladder and kidney cancer model only, t</w:t>
            </w:r>
            <w:r w:rsidR="008A1A2B" w:rsidRPr="00E7546E">
              <w:rPr>
                <w:rFonts w:ascii="Times New Roman" w:eastAsia="Times New Roman" w:hAnsi="Times New Roman" w:cs="Times New Roman"/>
                <w:color w:val="000000"/>
                <w:sz w:val="24"/>
                <w:szCs w:val="24"/>
                <w:lang w:eastAsia="en-GB"/>
              </w:rPr>
              <w:t xml:space="preserve">he patient is routed </w:t>
            </w:r>
            <w:r w:rsidR="00666ED7" w:rsidRPr="00E7546E">
              <w:rPr>
                <w:rFonts w:ascii="Times New Roman" w:eastAsia="Times New Roman" w:hAnsi="Times New Roman" w:cs="Times New Roman"/>
                <w:color w:val="000000"/>
                <w:sz w:val="24"/>
                <w:szCs w:val="24"/>
                <w:lang w:eastAsia="en-GB"/>
              </w:rPr>
              <w:t>out</w:t>
            </w:r>
            <w:r w:rsidR="008A1A2B" w:rsidRPr="00E7546E">
              <w:rPr>
                <w:rFonts w:ascii="Times New Roman" w:eastAsia="Times New Roman" w:hAnsi="Times New Roman" w:cs="Times New Roman"/>
                <w:color w:val="000000"/>
                <w:sz w:val="24"/>
                <w:szCs w:val="24"/>
                <w:lang w:eastAsia="en-GB"/>
              </w:rPr>
              <w:t xml:space="preserve"> </w:t>
            </w:r>
            <w:r w:rsidR="00666ED7" w:rsidRPr="00E7546E">
              <w:rPr>
                <w:rFonts w:ascii="Times New Roman" w:eastAsia="Times New Roman" w:hAnsi="Times New Roman" w:cs="Times New Roman"/>
                <w:color w:val="000000"/>
                <w:sz w:val="24"/>
                <w:szCs w:val="24"/>
                <w:lang w:eastAsia="en-GB"/>
              </w:rPr>
              <w:t xml:space="preserve">to </w:t>
            </w:r>
            <w:r w:rsidR="008A1A2B" w:rsidRPr="00E7546E">
              <w:rPr>
                <w:rFonts w:ascii="Times New Roman" w:eastAsia="Times New Roman" w:hAnsi="Times New Roman" w:cs="Times New Roman"/>
                <w:color w:val="000000"/>
                <w:sz w:val="24"/>
                <w:szCs w:val="24"/>
                <w:lang w:eastAsia="en-GB"/>
              </w:rPr>
              <w:t xml:space="preserve">either standard care or </w:t>
            </w:r>
            <w:proofErr w:type="spellStart"/>
            <w:r w:rsidR="008A1A2B" w:rsidRPr="00E7546E">
              <w:rPr>
                <w:rFonts w:ascii="Times New Roman" w:eastAsia="Times New Roman" w:hAnsi="Times New Roman" w:cs="Times New Roman"/>
                <w:color w:val="000000"/>
                <w:sz w:val="24"/>
                <w:szCs w:val="24"/>
                <w:lang w:eastAsia="en-GB"/>
              </w:rPr>
              <w:t>PinPoint</w:t>
            </w:r>
            <w:proofErr w:type="spellEnd"/>
            <w:r w:rsidR="008A1A2B" w:rsidRPr="00E7546E">
              <w:rPr>
                <w:rFonts w:ascii="Times New Roman" w:eastAsia="Times New Roman" w:hAnsi="Times New Roman" w:cs="Times New Roman"/>
                <w:color w:val="000000"/>
                <w:sz w:val="24"/>
                <w:szCs w:val="24"/>
                <w:lang w:eastAsia="en-GB"/>
              </w:rPr>
              <w:t xml:space="preserve"> test arm depending on the testing strategy being evaluated</w:t>
            </w:r>
            <w:r w:rsidR="006C5B39" w:rsidRPr="00E7546E">
              <w:rPr>
                <w:rFonts w:ascii="Times New Roman" w:eastAsia="Times New Roman" w:hAnsi="Times New Roman" w:cs="Times New Roman"/>
                <w:color w:val="000000"/>
                <w:sz w:val="24"/>
                <w:szCs w:val="24"/>
                <w:lang w:eastAsia="en-GB"/>
              </w:rPr>
              <w:t xml:space="preserve">. </w:t>
            </w:r>
          </w:p>
          <w:p w14:paraId="3B8C579A" w14:textId="0FC2AED6" w:rsidR="008A1A2B" w:rsidRPr="00E7546E" w:rsidRDefault="00500CF2" w:rsidP="008A1A2B">
            <w:pPr>
              <w:pStyle w:val="ListParagraph"/>
              <w:numPr>
                <w:ilvl w:val="0"/>
                <w:numId w:val="6"/>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In the bladder and kidney cancer model only, i</w:t>
            </w:r>
            <w:r w:rsidR="006B5CC6" w:rsidRPr="00E7546E">
              <w:rPr>
                <w:rFonts w:ascii="Times New Roman" w:eastAsia="Times New Roman" w:hAnsi="Times New Roman" w:cs="Times New Roman"/>
                <w:color w:val="000000"/>
                <w:sz w:val="24"/>
                <w:szCs w:val="24"/>
                <w:lang w:eastAsia="en-GB"/>
              </w:rPr>
              <w:t>n case standard care is being evaluated, this VL assigned each patient a</w:t>
            </w:r>
            <w:r w:rsidR="002750D6" w:rsidRPr="00E7546E">
              <w:rPr>
                <w:rFonts w:ascii="Times New Roman" w:eastAsia="Times New Roman" w:hAnsi="Times New Roman" w:cs="Times New Roman"/>
                <w:color w:val="000000"/>
                <w:sz w:val="24"/>
                <w:szCs w:val="24"/>
                <w:lang w:eastAsia="en-GB"/>
              </w:rPr>
              <w:t xml:space="preserve"> </w:t>
            </w:r>
            <w:r w:rsidR="006B5CC6" w:rsidRPr="00E7546E">
              <w:rPr>
                <w:rFonts w:ascii="Times New Roman" w:eastAsia="Times New Roman" w:hAnsi="Times New Roman" w:cs="Times New Roman"/>
                <w:color w:val="000000"/>
                <w:sz w:val="24"/>
                <w:szCs w:val="24"/>
                <w:lang w:eastAsia="en-GB"/>
              </w:rPr>
              <w:t xml:space="preserve">minimum waiting time to be seen in secondary care equal to </w:t>
            </w:r>
            <w:r w:rsidR="00E6222F" w:rsidRPr="00E7546E">
              <w:rPr>
                <w:rFonts w:ascii="Times New Roman" w:eastAsia="Times New Roman" w:hAnsi="Times New Roman" w:cs="Times New Roman"/>
                <w:color w:val="000000"/>
                <w:sz w:val="24"/>
                <w:szCs w:val="24"/>
                <w:lang w:eastAsia="en-GB"/>
              </w:rPr>
              <w:t>13 days</w:t>
            </w:r>
            <w:r w:rsidR="006B5CC6" w:rsidRPr="00E7546E">
              <w:rPr>
                <w:rFonts w:ascii="Times New Roman" w:eastAsia="Times New Roman" w:hAnsi="Times New Roman" w:cs="Times New Roman"/>
                <w:color w:val="000000"/>
                <w:sz w:val="24"/>
                <w:szCs w:val="24"/>
                <w:lang w:eastAsia="en-GB"/>
              </w:rPr>
              <w:t xml:space="preserve"> (</w:t>
            </w:r>
            <w:r w:rsidR="00E95B86" w:rsidRPr="00E7546E">
              <w:rPr>
                <w:rFonts w:ascii="Times New Roman" w:eastAsia="Times New Roman" w:hAnsi="Times New Roman" w:cs="Times New Roman"/>
                <w:color w:val="000000"/>
                <w:sz w:val="24"/>
                <w:szCs w:val="24"/>
                <w:lang w:eastAsia="en-GB"/>
              </w:rPr>
              <w:t>13</w:t>
            </w:r>
            <w:r w:rsidR="00054B6A" w:rsidRPr="00E7546E">
              <w:rPr>
                <w:rFonts w:ascii="Times New Roman" w:eastAsia="Times New Roman" w:hAnsi="Times New Roman" w:cs="Times New Roman"/>
                <w:color w:val="000000"/>
                <w:sz w:val="24"/>
                <w:szCs w:val="24"/>
                <w:lang w:eastAsia="en-GB"/>
              </w:rPr>
              <w:t xml:space="preserve"> days*480 minutes = </w:t>
            </w:r>
            <w:r w:rsidR="00E95B86" w:rsidRPr="00E7546E">
              <w:rPr>
                <w:rFonts w:ascii="Times New Roman" w:eastAsia="Times New Roman" w:hAnsi="Times New Roman" w:cs="Times New Roman"/>
                <w:color w:val="000000"/>
                <w:sz w:val="24"/>
                <w:szCs w:val="24"/>
                <w:lang w:eastAsia="en-GB"/>
              </w:rPr>
              <w:t>6240</w:t>
            </w:r>
            <w:proofErr w:type="gramStart"/>
            <w:r w:rsidR="00E95B86" w:rsidRPr="00E7546E">
              <w:rPr>
                <w:rFonts w:ascii="Times New Roman" w:eastAsia="Times New Roman" w:hAnsi="Times New Roman" w:cs="Times New Roman"/>
                <w:color w:val="000000"/>
                <w:sz w:val="24"/>
                <w:szCs w:val="24"/>
                <w:lang w:eastAsia="en-GB"/>
              </w:rPr>
              <w:t>)</w:t>
            </w:r>
            <w:r w:rsidR="005772C4" w:rsidRPr="00E7546E">
              <w:rPr>
                <w:rFonts w:ascii="Times New Roman" w:eastAsia="Times New Roman" w:hAnsi="Times New Roman" w:cs="Times New Roman"/>
                <w:color w:val="000000"/>
                <w:sz w:val="24"/>
                <w:szCs w:val="24"/>
                <w:lang w:eastAsia="en-GB"/>
              </w:rPr>
              <w:t>;</w:t>
            </w:r>
            <w:proofErr w:type="gramEnd"/>
          </w:p>
          <w:p w14:paraId="5DC3400A" w14:textId="2D63188F" w:rsidR="005772C4" w:rsidRPr="00E7546E" w:rsidRDefault="00490D12" w:rsidP="008A1A2B">
            <w:pPr>
              <w:pStyle w:val="ListParagraph"/>
              <w:numPr>
                <w:ilvl w:val="0"/>
                <w:numId w:val="6"/>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In the bladder and kidney cancer model only, g</w:t>
            </w:r>
            <w:r w:rsidR="005772C4" w:rsidRPr="00E7546E">
              <w:rPr>
                <w:rFonts w:ascii="Times New Roman" w:eastAsia="Times New Roman" w:hAnsi="Times New Roman" w:cs="Times New Roman"/>
                <w:color w:val="000000"/>
                <w:sz w:val="24"/>
                <w:szCs w:val="24"/>
                <w:lang w:eastAsia="en-GB"/>
              </w:rPr>
              <w:t>lobal variables count the following model outputs: (</w:t>
            </w:r>
            <w:proofErr w:type="spellStart"/>
            <w:r w:rsidR="005772C4" w:rsidRPr="00E7546E">
              <w:rPr>
                <w:rFonts w:ascii="Times New Roman" w:eastAsia="Times New Roman" w:hAnsi="Times New Roman" w:cs="Times New Roman"/>
                <w:color w:val="000000"/>
                <w:sz w:val="24"/>
                <w:szCs w:val="24"/>
                <w:lang w:eastAsia="en-GB"/>
              </w:rPr>
              <w:t>i</w:t>
            </w:r>
            <w:proofErr w:type="spellEnd"/>
            <w:r w:rsidR="005772C4" w:rsidRPr="00E7546E">
              <w:rPr>
                <w:rFonts w:ascii="Times New Roman" w:eastAsia="Times New Roman" w:hAnsi="Times New Roman" w:cs="Times New Roman"/>
                <w:color w:val="000000"/>
                <w:sz w:val="24"/>
                <w:szCs w:val="24"/>
                <w:lang w:eastAsia="en-GB"/>
              </w:rPr>
              <w:t xml:space="preserve">) </w:t>
            </w:r>
            <w:proofErr w:type="spellStart"/>
            <w:r w:rsidR="00F77BB9" w:rsidRPr="00E7546E">
              <w:rPr>
                <w:rFonts w:ascii="Times New Roman" w:eastAsia="Times New Roman" w:hAnsi="Times New Roman" w:cs="Times New Roman"/>
                <w:color w:val="000000"/>
                <w:sz w:val="24"/>
                <w:szCs w:val="24"/>
                <w:lang w:eastAsia="en-GB"/>
              </w:rPr>
              <w:t>All_Referrals</w:t>
            </w:r>
            <w:proofErr w:type="spellEnd"/>
            <w:r w:rsidR="00F77BB9" w:rsidRPr="00E7546E">
              <w:rPr>
                <w:rFonts w:ascii="Times New Roman" w:eastAsia="Times New Roman" w:hAnsi="Times New Roman" w:cs="Times New Roman"/>
                <w:color w:val="000000"/>
                <w:sz w:val="24"/>
                <w:szCs w:val="24"/>
                <w:lang w:eastAsia="en-GB"/>
              </w:rPr>
              <w:t xml:space="preserve">; (ii) </w:t>
            </w:r>
            <w:proofErr w:type="spellStart"/>
            <w:r w:rsidR="00F77BB9" w:rsidRPr="00E7546E">
              <w:rPr>
                <w:rFonts w:ascii="Times New Roman" w:eastAsia="Times New Roman" w:hAnsi="Times New Roman" w:cs="Times New Roman"/>
                <w:color w:val="000000"/>
                <w:sz w:val="24"/>
                <w:szCs w:val="24"/>
                <w:lang w:eastAsia="en-GB"/>
              </w:rPr>
              <w:t>Cancer_Referrals</w:t>
            </w:r>
            <w:proofErr w:type="spellEnd"/>
            <w:r w:rsidR="00F77BB9" w:rsidRPr="00E7546E">
              <w:rPr>
                <w:rFonts w:ascii="Times New Roman" w:eastAsia="Times New Roman" w:hAnsi="Times New Roman" w:cs="Times New Roman"/>
                <w:color w:val="000000"/>
                <w:sz w:val="24"/>
                <w:szCs w:val="24"/>
                <w:lang w:eastAsia="en-GB"/>
              </w:rPr>
              <w:t xml:space="preserve">; and (iii) No </w:t>
            </w:r>
            <w:proofErr w:type="spellStart"/>
            <w:r w:rsidR="00F77BB9" w:rsidRPr="00E7546E">
              <w:rPr>
                <w:rFonts w:ascii="Times New Roman" w:eastAsia="Times New Roman" w:hAnsi="Times New Roman" w:cs="Times New Roman"/>
                <w:color w:val="000000"/>
                <w:sz w:val="24"/>
                <w:szCs w:val="24"/>
                <w:lang w:eastAsia="en-GB"/>
              </w:rPr>
              <w:t>Cancer_Referrals</w:t>
            </w:r>
            <w:proofErr w:type="spellEnd"/>
            <w:r w:rsidR="00F77BB9" w:rsidRPr="00E7546E">
              <w:rPr>
                <w:rFonts w:ascii="Times New Roman" w:eastAsia="Times New Roman" w:hAnsi="Times New Roman" w:cs="Times New Roman"/>
                <w:color w:val="000000"/>
                <w:sz w:val="24"/>
                <w:szCs w:val="24"/>
                <w:lang w:eastAsia="en-GB"/>
              </w:rPr>
              <w:t>.</w:t>
            </w:r>
          </w:p>
          <w:p w14:paraId="53CEE560" w14:textId="30B1272A" w:rsidR="00E26BA0" w:rsidRPr="00E7546E" w:rsidRDefault="00D77AFA" w:rsidP="00D533B1">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lastRenderedPageBreak/>
              <w:t xml:space="preserve">In the prostate cancer model, </w:t>
            </w:r>
            <w:r w:rsidR="00B3549B" w:rsidRPr="00E7546E">
              <w:rPr>
                <w:rFonts w:ascii="Times New Roman" w:eastAsia="Times New Roman" w:hAnsi="Times New Roman" w:cs="Times New Roman"/>
                <w:color w:val="000000"/>
                <w:sz w:val="24"/>
                <w:szCs w:val="24"/>
                <w:lang w:eastAsia="en-GB"/>
              </w:rPr>
              <w:t xml:space="preserve">patients </w:t>
            </w:r>
            <w:r w:rsidR="006C5B39" w:rsidRPr="00E7546E">
              <w:rPr>
                <w:rFonts w:ascii="Times New Roman" w:eastAsia="Times New Roman" w:hAnsi="Times New Roman" w:cs="Times New Roman"/>
                <w:color w:val="000000"/>
                <w:sz w:val="24"/>
                <w:szCs w:val="24"/>
                <w:lang w:eastAsia="en-GB"/>
              </w:rPr>
              <w:t>visit the</w:t>
            </w:r>
            <w:r w:rsidR="00972E59" w:rsidRPr="00E7546E">
              <w:rPr>
                <w:rFonts w:ascii="Times New Roman" w:eastAsia="Times New Roman" w:hAnsi="Times New Roman" w:cs="Times New Roman"/>
                <w:color w:val="000000"/>
                <w:sz w:val="24"/>
                <w:szCs w:val="24"/>
                <w:lang w:eastAsia="en-GB"/>
              </w:rPr>
              <w:t xml:space="preserve"> GP and </w:t>
            </w:r>
            <w:r w:rsidR="00A10317" w:rsidRPr="00E7546E">
              <w:rPr>
                <w:rFonts w:ascii="Times New Roman" w:eastAsia="Times New Roman" w:hAnsi="Times New Roman" w:cs="Times New Roman"/>
                <w:color w:val="000000"/>
                <w:sz w:val="24"/>
                <w:szCs w:val="24"/>
                <w:lang w:eastAsia="en-GB"/>
              </w:rPr>
              <w:t xml:space="preserve">undergo blood testing to check if their PSA levels </w:t>
            </w:r>
            <w:r w:rsidR="00972E59" w:rsidRPr="00E7546E">
              <w:rPr>
                <w:rFonts w:ascii="Times New Roman" w:eastAsia="Times New Roman" w:hAnsi="Times New Roman" w:cs="Times New Roman"/>
                <w:color w:val="000000"/>
                <w:sz w:val="24"/>
                <w:szCs w:val="24"/>
                <w:lang w:eastAsia="en-GB"/>
              </w:rPr>
              <w:t xml:space="preserve">are above the age-specific threshold and to get a </w:t>
            </w:r>
            <w:proofErr w:type="spellStart"/>
            <w:r w:rsidR="00972E59" w:rsidRPr="00E7546E">
              <w:rPr>
                <w:rFonts w:ascii="Times New Roman" w:eastAsia="Times New Roman" w:hAnsi="Times New Roman" w:cs="Times New Roman"/>
                <w:color w:val="000000"/>
                <w:sz w:val="24"/>
                <w:szCs w:val="24"/>
                <w:lang w:eastAsia="en-GB"/>
              </w:rPr>
              <w:t>PinPoint</w:t>
            </w:r>
            <w:proofErr w:type="spellEnd"/>
            <w:r w:rsidR="00972E59" w:rsidRPr="00E7546E">
              <w:rPr>
                <w:rFonts w:ascii="Times New Roman" w:eastAsia="Times New Roman" w:hAnsi="Times New Roman" w:cs="Times New Roman"/>
                <w:color w:val="000000"/>
                <w:sz w:val="24"/>
                <w:szCs w:val="24"/>
                <w:lang w:eastAsia="en-GB"/>
              </w:rPr>
              <w:t xml:space="preserve"> test result. In this model the ‘GP visit’ activity </w:t>
            </w:r>
            <w:r w:rsidR="00E26BA0" w:rsidRPr="00E7546E">
              <w:rPr>
                <w:rFonts w:ascii="Times New Roman" w:eastAsia="Times New Roman" w:hAnsi="Times New Roman" w:cs="Times New Roman"/>
                <w:color w:val="000000"/>
                <w:sz w:val="24"/>
                <w:szCs w:val="24"/>
                <w:lang w:eastAsia="en-GB"/>
              </w:rPr>
              <w:t xml:space="preserve">only counts the number of GP consultations. The </w:t>
            </w:r>
            <w:r w:rsidR="00B0071A" w:rsidRPr="00E7546E">
              <w:rPr>
                <w:rFonts w:ascii="Times New Roman" w:eastAsia="Times New Roman" w:hAnsi="Times New Roman" w:cs="Times New Roman"/>
                <w:color w:val="000000"/>
                <w:sz w:val="24"/>
                <w:szCs w:val="24"/>
                <w:lang w:eastAsia="en-GB"/>
              </w:rPr>
              <w:t xml:space="preserve">‘PSA testing’ performs the following tasks (see Routing Out </w:t>
            </w:r>
            <w:proofErr w:type="gramStart"/>
            <w:r w:rsidR="00B0071A" w:rsidRPr="00E7546E">
              <w:rPr>
                <w:rFonts w:ascii="Times New Roman" w:eastAsia="Times New Roman" w:hAnsi="Times New Roman" w:cs="Times New Roman"/>
                <w:color w:val="000000"/>
                <w:sz w:val="24"/>
                <w:szCs w:val="24"/>
                <w:lang w:eastAsia="en-GB"/>
              </w:rPr>
              <w:t>On</w:t>
            </w:r>
            <w:proofErr w:type="gramEnd"/>
            <w:r w:rsidR="00B0071A" w:rsidRPr="00E7546E">
              <w:rPr>
                <w:rFonts w:ascii="Times New Roman" w:eastAsia="Times New Roman" w:hAnsi="Times New Roman" w:cs="Times New Roman"/>
                <w:color w:val="000000"/>
                <w:sz w:val="24"/>
                <w:szCs w:val="24"/>
                <w:lang w:eastAsia="en-GB"/>
              </w:rPr>
              <w:t xml:space="preserve"> Work Complete): </w:t>
            </w:r>
          </w:p>
          <w:p w14:paraId="62E1E93B" w14:textId="6E393362" w:rsidR="001F7186" w:rsidRPr="00E7546E" w:rsidRDefault="001F7186" w:rsidP="001F7186">
            <w:pPr>
              <w:numPr>
                <w:ilvl w:val="0"/>
                <w:numId w:val="6"/>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Each patient is assigned a unique label called ‘</w:t>
            </w:r>
            <w:proofErr w:type="spellStart"/>
            <w:r w:rsidRPr="00E7546E">
              <w:rPr>
                <w:rFonts w:ascii="Times New Roman" w:eastAsia="Times New Roman" w:hAnsi="Times New Roman" w:cs="Times New Roman"/>
                <w:color w:val="000000"/>
                <w:sz w:val="24"/>
                <w:szCs w:val="24"/>
                <w:lang w:eastAsia="en-GB"/>
              </w:rPr>
              <w:t>lbl_time</w:t>
            </w:r>
            <w:proofErr w:type="spellEnd"/>
            <w:r w:rsidRPr="00E7546E">
              <w:rPr>
                <w:rFonts w:ascii="Times New Roman" w:eastAsia="Times New Roman" w:hAnsi="Times New Roman" w:cs="Times New Roman"/>
                <w:color w:val="000000"/>
                <w:sz w:val="24"/>
                <w:szCs w:val="24"/>
                <w:lang w:eastAsia="en-GB"/>
              </w:rPr>
              <w:t xml:space="preserve"> to request referral’ equal to Simulation time to track when the GP refers patients for further investigation in secondary </w:t>
            </w:r>
            <w:proofErr w:type="gramStart"/>
            <w:r w:rsidRPr="00E7546E">
              <w:rPr>
                <w:rFonts w:ascii="Times New Roman" w:eastAsia="Times New Roman" w:hAnsi="Times New Roman" w:cs="Times New Roman"/>
                <w:color w:val="000000"/>
                <w:sz w:val="24"/>
                <w:szCs w:val="24"/>
                <w:lang w:eastAsia="en-GB"/>
              </w:rPr>
              <w:t>care;</w:t>
            </w:r>
            <w:proofErr w:type="gramEnd"/>
          </w:p>
          <w:p w14:paraId="0FBD6DBA" w14:textId="1053F58D" w:rsidR="001F7186" w:rsidRPr="00E7546E" w:rsidRDefault="001F7186" w:rsidP="001F7186">
            <w:pPr>
              <w:numPr>
                <w:ilvl w:val="0"/>
                <w:numId w:val="6"/>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The patient is routed out to either standard care or </w:t>
            </w:r>
            <w:proofErr w:type="spellStart"/>
            <w:r w:rsidRPr="00E7546E">
              <w:rPr>
                <w:rFonts w:ascii="Times New Roman" w:eastAsia="Times New Roman" w:hAnsi="Times New Roman" w:cs="Times New Roman"/>
                <w:color w:val="000000"/>
                <w:sz w:val="24"/>
                <w:szCs w:val="24"/>
                <w:lang w:eastAsia="en-GB"/>
              </w:rPr>
              <w:t>PinPoint</w:t>
            </w:r>
            <w:proofErr w:type="spellEnd"/>
            <w:r w:rsidRPr="00E7546E">
              <w:rPr>
                <w:rFonts w:ascii="Times New Roman" w:eastAsia="Times New Roman" w:hAnsi="Times New Roman" w:cs="Times New Roman"/>
                <w:color w:val="000000"/>
                <w:sz w:val="24"/>
                <w:szCs w:val="24"/>
                <w:lang w:eastAsia="en-GB"/>
              </w:rPr>
              <w:t xml:space="preserve"> test arm depending on the testing strategy being evaluated. </w:t>
            </w:r>
          </w:p>
          <w:p w14:paraId="7127449F" w14:textId="3AB9F9B8" w:rsidR="001F7186" w:rsidRPr="00E7546E" w:rsidRDefault="001F7186" w:rsidP="001F7186">
            <w:pPr>
              <w:numPr>
                <w:ilvl w:val="0"/>
                <w:numId w:val="6"/>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In case standard care is being evaluated, this VL assigned each patient a minimum waiting time to be seen in secondary care equal to one week (13 days*480 minutes = 6240</w:t>
            </w:r>
            <w:proofErr w:type="gramStart"/>
            <w:r w:rsidRPr="00E7546E">
              <w:rPr>
                <w:rFonts w:ascii="Times New Roman" w:eastAsia="Times New Roman" w:hAnsi="Times New Roman" w:cs="Times New Roman"/>
                <w:color w:val="000000"/>
                <w:sz w:val="24"/>
                <w:szCs w:val="24"/>
                <w:lang w:eastAsia="en-GB"/>
              </w:rPr>
              <w:t>);</w:t>
            </w:r>
            <w:proofErr w:type="gramEnd"/>
          </w:p>
          <w:p w14:paraId="3603D784" w14:textId="6F7B6506" w:rsidR="006C5B39" w:rsidRPr="00E7546E" w:rsidRDefault="001F7186" w:rsidP="00D533B1">
            <w:pPr>
              <w:numPr>
                <w:ilvl w:val="0"/>
                <w:numId w:val="6"/>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Global variables count the following model outputs: (</w:t>
            </w:r>
            <w:proofErr w:type="spellStart"/>
            <w:r w:rsidRPr="00E7546E">
              <w:rPr>
                <w:rFonts w:ascii="Times New Roman" w:eastAsia="Times New Roman" w:hAnsi="Times New Roman" w:cs="Times New Roman"/>
                <w:color w:val="000000"/>
                <w:sz w:val="24"/>
                <w:szCs w:val="24"/>
                <w:lang w:eastAsia="en-GB"/>
              </w:rPr>
              <w:t>i</w:t>
            </w:r>
            <w:proofErr w:type="spellEnd"/>
            <w:r w:rsidRPr="00E7546E">
              <w:rPr>
                <w:rFonts w:ascii="Times New Roman" w:eastAsia="Times New Roman" w:hAnsi="Times New Roman" w:cs="Times New Roman"/>
                <w:color w:val="000000"/>
                <w:sz w:val="24"/>
                <w:szCs w:val="24"/>
                <w:lang w:eastAsia="en-GB"/>
              </w:rPr>
              <w:t xml:space="preserve">) </w:t>
            </w:r>
            <w:proofErr w:type="spellStart"/>
            <w:r w:rsidRPr="00E7546E">
              <w:rPr>
                <w:rFonts w:ascii="Times New Roman" w:eastAsia="Times New Roman" w:hAnsi="Times New Roman" w:cs="Times New Roman"/>
                <w:color w:val="000000"/>
                <w:sz w:val="24"/>
                <w:szCs w:val="24"/>
                <w:lang w:eastAsia="en-GB"/>
              </w:rPr>
              <w:t>All_Referrals</w:t>
            </w:r>
            <w:proofErr w:type="spellEnd"/>
            <w:r w:rsidRPr="00E7546E">
              <w:rPr>
                <w:rFonts w:ascii="Times New Roman" w:eastAsia="Times New Roman" w:hAnsi="Times New Roman" w:cs="Times New Roman"/>
                <w:color w:val="000000"/>
                <w:sz w:val="24"/>
                <w:szCs w:val="24"/>
                <w:lang w:eastAsia="en-GB"/>
              </w:rPr>
              <w:t xml:space="preserve">; (ii) </w:t>
            </w:r>
            <w:proofErr w:type="spellStart"/>
            <w:r w:rsidRPr="00E7546E">
              <w:rPr>
                <w:rFonts w:ascii="Times New Roman" w:eastAsia="Times New Roman" w:hAnsi="Times New Roman" w:cs="Times New Roman"/>
                <w:color w:val="000000"/>
                <w:sz w:val="24"/>
                <w:szCs w:val="24"/>
                <w:lang w:eastAsia="en-GB"/>
              </w:rPr>
              <w:t>Cancer_Referrals</w:t>
            </w:r>
            <w:proofErr w:type="spellEnd"/>
            <w:r w:rsidRPr="00E7546E">
              <w:rPr>
                <w:rFonts w:ascii="Times New Roman" w:eastAsia="Times New Roman" w:hAnsi="Times New Roman" w:cs="Times New Roman"/>
                <w:color w:val="000000"/>
                <w:sz w:val="24"/>
                <w:szCs w:val="24"/>
                <w:lang w:eastAsia="en-GB"/>
              </w:rPr>
              <w:t xml:space="preserve">; and (iii) No </w:t>
            </w:r>
            <w:proofErr w:type="spellStart"/>
            <w:r w:rsidRPr="00E7546E">
              <w:rPr>
                <w:rFonts w:ascii="Times New Roman" w:eastAsia="Times New Roman" w:hAnsi="Times New Roman" w:cs="Times New Roman"/>
                <w:color w:val="000000"/>
                <w:sz w:val="24"/>
                <w:szCs w:val="24"/>
                <w:lang w:eastAsia="en-GB"/>
              </w:rPr>
              <w:t>Cancer_Referrals</w:t>
            </w:r>
            <w:proofErr w:type="spellEnd"/>
            <w:r w:rsidRPr="00E7546E">
              <w:rPr>
                <w:rFonts w:ascii="Times New Roman" w:eastAsia="Times New Roman" w:hAnsi="Times New Roman" w:cs="Times New Roman"/>
                <w:color w:val="000000"/>
                <w:sz w:val="24"/>
                <w:szCs w:val="24"/>
                <w:lang w:eastAsia="en-GB"/>
              </w:rPr>
              <w:t>.</w:t>
            </w:r>
          </w:p>
          <w:p w14:paraId="25F548F8" w14:textId="1B099C80" w:rsidR="000C4A4D" w:rsidRPr="00E7546E" w:rsidRDefault="006C5B39" w:rsidP="00D533B1">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Focusing on the standard care arm, </w:t>
            </w:r>
            <w:r w:rsidR="001D2F25">
              <w:rPr>
                <w:rFonts w:ascii="Times New Roman" w:eastAsia="Times New Roman" w:hAnsi="Times New Roman" w:cs="Times New Roman"/>
                <w:color w:val="000000"/>
                <w:sz w:val="24"/>
                <w:szCs w:val="24"/>
                <w:lang w:eastAsia="en-GB"/>
              </w:rPr>
              <w:t xml:space="preserve">urgently </w:t>
            </w:r>
            <w:r w:rsidRPr="00E7546E">
              <w:rPr>
                <w:rFonts w:ascii="Times New Roman" w:eastAsia="Times New Roman" w:hAnsi="Times New Roman" w:cs="Times New Roman"/>
                <w:color w:val="000000"/>
                <w:sz w:val="24"/>
                <w:szCs w:val="24"/>
                <w:lang w:eastAsia="en-GB"/>
              </w:rPr>
              <w:t>referred patients enter ‘Minimum Waiting time’ activity and are assigned a minimum waiting time of 13 days</w:t>
            </w:r>
            <w:r w:rsidR="008406C6" w:rsidRPr="00E7546E">
              <w:rPr>
                <w:rFonts w:ascii="Times New Roman" w:eastAsia="Times New Roman" w:hAnsi="Times New Roman" w:cs="Times New Roman"/>
                <w:color w:val="000000"/>
                <w:sz w:val="24"/>
                <w:szCs w:val="24"/>
                <w:lang w:eastAsia="en-GB"/>
              </w:rPr>
              <w:t xml:space="preserve"> across both urological models</w:t>
            </w:r>
            <w:r w:rsidRPr="00E7546E">
              <w:rPr>
                <w:rFonts w:ascii="Times New Roman" w:eastAsia="Times New Roman" w:hAnsi="Times New Roman" w:cs="Times New Roman"/>
                <w:color w:val="000000"/>
                <w:sz w:val="24"/>
                <w:szCs w:val="24"/>
                <w:lang w:eastAsia="en-GB"/>
              </w:rPr>
              <w:t>.</w:t>
            </w:r>
          </w:p>
          <w:p w14:paraId="3B9439AE" w14:textId="053992E1" w:rsidR="00A610B9" w:rsidRPr="00E7546E" w:rsidRDefault="00A610B9" w:rsidP="00D533B1">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the </w:t>
            </w:r>
            <w:proofErr w:type="spellStart"/>
            <w:r w:rsidRPr="00E7546E">
              <w:rPr>
                <w:rFonts w:ascii="Times New Roman" w:eastAsia="Times New Roman" w:hAnsi="Times New Roman" w:cs="Times New Roman"/>
                <w:color w:val="000000"/>
                <w:sz w:val="24"/>
                <w:szCs w:val="24"/>
                <w:lang w:eastAsia="en-GB"/>
              </w:rPr>
              <w:t>PinPoint</w:t>
            </w:r>
            <w:proofErr w:type="spellEnd"/>
            <w:r w:rsidRPr="00E7546E">
              <w:rPr>
                <w:rFonts w:ascii="Times New Roman" w:eastAsia="Times New Roman" w:hAnsi="Times New Roman" w:cs="Times New Roman"/>
                <w:color w:val="000000"/>
                <w:sz w:val="24"/>
                <w:szCs w:val="24"/>
                <w:lang w:eastAsia="en-GB"/>
              </w:rPr>
              <w:t xml:space="preserve"> test </w:t>
            </w:r>
            <w:r w:rsidR="00594224" w:rsidRPr="00E7546E">
              <w:rPr>
                <w:rFonts w:ascii="Times New Roman" w:eastAsia="Times New Roman" w:hAnsi="Times New Roman" w:cs="Times New Roman"/>
                <w:color w:val="000000"/>
                <w:sz w:val="24"/>
                <w:szCs w:val="24"/>
                <w:lang w:eastAsia="en-GB"/>
              </w:rPr>
              <w:t>activity</w:t>
            </w:r>
            <w:r w:rsidRPr="00E7546E">
              <w:rPr>
                <w:rFonts w:ascii="Times New Roman" w:eastAsia="Times New Roman" w:hAnsi="Times New Roman" w:cs="Times New Roman"/>
                <w:color w:val="000000"/>
                <w:sz w:val="24"/>
                <w:szCs w:val="24"/>
                <w:lang w:eastAsia="en-GB"/>
              </w:rPr>
              <w:t xml:space="preserve">, </w:t>
            </w:r>
            <w:r w:rsidR="0092470B" w:rsidRPr="00E7546E">
              <w:rPr>
                <w:rFonts w:ascii="Times New Roman" w:eastAsia="Times New Roman" w:hAnsi="Times New Roman" w:cs="Times New Roman"/>
                <w:color w:val="000000"/>
                <w:sz w:val="24"/>
                <w:szCs w:val="24"/>
                <w:lang w:eastAsia="en-GB"/>
              </w:rPr>
              <w:t xml:space="preserve">the Routing Out </w:t>
            </w:r>
            <w:proofErr w:type="gramStart"/>
            <w:r w:rsidR="0092470B" w:rsidRPr="00E7546E">
              <w:rPr>
                <w:rFonts w:ascii="Times New Roman" w:eastAsia="Times New Roman" w:hAnsi="Times New Roman" w:cs="Times New Roman"/>
                <w:color w:val="000000"/>
                <w:sz w:val="24"/>
                <w:szCs w:val="24"/>
                <w:lang w:eastAsia="en-GB"/>
              </w:rPr>
              <w:t>On</w:t>
            </w:r>
            <w:proofErr w:type="gramEnd"/>
            <w:r w:rsidR="0092470B" w:rsidRPr="00E7546E">
              <w:rPr>
                <w:rFonts w:ascii="Times New Roman" w:eastAsia="Times New Roman" w:hAnsi="Times New Roman" w:cs="Times New Roman"/>
                <w:color w:val="000000"/>
                <w:sz w:val="24"/>
                <w:szCs w:val="24"/>
                <w:lang w:eastAsia="en-GB"/>
              </w:rPr>
              <w:t xml:space="preserve"> Work Complete performs the following tasks:</w:t>
            </w:r>
          </w:p>
          <w:p w14:paraId="34B5AE0D" w14:textId="246913EF" w:rsidR="008055F7" w:rsidRPr="00E7546E" w:rsidRDefault="008055F7" w:rsidP="008055F7">
            <w:pPr>
              <w:pStyle w:val="ListParagraph"/>
              <w:numPr>
                <w:ilvl w:val="0"/>
                <w:numId w:val="7"/>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A global variable counts the number of </w:t>
            </w:r>
            <w:proofErr w:type="spellStart"/>
            <w:r w:rsidRPr="00E7546E">
              <w:rPr>
                <w:rFonts w:ascii="Times New Roman" w:eastAsia="Times New Roman" w:hAnsi="Times New Roman" w:cs="Times New Roman"/>
                <w:color w:val="000000"/>
                <w:sz w:val="24"/>
                <w:szCs w:val="24"/>
                <w:lang w:eastAsia="en-GB"/>
              </w:rPr>
              <w:t>PinPoint</w:t>
            </w:r>
            <w:proofErr w:type="spellEnd"/>
            <w:r w:rsidRPr="00E7546E">
              <w:rPr>
                <w:rFonts w:ascii="Times New Roman" w:eastAsia="Times New Roman" w:hAnsi="Times New Roman" w:cs="Times New Roman"/>
                <w:color w:val="000000"/>
                <w:sz w:val="24"/>
                <w:szCs w:val="24"/>
                <w:lang w:eastAsia="en-GB"/>
              </w:rPr>
              <w:t xml:space="preserve"> tests </w:t>
            </w:r>
            <w:proofErr w:type="gramStart"/>
            <w:r w:rsidRPr="00E7546E">
              <w:rPr>
                <w:rFonts w:ascii="Times New Roman" w:eastAsia="Times New Roman" w:hAnsi="Times New Roman" w:cs="Times New Roman"/>
                <w:color w:val="000000"/>
                <w:sz w:val="24"/>
                <w:szCs w:val="24"/>
                <w:lang w:eastAsia="en-GB"/>
              </w:rPr>
              <w:t>run;</w:t>
            </w:r>
            <w:proofErr w:type="gramEnd"/>
          </w:p>
          <w:p w14:paraId="5BF86133" w14:textId="77777777" w:rsidR="00A737E0" w:rsidRDefault="00101551" w:rsidP="00A737E0">
            <w:pPr>
              <w:pStyle w:val="ListParagraph"/>
              <w:numPr>
                <w:ilvl w:val="0"/>
                <w:numId w:val="7"/>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Each patient is assigned an individual risk of having cancer </w:t>
            </w:r>
            <w:r w:rsidR="00723D43" w:rsidRPr="00E7546E">
              <w:rPr>
                <w:rFonts w:ascii="Times New Roman" w:eastAsia="Times New Roman" w:hAnsi="Times New Roman" w:cs="Times New Roman"/>
                <w:color w:val="000000"/>
                <w:sz w:val="24"/>
                <w:szCs w:val="24"/>
                <w:lang w:eastAsia="en-GB"/>
              </w:rPr>
              <w:t xml:space="preserve">(‘high’, ‘medium’ or ‘low’ risk) </w:t>
            </w:r>
            <w:r w:rsidRPr="00E7546E">
              <w:rPr>
                <w:rFonts w:ascii="Times New Roman" w:eastAsia="Times New Roman" w:hAnsi="Times New Roman" w:cs="Times New Roman"/>
                <w:color w:val="000000"/>
                <w:sz w:val="24"/>
                <w:szCs w:val="24"/>
                <w:lang w:eastAsia="en-GB"/>
              </w:rPr>
              <w:t>depending on the individual’s true disease status and diagnostic sensitivity and specificity of the test</w:t>
            </w:r>
            <w:r w:rsidR="00723D43" w:rsidRPr="00E7546E">
              <w:rPr>
                <w:rFonts w:ascii="Times New Roman" w:eastAsia="Times New Roman" w:hAnsi="Times New Roman" w:cs="Times New Roman"/>
                <w:color w:val="000000"/>
                <w:sz w:val="24"/>
                <w:szCs w:val="24"/>
                <w:lang w:eastAsia="en-GB"/>
              </w:rPr>
              <w:t xml:space="preserve">. </w:t>
            </w:r>
            <w:r w:rsidR="00C0778B" w:rsidRPr="00E7546E">
              <w:rPr>
                <w:rFonts w:ascii="Times New Roman" w:eastAsia="Times New Roman" w:hAnsi="Times New Roman" w:cs="Times New Roman"/>
                <w:color w:val="000000"/>
                <w:sz w:val="24"/>
                <w:szCs w:val="24"/>
                <w:lang w:eastAsia="en-GB"/>
              </w:rPr>
              <w:t xml:space="preserve">The </w:t>
            </w:r>
            <w:proofErr w:type="spellStart"/>
            <w:r w:rsidR="00C0778B" w:rsidRPr="00E7546E">
              <w:rPr>
                <w:rFonts w:ascii="Times New Roman" w:eastAsia="Times New Roman" w:hAnsi="Times New Roman" w:cs="Times New Roman"/>
                <w:color w:val="000000"/>
                <w:sz w:val="24"/>
                <w:szCs w:val="24"/>
                <w:lang w:eastAsia="en-GB"/>
              </w:rPr>
              <w:t>PinPoint</w:t>
            </w:r>
            <w:proofErr w:type="spellEnd"/>
            <w:r w:rsidR="00C0778B" w:rsidRPr="00E7546E">
              <w:rPr>
                <w:rFonts w:ascii="Times New Roman" w:eastAsia="Times New Roman" w:hAnsi="Times New Roman" w:cs="Times New Roman"/>
                <w:color w:val="000000"/>
                <w:sz w:val="24"/>
                <w:szCs w:val="24"/>
                <w:lang w:eastAsia="en-GB"/>
              </w:rPr>
              <w:t xml:space="preserve"> test result is recorded as an individual label and patients are routed out to either </w:t>
            </w:r>
            <w:r w:rsidR="0015192F" w:rsidRPr="00E7546E">
              <w:rPr>
                <w:rFonts w:ascii="Times New Roman" w:eastAsia="Times New Roman" w:hAnsi="Times New Roman" w:cs="Times New Roman"/>
                <w:color w:val="000000"/>
                <w:sz w:val="24"/>
                <w:szCs w:val="24"/>
                <w:lang w:eastAsia="en-GB"/>
              </w:rPr>
              <w:t>‘High risk’, ‘Medium risk’ or ‘Low risk’ activity depending on the individual result</w:t>
            </w:r>
            <w:r w:rsidR="00BA527D" w:rsidRPr="00E7546E">
              <w:rPr>
                <w:rFonts w:ascii="Times New Roman" w:eastAsia="Times New Roman" w:hAnsi="Times New Roman" w:cs="Times New Roman"/>
                <w:color w:val="000000"/>
                <w:sz w:val="24"/>
                <w:szCs w:val="24"/>
                <w:lang w:eastAsia="en-GB"/>
              </w:rPr>
              <w:t>. The logic first identifie</w:t>
            </w:r>
            <w:r w:rsidR="00DA620F" w:rsidRPr="00E7546E">
              <w:rPr>
                <w:rFonts w:ascii="Times New Roman" w:eastAsia="Times New Roman" w:hAnsi="Times New Roman" w:cs="Times New Roman"/>
                <w:color w:val="000000"/>
                <w:sz w:val="24"/>
                <w:szCs w:val="24"/>
                <w:lang w:eastAsia="en-GB"/>
              </w:rPr>
              <w:t xml:space="preserve">s high risk patients first using diagnostic accuracy for </w:t>
            </w:r>
            <w:r w:rsidR="007047D1" w:rsidRPr="00E7546E">
              <w:rPr>
                <w:rFonts w:ascii="Times New Roman" w:eastAsia="Times New Roman" w:hAnsi="Times New Roman" w:cs="Times New Roman"/>
                <w:color w:val="000000"/>
                <w:sz w:val="24"/>
                <w:szCs w:val="24"/>
                <w:lang w:eastAsia="en-GB"/>
              </w:rPr>
              <w:t xml:space="preserve">the </w:t>
            </w:r>
            <w:r w:rsidR="00DA620F" w:rsidRPr="00E7546E">
              <w:rPr>
                <w:rFonts w:ascii="Times New Roman" w:eastAsia="Times New Roman" w:hAnsi="Times New Roman" w:cs="Times New Roman"/>
                <w:color w:val="000000"/>
                <w:sz w:val="24"/>
                <w:szCs w:val="24"/>
                <w:lang w:eastAsia="en-GB"/>
              </w:rPr>
              <w:t>rule</w:t>
            </w:r>
            <w:r w:rsidR="004F5305" w:rsidRPr="00E7546E">
              <w:rPr>
                <w:rFonts w:ascii="Times New Roman" w:eastAsia="Times New Roman" w:hAnsi="Times New Roman" w:cs="Times New Roman"/>
                <w:color w:val="000000"/>
                <w:sz w:val="24"/>
                <w:szCs w:val="24"/>
                <w:lang w:eastAsia="en-GB"/>
              </w:rPr>
              <w:t>-</w:t>
            </w:r>
            <w:r w:rsidR="00DA620F" w:rsidRPr="00E7546E">
              <w:rPr>
                <w:rFonts w:ascii="Times New Roman" w:eastAsia="Times New Roman" w:hAnsi="Times New Roman" w:cs="Times New Roman"/>
                <w:color w:val="000000"/>
                <w:sz w:val="24"/>
                <w:szCs w:val="24"/>
                <w:lang w:eastAsia="en-GB"/>
              </w:rPr>
              <w:t>in use case [</w:t>
            </w:r>
            <w:r w:rsidR="007047D1" w:rsidRPr="00E7546E">
              <w:rPr>
                <w:rFonts w:ascii="Times New Roman" w:eastAsia="Times New Roman" w:hAnsi="Times New Roman" w:cs="Times New Roman"/>
                <w:color w:val="000000"/>
                <w:sz w:val="24"/>
                <w:szCs w:val="24"/>
                <w:lang w:eastAsia="en-GB"/>
              </w:rPr>
              <w:t xml:space="preserve">it applies </w:t>
            </w:r>
            <w:r w:rsidR="00DA620F" w:rsidRPr="00E7546E">
              <w:rPr>
                <w:rFonts w:ascii="Times New Roman" w:eastAsia="Times New Roman" w:hAnsi="Times New Roman" w:cs="Times New Roman"/>
                <w:color w:val="000000"/>
                <w:sz w:val="24"/>
                <w:szCs w:val="24"/>
                <w:lang w:eastAsia="en-GB"/>
              </w:rPr>
              <w:t>sensitivity for patients truly with cancer and specificity for patients truly without cancer</w:t>
            </w:r>
            <w:r w:rsidR="004F5305" w:rsidRPr="00E7546E">
              <w:rPr>
                <w:rFonts w:ascii="Times New Roman" w:eastAsia="Times New Roman" w:hAnsi="Times New Roman" w:cs="Times New Roman"/>
                <w:color w:val="000000"/>
                <w:sz w:val="24"/>
                <w:szCs w:val="24"/>
                <w:lang w:eastAsia="en-GB"/>
              </w:rPr>
              <w:t xml:space="preserve">], and, out of those remaining, it distinguishes between medium and low risk using the diagnostic accuracy for </w:t>
            </w:r>
            <w:r w:rsidR="007047D1" w:rsidRPr="00E7546E">
              <w:rPr>
                <w:rFonts w:ascii="Times New Roman" w:eastAsia="Times New Roman" w:hAnsi="Times New Roman" w:cs="Times New Roman"/>
                <w:color w:val="000000"/>
                <w:sz w:val="24"/>
                <w:szCs w:val="24"/>
                <w:lang w:eastAsia="en-GB"/>
              </w:rPr>
              <w:t xml:space="preserve">the </w:t>
            </w:r>
            <w:r w:rsidR="004F5305" w:rsidRPr="00E7546E">
              <w:rPr>
                <w:rFonts w:ascii="Times New Roman" w:eastAsia="Times New Roman" w:hAnsi="Times New Roman" w:cs="Times New Roman"/>
                <w:color w:val="000000"/>
                <w:sz w:val="24"/>
                <w:szCs w:val="24"/>
                <w:lang w:eastAsia="en-GB"/>
              </w:rPr>
              <w:t>rule-out use case [</w:t>
            </w:r>
            <w:r w:rsidR="007047D1" w:rsidRPr="00E7546E">
              <w:rPr>
                <w:rFonts w:ascii="Times New Roman" w:eastAsia="Times New Roman" w:hAnsi="Times New Roman" w:cs="Times New Roman"/>
                <w:color w:val="000000"/>
                <w:sz w:val="24"/>
                <w:szCs w:val="24"/>
                <w:lang w:eastAsia="en-GB"/>
              </w:rPr>
              <w:t xml:space="preserve">it applies </w:t>
            </w:r>
            <w:r w:rsidR="004F5305" w:rsidRPr="00E7546E">
              <w:rPr>
                <w:rFonts w:ascii="Times New Roman" w:eastAsia="Times New Roman" w:hAnsi="Times New Roman" w:cs="Times New Roman"/>
                <w:color w:val="000000"/>
                <w:sz w:val="24"/>
                <w:szCs w:val="24"/>
                <w:lang w:eastAsia="en-GB"/>
              </w:rPr>
              <w:t>sensitivity for patients truly with cancer and specificity for patients truly without cancer]</w:t>
            </w:r>
            <w:r w:rsidR="00853B36" w:rsidRPr="00E7546E">
              <w:rPr>
                <w:rFonts w:ascii="Times New Roman" w:eastAsia="Times New Roman" w:hAnsi="Times New Roman" w:cs="Times New Roman"/>
                <w:color w:val="000000"/>
                <w:sz w:val="24"/>
                <w:szCs w:val="24"/>
                <w:lang w:eastAsia="en-GB"/>
              </w:rPr>
              <w:t xml:space="preserve">. Note that </w:t>
            </w:r>
            <w:r w:rsidR="00353900" w:rsidRPr="00E7546E">
              <w:rPr>
                <w:rFonts w:ascii="Times New Roman" w:eastAsia="Times New Roman" w:hAnsi="Times New Roman" w:cs="Times New Roman"/>
                <w:color w:val="000000"/>
                <w:sz w:val="24"/>
                <w:szCs w:val="24"/>
                <w:lang w:eastAsia="en-GB"/>
              </w:rPr>
              <w:t xml:space="preserve">in this logic cumulative diagnostic accuracy estimates are used as each patient </w:t>
            </w:r>
            <w:r w:rsidR="00C94C70" w:rsidRPr="00E7546E">
              <w:rPr>
                <w:rFonts w:ascii="Times New Roman" w:eastAsia="Times New Roman" w:hAnsi="Times New Roman" w:cs="Times New Roman"/>
                <w:color w:val="000000"/>
                <w:sz w:val="24"/>
                <w:szCs w:val="24"/>
                <w:lang w:eastAsia="en-GB"/>
              </w:rPr>
              <w:t xml:space="preserve">is assigned a single risk score with </w:t>
            </w:r>
            <w:proofErr w:type="spellStart"/>
            <w:r w:rsidR="00C94C70" w:rsidRPr="00E7546E">
              <w:rPr>
                <w:rFonts w:ascii="Times New Roman" w:eastAsia="Times New Roman" w:hAnsi="Times New Roman" w:cs="Times New Roman"/>
                <w:color w:val="000000"/>
                <w:sz w:val="24"/>
                <w:szCs w:val="24"/>
                <w:lang w:eastAsia="en-GB"/>
              </w:rPr>
              <w:t>PinPoint</w:t>
            </w:r>
            <w:proofErr w:type="spellEnd"/>
            <w:r w:rsidR="00C94C70" w:rsidRPr="00E7546E">
              <w:rPr>
                <w:rFonts w:ascii="Times New Roman" w:eastAsia="Times New Roman" w:hAnsi="Times New Roman" w:cs="Times New Roman"/>
                <w:color w:val="000000"/>
                <w:sz w:val="24"/>
                <w:szCs w:val="24"/>
                <w:lang w:eastAsia="en-GB"/>
              </w:rPr>
              <w:t xml:space="preserve"> test and compare it against a random number – therefore it is </w:t>
            </w:r>
            <w:r w:rsidR="00F671BA" w:rsidRPr="00E7546E">
              <w:rPr>
                <w:rFonts w:ascii="Times New Roman" w:eastAsia="Times New Roman" w:hAnsi="Times New Roman" w:cs="Times New Roman"/>
                <w:color w:val="000000"/>
                <w:sz w:val="24"/>
                <w:szCs w:val="24"/>
                <w:lang w:eastAsia="en-GB"/>
              </w:rPr>
              <w:t xml:space="preserve">necessary to apply cumulative values to correctly </w:t>
            </w:r>
            <w:r w:rsidR="00667025" w:rsidRPr="00E7546E">
              <w:rPr>
                <w:rFonts w:ascii="Times New Roman" w:eastAsia="Times New Roman" w:hAnsi="Times New Roman" w:cs="Times New Roman"/>
                <w:color w:val="000000"/>
                <w:sz w:val="24"/>
                <w:szCs w:val="24"/>
                <w:lang w:eastAsia="en-GB"/>
              </w:rPr>
              <w:t xml:space="preserve">distinguish high, medium and low risk patients. </w:t>
            </w:r>
          </w:p>
          <w:p w14:paraId="63EFB81B" w14:textId="4492E85B" w:rsidR="00F671BA" w:rsidRDefault="00FA4766" w:rsidP="00FA4766">
            <w:pPr>
              <w:pStyle w:val="ListParagraph"/>
              <w:numPr>
                <w:ilvl w:val="0"/>
                <w:numId w:val="7"/>
              </w:numPr>
              <w:spacing w:after="120"/>
              <w:rPr>
                <w:rFonts w:ascii="Times New Roman" w:eastAsia="Times New Roman" w:hAnsi="Times New Roman" w:cs="Times New Roman"/>
                <w:color w:val="000000"/>
                <w:sz w:val="24"/>
                <w:szCs w:val="24"/>
                <w:lang w:eastAsia="en-GB"/>
              </w:rPr>
            </w:pPr>
            <w:r w:rsidRPr="00FA4766">
              <w:rPr>
                <w:rFonts w:ascii="Times New Roman" w:eastAsia="Times New Roman" w:hAnsi="Times New Roman" w:cs="Times New Roman"/>
                <w:color w:val="000000"/>
                <w:sz w:val="24"/>
                <w:szCs w:val="24"/>
                <w:lang w:eastAsia="en-GB"/>
              </w:rPr>
              <w:t xml:space="preserve">While using </w:t>
            </w:r>
            <w:proofErr w:type="spellStart"/>
            <w:r w:rsidRPr="00FA4766">
              <w:rPr>
                <w:rFonts w:ascii="Times New Roman" w:eastAsia="Times New Roman" w:hAnsi="Times New Roman" w:cs="Times New Roman"/>
                <w:color w:val="000000"/>
                <w:sz w:val="24"/>
                <w:szCs w:val="24"/>
                <w:lang w:eastAsia="en-GB"/>
              </w:rPr>
              <w:t>PinPoint</w:t>
            </w:r>
            <w:proofErr w:type="spellEnd"/>
            <w:r w:rsidRPr="00FA4766">
              <w:rPr>
                <w:rFonts w:ascii="Times New Roman" w:eastAsia="Times New Roman" w:hAnsi="Times New Roman" w:cs="Times New Roman"/>
                <w:color w:val="000000"/>
                <w:sz w:val="24"/>
                <w:szCs w:val="24"/>
                <w:lang w:eastAsia="en-GB"/>
              </w:rPr>
              <w:t xml:space="preserve"> test as a prioritisation tool all patients are </w:t>
            </w:r>
            <w:r w:rsidR="001D2F25">
              <w:rPr>
                <w:rFonts w:ascii="Times New Roman" w:eastAsia="Times New Roman" w:hAnsi="Times New Roman" w:cs="Times New Roman"/>
                <w:color w:val="000000"/>
                <w:sz w:val="24"/>
                <w:szCs w:val="24"/>
                <w:lang w:eastAsia="en-GB"/>
              </w:rPr>
              <w:t xml:space="preserve">urgently </w:t>
            </w:r>
            <w:r w:rsidRPr="00FA4766">
              <w:rPr>
                <w:rFonts w:ascii="Times New Roman" w:eastAsia="Times New Roman" w:hAnsi="Times New Roman" w:cs="Times New Roman"/>
                <w:color w:val="000000"/>
                <w:sz w:val="24"/>
                <w:szCs w:val="24"/>
                <w:lang w:eastAsia="en-GB"/>
              </w:rPr>
              <w:t xml:space="preserve">referred. </w:t>
            </w:r>
            <w:r w:rsidR="00F671BA" w:rsidRPr="00FA4766">
              <w:rPr>
                <w:rFonts w:ascii="Times New Roman" w:eastAsia="Times New Roman" w:hAnsi="Times New Roman" w:cs="Times New Roman"/>
                <w:color w:val="000000"/>
                <w:sz w:val="24"/>
                <w:szCs w:val="24"/>
                <w:lang w:eastAsia="en-GB"/>
              </w:rPr>
              <w:t xml:space="preserve">Each referred patient is assigned a minimum waiting time to be seen in secondary care equal to </w:t>
            </w:r>
            <w:r w:rsidR="003D71B5" w:rsidRPr="00FA4766">
              <w:rPr>
                <w:rFonts w:ascii="Times New Roman" w:eastAsia="Times New Roman" w:hAnsi="Times New Roman" w:cs="Times New Roman"/>
                <w:color w:val="000000"/>
                <w:sz w:val="24"/>
                <w:szCs w:val="24"/>
                <w:lang w:eastAsia="en-GB"/>
              </w:rPr>
              <w:t>13 days</w:t>
            </w:r>
            <w:r w:rsidR="00F671BA" w:rsidRPr="00FA4766">
              <w:rPr>
                <w:rFonts w:ascii="Times New Roman" w:eastAsia="Times New Roman" w:hAnsi="Times New Roman" w:cs="Times New Roman"/>
                <w:color w:val="000000"/>
                <w:sz w:val="24"/>
                <w:szCs w:val="24"/>
                <w:lang w:eastAsia="en-GB"/>
              </w:rPr>
              <w:t xml:space="preserve"> (13 days*480 minutes = 6240</w:t>
            </w:r>
            <w:proofErr w:type="gramStart"/>
            <w:r w:rsidR="00F671BA" w:rsidRPr="00FA4766">
              <w:rPr>
                <w:rFonts w:ascii="Times New Roman" w:eastAsia="Times New Roman" w:hAnsi="Times New Roman" w:cs="Times New Roman"/>
                <w:color w:val="000000"/>
                <w:sz w:val="24"/>
                <w:szCs w:val="24"/>
                <w:lang w:eastAsia="en-GB"/>
              </w:rPr>
              <w:t>);</w:t>
            </w:r>
            <w:proofErr w:type="gramEnd"/>
          </w:p>
          <w:p w14:paraId="638B139D" w14:textId="4E3FD9F5" w:rsidR="00A23D6A" w:rsidRDefault="00FA4766" w:rsidP="00A23D6A">
            <w:pPr>
              <w:pStyle w:val="ListParagraph"/>
              <w:numPr>
                <w:ilvl w:val="0"/>
                <w:numId w:val="7"/>
              </w:numPr>
              <w:spacing w:after="1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the context of </w:t>
            </w:r>
            <w:proofErr w:type="spellStart"/>
            <w:r>
              <w:rPr>
                <w:rFonts w:ascii="Times New Roman" w:eastAsia="Times New Roman" w:hAnsi="Times New Roman" w:cs="Times New Roman"/>
                <w:color w:val="000000"/>
                <w:sz w:val="24"/>
                <w:szCs w:val="24"/>
                <w:lang w:eastAsia="en-GB"/>
              </w:rPr>
              <w:t>PinPoint</w:t>
            </w:r>
            <w:proofErr w:type="spellEnd"/>
            <w:r>
              <w:rPr>
                <w:rFonts w:ascii="Times New Roman" w:eastAsia="Times New Roman" w:hAnsi="Times New Roman" w:cs="Times New Roman"/>
                <w:color w:val="000000"/>
                <w:sz w:val="24"/>
                <w:szCs w:val="24"/>
                <w:lang w:eastAsia="en-GB"/>
              </w:rPr>
              <w:t xml:space="preserve"> test as a triage and prioritisation tool, individuals classed as low risk are </w:t>
            </w:r>
            <w:r w:rsidR="00B7495C">
              <w:rPr>
                <w:rFonts w:ascii="Times New Roman" w:eastAsia="Times New Roman" w:hAnsi="Times New Roman" w:cs="Times New Roman"/>
                <w:color w:val="000000"/>
                <w:sz w:val="24"/>
                <w:szCs w:val="24"/>
                <w:lang w:eastAsia="en-GB"/>
              </w:rPr>
              <w:t xml:space="preserve">initially </w:t>
            </w:r>
            <w:r>
              <w:rPr>
                <w:rFonts w:ascii="Times New Roman" w:eastAsia="Times New Roman" w:hAnsi="Times New Roman" w:cs="Times New Roman"/>
                <w:color w:val="000000"/>
                <w:sz w:val="24"/>
                <w:szCs w:val="24"/>
                <w:lang w:eastAsia="en-GB"/>
              </w:rPr>
              <w:t xml:space="preserve">not </w:t>
            </w:r>
            <w:r w:rsidR="00B7495C">
              <w:rPr>
                <w:rFonts w:ascii="Times New Roman" w:eastAsia="Times New Roman" w:hAnsi="Times New Roman" w:cs="Times New Roman"/>
                <w:color w:val="000000"/>
                <w:sz w:val="24"/>
                <w:szCs w:val="24"/>
                <w:lang w:eastAsia="en-GB"/>
              </w:rPr>
              <w:t xml:space="preserve">urgently </w:t>
            </w:r>
            <w:r>
              <w:rPr>
                <w:rFonts w:ascii="Times New Roman" w:eastAsia="Times New Roman" w:hAnsi="Times New Roman" w:cs="Times New Roman"/>
                <w:color w:val="000000"/>
                <w:sz w:val="24"/>
                <w:szCs w:val="24"/>
                <w:lang w:eastAsia="en-GB"/>
              </w:rPr>
              <w:t xml:space="preserve">referred whereas individuals with high and medium risk are </w:t>
            </w:r>
            <w:r w:rsidR="00B7495C">
              <w:rPr>
                <w:rFonts w:ascii="Times New Roman" w:eastAsia="Times New Roman" w:hAnsi="Times New Roman" w:cs="Times New Roman"/>
                <w:color w:val="000000"/>
                <w:sz w:val="24"/>
                <w:szCs w:val="24"/>
                <w:lang w:eastAsia="en-GB"/>
              </w:rPr>
              <w:t xml:space="preserve">urgently </w:t>
            </w:r>
            <w:r>
              <w:rPr>
                <w:rFonts w:ascii="Times New Roman" w:eastAsia="Times New Roman" w:hAnsi="Times New Roman" w:cs="Times New Roman"/>
                <w:color w:val="000000"/>
                <w:sz w:val="24"/>
                <w:szCs w:val="24"/>
                <w:lang w:eastAsia="en-GB"/>
              </w:rPr>
              <w:t>referred to secondary care for further investigation. All missed cases (</w:t>
            </w:r>
            <w:proofErr w:type="gramStart"/>
            <w:r>
              <w:rPr>
                <w:rFonts w:ascii="Times New Roman" w:eastAsia="Times New Roman" w:hAnsi="Times New Roman" w:cs="Times New Roman"/>
                <w:color w:val="000000"/>
                <w:sz w:val="24"/>
                <w:szCs w:val="24"/>
                <w:lang w:eastAsia="en-GB"/>
              </w:rPr>
              <w:t>i.e.</w:t>
            </w:r>
            <w:proofErr w:type="gramEnd"/>
            <w:r>
              <w:rPr>
                <w:rFonts w:ascii="Times New Roman" w:eastAsia="Times New Roman" w:hAnsi="Times New Roman" w:cs="Times New Roman"/>
                <w:color w:val="000000"/>
                <w:sz w:val="24"/>
                <w:szCs w:val="24"/>
                <w:lang w:eastAsia="en-GB"/>
              </w:rPr>
              <w:t xml:space="preserve"> </w:t>
            </w:r>
            <w:r w:rsidRPr="00FA4766">
              <w:rPr>
                <w:rFonts w:ascii="Times New Roman" w:eastAsia="Times New Roman" w:hAnsi="Times New Roman" w:cs="Times New Roman"/>
                <w:color w:val="000000"/>
                <w:sz w:val="24"/>
                <w:szCs w:val="24"/>
                <w:lang w:eastAsia="en-GB"/>
              </w:rPr>
              <w:t xml:space="preserve">patients truly with cancer who have been classed as low risk and therefore have not been </w:t>
            </w:r>
            <w:r w:rsidR="00B7495C">
              <w:rPr>
                <w:rFonts w:ascii="Times New Roman" w:eastAsia="Times New Roman" w:hAnsi="Times New Roman" w:cs="Times New Roman"/>
                <w:color w:val="000000"/>
                <w:sz w:val="24"/>
                <w:szCs w:val="24"/>
                <w:lang w:eastAsia="en-GB"/>
              </w:rPr>
              <w:t xml:space="preserve">initially urgently </w:t>
            </w:r>
            <w:r w:rsidRPr="00FA4766">
              <w:rPr>
                <w:rFonts w:ascii="Times New Roman" w:eastAsia="Times New Roman" w:hAnsi="Times New Roman" w:cs="Times New Roman"/>
                <w:color w:val="000000"/>
                <w:sz w:val="24"/>
                <w:szCs w:val="24"/>
                <w:lang w:eastAsia="en-GB"/>
              </w:rPr>
              <w:t>referred</w:t>
            </w:r>
            <w:r>
              <w:rPr>
                <w:rFonts w:ascii="Times New Roman" w:eastAsia="Times New Roman" w:hAnsi="Times New Roman" w:cs="Times New Roman"/>
                <w:color w:val="000000"/>
                <w:sz w:val="24"/>
                <w:szCs w:val="24"/>
                <w:lang w:eastAsia="en-GB"/>
              </w:rPr>
              <w:t xml:space="preserve">) are assumed (1) remain symptomatic; (2) visit the GP twice </w:t>
            </w:r>
            <w:r>
              <w:rPr>
                <w:rFonts w:ascii="Times New Roman" w:eastAsia="Times New Roman" w:hAnsi="Times New Roman" w:cs="Times New Roman"/>
                <w:color w:val="000000"/>
                <w:sz w:val="24"/>
                <w:szCs w:val="24"/>
                <w:lang w:eastAsia="en-GB"/>
              </w:rPr>
              <w:lastRenderedPageBreak/>
              <w:t xml:space="preserve">in the following six months; (3) experience a </w:t>
            </w:r>
            <w:r w:rsidR="00A23D6A">
              <w:rPr>
                <w:rFonts w:ascii="Times New Roman" w:eastAsia="Times New Roman" w:hAnsi="Times New Roman" w:cs="Times New Roman"/>
                <w:color w:val="000000"/>
                <w:sz w:val="24"/>
                <w:szCs w:val="24"/>
                <w:lang w:eastAsia="en-GB"/>
              </w:rPr>
              <w:t>6-month delayed referral to secondary care. Missed cases are then routed to’6 months-delayed referral</w:t>
            </w:r>
            <w:r w:rsidR="007B1ACC">
              <w:rPr>
                <w:rFonts w:ascii="Times New Roman" w:eastAsia="Times New Roman" w:hAnsi="Times New Roman" w:cs="Times New Roman"/>
                <w:color w:val="000000"/>
                <w:sz w:val="24"/>
                <w:szCs w:val="24"/>
                <w:lang w:eastAsia="en-GB"/>
              </w:rPr>
              <w:t>(false-negative)</w:t>
            </w:r>
            <w:r w:rsidR="00A23D6A">
              <w:rPr>
                <w:rFonts w:ascii="Times New Roman" w:eastAsia="Times New Roman" w:hAnsi="Times New Roman" w:cs="Times New Roman"/>
                <w:color w:val="000000"/>
                <w:sz w:val="24"/>
                <w:szCs w:val="24"/>
                <w:lang w:eastAsia="en-GB"/>
              </w:rPr>
              <w:t xml:space="preserve">’. Correctly identified low risk patients are routed out to an </w:t>
            </w:r>
            <w:r w:rsidR="00A23D6A" w:rsidRPr="000756FF">
              <w:rPr>
                <w:rFonts w:ascii="Times New Roman" w:eastAsia="Times New Roman" w:hAnsi="Times New Roman" w:cs="Times New Roman"/>
                <w:color w:val="000000"/>
                <w:sz w:val="24"/>
                <w:szCs w:val="24"/>
                <w:lang w:eastAsia="en-GB"/>
              </w:rPr>
              <w:t>Exit Point</w:t>
            </w:r>
            <w:r w:rsidR="007B1ACC">
              <w:rPr>
                <w:rFonts w:ascii="Times New Roman" w:eastAsia="Times New Roman" w:hAnsi="Times New Roman" w:cs="Times New Roman"/>
                <w:color w:val="000000"/>
                <w:sz w:val="24"/>
                <w:szCs w:val="24"/>
                <w:lang w:eastAsia="en-GB"/>
              </w:rPr>
              <w:t xml:space="preserve"> called “Not Urgently Referred for cancer (true-negative) Exit Point”</w:t>
            </w:r>
            <w:r w:rsidR="00A23D6A">
              <w:rPr>
                <w:rFonts w:ascii="Times New Roman" w:eastAsia="Times New Roman" w:hAnsi="Times New Roman" w:cs="Times New Roman"/>
                <w:color w:val="000000"/>
                <w:sz w:val="24"/>
                <w:szCs w:val="24"/>
                <w:lang w:eastAsia="en-GB"/>
              </w:rPr>
              <w:t>. The Exit Point performs the following tasks:</w:t>
            </w:r>
          </w:p>
          <w:p w14:paraId="264A8361" w14:textId="77777777" w:rsidR="00A23D6A" w:rsidRPr="00E7546E" w:rsidRDefault="00A23D6A" w:rsidP="00A23D6A">
            <w:pPr>
              <w:numPr>
                <w:ilvl w:val="0"/>
                <w:numId w:val="12"/>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Count Costs by Disease Status’ </w:t>
            </w:r>
            <w:proofErr w:type="gramStart"/>
            <w:r w:rsidRPr="00E7546E">
              <w:rPr>
                <w:rFonts w:ascii="Times New Roman" w:eastAsia="Times New Roman" w:hAnsi="Times New Roman" w:cs="Times New Roman"/>
                <w:color w:val="000000"/>
                <w:sz w:val="24"/>
                <w:szCs w:val="24"/>
                <w:lang w:eastAsia="en-GB"/>
              </w:rPr>
              <w:t>VL;</w:t>
            </w:r>
            <w:proofErr w:type="gramEnd"/>
          </w:p>
          <w:p w14:paraId="7E7FC484" w14:textId="06D7569F" w:rsidR="00A23D6A" w:rsidRPr="00CA7F8C" w:rsidRDefault="00A23D6A" w:rsidP="00CA7F8C">
            <w:pPr>
              <w:numPr>
                <w:ilvl w:val="0"/>
                <w:numId w:val="12"/>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‘Store individual results’ VL</w:t>
            </w:r>
          </w:p>
          <w:p w14:paraId="70F482E3" w14:textId="3B945846" w:rsidR="003C2BF8" w:rsidRPr="00E7546E" w:rsidRDefault="003C2BF8" w:rsidP="003C2BF8">
            <w:pPr>
              <w:pStyle w:val="ListParagraph"/>
              <w:numPr>
                <w:ilvl w:val="0"/>
                <w:numId w:val="7"/>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Global variables count the following model outputs: (</w:t>
            </w:r>
            <w:proofErr w:type="spellStart"/>
            <w:r w:rsidRPr="00E7546E">
              <w:rPr>
                <w:rFonts w:ascii="Times New Roman" w:eastAsia="Times New Roman" w:hAnsi="Times New Roman" w:cs="Times New Roman"/>
                <w:color w:val="000000"/>
                <w:sz w:val="24"/>
                <w:szCs w:val="24"/>
                <w:lang w:eastAsia="en-GB"/>
              </w:rPr>
              <w:t>i</w:t>
            </w:r>
            <w:proofErr w:type="spellEnd"/>
            <w:r w:rsidRPr="00E7546E">
              <w:rPr>
                <w:rFonts w:ascii="Times New Roman" w:eastAsia="Times New Roman" w:hAnsi="Times New Roman" w:cs="Times New Roman"/>
                <w:color w:val="000000"/>
                <w:sz w:val="24"/>
                <w:szCs w:val="24"/>
                <w:lang w:eastAsia="en-GB"/>
              </w:rPr>
              <w:t xml:space="preserve">) </w:t>
            </w:r>
            <w:proofErr w:type="spellStart"/>
            <w:r w:rsidRPr="00E7546E">
              <w:rPr>
                <w:rFonts w:ascii="Times New Roman" w:eastAsia="Times New Roman" w:hAnsi="Times New Roman" w:cs="Times New Roman"/>
                <w:color w:val="000000"/>
                <w:sz w:val="24"/>
                <w:szCs w:val="24"/>
                <w:lang w:eastAsia="en-GB"/>
              </w:rPr>
              <w:t>All_Referrals</w:t>
            </w:r>
            <w:proofErr w:type="spellEnd"/>
            <w:r w:rsidRPr="00E7546E">
              <w:rPr>
                <w:rFonts w:ascii="Times New Roman" w:eastAsia="Times New Roman" w:hAnsi="Times New Roman" w:cs="Times New Roman"/>
                <w:color w:val="000000"/>
                <w:sz w:val="24"/>
                <w:szCs w:val="24"/>
                <w:lang w:eastAsia="en-GB"/>
              </w:rPr>
              <w:t xml:space="preserve">; (ii) </w:t>
            </w:r>
            <w:proofErr w:type="spellStart"/>
            <w:r w:rsidRPr="00E7546E">
              <w:rPr>
                <w:rFonts w:ascii="Times New Roman" w:eastAsia="Times New Roman" w:hAnsi="Times New Roman" w:cs="Times New Roman"/>
                <w:color w:val="000000"/>
                <w:sz w:val="24"/>
                <w:szCs w:val="24"/>
                <w:lang w:eastAsia="en-GB"/>
              </w:rPr>
              <w:t>Cancer_Referrals</w:t>
            </w:r>
            <w:proofErr w:type="spellEnd"/>
            <w:r w:rsidRPr="00E7546E">
              <w:rPr>
                <w:rFonts w:ascii="Times New Roman" w:eastAsia="Times New Roman" w:hAnsi="Times New Roman" w:cs="Times New Roman"/>
                <w:color w:val="000000"/>
                <w:sz w:val="24"/>
                <w:szCs w:val="24"/>
                <w:lang w:eastAsia="en-GB"/>
              </w:rPr>
              <w:t xml:space="preserve">; (iii) No </w:t>
            </w:r>
            <w:proofErr w:type="spellStart"/>
            <w:r w:rsidRPr="00E7546E">
              <w:rPr>
                <w:rFonts w:ascii="Times New Roman" w:eastAsia="Times New Roman" w:hAnsi="Times New Roman" w:cs="Times New Roman"/>
                <w:color w:val="000000"/>
                <w:sz w:val="24"/>
                <w:szCs w:val="24"/>
                <w:lang w:eastAsia="en-GB"/>
              </w:rPr>
              <w:t>Cancer_Referrals</w:t>
            </w:r>
            <w:proofErr w:type="spellEnd"/>
            <w:r w:rsidRPr="00E7546E">
              <w:rPr>
                <w:rFonts w:ascii="Times New Roman" w:eastAsia="Times New Roman" w:hAnsi="Times New Roman" w:cs="Times New Roman"/>
                <w:color w:val="000000"/>
                <w:sz w:val="24"/>
                <w:szCs w:val="24"/>
                <w:lang w:eastAsia="en-GB"/>
              </w:rPr>
              <w:t>; (iv)</w:t>
            </w:r>
            <w:r w:rsidR="001654F0" w:rsidRPr="00E7546E">
              <w:rPr>
                <w:rFonts w:ascii="Times New Roman" w:eastAsia="Times New Roman" w:hAnsi="Times New Roman" w:cs="Times New Roman"/>
                <w:color w:val="000000"/>
                <w:sz w:val="24"/>
                <w:szCs w:val="24"/>
                <w:lang w:eastAsia="en-GB"/>
              </w:rPr>
              <w:t xml:space="preserve"> </w:t>
            </w:r>
            <w:proofErr w:type="spellStart"/>
            <w:r w:rsidR="001654F0" w:rsidRPr="00E7546E">
              <w:rPr>
                <w:rFonts w:ascii="Times New Roman" w:eastAsia="Times New Roman" w:hAnsi="Times New Roman" w:cs="Times New Roman"/>
                <w:color w:val="000000"/>
                <w:sz w:val="24"/>
                <w:szCs w:val="24"/>
                <w:lang w:eastAsia="en-GB"/>
              </w:rPr>
              <w:t>C_Red</w:t>
            </w:r>
            <w:proofErr w:type="spellEnd"/>
            <w:r w:rsidR="001654F0" w:rsidRPr="00E7546E">
              <w:rPr>
                <w:rFonts w:ascii="Times New Roman" w:eastAsia="Times New Roman" w:hAnsi="Times New Roman" w:cs="Times New Roman"/>
                <w:color w:val="000000"/>
                <w:sz w:val="24"/>
                <w:szCs w:val="24"/>
                <w:lang w:eastAsia="en-GB"/>
              </w:rPr>
              <w:t xml:space="preserve"> Patients (sorted by true disease status); (v) </w:t>
            </w:r>
            <w:proofErr w:type="spellStart"/>
            <w:r w:rsidR="001654F0" w:rsidRPr="00E7546E">
              <w:rPr>
                <w:rFonts w:ascii="Times New Roman" w:eastAsia="Times New Roman" w:hAnsi="Times New Roman" w:cs="Times New Roman"/>
                <w:color w:val="000000"/>
                <w:sz w:val="24"/>
                <w:szCs w:val="24"/>
                <w:lang w:eastAsia="en-GB"/>
              </w:rPr>
              <w:t>C_Amber</w:t>
            </w:r>
            <w:proofErr w:type="spellEnd"/>
            <w:r w:rsidR="001654F0" w:rsidRPr="00E7546E">
              <w:rPr>
                <w:rFonts w:ascii="Times New Roman" w:eastAsia="Times New Roman" w:hAnsi="Times New Roman" w:cs="Times New Roman"/>
                <w:color w:val="000000"/>
                <w:sz w:val="24"/>
                <w:szCs w:val="24"/>
                <w:lang w:eastAsia="en-GB"/>
              </w:rPr>
              <w:t xml:space="preserve"> Patients (sorted by true disease status); (vi) </w:t>
            </w:r>
            <w:proofErr w:type="spellStart"/>
            <w:r w:rsidR="001654F0" w:rsidRPr="00E7546E">
              <w:rPr>
                <w:rFonts w:ascii="Times New Roman" w:eastAsia="Times New Roman" w:hAnsi="Times New Roman" w:cs="Times New Roman"/>
                <w:color w:val="000000"/>
                <w:sz w:val="24"/>
                <w:szCs w:val="24"/>
                <w:lang w:eastAsia="en-GB"/>
              </w:rPr>
              <w:t>C_Green</w:t>
            </w:r>
            <w:proofErr w:type="spellEnd"/>
            <w:r w:rsidR="001654F0" w:rsidRPr="00E7546E">
              <w:rPr>
                <w:rFonts w:ascii="Times New Roman" w:eastAsia="Times New Roman" w:hAnsi="Times New Roman" w:cs="Times New Roman"/>
                <w:color w:val="000000"/>
                <w:sz w:val="24"/>
                <w:szCs w:val="24"/>
                <w:lang w:eastAsia="en-GB"/>
              </w:rPr>
              <w:t xml:space="preserve"> Patients (sorted by true disease status)</w:t>
            </w:r>
            <w:r w:rsidR="007C3F85" w:rsidRPr="00E7546E">
              <w:rPr>
                <w:rFonts w:ascii="Times New Roman" w:eastAsia="Times New Roman" w:hAnsi="Times New Roman" w:cs="Times New Roman"/>
                <w:color w:val="000000"/>
                <w:sz w:val="24"/>
                <w:szCs w:val="24"/>
                <w:lang w:eastAsia="en-GB"/>
              </w:rPr>
              <w:t xml:space="preserve">; (vii) </w:t>
            </w:r>
            <w:proofErr w:type="spellStart"/>
            <w:r w:rsidR="007C3F85" w:rsidRPr="00E7546E">
              <w:rPr>
                <w:rFonts w:ascii="Times New Roman" w:eastAsia="Times New Roman" w:hAnsi="Times New Roman" w:cs="Times New Roman"/>
                <w:color w:val="000000"/>
                <w:sz w:val="24"/>
                <w:szCs w:val="24"/>
                <w:lang w:eastAsia="en-GB"/>
              </w:rPr>
              <w:t>C_correctly</w:t>
            </w:r>
            <w:proofErr w:type="spellEnd"/>
            <w:r w:rsidR="007C3F85" w:rsidRPr="00E7546E">
              <w:rPr>
                <w:rFonts w:ascii="Times New Roman" w:eastAsia="Times New Roman" w:hAnsi="Times New Roman" w:cs="Times New Roman"/>
                <w:color w:val="000000"/>
                <w:sz w:val="24"/>
                <w:szCs w:val="24"/>
                <w:lang w:eastAsia="en-GB"/>
              </w:rPr>
              <w:t xml:space="preserve"> prioritised PP; (viii) </w:t>
            </w:r>
            <w:proofErr w:type="spellStart"/>
            <w:r w:rsidR="007C3F85" w:rsidRPr="00E7546E">
              <w:rPr>
                <w:rFonts w:ascii="Times New Roman" w:eastAsia="Times New Roman" w:hAnsi="Times New Roman" w:cs="Times New Roman"/>
                <w:color w:val="000000"/>
                <w:sz w:val="24"/>
                <w:szCs w:val="24"/>
                <w:lang w:eastAsia="en-GB"/>
              </w:rPr>
              <w:t>C_correctly</w:t>
            </w:r>
            <w:proofErr w:type="spellEnd"/>
            <w:r w:rsidR="007C3F85" w:rsidRPr="00E7546E">
              <w:rPr>
                <w:rFonts w:ascii="Times New Roman" w:eastAsia="Times New Roman" w:hAnsi="Times New Roman" w:cs="Times New Roman"/>
                <w:color w:val="000000"/>
                <w:sz w:val="24"/>
                <w:szCs w:val="24"/>
                <w:lang w:eastAsia="en-GB"/>
              </w:rPr>
              <w:t xml:space="preserve"> referred PP; (ix) </w:t>
            </w:r>
            <w:proofErr w:type="spellStart"/>
            <w:r w:rsidR="007C3F85" w:rsidRPr="00E7546E">
              <w:rPr>
                <w:rFonts w:ascii="Times New Roman" w:eastAsia="Times New Roman" w:hAnsi="Times New Roman" w:cs="Times New Roman"/>
                <w:color w:val="000000"/>
                <w:sz w:val="24"/>
                <w:szCs w:val="24"/>
                <w:lang w:eastAsia="en-GB"/>
              </w:rPr>
              <w:t>C_correctly</w:t>
            </w:r>
            <w:proofErr w:type="spellEnd"/>
            <w:r w:rsidR="007C3F85" w:rsidRPr="00E7546E">
              <w:rPr>
                <w:rFonts w:ascii="Times New Roman" w:eastAsia="Times New Roman" w:hAnsi="Times New Roman" w:cs="Times New Roman"/>
                <w:color w:val="000000"/>
                <w:sz w:val="24"/>
                <w:szCs w:val="24"/>
                <w:lang w:eastAsia="en-GB"/>
              </w:rPr>
              <w:t xml:space="preserve"> </w:t>
            </w:r>
            <w:r w:rsidR="00AC0DE8" w:rsidRPr="00E7546E">
              <w:rPr>
                <w:rFonts w:ascii="Times New Roman" w:eastAsia="Times New Roman" w:hAnsi="Times New Roman" w:cs="Times New Roman"/>
                <w:color w:val="000000"/>
                <w:sz w:val="24"/>
                <w:szCs w:val="24"/>
                <w:lang w:eastAsia="en-GB"/>
              </w:rPr>
              <w:t>NOT</w:t>
            </w:r>
            <w:r w:rsidR="007C3F85" w:rsidRPr="00E7546E">
              <w:rPr>
                <w:rFonts w:ascii="Times New Roman" w:eastAsia="Times New Roman" w:hAnsi="Times New Roman" w:cs="Times New Roman"/>
                <w:color w:val="000000"/>
                <w:sz w:val="24"/>
                <w:szCs w:val="24"/>
                <w:lang w:eastAsia="en-GB"/>
              </w:rPr>
              <w:t xml:space="preserve"> </w:t>
            </w:r>
            <w:proofErr w:type="spellStart"/>
            <w:r w:rsidR="007C3F85" w:rsidRPr="00E7546E">
              <w:rPr>
                <w:rFonts w:ascii="Times New Roman" w:eastAsia="Times New Roman" w:hAnsi="Times New Roman" w:cs="Times New Roman"/>
                <w:color w:val="000000"/>
                <w:sz w:val="24"/>
                <w:szCs w:val="24"/>
                <w:lang w:eastAsia="en-GB"/>
              </w:rPr>
              <w:t>referred</w:t>
            </w:r>
            <w:r w:rsidR="00A41BC0" w:rsidRPr="00E7546E">
              <w:rPr>
                <w:rFonts w:ascii="Times New Roman" w:eastAsia="Times New Roman" w:hAnsi="Times New Roman" w:cs="Times New Roman"/>
                <w:color w:val="000000"/>
                <w:sz w:val="24"/>
                <w:szCs w:val="24"/>
                <w:lang w:eastAsia="en-GB"/>
              </w:rPr>
              <w:t>_PP</w:t>
            </w:r>
            <w:proofErr w:type="spellEnd"/>
            <w:r w:rsidR="007C3F85" w:rsidRPr="00E7546E">
              <w:rPr>
                <w:rFonts w:ascii="Times New Roman" w:eastAsia="Times New Roman" w:hAnsi="Times New Roman" w:cs="Times New Roman"/>
                <w:color w:val="000000"/>
                <w:sz w:val="24"/>
                <w:szCs w:val="24"/>
                <w:lang w:eastAsia="en-GB"/>
              </w:rPr>
              <w:t>; (</w:t>
            </w:r>
            <w:r w:rsidR="00A41BC0" w:rsidRPr="00E7546E">
              <w:rPr>
                <w:rFonts w:ascii="Times New Roman" w:eastAsia="Times New Roman" w:hAnsi="Times New Roman" w:cs="Times New Roman"/>
                <w:color w:val="000000"/>
                <w:sz w:val="24"/>
                <w:szCs w:val="24"/>
                <w:lang w:eastAsia="en-GB"/>
              </w:rPr>
              <w:t xml:space="preserve">x) </w:t>
            </w:r>
            <w:proofErr w:type="spellStart"/>
            <w:r w:rsidR="00A41BC0" w:rsidRPr="00E7546E">
              <w:rPr>
                <w:rFonts w:ascii="Times New Roman" w:eastAsia="Times New Roman" w:hAnsi="Times New Roman" w:cs="Times New Roman"/>
                <w:color w:val="000000"/>
                <w:sz w:val="24"/>
                <w:szCs w:val="24"/>
                <w:lang w:eastAsia="en-GB"/>
              </w:rPr>
              <w:t>C_correctly</w:t>
            </w:r>
            <w:proofErr w:type="spellEnd"/>
            <w:r w:rsidR="00A41BC0" w:rsidRPr="00E7546E">
              <w:rPr>
                <w:rFonts w:ascii="Times New Roman" w:eastAsia="Times New Roman" w:hAnsi="Times New Roman" w:cs="Times New Roman"/>
                <w:color w:val="000000"/>
                <w:sz w:val="24"/>
                <w:szCs w:val="24"/>
                <w:lang w:eastAsia="en-GB"/>
              </w:rPr>
              <w:t xml:space="preserve"> NOT </w:t>
            </w:r>
            <w:proofErr w:type="spellStart"/>
            <w:r w:rsidR="00AC0DE8" w:rsidRPr="00E7546E">
              <w:rPr>
                <w:rFonts w:ascii="Times New Roman" w:eastAsia="Times New Roman" w:hAnsi="Times New Roman" w:cs="Times New Roman"/>
                <w:color w:val="000000"/>
                <w:sz w:val="24"/>
                <w:szCs w:val="24"/>
                <w:lang w:eastAsia="en-GB"/>
              </w:rPr>
              <w:t>prioritised</w:t>
            </w:r>
            <w:r w:rsidR="00A41BC0" w:rsidRPr="00E7546E">
              <w:rPr>
                <w:rFonts w:ascii="Times New Roman" w:eastAsia="Times New Roman" w:hAnsi="Times New Roman" w:cs="Times New Roman"/>
                <w:color w:val="000000"/>
                <w:sz w:val="24"/>
                <w:szCs w:val="24"/>
                <w:lang w:eastAsia="en-GB"/>
              </w:rPr>
              <w:t>_PP</w:t>
            </w:r>
            <w:proofErr w:type="spellEnd"/>
            <w:r w:rsidR="00A41BC0" w:rsidRPr="00E7546E">
              <w:rPr>
                <w:rFonts w:ascii="Times New Roman" w:eastAsia="Times New Roman" w:hAnsi="Times New Roman" w:cs="Times New Roman"/>
                <w:color w:val="000000"/>
                <w:sz w:val="24"/>
                <w:szCs w:val="24"/>
                <w:lang w:eastAsia="en-GB"/>
              </w:rPr>
              <w:t xml:space="preserve">; (xi) </w:t>
            </w:r>
            <w:proofErr w:type="spellStart"/>
            <w:r w:rsidR="00A41BC0" w:rsidRPr="00E7546E">
              <w:rPr>
                <w:rFonts w:ascii="Times New Roman" w:eastAsia="Times New Roman" w:hAnsi="Times New Roman" w:cs="Times New Roman"/>
                <w:color w:val="000000"/>
                <w:sz w:val="24"/>
                <w:szCs w:val="24"/>
                <w:lang w:eastAsia="en-GB"/>
              </w:rPr>
              <w:t>C_incorrectly</w:t>
            </w:r>
            <w:proofErr w:type="spellEnd"/>
            <w:r w:rsidR="00A41BC0" w:rsidRPr="00E7546E">
              <w:rPr>
                <w:rFonts w:ascii="Times New Roman" w:eastAsia="Times New Roman" w:hAnsi="Times New Roman" w:cs="Times New Roman"/>
                <w:color w:val="000000"/>
                <w:sz w:val="24"/>
                <w:szCs w:val="24"/>
                <w:lang w:eastAsia="en-GB"/>
              </w:rPr>
              <w:t xml:space="preserve"> NOT </w:t>
            </w:r>
            <w:proofErr w:type="spellStart"/>
            <w:r w:rsidR="00A41BC0" w:rsidRPr="00E7546E">
              <w:rPr>
                <w:rFonts w:ascii="Times New Roman" w:eastAsia="Times New Roman" w:hAnsi="Times New Roman" w:cs="Times New Roman"/>
                <w:color w:val="000000"/>
                <w:sz w:val="24"/>
                <w:szCs w:val="24"/>
                <w:lang w:eastAsia="en-GB"/>
              </w:rPr>
              <w:t>referred_PP</w:t>
            </w:r>
            <w:proofErr w:type="spellEnd"/>
            <w:r w:rsidR="00A41BC0" w:rsidRPr="00E7546E">
              <w:rPr>
                <w:rFonts w:ascii="Times New Roman" w:eastAsia="Times New Roman" w:hAnsi="Times New Roman" w:cs="Times New Roman"/>
                <w:color w:val="000000"/>
                <w:sz w:val="24"/>
                <w:szCs w:val="24"/>
                <w:lang w:eastAsia="en-GB"/>
              </w:rPr>
              <w:t xml:space="preserve">; (xii) </w:t>
            </w:r>
            <w:proofErr w:type="spellStart"/>
            <w:r w:rsidR="00A41BC0" w:rsidRPr="00E7546E">
              <w:rPr>
                <w:rFonts w:ascii="Times New Roman" w:eastAsia="Times New Roman" w:hAnsi="Times New Roman" w:cs="Times New Roman"/>
                <w:color w:val="000000"/>
                <w:sz w:val="24"/>
                <w:szCs w:val="24"/>
                <w:lang w:eastAsia="en-GB"/>
              </w:rPr>
              <w:t>C_incorrectly</w:t>
            </w:r>
            <w:proofErr w:type="spellEnd"/>
            <w:r w:rsidR="00A41BC0" w:rsidRPr="00E7546E">
              <w:rPr>
                <w:rFonts w:ascii="Times New Roman" w:eastAsia="Times New Roman" w:hAnsi="Times New Roman" w:cs="Times New Roman"/>
                <w:color w:val="000000"/>
                <w:sz w:val="24"/>
                <w:szCs w:val="24"/>
                <w:lang w:eastAsia="en-GB"/>
              </w:rPr>
              <w:t xml:space="preserve"> DE </w:t>
            </w:r>
            <w:proofErr w:type="spellStart"/>
            <w:r w:rsidR="00A41BC0" w:rsidRPr="00E7546E">
              <w:rPr>
                <w:rFonts w:ascii="Times New Roman" w:eastAsia="Times New Roman" w:hAnsi="Times New Roman" w:cs="Times New Roman"/>
                <w:color w:val="000000"/>
                <w:sz w:val="24"/>
                <w:szCs w:val="24"/>
                <w:lang w:eastAsia="en-GB"/>
              </w:rPr>
              <w:t>prioritised_PP</w:t>
            </w:r>
            <w:proofErr w:type="spellEnd"/>
            <w:r w:rsidR="00565F64" w:rsidRPr="00E7546E">
              <w:rPr>
                <w:rFonts w:ascii="Times New Roman" w:eastAsia="Times New Roman" w:hAnsi="Times New Roman" w:cs="Times New Roman"/>
                <w:color w:val="000000"/>
                <w:sz w:val="24"/>
                <w:szCs w:val="24"/>
                <w:lang w:eastAsia="en-GB"/>
              </w:rPr>
              <w:t xml:space="preserve">. </w:t>
            </w:r>
          </w:p>
          <w:p w14:paraId="450B4DD8" w14:textId="395B6025" w:rsidR="00565F64" w:rsidRPr="00E7546E" w:rsidRDefault="00565F64" w:rsidP="00565F64">
            <w:pPr>
              <w:rPr>
                <w:rFonts w:ascii="Times New Roman" w:eastAsia="Times New Roman" w:hAnsi="Times New Roman" w:cs="Times New Roman"/>
                <w:color w:val="000000"/>
                <w:sz w:val="24"/>
                <w:szCs w:val="24"/>
                <w:lang w:eastAsia="en-GB"/>
              </w:rPr>
            </w:pPr>
          </w:p>
          <w:p w14:paraId="7662B5B6" w14:textId="575C509E" w:rsidR="00A23D6A" w:rsidRDefault="00A23D6A" w:rsidP="00565F64">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the context of </w:t>
            </w:r>
            <w:proofErr w:type="spellStart"/>
            <w:r>
              <w:rPr>
                <w:rFonts w:ascii="Times New Roman" w:eastAsia="Times New Roman" w:hAnsi="Times New Roman" w:cs="Times New Roman"/>
                <w:color w:val="000000"/>
                <w:sz w:val="24"/>
                <w:szCs w:val="24"/>
                <w:lang w:eastAsia="en-GB"/>
              </w:rPr>
              <w:t>PinPoint</w:t>
            </w:r>
            <w:proofErr w:type="spellEnd"/>
            <w:r>
              <w:rPr>
                <w:rFonts w:ascii="Times New Roman" w:eastAsia="Times New Roman" w:hAnsi="Times New Roman" w:cs="Times New Roman"/>
                <w:color w:val="000000"/>
                <w:sz w:val="24"/>
                <w:szCs w:val="24"/>
                <w:lang w:eastAsia="en-GB"/>
              </w:rPr>
              <w:t xml:space="preserve"> test used as triage and prioritisation tool, the ‘6 months-delayed </w:t>
            </w:r>
            <w:r w:rsidR="007B1ACC">
              <w:rPr>
                <w:rFonts w:ascii="Times New Roman" w:eastAsia="Times New Roman" w:hAnsi="Times New Roman" w:cs="Times New Roman"/>
                <w:color w:val="000000"/>
                <w:sz w:val="24"/>
                <w:szCs w:val="24"/>
                <w:lang w:eastAsia="en-GB"/>
              </w:rPr>
              <w:t>r</w:t>
            </w:r>
            <w:r>
              <w:rPr>
                <w:rFonts w:ascii="Times New Roman" w:eastAsia="Times New Roman" w:hAnsi="Times New Roman" w:cs="Times New Roman"/>
                <w:color w:val="000000"/>
                <w:sz w:val="24"/>
                <w:szCs w:val="24"/>
                <w:lang w:eastAsia="en-GB"/>
              </w:rPr>
              <w:t>eferral</w:t>
            </w:r>
            <w:r w:rsidR="007B1ACC">
              <w:rPr>
                <w:rFonts w:ascii="Times New Roman" w:eastAsia="Times New Roman" w:hAnsi="Times New Roman" w:cs="Times New Roman"/>
                <w:color w:val="000000"/>
                <w:sz w:val="24"/>
                <w:szCs w:val="24"/>
                <w:lang w:eastAsia="en-GB"/>
              </w:rPr>
              <w:t xml:space="preserve"> (true-negative)</w:t>
            </w:r>
            <w:r>
              <w:rPr>
                <w:rFonts w:ascii="Times New Roman" w:eastAsia="Times New Roman" w:hAnsi="Times New Roman" w:cs="Times New Roman"/>
                <w:color w:val="000000"/>
                <w:sz w:val="24"/>
                <w:szCs w:val="24"/>
                <w:lang w:eastAsia="en-GB"/>
              </w:rPr>
              <w:t>’ activity performs the following tasks:</w:t>
            </w:r>
          </w:p>
          <w:p w14:paraId="2566503E" w14:textId="0AEFBE49" w:rsidR="00A23D6A" w:rsidRDefault="00A23D6A" w:rsidP="00A23D6A">
            <w:pPr>
              <w:pStyle w:val="ListParagraph"/>
              <w:numPr>
                <w:ilvl w:val="0"/>
                <w:numId w:val="7"/>
              </w:num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Missed cases are assumed to experience a six-month delayed referral to be seen in secondary care.</w:t>
            </w:r>
          </w:p>
          <w:p w14:paraId="11D48052" w14:textId="2B025535" w:rsidR="00A23D6A" w:rsidRPr="00A23D6A" w:rsidRDefault="00A23D6A" w:rsidP="00A23D6A">
            <w:pPr>
              <w:pStyle w:val="ListParagraph"/>
              <w:numPr>
                <w:ilvl w:val="0"/>
                <w:numId w:val="7"/>
              </w:num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Missed cases are assumed to experience an age-stratified six-month decrement to their 10-year survival. F</w:t>
            </w:r>
            <w:r w:rsidRPr="00A23D6A">
              <w:rPr>
                <w:rFonts w:ascii="Times New Roman" w:eastAsia="Times New Roman" w:hAnsi="Times New Roman" w:cs="Times New Roman"/>
                <w:color w:val="000000"/>
                <w:sz w:val="24"/>
                <w:szCs w:val="24"/>
                <w:lang w:eastAsia="en-GB"/>
              </w:rPr>
              <w:t xml:space="preserve">or each patient the logic checks the age group and then applies an age-stratified decrement in their 10-year survival. The logic then estimates the total life years lost by summing up the individual life years lost. </w:t>
            </w:r>
          </w:p>
          <w:p w14:paraId="3D4BE039" w14:textId="77777777" w:rsidR="00A23D6A" w:rsidRPr="00A23D6A" w:rsidRDefault="00A23D6A" w:rsidP="00A23D6A">
            <w:pPr>
              <w:pStyle w:val="ListParagraph"/>
              <w:numPr>
                <w:ilvl w:val="0"/>
                <w:numId w:val="7"/>
              </w:numPr>
              <w:rPr>
                <w:rFonts w:ascii="Times New Roman" w:eastAsia="Times New Roman" w:hAnsi="Times New Roman" w:cs="Times New Roman"/>
                <w:color w:val="000000"/>
                <w:sz w:val="24"/>
                <w:szCs w:val="24"/>
                <w:lang w:eastAsia="en-GB"/>
              </w:rPr>
            </w:pPr>
            <w:r w:rsidRPr="00A23D6A">
              <w:rPr>
                <w:rFonts w:ascii="Times New Roman" w:eastAsia="Times New Roman" w:hAnsi="Times New Roman" w:cs="Times New Roman"/>
                <w:color w:val="000000"/>
                <w:sz w:val="24"/>
                <w:szCs w:val="24"/>
                <w:lang w:eastAsia="en-GB"/>
              </w:rPr>
              <w:t xml:space="preserve">Count Costs by Disease Status’ </w:t>
            </w:r>
            <w:proofErr w:type="gramStart"/>
            <w:r w:rsidRPr="00A23D6A">
              <w:rPr>
                <w:rFonts w:ascii="Times New Roman" w:eastAsia="Times New Roman" w:hAnsi="Times New Roman" w:cs="Times New Roman"/>
                <w:color w:val="000000"/>
                <w:sz w:val="24"/>
                <w:szCs w:val="24"/>
                <w:lang w:eastAsia="en-GB"/>
              </w:rPr>
              <w:t>VL;</w:t>
            </w:r>
            <w:proofErr w:type="gramEnd"/>
          </w:p>
          <w:p w14:paraId="22E5B929" w14:textId="77777777" w:rsidR="00A23D6A" w:rsidRPr="00A23D6A" w:rsidRDefault="00A23D6A" w:rsidP="00A23D6A">
            <w:pPr>
              <w:pStyle w:val="ListParagraph"/>
              <w:numPr>
                <w:ilvl w:val="0"/>
                <w:numId w:val="7"/>
              </w:numPr>
              <w:rPr>
                <w:rFonts w:ascii="Times New Roman" w:eastAsia="Times New Roman" w:hAnsi="Times New Roman" w:cs="Times New Roman"/>
                <w:color w:val="000000"/>
                <w:sz w:val="24"/>
                <w:szCs w:val="24"/>
                <w:lang w:eastAsia="en-GB"/>
              </w:rPr>
            </w:pPr>
            <w:r w:rsidRPr="00A23D6A">
              <w:rPr>
                <w:rFonts w:ascii="Times New Roman" w:eastAsia="Times New Roman" w:hAnsi="Times New Roman" w:cs="Times New Roman"/>
                <w:color w:val="000000"/>
                <w:sz w:val="24"/>
                <w:szCs w:val="24"/>
                <w:lang w:eastAsia="en-GB"/>
              </w:rPr>
              <w:t>‘Store individual results’ VL</w:t>
            </w:r>
          </w:p>
          <w:p w14:paraId="75CD4D5D" w14:textId="0CC97F95" w:rsidR="00A23D6A" w:rsidRPr="00CA7F8C" w:rsidRDefault="00A23D6A" w:rsidP="00CA7F8C">
            <w:pPr>
              <w:pStyle w:val="ListParagraph"/>
              <w:numPr>
                <w:ilvl w:val="0"/>
                <w:numId w:val="7"/>
              </w:num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Missed cases then exit the model. </w:t>
            </w:r>
          </w:p>
          <w:p w14:paraId="4DABDB5A" w14:textId="77777777" w:rsidR="00A23D6A" w:rsidRDefault="00A23D6A" w:rsidP="00565F64">
            <w:pPr>
              <w:rPr>
                <w:rFonts w:ascii="Times New Roman" w:eastAsia="Times New Roman" w:hAnsi="Times New Roman" w:cs="Times New Roman"/>
                <w:color w:val="000000"/>
                <w:sz w:val="24"/>
                <w:szCs w:val="24"/>
                <w:lang w:eastAsia="en-GB"/>
              </w:rPr>
            </w:pPr>
          </w:p>
          <w:p w14:paraId="01844822" w14:textId="5F828257" w:rsidR="00E81376" w:rsidRPr="00E7546E" w:rsidRDefault="00E81376" w:rsidP="00565F64">
            <w:p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the </w:t>
            </w:r>
            <w:proofErr w:type="spellStart"/>
            <w:r w:rsidRPr="00E7546E">
              <w:rPr>
                <w:rFonts w:ascii="Times New Roman" w:eastAsia="Times New Roman" w:hAnsi="Times New Roman" w:cs="Times New Roman"/>
                <w:color w:val="000000"/>
                <w:sz w:val="24"/>
                <w:szCs w:val="24"/>
                <w:lang w:eastAsia="en-GB"/>
              </w:rPr>
              <w:t>PinPoint</w:t>
            </w:r>
            <w:proofErr w:type="spellEnd"/>
            <w:r w:rsidRPr="00E7546E">
              <w:rPr>
                <w:rFonts w:ascii="Times New Roman" w:eastAsia="Times New Roman" w:hAnsi="Times New Roman" w:cs="Times New Roman"/>
                <w:color w:val="000000"/>
                <w:sz w:val="24"/>
                <w:szCs w:val="24"/>
                <w:lang w:eastAsia="en-GB"/>
              </w:rPr>
              <w:t xml:space="preserve"> test arm, patients are prioritised to be seen within two weeks in secondary care based on their risk score. The prioritisation takes place in ‘Queue for </w:t>
            </w:r>
            <w:r w:rsidR="007B1ACC">
              <w:rPr>
                <w:rFonts w:ascii="Times New Roman" w:eastAsia="Times New Roman" w:hAnsi="Times New Roman" w:cs="Times New Roman"/>
                <w:color w:val="000000"/>
                <w:sz w:val="24"/>
                <w:szCs w:val="24"/>
                <w:lang w:eastAsia="en-GB"/>
              </w:rPr>
              <w:t>‘Urgent referral for suspected cancer</w:t>
            </w:r>
            <w:r w:rsidRPr="00E7546E">
              <w:rPr>
                <w:rFonts w:ascii="Times New Roman" w:eastAsia="Times New Roman" w:hAnsi="Times New Roman" w:cs="Times New Roman"/>
                <w:color w:val="000000"/>
                <w:sz w:val="24"/>
                <w:szCs w:val="24"/>
                <w:lang w:eastAsia="en-GB"/>
              </w:rPr>
              <w:t>’</w:t>
            </w:r>
            <w:r w:rsidR="00D910D6">
              <w:rPr>
                <w:rFonts w:ascii="Times New Roman" w:eastAsia="Times New Roman" w:hAnsi="Times New Roman" w:cs="Times New Roman"/>
                <w:color w:val="000000"/>
                <w:sz w:val="24"/>
                <w:szCs w:val="24"/>
                <w:lang w:eastAsia="en-GB"/>
              </w:rPr>
              <w:t>”</w:t>
            </w:r>
            <w:r w:rsidRPr="00E7546E">
              <w:rPr>
                <w:rFonts w:ascii="Times New Roman" w:eastAsia="Times New Roman" w:hAnsi="Times New Roman" w:cs="Times New Roman"/>
                <w:color w:val="000000"/>
                <w:sz w:val="24"/>
                <w:szCs w:val="24"/>
                <w:lang w:eastAsia="en-GB"/>
              </w:rPr>
              <w:t xml:space="preserve">. </w:t>
            </w:r>
          </w:p>
          <w:p w14:paraId="1677D6FF" w14:textId="0E7FBA40" w:rsidR="001640EF" w:rsidRPr="00E7546E" w:rsidRDefault="001640EF" w:rsidP="00565F64">
            <w:pPr>
              <w:rPr>
                <w:rFonts w:ascii="Times New Roman" w:eastAsia="Times New Roman" w:hAnsi="Times New Roman" w:cs="Times New Roman"/>
                <w:color w:val="000000"/>
                <w:sz w:val="24"/>
                <w:szCs w:val="24"/>
                <w:lang w:eastAsia="en-GB"/>
              </w:rPr>
            </w:pPr>
          </w:p>
          <w:p w14:paraId="5518D2E9" w14:textId="622526DA" w:rsidR="001640EF" w:rsidRPr="00E7546E" w:rsidRDefault="001640EF" w:rsidP="001640EF">
            <w:p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Across both testing arms, at the beginning of the 13</w:t>
            </w:r>
            <w:r w:rsidRPr="00E7546E">
              <w:rPr>
                <w:rFonts w:ascii="Times New Roman" w:eastAsia="Times New Roman" w:hAnsi="Times New Roman" w:cs="Times New Roman"/>
                <w:color w:val="000000"/>
                <w:sz w:val="24"/>
                <w:szCs w:val="24"/>
                <w:vertAlign w:val="superscript"/>
                <w:lang w:eastAsia="en-GB"/>
              </w:rPr>
              <w:t>th</w:t>
            </w:r>
            <w:r w:rsidRPr="00E7546E">
              <w:rPr>
                <w:rFonts w:ascii="Times New Roman" w:eastAsia="Times New Roman" w:hAnsi="Times New Roman" w:cs="Times New Roman"/>
                <w:color w:val="000000"/>
                <w:sz w:val="24"/>
                <w:szCs w:val="24"/>
                <w:lang w:eastAsia="en-GB"/>
              </w:rPr>
              <w:t xml:space="preserve"> waiting day, referred patients enter</w:t>
            </w:r>
            <w:r w:rsidR="00E45882" w:rsidRPr="00E7546E">
              <w:rPr>
                <w:rFonts w:ascii="Times New Roman" w:eastAsia="Times New Roman" w:hAnsi="Times New Roman" w:cs="Times New Roman"/>
                <w:color w:val="000000"/>
                <w:sz w:val="24"/>
                <w:szCs w:val="24"/>
                <w:lang w:eastAsia="en-GB"/>
              </w:rPr>
              <w:t xml:space="preserve"> ‘</w:t>
            </w:r>
            <w:r w:rsidR="00D910D6">
              <w:rPr>
                <w:rFonts w:ascii="Times New Roman" w:eastAsia="Times New Roman" w:hAnsi="Times New Roman" w:cs="Times New Roman"/>
                <w:color w:val="000000"/>
                <w:sz w:val="24"/>
                <w:szCs w:val="24"/>
                <w:lang w:eastAsia="en-GB"/>
              </w:rPr>
              <w:t>Urgent referral for suspected cancer</w:t>
            </w:r>
            <w:r w:rsidR="00E45882" w:rsidRPr="00E7546E">
              <w:rPr>
                <w:rFonts w:ascii="Times New Roman" w:eastAsia="Times New Roman" w:hAnsi="Times New Roman" w:cs="Times New Roman"/>
                <w:color w:val="000000"/>
                <w:sz w:val="24"/>
                <w:szCs w:val="24"/>
                <w:lang w:eastAsia="en-GB"/>
              </w:rPr>
              <w:t xml:space="preserve">’ activity which assesses if a patient can be seen within two weeks depending </w:t>
            </w:r>
            <w:r w:rsidR="00594224" w:rsidRPr="00E7546E">
              <w:rPr>
                <w:rFonts w:ascii="Times New Roman" w:eastAsia="Times New Roman" w:hAnsi="Times New Roman" w:cs="Times New Roman"/>
                <w:color w:val="000000"/>
                <w:sz w:val="24"/>
                <w:szCs w:val="24"/>
                <w:lang w:eastAsia="en-GB"/>
              </w:rPr>
              <w:t xml:space="preserve">on the maximum number of referred patients seen within two weeks. The Routing Out </w:t>
            </w:r>
            <w:r w:rsidR="00CB3A57" w:rsidRPr="00E7546E">
              <w:rPr>
                <w:rFonts w:ascii="Times New Roman" w:eastAsia="Times New Roman" w:hAnsi="Times New Roman" w:cs="Times New Roman"/>
                <w:color w:val="000000"/>
                <w:sz w:val="24"/>
                <w:szCs w:val="24"/>
                <w:lang w:eastAsia="en-GB"/>
              </w:rPr>
              <w:t>Work Complete of the ‘</w:t>
            </w:r>
            <w:r w:rsidR="00D910D6">
              <w:rPr>
                <w:rFonts w:ascii="Times New Roman" w:eastAsia="Times New Roman" w:hAnsi="Times New Roman" w:cs="Times New Roman"/>
                <w:color w:val="000000"/>
                <w:sz w:val="24"/>
                <w:szCs w:val="24"/>
                <w:lang w:eastAsia="en-GB"/>
              </w:rPr>
              <w:t>Urgent referral for suspected cancer</w:t>
            </w:r>
            <w:r w:rsidR="00CB3A57" w:rsidRPr="00E7546E">
              <w:rPr>
                <w:rFonts w:ascii="Times New Roman" w:eastAsia="Times New Roman" w:hAnsi="Times New Roman" w:cs="Times New Roman"/>
                <w:color w:val="000000"/>
                <w:sz w:val="24"/>
                <w:szCs w:val="24"/>
                <w:lang w:eastAsia="en-GB"/>
              </w:rPr>
              <w:t>’ activity performs the following tasks:</w:t>
            </w:r>
          </w:p>
          <w:p w14:paraId="4A7D3581" w14:textId="47D80EEF" w:rsidR="00CB3A57" w:rsidRPr="00E7546E" w:rsidRDefault="009A72BE" w:rsidP="00CB3A57">
            <w:pPr>
              <w:pStyle w:val="ListParagraph"/>
              <w:numPr>
                <w:ilvl w:val="0"/>
                <w:numId w:val="7"/>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Depending on the number of patients </w:t>
            </w:r>
            <w:r w:rsidR="00D46297">
              <w:rPr>
                <w:rFonts w:ascii="Times New Roman" w:eastAsia="Times New Roman" w:hAnsi="Times New Roman" w:cs="Times New Roman"/>
                <w:color w:val="000000"/>
                <w:sz w:val="24"/>
                <w:szCs w:val="24"/>
                <w:lang w:eastAsia="en-GB"/>
              </w:rPr>
              <w:t xml:space="preserve">urgently </w:t>
            </w:r>
            <w:r w:rsidRPr="00E7546E">
              <w:rPr>
                <w:rFonts w:ascii="Times New Roman" w:eastAsia="Times New Roman" w:hAnsi="Times New Roman" w:cs="Times New Roman"/>
                <w:color w:val="000000"/>
                <w:sz w:val="24"/>
                <w:szCs w:val="24"/>
                <w:lang w:eastAsia="en-GB"/>
              </w:rPr>
              <w:t xml:space="preserve">referred and the maximum of referred </w:t>
            </w:r>
            <w:r w:rsidR="00D46297">
              <w:rPr>
                <w:rFonts w:ascii="Times New Roman" w:eastAsia="Times New Roman" w:hAnsi="Times New Roman" w:cs="Times New Roman"/>
                <w:color w:val="000000"/>
                <w:sz w:val="24"/>
                <w:szCs w:val="24"/>
                <w:lang w:eastAsia="en-GB"/>
              </w:rPr>
              <w:t xml:space="preserve">urgently </w:t>
            </w:r>
            <w:r w:rsidRPr="00E7546E">
              <w:rPr>
                <w:rFonts w:ascii="Times New Roman" w:eastAsia="Times New Roman" w:hAnsi="Times New Roman" w:cs="Times New Roman"/>
                <w:color w:val="000000"/>
                <w:sz w:val="24"/>
                <w:szCs w:val="24"/>
                <w:lang w:eastAsia="en-GB"/>
              </w:rPr>
              <w:t xml:space="preserve">patients seen within two weeks, some patients need to wait to enter secondary care. </w:t>
            </w:r>
            <w:r w:rsidR="000C05E1">
              <w:rPr>
                <w:rFonts w:ascii="Times New Roman" w:eastAsia="Times New Roman" w:hAnsi="Times New Roman" w:cs="Times New Roman"/>
                <w:color w:val="000000"/>
                <w:sz w:val="24"/>
                <w:szCs w:val="24"/>
                <w:lang w:eastAsia="en-GB"/>
              </w:rPr>
              <w:t xml:space="preserve">Those patients seen within two weeks enter the queue “TWW </w:t>
            </w:r>
            <w:proofErr w:type="spellStart"/>
            <w:r w:rsidR="000C05E1">
              <w:rPr>
                <w:rFonts w:ascii="Times New Roman" w:eastAsia="Times New Roman" w:hAnsi="Times New Roman" w:cs="Times New Roman"/>
                <w:color w:val="000000"/>
                <w:sz w:val="24"/>
                <w:szCs w:val="24"/>
                <w:lang w:eastAsia="en-GB"/>
              </w:rPr>
              <w:t>target”.</w:t>
            </w:r>
            <w:r w:rsidRPr="00E7546E">
              <w:rPr>
                <w:rFonts w:ascii="Times New Roman" w:eastAsia="Times New Roman" w:hAnsi="Times New Roman" w:cs="Times New Roman"/>
                <w:color w:val="000000"/>
                <w:sz w:val="24"/>
                <w:szCs w:val="24"/>
                <w:lang w:eastAsia="en-GB"/>
              </w:rPr>
              <w:t>Where</w:t>
            </w:r>
            <w:proofErr w:type="spellEnd"/>
            <w:r w:rsidRPr="00E7546E">
              <w:rPr>
                <w:rFonts w:ascii="Times New Roman" w:eastAsia="Times New Roman" w:hAnsi="Times New Roman" w:cs="Times New Roman"/>
                <w:color w:val="000000"/>
                <w:sz w:val="24"/>
                <w:szCs w:val="24"/>
                <w:lang w:eastAsia="en-GB"/>
              </w:rPr>
              <w:t xml:space="preserve"> patients are not seen within two weeks, patients are assumed to experience an additional delay ranging between 1 </w:t>
            </w:r>
            <w:r w:rsidR="00823D17" w:rsidRPr="00E7546E">
              <w:rPr>
                <w:rFonts w:ascii="Times New Roman" w:eastAsia="Times New Roman" w:hAnsi="Times New Roman" w:cs="Times New Roman"/>
                <w:color w:val="000000"/>
                <w:sz w:val="24"/>
                <w:szCs w:val="24"/>
                <w:lang w:eastAsia="en-GB"/>
              </w:rPr>
              <w:t xml:space="preserve">additional </w:t>
            </w:r>
            <w:r w:rsidRPr="00E7546E">
              <w:rPr>
                <w:rFonts w:ascii="Times New Roman" w:eastAsia="Times New Roman" w:hAnsi="Times New Roman" w:cs="Times New Roman"/>
                <w:color w:val="000000"/>
                <w:sz w:val="24"/>
                <w:szCs w:val="24"/>
                <w:lang w:eastAsia="en-GB"/>
              </w:rPr>
              <w:t xml:space="preserve">day to a maximum of 16 days depending on the </w:t>
            </w:r>
            <w:r w:rsidRPr="00E7546E">
              <w:rPr>
                <w:rFonts w:ascii="Times New Roman" w:eastAsia="Times New Roman" w:hAnsi="Times New Roman" w:cs="Times New Roman"/>
                <w:color w:val="000000"/>
                <w:sz w:val="24"/>
                <w:szCs w:val="24"/>
                <w:lang w:eastAsia="en-GB"/>
              </w:rPr>
              <w:lastRenderedPageBreak/>
              <w:t xml:space="preserve">distribution of </w:t>
            </w:r>
            <w:r w:rsidR="006B0EA1" w:rsidRPr="00E7546E">
              <w:rPr>
                <w:rFonts w:ascii="Times New Roman" w:eastAsia="Times New Roman" w:hAnsi="Times New Roman" w:cs="Times New Roman"/>
                <w:color w:val="000000"/>
                <w:sz w:val="24"/>
                <w:szCs w:val="24"/>
                <w:lang w:eastAsia="en-GB"/>
              </w:rPr>
              <w:t xml:space="preserve">delayed </w:t>
            </w:r>
            <w:r w:rsidRPr="00E7546E">
              <w:rPr>
                <w:rFonts w:ascii="Times New Roman" w:eastAsia="Times New Roman" w:hAnsi="Times New Roman" w:cs="Times New Roman"/>
                <w:color w:val="000000"/>
                <w:sz w:val="24"/>
                <w:szCs w:val="24"/>
                <w:lang w:eastAsia="en-GB"/>
              </w:rPr>
              <w:t>days in which referred patients seen after two weeks</w:t>
            </w:r>
            <w:r w:rsidR="00EB4A13" w:rsidRPr="00E7546E">
              <w:rPr>
                <w:rFonts w:ascii="Times New Roman" w:eastAsia="Times New Roman" w:hAnsi="Times New Roman" w:cs="Times New Roman"/>
                <w:color w:val="000000"/>
                <w:sz w:val="24"/>
                <w:szCs w:val="24"/>
                <w:lang w:eastAsia="en-GB"/>
              </w:rPr>
              <w:t xml:space="preserve"> – see ‘Additional Waiting Time’ VL</w:t>
            </w:r>
            <w:r w:rsidR="0090312B" w:rsidRPr="00E7546E">
              <w:rPr>
                <w:rFonts w:ascii="Times New Roman" w:eastAsia="Times New Roman" w:hAnsi="Times New Roman" w:cs="Times New Roman"/>
                <w:color w:val="000000"/>
                <w:sz w:val="24"/>
                <w:szCs w:val="24"/>
                <w:lang w:eastAsia="en-GB"/>
              </w:rPr>
              <w:t xml:space="preserve"> (see section 2.4 for further detail</w:t>
            </w:r>
            <w:r w:rsidR="00E27D32" w:rsidRPr="00E7546E">
              <w:rPr>
                <w:rFonts w:ascii="Times New Roman" w:eastAsia="Times New Roman" w:hAnsi="Times New Roman" w:cs="Times New Roman"/>
                <w:color w:val="000000"/>
                <w:sz w:val="24"/>
                <w:szCs w:val="24"/>
                <w:lang w:eastAsia="en-GB"/>
              </w:rPr>
              <w:t>.</w:t>
            </w:r>
            <w:r w:rsidR="00550F81" w:rsidRPr="00E7546E">
              <w:rPr>
                <w:rFonts w:ascii="Times New Roman" w:eastAsia="Times New Roman" w:hAnsi="Times New Roman" w:cs="Times New Roman"/>
                <w:color w:val="000000"/>
                <w:sz w:val="24"/>
                <w:szCs w:val="24"/>
                <w:lang w:eastAsia="en-GB"/>
              </w:rPr>
              <w:t xml:space="preserve"> </w:t>
            </w:r>
            <w:r w:rsidR="00511EFD" w:rsidRPr="00E7546E">
              <w:rPr>
                <w:rFonts w:ascii="Times New Roman" w:eastAsia="Times New Roman" w:hAnsi="Times New Roman" w:cs="Times New Roman"/>
                <w:color w:val="000000"/>
                <w:sz w:val="24"/>
                <w:szCs w:val="24"/>
                <w:lang w:eastAsia="en-GB"/>
              </w:rPr>
              <w:t xml:space="preserve">Patients who are not seen within two weeks wait the assigned </w:t>
            </w:r>
            <w:r w:rsidR="00917718" w:rsidRPr="00E7546E">
              <w:rPr>
                <w:rFonts w:ascii="Times New Roman" w:eastAsia="Times New Roman" w:hAnsi="Times New Roman" w:cs="Times New Roman"/>
                <w:color w:val="000000"/>
                <w:sz w:val="24"/>
                <w:szCs w:val="24"/>
                <w:lang w:eastAsia="en-GB"/>
              </w:rPr>
              <w:t xml:space="preserve">additional </w:t>
            </w:r>
            <w:r w:rsidR="00511EFD" w:rsidRPr="00E7546E">
              <w:rPr>
                <w:rFonts w:ascii="Times New Roman" w:eastAsia="Times New Roman" w:hAnsi="Times New Roman" w:cs="Times New Roman"/>
                <w:color w:val="000000"/>
                <w:sz w:val="24"/>
                <w:szCs w:val="24"/>
                <w:lang w:eastAsia="en-GB"/>
              </w:rPr>
              <w:t>waiting time</w:t>
            </w:r>
            <w:r w:rsidR="0090312B" w:rsidRPr="00E7546E">
              <w:rPr>
                <w:rFonts w:ascii="Times New Roman" w:eastAsia="Times New Roman" w:hAnsi="Times New Roman" w:cs="Times New Roman"/>
                <w:color w:val="000000"/>
                <w:sz w:val="24"/>
                <w:szCs w:val="24"/>
                <w:lang w:eastAsia="en-GB"/>
              </w:rPr>
              <w:t xml:space="preserve"> (</w:t>
            </w:r>
            <w:proofErr w:type="spellStart"/>
            <w:r w:rsidR="0090312B" w:rsidRPr="00E7546E">
              <w:rPr>
                <w:rFonts w:ascii="Times New Roman" w:eastAsia="Times New Roman" w:hAnsi="Times New Roman" w:cs="Times New Roman"/>
                <w:color w:val="000000"/>
                <w:sz w:val="24"/>
                <w:szCs w:val="24"/>
                <w:lang w:eastAsia="en-GB"/>
              </w:rPr>
              <w:t>lbl_</w:t>
            </w:r>
            <w:r w:rsidR="00E27D32" w:rsidRPr="00E7546E">
              <w:rPr>
                <w:rFonts w:ascii="Times New Roman" w:eastAsia="Times New Roman" w:hAnsi="Times New Roman" w:cs="Times New Roman"/>
                <w:color w:val="000000"/>
                <w:sz w:val="24"/>
                <w:szCs w:val="24"/>
                <w:lang w:eastAsia="en-GB"/>
              </w:rPr>
              <w:t>Minimum</w:t>
            </w:r>
            <w:proofErr w:type="spellEnd"/>
            <w:r w:rsidR="00E27D32" w:rsidRPr="00E7546E">
              <w:rPr>
                <w:rFonts w:ascii="Times New Roman" w:eastAsia="Times New Roman" w:hAnsi="Times New Roman" w:cs="Times New Roman"/>
                <w:color w:val="000000"/>
                <w:sz w:val="24"/>
                <w:szCs w:val="24"/>
                <w:lang w:eastAsia="en-GB"/>
              </w:rPr>
              <w:t xml:space="preserve"> Waiting Time)</w:t>
            </w:r>
            <w:r w:rsidR="00511EFD" w:rsidRPr="00E7546E">
              <w:rPr>
                <w:rFonts w:ascii="Times New Roman" w:eastAsia="Times New Roman" w:hAnsi="Times New Roman" w:cs="Times New Roman"/>
                <w:color w:val="000000"/>
                <w:sz w:val="24"/>
                <w:szCs w:val="24"/>
                <w:lang w:eastAsia="en-GB"/>
              </w:rPr>
              <w:t xml:space="preserve"> in the queue ‘</w:t>
            </w:r>
            <w:r w:rsidR="00952A56">
              <w:rPr>
                <w:rFonts w:ascii="Times New Roman" w:eastAsia="Times New Roman" w:hAnsi="Times New Roman" w:cs="Times New Roman"/>
                <w:color w:val="000000"/>
                <w:sz w:val="24"/>
                <w:szCs w:val="24"/>
                <w:lang w:eastAsia="en-GB"/>
              </w:rPr>
              <w:t>&gt;14 days</w:t>
            </w:r>
            <w:r w:rsidR="00511EFD" w:rsidRPr="00E7546E">
              <w:rPr>
                <w:rFonts w:ascii="Times New Roman" w:eastAsia="Times New Roman" w:hAnsi="Times New Roman" w:cs="Times New Roman"/>
                <w:color w:val="000000"/>
                <w:sz w:val="24"/>
                <w:szCs w:val="24"/>
                <w:lang w:eastAsia="en-GB"/>
              </w:rPr>
              <w:t>’ and</w:t>
            </w:r>
            <w:r w:rsidR="0004485D" w:rsidRPr="00E7546E">
              <w:rPr>
                <w:rFonts w:ascii="Times New Roman" w:eastAsia="Times New Roman" w:hAnsi="Times New Roman" w:cs="Times New Roman"/>
                <w:color w:val="000000"/>
                <w:sz w:val="24"/>
                <w:szCs w:val="24"/>
                <w:lang w:eastAsia="en-GB"/>
              </w:rPr>
              <w:t xml:space="preserve">, </w:t>
            </w:r>
            <w:r w:rsidR="00511EFD" w:rsidRPr="00E7546E">
              <w:rPr>
                <w:rFonts w:ascii="Times New Roman" w:eastAsia="Times New Roman" w:hAnsi="Times New Roman" w:cs="Times New Roman"/>
                <w:color w:val="000000"/>
                <w:sz w:val="24"/>
                <w:szCs w:val="24"/>
                <w:lang w:eastAsia="en-GB"/>
              </w:rPr>
              <w:t>once th</w:t>
            </w:r>
            <w:r w:rsidR="0004485D" w:rsidRPr="00E7546E">
              <w:rPr>
                <w:rFonts w:ascii="Times New Roman" w:eastAsia="Times New Roman" w:hAnsi="Times New Roman" w:cs="Times New Roman"/>
                <w:color w:val="000000"/>
                <w:sz w:val="24"/>
                <w:szCs w:val="24"/>
                <w:lang w:eastAsia="en-GB"/>
              </w:rPr>
              <w:t>e additional waiting time</w:t>
            </w:r>
            <w:r w:rsidR="00511EFD" w:rsidRPr="00E7546E">
              <w:rPr>
                <w:rFonts w:ascii="Times New Roman" w:eastAsia="Times New Roman" w:hAnsi="Times New Roman" w:cs="Times New Roman"/>
                <w:color w:val="000000"/>
                <w:sz w:val="24"/>
                <w:szCs w:val="24"/>
                <w:lang w:eastAsia="en-GB"/>
              </w:rPr>
              <w:t xml:space="preserve"> has expired</w:t>
            </w:r>
            <w:r w:rsidR="0004485D" w:rsidRPr="00E7546E">
              <w:rPr>
                <w:rFonts w:ascii="Times New Roman" w:eastAsia="Times New Roman" w:hAnsi="Times New Roman" w:cs="Times New Roman"/>
                <w:color w:val="000000"/>
                <w:sz w:val="24"/>
                <w:szCs w:val="24"/>
                <w:lang w:eastAsia="en-GB"/>
              </w:rPr>
              <w:t xml:space="preserve">, </w:t>
            </w:r>
            <w:r w:rsidR="00511EFD" w:rsidRPr="00E7546E">
              <w:rPr>
                <w:rFonts w:ascii="Times New Roman" w:eastAsia="Times New Roman" w:hAnsi="Times New Roman" w:cs="Times New Roman"/>
                <w:color w:val="000000"/>
                <w:sz w:val="24"/>
                <w:szCs w:val="24"/>
                <w:lang w:eastAsia="en-GB"/>
              </w:rPr>
              <w:t xml:space="preserve">they enter secondary care clinic. </w:t>
            </w:r>
          </w:p>
          <w:p w14:paraId="2CB69C39" w14:textId="77777777" w:rsidR="00F671BA" w:rsidRPr="00E7546E" w:rsidRDefault="009F6F5E" w:rsidP="00511EFD">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Referred patients then move to ‘Enter Secondary Care’ activity</w:t>
            </w:r>
            <w:r w:rsidR="00216B8E" w:rsidRPr="00E7546E">
              <w:rPr>
                <w:rFonts w:ascii="Times New Roman" w:eastAsia="Times New Roman" w:hAnsi="Times New Roman" w:cs="Times New Roman"/>
                <w:color w:val="000000"/>
                <w:sz w:val="24"/>
                <w:szCs w:val="24"/>
                <w:lang w:eastAsia="en-GB"/>
              </w:rPr>
              <w:t xml:space="preserve">. In this activity, the Routing Out Work Complete </w:t>
            </w:r>
            <w:r w:rsidR="004F2808" w:rsidRPr="00E7546E">
              <w:rPr>
                <w:rFonts w:ascii="Times New Roman" w:eastAsia="Times New Roman" w:hAnsi="Times New Roman" w:cs="Times New Roman"/>
                <w:color w:val="000000"/>
                <w:sz w:val="24"/>
                <w:szCs w:val="24"/>
                <w:lang w:eastAsia="en-GB"/>
              </w:rPr>
              <w:t>performs the following tasks:</w:t>
            </w:r>
          </w:p>
          <w:p w14:paraId="6A8A5AC2" w14:textId="7023768F" w:rsidR="004F2808" w:rsidRPr="00E7546E" w:rsidRDefault="001A5815" w:rsidP="004F2808">
            <w:pPr>
              <w:pStyle w:val="ListParagraph"/>
              <w:numPr>
                <w:ilvl w:val="0"/>
                <w:numId w:val="9"/>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Each patient is assigned an individual ‘</w:t>
            </w:r>
            <w:proofErr w:type="spellStart"/>
            <w:r w:rsidRPr="00E7546E">
              <w:rPr>
                <w:rFonts w:ascii="Times New Roman" w:eastAsia="Times New Roman" w:hAnsi="Times New Roman" w:cs="Times New Roman"/>
                <w:color w:val="000000"/>
                <w:sz w:val="24"/>
                <w:szCs w:val="24"/>
                <w:lang w:eastAsia="en-GB"/>
              </w:rPr>
              <w:t>lbl_time</w:t>
            </w:r>
            <w:proofErr w:type="spellEnd"/>
            <w:r w:rsidRPr="00E7546E">
              <w:rPr>
                <w:rFonts w:ascii="Times New Roman" w:eastAsia="Times New Roman" w:hAnsi="Times New Roman" w:cs="Times New Roman"/>
                <w:color w:val="000000"/>
                <w:sz w:val="24"/>
                <w:szCs w:val="24"/>
                <w:lang w:eastAsia="en-GB"/>
              </w:rPr>
              <w:t xml:space="preserve"> to enter clinic’ equal to Simulation time and the</w:t>
            </w:r>
            <w:r w:rsidR="00845DEF" w:rsidRPr="00E7546E">
              <w:rPr>
                <w:rFonts w:ascii="Times New Roman" w:eastAsia="Times New Roman" w:hAnsi="Times New Roman" w:cs="Times New Roman"/>
                <w:color w:val="000000"/>
                <w:sz w:val="24"/>
                <w:szCs w:val="24"/>
                <w:lang w:eastAsia="en-GB"/>
              </w:rPr>
              <w:t xml:space="preserve"> total time to referral is estimated as the (rounded) difference between time to enter the clinic minus the timepoint when the GP requested the </w:t>
            </w:r>
            <w:proofErr w:type="gramStart"/>
            <w:r w:rsidR="00845DEF" w:rsidRPr="00E7546E">
              <w:rPr>
                <w:rFonts w:ascii="Times New Roman" w:eastAsia="Times New Roman" w:hAnsi="Times New Roman" w:cs="Times New Roman"/>
                <w:color w:val="000000"/>
                <w:sz w:val="24"/>
                <w:szCs w:val="24"/>
                <w:lang w:eastAsia="en-GB"/>
              </w:rPr>
              <w:t>referral</w:t>
            </w:r>
            <w:r w:rsidR="00372299" w:rsidRPr="00E7546E">
              <w:rPr>
                <w:rFonts w:ascii="Times New Roman" w:eastAsia="Times New Roman" w:hAnsi="Times New Roman" w:cs="Times New Roman"/>
                <w:color w:val="000000"/>
                <w:sz w:val="24"/>
                <w:szCs w:val="24"/>
                <w:lang w:eastAsia="en-GB"/>
              </w:rPr>
              <w:t>;</w:t>
            </w:r>
            <w:proofErr w:type="gramEnd"/>
          </w:p>
          <w:p w14:paraId="5BA9EE48" w14:textId="27FAAB42" w:rsidR="000C4A4D" w:rsidRPr="00E7546E" w:rsidRDefault="008315C1" w:rsidP="000C4A4D">
            <w:pPr>
              <w:pStyle w:val="ListParagraph"/>
              <w:numPr>
                <w:ilvl w:val="0"/>
                <w:numId w:val="9"/>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Cancer patients seen after 28 days upon GP referral are assumed to experience a two-month delay decrement to their 10-year survival.</w:t>
            </w:r>
            <w:r w:rsidR="002351B2" w:rsidRPr="00E7546E">
              <w:rPr>
                <w:rFonts w:ascii="Times New Roman" w:eastAsia="Times New Roman" w:hAnsi="Times New Roman" w:cs="Times New Roman"/>
                <w:color w:val="000000"/>
                <w:sz w:val="24"/>
                <w:szCs w:val="24"/>
                <w:lang w:eastAsia="en-GB"/>
              </w:rPr>
              <w:t xml:space="preserve"> In the ‘Calculation of</w:t>
            </w:r>
            <w:r w:rsidR="000C4A4D" w:rsidRPr="00E7546E">
              <w:rPr>
                <w:rFonts w:ascii="Times New Roman" w:eastAsia="Times New Roman" w:hAnsi="Times New Roman" w:cs="Times New Roman"/>
                <w:color w:val="000000"/>
                <w:sz w:val="24"/>
                <w:szCs w:val="24"/>
                <w:lang w:eastAsia="en-GB"/>
              </w:rPr>
              <w:t xml:space="preserve"> delay-dependent life years lost’ VL, the logic first checks if a patient truly has cancer (</w:t>
            </w:r>
            <w:proofErr w:type="spellStart"/>
            <w:r w:rsidR="000C4A4D" w:rsidRPr="00E7546E">
              <w:rPr>
                <w:rFonts w:ascii="Times New Roman" w:eastAsia="Times New Roman" w:hAnsi="Times New Roman" w:cs="Times New Roman"/>
                <w:color w:val="000000"/>
                <w:sz w:val="24"/>
                <w:szCs w:val="24"/>
                <w:lang w:eastAsia="en-GB"/>
              </w:rPr>
              <w:t>true_cancer_status</w:t>
            </w:r>
            <w:proofErr w:type="spellEnd"/>
            <w:r w:rsidR="000C4A4D" w:rsidRPr="00E7546E">
              <w:rPr>
                <w:rFonts w:ascii="Times New Roman" w:eastAsia="Times New Roman" w:hAnsi="Times New Roman" w:cs="Times New Roman"/>
                <w:color w:val="000000"/>
                <w:sz w:val="24"/>
                <w:szCs w:val="24"/>
                <w:lang w:eastAsia="en-GB"/>
              </w:rPr>
              <w:t>_ = 1) and then it checks if the time to</w:t>
            </w:r>
            <w:r w:rsidR="00F90195" w:rsidRPr="00E7546E">
              <w:rPr>
                <w:rFonts w:ascii="Times New Roman" w:eastAsia="Times New Roman" w:hAnsi="Times New Roman" w:cs="Times New Roman"/>
                <w:color w:val="000000"/>
                <w:sz w:val="24"/>
                <w:szCs w:val="24"/>
                <w:lang w:eastAsia="en-GB"/>
              </w:rPr>
              <w:t xml:space="preserve"> referral (</w:t>
            </w:r>
            <w:proofErr w:type="gramStart"/>
            <w:r w:rsidR="00F90195" w:rsidRPr="00E7546E">
              <w:rPr>
                <w:rFonts w:ascii="Times New Roman" w:eastAsia="Times New Roman" w:hAnsi="Times New Roman" w:cs="Times New Roman"/>
                <w:color w:val="000000"/>
                <w:sz w:val="24"/>
                <w:szCs w:val="24"/>
                <w:lang w:eastAsia="en-GB"/>
              </w:rPr>
              <w:t>i.e.</w:t>
            </w:r>
            <w:proofErr w:type="gramEnd"/>
            <w:r w:rsidR="00F90195" w:rsidRPr="00E7546E">
              <w:rPr>
                <w:rFonts w:ascii="Times New Roman" w:eastAsia="Times New Roman" w:hAnsi="Times New Roman" w:cs="Times New Roman"/>
                <w:color w:val="000000"/>
                <w:sz w:val="24"/>
                <w:szCs w:val="24"/>
                <w:lang w:eastAsia="en-GB"/>
              </w:rPr>
              <w:t xml:space="preserve"> time difference between the timepoint when patient is seen in secondary care and the </w:t>
            </w:r>
            <w:r w:rsidR="005C3798" w:rsidRPr="00E7546E">
              <w:rPr>
                <w:rFonts w:ascii="Times New Roman" w:eastAsia="Times New Roman" w:hAnsi="Times New Roman" w:cs="Times New Roman"/>
                <w:color w:val="000000"/>
                <w:sz w:val="24"/>
                <w:szCs w:val="24"/>
                <w:lang w:eastAsia="en-GB"/>
              </w:rPr>
              <w:t>timepoint</w:t>
            </w:r>
            <w:r w:rsidR="00F90195" w:rsidRPr="00E7546E">
              <w:rPr>
                <w:rFonts w:ascii="Times New Roman" w:eastAsia="Times New Roman" w:hAnsi="Times New Roman" w:cs="Times New Roman"/>
                <w:color w:val="000000"/>
                <w:sz w:val="24"/>
                <w:szCs w:val="24"/>
                <w:lang w:eastAsia="en-GB"/>
              </w:rPr>
              <w:t xml:space="preserve"> when the GP requested referral) exceeds 28 days. If so, </w:t>
            </w:r>
            <w:r w:rsidR="00364326" w:rsidRPr="00E7546E">
              <w:rPr>
                <w:rFonts w:ascii="Times New Roman" w:eastAsia="Times New Roman" w:hAnsi="Times New Roman" w:cs="Times New Roman"/>
                <w:color w:val="000000"/>
                <w:sz w:val="24"/>
                <w:szCs w:val="24"/>
                <w:lang w:eastAsia="en-GB"/>
              </w:rPr>
              <w:t>for each patient the logic checks the age group and then applies an age-stratified decrement in their 10-year survival</w:t>
            </w:r>
            <w:r w:rsidR="00976C3D" w:rsidRPr="00E7546E">
              <w:rPr>
                <w:rFonts w:ascii="Times New Roman" w:eastAsia="Times New Roman" w:hAnsi="Times New Roman" w:cs="Times New Roman"/>
                <w:color w:val="000000"/>
                <w:sz w:val="24"/>
                <w:szCs w:val="24"/>
                <w:lang w:eastAsia="en-GB"/>
              </w:rPr>
              <w:t>. T</w:t>
            </w:r>
            <w:r w:rsidR="00A570D5" w:rsidRPr="00E7546E">
              <w:rPr>
                <w:rFonts w:ascii="Times New Roman" w:eastAsia="Times New Roman" w:hAnsi="Times New Roman" w:cs="Times New Roman"/>
                <w:color w:val="000000"/>
                <w:sz w:val="24"/>
                <w:szCs w:val="24"/>
                <w:lang w:eastAsia="en-GB"/>
              </w:rPr>
              <w:t xml:space="preserve">he logic then estimates the total life years lost </w:t>
            </w:r>
            <w:r w:rsidR="00336800" w:rsidRPr="00E7546E">
              <w:rPr>
                <w:rFonts w:ascii="Times New Roman" w:eastAsia="Times New Roman" w:hAnsi="Times New Roman" w:cs="Times New Roman"/>
                <w:color w:val="000000"/>
                <w:sz w:val="24"/>
                <w:szCs w:val="24"/>
                <w:lang w:eastAsia="en-GB"/>
              </w:rPr>
              <w:t xml:space="preserve">by </w:t>
            </w:r>
            <w:r w:rsidR="00A570D5" w:rsidRPr="00E7546E">
              <w:rPr>
                <w:rFonts w:ascii="Times New Roman" w:eastAsia="Times New Roman" w:hAnsi="Times New Roman" w:cs="Times New Roman"/>
                <w:color w:val="000000"/>
                <w:sz w:val="24"/>
                <w:szCs w:val="24"/>
                <w:lang w:eastAsia="en-GB"/>
              </w:rPr>
              <w:t>summing up the individual life years lost</w:t>
            </w:r>
            <w:r w:rsidR="00720142" w:rsidRPr="00E7546E">
              <w:rPr>
                <w:rFonts w:ascii="Times New Roman" w:eastAsia="Times New Roman" w:hAnsi="Times New Roman" w:cs="Times New Roman"/>
                <w:color w:val="000000"/>
                <w:sz w:val="24"/>
                <w:szCs w:val="24"/>
                <w:lang w:eastAsia="en-GB"/>
              </w:rPr>
              <w:t xml:space="preserve">. </w:t>
            </w:r>
          </w:p>
          <w:p w14:paraId="6AFC3741" w14:textId="77777777" w:rsidR="00720142" w:rsidRPr="00E7546E" w:rsidRDefault="00720142" w:rsidP="00720142">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the ‘Enter Secondary Care’ activity, the </w:t>
            </w:r>
            <w:r w:rsidR="00E024C7" w:rsidRPr="00E7546E">
              <w:rPr>
                <w:rFonts w:ascii="Times New Roman" w:eastAsia="Times New Roman" w:hAnsi="Times New Roman" w:cs="Times New Roman"/>
                <w:color w:val="000000"/>
                <w:sz w:val="24"/>
                <w:szCs w:val="24"/>
                <w:lang w:eastAsia="en-GB"/>
              </w:rPr>
              <w:t>label action VL performs the following tasks</w:t>
            </w:r>
            <w:r w:rsidR="00473B23" w:rsidRPr="00E7546E">
              <w:rPr>
                <w:rFonts w:ascii="Times New Roman" w:eastAsia="Times New Roman" w:hAnsi="Times New Roman" w:cs="Times New Roman"/>
                <w:color w:val="000000"/>
                <w:sz w:val="24"/>
                <w:szCs w:val="24"/>
                <w:lang w:eastAsia="en-GB"/>
              </w:rPr>
              <w:t>:</w:t>
            </w:r>
          </w:p>
          <w:p w14:paraId="60708D4B" w14:textId="77777777" w:rsidR="00AE538F" w:rsidRPr="00E7546E" w:rsidRDefault="00473B23" w:rsidP="00AE538F">
            <w:pPr>
              <w:pStyle w:val="ListParagraph"/>
              <w:numPr>
                <w:ilvl w:val="0"/>
                <w:numId w:val="10"/>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Check if the patient met the </w:t>
            </w:r>
            <w:proofErr w:type="gramStart"/>
            <w:r w:rsidRPr="00E7546E">
              <w:rPr>
                <w:rFonts w:ascii="Times New Roman" w:eastAsia="Times New Roman" w:hAnsi="Times New Roman" w:cs="Times New Roman"/>
                <w:color w:val="000000"/>
                <w:sz w:val="24"/>
                <w:szCs w:val="24"/>
                <w:lang w:eastAsia="en-GB"/>
              </w:rPr>
              <w:t>two week</w:t>
            </w:r>
            <w:proofErr w:type="gramEnd"/>
            <w:r w:rsidRPr="00E7546E">
              <w:rPr>
                <w:rFonts w:ascii="Times New Roman" w:eastAsia="Times New Roman" w:hAnsi="Times New Roman" w:cs="Times New Roman"/>
                <w:color w:val="000000"/>
                <w:sz w:val="24"/>
                <w:szCs w:val="24"/>
                <w:lang w:eastAsia="en-GB"/>
              </w:rPr>
              <w:t xml:space="preserve"> waiting target (i.e. </w:t>
            </w:r>
            <w:proofErr w:type="spellStart"/>
            <w:r w:rsidRPr="00E7546E">
              <w:rPr>
                <w:rFonts w:ascii="Times New Roman" w:eastAsia="Times New Roman" w:hAnsi="Times New Roman" w:cs="Times New Roman"/>
                <w:color w:val="000000"/>
                <w:sz w:val="24"/>
                <w:szCs w:val="24"/>
                <w:lang w:eastAsia="en-GB"/>
              </w:rPr>
              <w:t>lbl_time</w:t>
            </w:r>
            <w:proofErr w:type="spellEnd"/>
            <w:r w:rsidRPr="00E7546E">
              <w:rPr>
                <w:rFonts w:ascii="Times New Roman" w:eastAsia="Times New Roman" w:hAnsi="Times New Roman" w:cs="Times New Roman"/>
                <w:color w:val="000000"/>
                <w:sz w:val="24"/>
                <w:szCs w:val="24"/>
                <w:lang w:eastAsia="en-GB"/>
              </w:rPr>
              <w:t xml:space="preserve"> to referral &lt;= 6720 -1)</w:t>
            </w:r>
            <w:r w:rsidR="005C62A4" w:rsidRPr="00E7546E">
              <w:rPr>
                <w:rFonts w:ascii="Times New Roman" w:eastAsia="Times New Roman" w:hAnsi="Times New Roman" w:cs="Times New Roman"/>
                <w:color w:val="000000"/>
                <w:sz w:val="24"/>
                <w:szCs w:val="24"/>
                <w:lang w:eastAsia="en-GB"/>
              </w:rPr>
              <w:t xml:space="preserve"> [14 days * 480 minutes = 6720 minutes]</w:t>
            </w:r>
            <w:r w:rsidR="00AE538F" w:rsidRPr="00E7546E">
              <w:rPr>
                <w:rFonts w:ascii="Times New Roman" w:eastAsia="Times New Roman" w:hAnsi="Times New Roman" w:cs="Times New Roman"/>
                <w:color w:val="000000"/>
                <w:sz w:val="24"/>
                <w:szCs w:val="24"/>
                <w:lang w:eastAsia="en-GB"/>
              </w:rPr>
              <w:t>;</w:t>
            </w:r>
          </w:p>
          <w:p w14:paraId="5CA6D0E8" w14:textId="0ED62752" w:rsidR="00F746BC" w:rsidRPr="00E7546E" w:rsidRDefault="001265AB" w:rsidP="00AE538F">
            <w:pPr>
              <w:pStyle w:val="ListParagraph"/>
              <w:numPr>
                <w:ilvl w:val="0"/>
                <w:numId w:val="7"/>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G</w:t>
            </w:r>
            <w:r w:rsidR="00AE538F" w:rsidRPr="00E7546E">
              <w:rPr>
                <w:rFonts w:ascii="Times New Roman" w:eastAsia="Times New Roman" w:hAnsi="Times New Roman" w:cs="Times New Roman"/>
                <w:color w:val="000000"/>
                <w:sz w:val="24"/>
                <w:szCs w:val="24"/>
                <w:lang w:eastAsia="en-GB"/>
              </w:rPr>
              <w:t>lobal variable</w:t>
            </w:r>
            <w:r w:rsidR="0004120E" w:rsidRPr="00E7546E">
              <w:rPr>
                <w:rFonts w:ascii="Times New Roman" w:eastAsia="Times New Roman" w:hAnsi="Times New Roman" w:cs="Times New Roman"/>
                <w:color w:val="000000"/>
                <w:sz w:val="24"/>
                <w:szCs w:val="24"/>
                <w:lang w:eastAsia="en-GB"/>
              </w:rPr>
              <w:t>s</w:t>
            </w:r>
            <w:r w:rsidR="00AE538F" w:rsidRPr="00E7546E">
              <w:rPr>
                <w:rFonts w:ascii="Times New Roman" w:eastAsia="Times New Roman" w:hAnsi="Times New Roman" w:cs="Times New Roman"/>
                <w:color w:val="000000"/>
                <w:sz w:val="24"/>
                <w:szCs w:val="24"/>
                <w:lang w:eastAsia="en-GB"/>
              </w:rPr>
              <w:t xml:space="preserve"> count </w:t>
            </w:r>
            <w:r w:rsidR="00F746BC" w:rsidRPr="00E7546E">
              <w:rPr>
                <w:rFonts w:ascii="Times New Roman" w:eastAsia="Times New Roman" w:hAnsi="Times New Roman" w:cs="Times New Roman"/>
                <w:color w:val="000000"/>
                <w:sz w:val="24"/>
                <w:szCs w:val="24"/>
                <w:lang w:eastAsia="en-GB"/>
              </w:rPr>
              <w:t>the number of patients seen within two weeks, sorted by (</w:t>
            </w:r>
            <w:proofErr w:type="spellStart"/>
            <w:r w:rsidR="00F746BC" w:rsidRPr="00E7546E">
              <w:rPr>
                <w:rFonts w:ascii="Times New Roman" w:eastAsia="Times New Roman" w:hAnsi="Times New Roman" w:cs="Times New Roman"/>
                <w:color w:val="000000"/>
                <w:sz w:val="24"/>
                <w:szCs w:val="24"/>
                <w:lang w:eastAsia="en-GB"/>
              </w:rPr>
              <w:t>i</w:t>
            </w:r>
            <w:proofErr w:type="spellEnd"/>
            <w:r w:rsidR="00F746BC" w:rsidRPr="00E7546E">
              <w:rPr>
                <w:rFonts w:ascii="Times New Roman" w:eastAsia="Times New Roman" w:hAnsi="Times New Roman" w:cs="Times New Roman"/>
                <w:color w:val="000000"/>
                <w:sz w:val="24"/>
                <w:szCs w:val="24"/>
                <w:lang w:eastAsia="en-GB"/>
              </w:rPr>
              <w:t xml:space="preserve">) disease status; (ii) month of entry; and (iii) </w:t>
            </w:r>
            <w:proofErr w:type="spellStart"/>
            <w:r w:rsidR="0004120E" w:rsidRPr="00E7546E">
              <w:rPr>
                <w:rFonts w:ascii="Times New Roman" w:eastAsia="Times New Roman" w:hAnsi="Times New Roman" w:cs="Times New Roman"/>
                <w:color w:val="000000"/>
                <w:sz w:val="24"/>
                <w:szCs w:val="24"/>
                <w:lang w:eastAsia="en-GB"/>
              </w:rPr>
              <w:t>PinPoint</w:t>
            </w:r>
            <w:proofErr w:type="spellEnd"/>
            <w:r w:rsidR="0004120E" w:rsidRPr="00E7546E">
              <w:rPr>
                <w:rFonts w:ascii="Times New Roman" w:eastAsia="Times New Roman" w:hAnsi="Times New Roman" w:cs="Times New Roman"/>
                <w:color w:val="000000"/>
                <w:sz w:val="24"/>
                <w:szCs w:val="24"/>
                <w:lang w:eastAsia="en-GB"/>
              </w:rPr>
              <w:t xml:space="preserve"> test result in case </w:t>
            </w:r>
            <w:proofErr w:type="spellStart"/>
            <w:r w:rsidR="0004120E" w:rsidRPr="00E7546E">
              <w:rPr>
                <w:rFonts w:ascii="Times New Roman" w:eastAsia="Times New Roman" w:hAnsi="Times New Roman" w:cs="Times New Roman"/>
                <w:color w:val="000000"/>
                <w:sz w:val="24"/>
                <w:szCs w:val="24"/>
                <w:lang w:eastAsia="en-GB"/>
              </w:rPr>
              <w:t>PinPoint</w:t>
            </w:r>
            <w:proofErr w:type="spellEnd"/>
            <w:r w:rsidR="0004120E" w:rsidRPr="00E7546E">
              <w:rPr>
                <w:rFonts w:ascii="Times New Roman" w:eastAsia="Times New Roman" w:hAnsi="Times New Roman" w:cs="Times New Roman"/>
                <w:color w:val="000000"/>
                <w:sz w:val="24"/>
                <w:szCs w:val="24"/>
                <w:lang w:eastAsia="en-GB"/>
              </w:rPr>
              <w:t xml:space="preserve"> test is being </w:t>
            </w:r>
            <w:proofErr w:type="gramStart"/>
            <w:r w:rsidR="0004120E" w:rsidRPr="00E7546E">
              <w:rPr>
                <w:rFonts w:ascii="Times New Roman" w:eastAsia="Times New Roman" w:hAnsi="Times New Roman" w:cs="Times New Roman"/>
                <w:color w:val="000000"/>
                <w:sz w:val="24"/>
                <w:szCs w:val="24"/>
                <w:lang w:eastAsia="en-GB"/>
              </w:rPr>
              <w:t>evaluated;</w:t>
            </w:r>
            <w:proofErr w:type="gramEnd"/>
          </w:p>
          <w:p w14:paraId="0E93DCC9" w14:textId="77777777" w:rsidR="00AE538F" w:rsidRPr="00E7546E" w:rsidRDefault="001265AB" w:rsidP="0004120E">
            <w:pPr>
              <w:pStyle w:val="ListParagraph"/>
              <w:numPr>
                <w:ilvl w:val="0"/>
                <w:numId w:val="7"/>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If the patient has not met the </w:t>
            </w:r>
            <w:r w:rsidR="0001158E" w:rsidRPr="00E7546E">
              <w:rPr>
                <w:rFonts w:ascii="Times New Roman" w:eastAsia="Times New Roman" w:hAnsi="Times New Roman" w:cs="Times New Roman"/>
                <w:color w:val="000000"/>
                <w:sz w:val="24"/>
                <w:szCs w:val="24"/>
                <w:lang w:eastAsia="en-GB"/>
              </w:rPr>
              <w:t>two-week</w:t>
            </w:r>
            <w:r w:rsidRPr="00E7546E">
              <w:rPr>
                <w:rFonts w:ascii="Times New Roman" w:eastAsia="Times New Roman" w:hAnsi="Times New Roman" w:cs="Times New Roman"/>
                <w:color w:val="000000"/>
                <w:sz w:val="24"/>
                <w:szCs w:val="24"/>
                <w:lang w:eastAsia="en-GB"/>
              </w:rPr>
              <w:t xml:space="preserve"> waiting target, the logic checks if the patient</w:t>
            </w:r>
            <w:r w:rsidR="00281AAF" w:rsidRPr="00E7546E">
              <w:rPr>
                <w:rFonts w:ascii="Times New Roman" w:eastAsia="Times New Roman" w:hAnsi="Times New Roman" w:cs="Times New Roman"/>
                <w:color w:val="000000"/>
                <w:sz w:val="24"/>
                <w:szCs w:val="24"/>
                <w:lang w:eastAsia="en-GB"/>
              </w:rPr>
              <w:t xml:space="preserve"> has been seen within 28 days (</w:t>
            </w:r>
            <w:proofErr w:type="gramStart"/>
            <w:r w:rsidR="00281AAF" w:rsidRPr="00E7546E">
              <w:rPr>
                <w:rFonts w:ascii="Times New Roman" w:eastAsia="Times New Roman" w:hAnsi="Times New Roman" w:cs="Times New Roman"/>
                <w:color w:val="000000"/>
                <w:sz w:val="24"/>
                <w:szCs w:val="24"/>
                <w:lang w:eastAsia="en-GB"/>
              </w:rPr>
              <w:t>i.e.</w:t>
            </w:r>
            <w:proofErr w:type="gramEnd"/>
            <w:r w:rsidR="00281AAF" w:rsidRPr="00E7546E">
              <w:rPr>
                <w:rFonts w:ascii="Times New Roman" w:eastAsia="Times New Roman" w:hAnsi="Times New Roman" w:cs="Times New Roman"/>
                <w:color w:val="000000"/>
                <w:sz w:val="24"/>
                <w:szCs w:val="24"/>
                <w:lang w:eastAsia="en-GB"/>
              </w:rPr>
              <w:t xml:space="preserve"> </w:t>
            </w:r>
            <w:proofErr w:type="spellStart"/>
            <w:r w:rsidR="00281AAF" w:rsidRPr="00E7546E">
              <w:rPr>
                <w:rFonts w:ascii="Times New Roman" w:eastAsia="Times New Roman" w:hAnsi="Times New Roman" w:cs="Times New Roman"/>
                <w:color w:val="000000"/>
                <w:sz w:val="24"/>
                <w:szCs w:val="24"/>
                <w:lang w:eastAsia="en-GB"/>
              </w:rPr>
              <w:t>lbl_time</w:t>
            </w:r>
            <w:proofErr w:type="spellEnd"/>
            <w:r w:rsidR="00281AAF" w:rsidRPr="00E7546E">
              <w:rPr>
                <w:rFonts w:ascii="Times New Roman" w:eastAsia="Times New Roman" w:hAnsi="Times New Roman" w:cs="Times New Roman"/>
                <w:color w:val="000000"/>
                <w:sz w:val="24"/>
                <w:szCs w:val="24"/>
                <w:lang w:eastAsia="en-GB"/>
              </w:rPr>
              <w:t xml:space="preserve"> to referral &lt;= 13440 -1) [</w:t>
            </w:r>
            <w:r w:rsidR="00475ECD" w:rsidRPr="00E7546E">
              <w:rPr>
                <w:rFonts w:ascii="Times New Roman" w:eastAsia="Times New Roman" w:hAnsi="Times New Roman" w:cs="Times New Roman"/>
                <w:color w:val="000000"/>
                <w:sz w:val="24"/>
                <w:szCs w:val="24"/>
                <w:lang w:eastAsia="en-GB"/>
              </w:rPr>
              <w:t>28</w:t>
            </w:r>
            <w:r w:rsidR="00281AAF" w:rsidRPr="00E7546E">
              <w:rPr>
                <w:rFonts w:ascii="Times New Roman" w:eastAsia="Times New Roman" w:hAnsi="Times New Roman" w:cs="Times New Roman"/>
                <w:color w:val="000000"/>
                <w:sz w:val="24"/>
                <w:szCs w:val="24"/>
                <w:lang w:eastAsia="en-GB"/>
              </w:rPr>
              <w:t xml:space="preserve"> days * 480 minutes = </w:t>
            </w:r>
            <w:r w:rsidR="00475ECD" w:rsidRPr="00E7546E">
              <w:rPr>
                <w:rFonts w:ascii="Times New Roman" w:eastAsia="Times New Roman" w:hAnsi="Times New Roman" w:cs="Times New Roman"/>
                <w:color w:val="000000"/>
                <w:sz w:val="24"/>
                <w:szCs w:val="24"/>
                <w:lang w:eastAsia="en-GB"/>
              </w:rPr>
              <w:t>13440</w:t>
            </w:r>
            <w:r w:rsidR="00281AAF" w:rsidRPr="00E7546E">
              <w:rPr>
                <w:rFonts w:ascii="Times New Roman" w:eastAsia="Times New Roman" w:hAnsi="Times New Roman" w:cs="Times New Roman"/>
                <w:color w:val="000000"/>
                <w:sz w:val="24"/>
                <w:szCs w:val="24"/>
                <w:lang w:eastAsia="en-GB"/>
              </w:rPr>
              <w:t xml:space="preserve"> minutes]</w:t>
            </w:r>
            <w:r w:rsidR="00475ECD" w:rsidRPr="00E7546E">
              <w:rPr>
                <w:rFonts w:ascii="Times New Roman" w:eastAsia="Times New Roman" w:hAnsi="Times New Roman" w:cs="Times New Roman"/>
                <w:color w:val="000000"/>
                <w:sz w:val="24"/>
                <w:szCs w:val="24"/>
                <w:lang w:eastAsia="en-GB"/>
              </w:rPr>
              <w:t xml:space="preserve"> or after 28 days</w:t>
            </w:r>
            <w:r w:rsidR="00281AAF" w:rsidRPr="00E7546E">
              <w:rPr>
                <w:rFonts w:ascii="Times New Roman" w:eastAsia="Times New Roman" w:hAnsi="Times New Roman" w:cs="Times New Roman"/>
                <w:color w:val="000000"/>
                <w:sz w:val="24"/>
                <w:szCs w:val="24"/>
                <w:lang w:eastAsia="en-GB"/>
              </w:rPr>
              <w:t>;</w:t>
            </w:r>
          </w:p>
          <w:p w14:paraId="5989CC0E" w14:textId="6396B6F5" w:rsidR="00091517" w:rsidRPr="00E7546E" w:rsidRDefault="00091517" w:rsidP="00091517">
            <w:pPr>
              <w:pStyle w:val="ListParagraph"/>
              <w:numPr>
                <w:ilvl w:val="0"/>
                <w:numId w:val="7"/>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Global variables count the number of patients seen after two weeks (</w:t>
            </w:r>
            <w:proofErr w:type="gramStart"/>
            <w:r w:rsidRPr="00E7546E">
              <w:rPr>
                <w:rFonts w:ascii="Times New Roman" w:eastAsia="Times New Roman" w:hAnsi="Times New Roman" w:cs="Times New Roman"/>
                <w:color w:val="000000"/>
                <w:sz w:val="24"/>
                <w:szCs w:val="24"/>
                <w:lang w:eastAsia="en-GB"/>
              </w:rPr>
              <w:t>i.e.</w:t>
            </w:r>
            <w:proofErr w:type="gramEnd"/>
            <w:r w:rsidRPr="00E7546E">
              <w:rPr>
                <w:rFonts w:ascii="Times New Roman" w:eastAsia="Times New Roman" w:hAnsi="Times New Roman" w:cs="Times New Roman"/>
                <w:color w:val="000000"/>
                <w:sz w:val="24"/>
                <w:szCs w:val="24"/>
                <w:lang w:eastAsia="en-GB"/>
              </w:rPr>
              <w:t xml:space="preserve"> ‘delayed referrals’), sorted by (</w:t>
            </w:r>
            <w:proofErr w:type="spellStart"/>
            <w:r w:rsidRPr="00E7546E">
              <w:rPr>
                <w:rFonts w:ascii="Times New Roman" w:eastAsia="Times New Roman" w:hAnsi="Times New Roman" w:cs="Times New Roman"/>
                <w:color w:val="000000"/>
                <w:sz w:val="24"/>
                <w:szCs w:val="24"/>
                <w:lang w:eastAsia="en-GB"/>
              </w:rPr>
              <w:t>i</w:t>
            </w:r>
            <w:proofErr w:type="spellEnd"/>
            <w:r w:rsidRPr="00E7546E">
              <w:rPr>
                <w:rFonts w:ascii="Times New Roman" w:eastAsia="Times New Roman" w:hAnsi="Times New Roman" w:cs="Times New Roman"/>
                <w:color w:val="000000"/>
                <w:sz w:val="24"/>
                <w:szCs w:val="24"/>
                <w:lang w:eastAsia="en-GB"/>
              </w:rPr>
              <w:t xml:space="preserve">) disease status; (ii) month of entry; </w:t>
            </w:r>
            <w:r w:rsidR="00140591" w:rsidRPr="00E7546E">
              <w:rPr>
                <w:rFonts w:ascii="Times New Roman" w:eastAsia="Times New Roman" w:hAnsi="Times New Roman" w:cs="Times New Roman"/>
                <w:color w:val="000000"/>
                <w:sz w:val="24"/>
                <w:szCs w:val="24"/>
                <w:lang w:eastAsia="en-GB"/>
              </w:rPr>
              <w:t xml:space="preserve">and </w:t>
            </w:r>
            <w:r w:rsidRPr="00E7546E">
              <w:rPr>
                <w:rFonts w:ascii="Times New Roman" w:eastAsia="Times New Roman" w:hAnsi="Times New Roman" w:cs="Times New Roman"/>
                <w:color w:val="000000"/>
                <w:sz w:val="24"/>
                <w:szCs w:val="24"/>
                <w:lang w:eastAsia="en-GB"/>
              </w:rPr>
              <w:t xml:space="preserve">(iii) </w:t>
            </w:r>
            <w:proofErr w:type="spellStart"/>
            <w:r w:rsidRPr="00E7546E">
              <w:rPr>
                <w:rFonts w:ascii="Times New Roman" w:eastAsia="Times New Roman" w:hAnsi="Times New Roman" w:cs="Times New Roman"/>
                <w:color w:val="000000"/>
                <w:sz w:val="24"/>
                <w:szCs w:val="24"/>
                <w:lang w:eastAsia="en-GB"/>
              </w:rPr>
              <w:t>PinPoint</w:t>
            </w:r>
            <w:proofErr w:type="spellEnd"/>
            <w:r w:rsidRPr="00E7546E">
              <w:rPr>
                <w:rFonts w:ascii="Times New Roman" w:eastAsia="Times New Roman" w:hAnsi="Times New Roman" w:cs="Times New Roman"/>
                <w:color w:val="000000"/>
                <w:sz w:val="24"/>
                <w:szCs w:val="24"/>
                <w:lang w:eastAsia="en-GB"/>
              </w:rPr>
              <w:t xml:space="preserve"> test result in case </w:t>
            </w:r>
            <w:proofErr w:type="spellStart"/>
            <w:r w:rsidRPr="00E7546E">
              <w:rPr>
                <w:rFonts w:ascii="Times New Roman" w:eastAsia="Times New Roman" w:hAnsi="Times New Roman" w:cs="Times New Roman"/>
                <w:color w:val="000000"/>
                <w:sz w:val="24"/>
                <w:szCs w:val="24"/>
                <w:lang w:eastAsia="en-GB"/>
              </w:rPr>
              <w:t>PinPoint</w:t>
            </w:r>
            <w:proofErr w:type="spellEnd"/>
            <w:r w:rsidRPr="00E7546E">
              <w:rPr>
                <w:rFonts w:ascii="Times New Roman" w:eastAsia="Times New Roman" w:hAnsi="Times New Roman" w:cs="Times New Roman"/>
                <w:color w:val="000000"/>
                <w:sz w:val="24"/>
                <w:szCs w:val="24"/>
                <w:lang w:eastAsia="en-GB"/>
              </w:rPr>
              <w:t xml:space="preserve"> test is being evaluated;</w:t>
            </w:r>
          </w:p>
          <w:p w14:paraId="27F5CB78" w14:textId="378769F2" w:rsidR="00140591" w:rsidRPr="00E7546E" w:rsidRDefault="00140591" w:rsidP="00091517">
            <w:pPr>
              <w:pStyle w:val="ListParagraph"/>
              <w:numPr>
                <w:ilvl w:val="0"/>
                <w:numId w:val="7"/>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Global variables count the number of</w:t>
            </w:r>
            <w:r w:rsidR="00920038" w:rsidRPr="00E7546E">
              <w:rPr>
                <w:rFonts w:ascii="Times New Roman" w:eastAsia="Times New Roman" w:hAnsi="Times New Roman" w:cs="Times New Roman"/>
                <w:color w:val="000000"/>
                <w:sz w:val="24"/>
                <w:szCs w:val="24"/>
                <w:lang w:eastAsia="en-GB"/>
              </w:rPr>
              <w:t xml:space="preserve"> patients seen after 28 days</w:t>
            </w:r>
            <w:r w:rsidR="00D227CF" w:rsidRPr="00E7546E">
              <w:rPr>
                <w:rFonts w:ascii="Times New Roman" w:eastAsia="Times New Roman" w:hAnsi="Times New Roman" w:cs="Times New Roman"/>
                <w:color w:val="000000"/>
                <w:sz w:val="24"/>
                <w:szCs w:val="24"/>
                <w:lang w:eastAsia="en-GB"/>
              </w:rPr>
              <w:t xml:space="preserve"> sorted by disease status. </w:t>
            </w:r>
          </w:p>
          <w:p w14:paraId="28171674" w14:textId="77777777" w:rsidR="00091517" w:rsidRPr="00E7546E" w:rsidRDefault="00091517" w:rsidP="00D227CF">
            <w:pPr>
              <w:rPr>
                <w:rFonts w:ascii="Times New Roman" w:eastAsia="Times New Roman" w:hAnsi="Times New Roman" w:cs="Times New Roman"/>
                <w:color w:val="000000"/>
                <w:sz w:val="24"/>
                <w:szCs w:val="24"/>
                <w:lang w:eastAsia="en-GB"/>
              </w:rPr>
            </w:pPr>
          </w:p>
          <w:p w14:paraId="6E8EAC56" w14:textId="0137DB55" w:rsidR="003E4B78" w:rsidRPr="00E7546E" w:rsidRDefault="003E4B78" w:rsidP="00D227CF">
            <w:p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The following sections describe the </w:t>
            </w:r>
            <w:r w:rsidR="00D227CF" w:rsidRPr="00E7546E">
              <w:rPr>
                <w:rFonts w:ascii="Times New Roman" w:eastAsia="Times New Roman" w:hAnsi="Times New Roman" w:cs="Times New Roman"/>
                <w:color w:val="000000"/>
                <w:sz w:val="24"/>
                <w:szCs w:val="24"/>
                <w:lang w:eastAsia="en-GB"/>
              </w:rPr>
              <w:t xml:space="preserve">diagnostic pathway in secondary care </w:t>
            </w:r>
            <w:r w:rsidRPr="00E7546E">
              <w:rPr>
                <w:rFonts w:ascii="Times New Roman" w:eastAsia="Times New Roman" w:hAnsi="Times New Roman" w:cs="Times New Roman"/>
                <w:color w:val="000000"/>
                <w:sz w:val="24"/>
                <w:szCs w:val="24"/>
                <w:lang w:eastAsia="en-GB"/>
              </w:rPr>
              <w:t xml:space="preserve">for each urological model, separately. </w:t>
            </w:r>
          </w:p>
          <w:p w14:paraId="56E60F9D" w14:textId="52F1DBAB" w:rsidR="003E4B78" w:rsidRPr="00E7546E" w:rsidRDefault="003E4B78" w:rsidP="00D227CF">
            <w:pPr>
              <w:rPr>
                <w:rFonts w:ascii="Times New Roman" w:eastAsia="Times New Roman" w:hAnsi="Times New Roman" w:cs="Times New Roman"/>
                <w:color w:val="000000"/>
                <w:sz w:val="24"/>
                <w:szCs w:val="24"/>
                <w:lang w:eastAsia="en-GB"/>
              </w:rPr>
            </w:pPr>
          </w:p>
          <w:p w14:paraId="23850810" w14:textId="3D086428" w:rsidR="003E4B78" w:rsidRPr="00E7546E" w:rsidRDefault="003E4B78" w:rsidP="00D227CF">
            <w:p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In the prostate cancer model,</w:t>
            </w:r>
            <w:r w:rsidR="005F310D" w:rsidRPr="00E7546E">
              <w:rPr>
                <w:rFonts w:ascii="Times New Roman" w:eastAsia="Times New Roman" w:hAnsi="Times New Roman" w:cs="Times New Roman"/>
                <w:color w:val="000000"/>
                <w:sz w:val="24"/>
                <w:szCs w:val="24"/>
                <w:lang w:eastAsia="en-GB"/>
              </w:rPr>
              <w:t xml:space="preserve"> patients first move to the ‘Triage’ activity</w:t>
            </w:r>
            <w:r w:rsidR="00553BF1" w:rsidRPr="00E7546E">
              <w:rPr>
                <w:rFonts w:ascii="Times New Roman" w:eastAsia="Times New Roman" w:hAnsi="Times New Roman" w:cs="Times New Roman"/>
                <w:color w:val="000000"/>
                <w:sz w:val="24"/>
                <w:szCs w:val="24"/>
                <w:lang w:eastAsia="en-GB"/>
              </w:rPr>
              <w:t xml:space="preserve"> – where the Routing Out </w:t>
            </w:r>
            <w:proofErr w:type="gramStart"/>
            <w:r w:rsidR="00553BF1" w:rsidRPr="00E7546E">
              <w:rPr>
                <w:rFonts w:ascii="Times New Roman" w:eastAsia="Times New Roman" w:hAnsi="Times New Roman" w:cs="Times New Roman"/>
                <w:color w:val="000000"/>
                <w:sz w:val="24"/>
                <w:szCs w:val="24"/>
                <w:lang w:eastAsia="en-GB"/>
              </w:rPr>
              <w:t>On</w:t>
            </w:r>
            <w:proofErr w:type="gramEnd"/>
            <w:r w:rsidR="00553BF1" w:rsidRPr="00E7546E">
              <w:rPr>
                <w:rFonts w:ascii="Times New Roman" w:eastAsia="Times New Roman" w:hAnsi="Times New Roman" w:cs="Times New Roman"/>
                <w:color w:val="000000"/>
                <w:sz w:val="24"/>
                <w:szCs w:val="24"/>
                <w:lang w:eastAsia="en-GB"/>
              </w:rPr>
              <w:t xml:space="preserve"> Work Complete VL counts the number of patients undergoing triage. </w:t>
            </w:r>
            <w:r w:rsidR="00572EA5" w:rsidRPr="00E7546E">
              <w:rPr>
                <w:rFonts w:ascii="Times New Roman" w:eastAsia="Times New Roman" w:hAnsi="Times New Roman" w:cs="Times New Roman"/>
                <w:color w:val="000000"/>
                <w:sz w:val="24"/>
                <w:szCs w:val="24"/>
                <w:lang w:eastAsia="en-GB"/>
              </w:rPr>
              <w:t xml:space="preserve">Patients then are tested with mpMRI. The Routing Out </w:t>
            </w:r>
            <w:proofErr w:type="gramStart"/>
            <w:r w:rsidR="00572EA5" w:rsidRPr="00E7546E">
              <w:rPr>
                <w:rFonts w:ascii="Times New Roman" w:eastAsia="Times New Roman" w:hAnsi="Times New Roman" w:cs="Times New Roman"/>
                <w:color w:val="000000"/>
                <w:sz w:val="24"/>
                <w:szCs w:val="24"/>
                <w:lang w:eastAsia="en-GB"/>
              </w:rPr>
              <w:t>On</w:t>
            </w:r>
            <w:proofErr w:type="gramEnd"/>
            <w:r w:rsidR="00572EA5" w:rsidRPr="00E7546E">
              <w:rPr>
                <w:rFonts w:ascii="Times New Roman" w:eastAsia="Times New Roman" w:hAnsi="Times New Roman" w:cs="Times New Roman"/>
                <w:color w:val="000000"/>
                <w:sz w:val="24"/>
                <w:szCs w:val="24"/>
                <w:lang w:eastAsia="en-GB"/>
              </w:rPr>
              <w:t xml:space="preserve"> Work Complete VL of the ‘mpMRI’ </w:t>
            </w:r>
            <w:r w:rsidR="0039076A" w:rsidRPr="00E7546E">
              <w:rPr>
                <w:rFonts w:ascii="Times New Roman" w:eastAsia="Times New Roman" w:hAnsi="Times New Roman" w:cs="Times New Roman"/>
                <w:color w:val="000000"/>
                <w:sz w:val="24"/>
                <w:szCs w:val="24"/>
                <w:lang w:eastAsia="en-GB"/>
              </w:rPr>
              <w:t xml:space="preserve">assigns a positive test result for patients truly with prostate cancer and a negative result </w:t>
            </w:r>
            <w:r w:rsidR="0039076A" w:rsidRPr="00E7546E">
              <w:rPr>
                <w:rFonts w:ascii="Times New Roman" w:eastAsia="Times New Roman" w:hAnsi="Times New Roman" w:cs="Times New Roman"/>
                <w:color w:val="000000"/>
                <w:sz w:val="24"/>
                <w:szCs w:val="24"/>
                <w:lang w:eastAsia="en-GB"/>
              </w:rPr>
              <w:lastRenderedPageBreak/>
              <w:t>for patients truly without prostate cancer as mpMRI is assumed to be 100% accurate.</w:t>
            </w:r>
            <w:r w:rsidR="00314E9E" w:rsidRPr="00E7546E">
              <w:rPr>
                <w:rFonts w:ascii="Times New Roman" w:eastAsia="Times New Roman" w:hAnsi="Times New Roman" w:cs="Times New Roman"/>
                <w:color w:val="000000"/>
                <w:sz w:val="24"/>
                <w:szCs w:val="24"/>
                <w:lang w:eastAsia="en-GB"/>
              </w:rPr>
              <w:t xml:space="preserve"> In addition to this, the activity </w:t>
            </w:r>
            <w:r w:rsidR="00572EA5" w:rsidRPr="00E7546E">
              <w:rPr>
                <w:rFonts w:ascii="Times New Roman" w:eastAsia="Times New Roman" w:hAnsi="Times New Roman" w:cs="Times New Roman"/>
                <w:color w:val="000000"/>
                <w:sz w:val="24"/>
                <w:szCs w:val="24"/>
                <w:lang w:eastAsia="en-GB"/>
              </w:rPr>
              <w:t>performs the following tasks:</w:t>
            </w:r>
          </w:p>
          <w:p w14:paraId="2610C42F" w14:textId="464ECC0F" w:rsidR="00E21C0B" w:rsidRPr="00E7546E" w:rsidRDefault="00E21C0B" w:rsidP="00E21C0B">
            <w:pPr>
              <w:pStyle w:val="ListParagraph"/>
              <w:numPr>
                <w:ilvl w:val="0"/>
                <w:numId w:val="11"/>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Global variables count (</w:t>
            </w:r>
            <w:proofErr w:type="spellStart"/>
            <w:r w:rsidRPr="00E7546E">
              <w:rPr>
                <w:rFonts w:ascii="Times New Roman" w:eastAsia="Times New Roman" w:hAnsi="Times New Roman" w:cs="Times New Roman"/>
                <w:color w:val="000000"/>
                <w:sz w:val="24"/>
                <w:szCs w:val="24"/>
                <w:lang w:eastAsia="en-GB"/>
              </w:rPr>
              <w:t>i</w:t>
            </w:r>
            <w:proofErr w:type="spellEnd"/>
            <w:r w:rsidRPr="00E7546E">
              <w:rPr>
                <w:rFonts w:ascii="Times New Roman" w:eastAsia="Times New Roman" w:hAnsi="Times New Roman" w:cs="Times New Roman"/>
                <w:color w:val="000000"/>
                <w:sz w:val="24"/>
                <w:szCs w:val="24"/>
                <w:lang w:eastAsia="en-GB"/>
              </w:rPr>
              <w:t>) number of mpMRI run; (ii) number of true</w:t>
            </w:r>
            <w:r w:rsidR="00DC013B" w:rsidRPr="00E7546E">
              <w:rPr>
                <w:rFonts w:ascii="Times New Roman" w:eastAsia="Times New Roman" w:hAnsi="Times New Roman" w:cs="Times New Roman"/>
                <w:color w:val="000000"/>
                <w:sz w:val="24"/>
                <w:szCs w:val="24"/>
                <w:lang w:eastAsia="en-GB"/>
              </w:rPr>
              <w:t xml:space="preserve"> positive result; (iii) number of true negative </w:t>
            </w:r>
            <w:proofErr w:type="gramStart"/>
            <w:r w:rsidR="00DC013B" w:rsidRPr="00E7546E">
              <w:rPr>
                <w:rFonts w:ascii="Times New Roman" w:eastAsia="Times New Roman" w:hAnsi="Times New Roman" w:cs="Times New Roman"/>
                <w:color w:val="000000"/>
                <w:sz w:val="24"/>
                <w:szCs w:val="24"/>
                <w:lang w:eastAsia="en-GB"/>
              </w:rPr>
              <w:t>result;</w:t>
            </w:r>
            <w:proofErr w:type="gramEnd"/>
            <w:r w:rsidR="00DC013B" w:rsidRPr="00E7546E">
              <w:rPr>
                <w:rFonts w:ascii="Times New Roman" w:eastAsia="Times New Roman" w:hAnsi="Times New Roman" w:cs="Times New Roman"/>
                <w:color w:val="000000"/>
                <w:sz w:val="24"/>
                <w:szCs w:val="24"/>
                <w:lang w:eastAsia="en-GB"/>
              </w:rPr>
              <w:t xml:space="preserve"> </w:t>
            </w:r>
          </w:p>
          <w:p w14:paraId="0729F337" w14:textId="52E049D3" w:rsidR="00572EA5" w:rsidRPr="00E7546E" w:rsidRDefault="00216BEF" w:rsidP="00572EA5">
            <w:pPr>
              <w:pStyle w:val="ListParagraph"/>
              <w:numPr>
                <w:ilvl w:val="0"/>
                <w:numId w:val="11"/>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Patients with negative mpMRI result are routed out to ‘No prostate cancer</w:t>
            </w:r>
            <w:r w:rsidR="0092601E" w:rsidRPr="00E7546E">
              <w:rPr>
                <w:rFonts w:ascii="Times New Roman" w:eastAsia="Times New Roman" w:hAnsi="Times New Roman" w:cs="Times New Roman"/>
                <w:color w:val="000000"/>
                <w:sz w:val="24"/>
                <w:szCs w:val="24"/>
                <w:lang w:eastAsia="en-GB"/>
              </w:rPr>
              <w:t xml:space="preserve">’ </w:t>
            </w:r>
            <w:r w:rsidRPr="00E7546E">
              <w:rPr>
                <w:rFonts w:ascii="Times New Roman" w:eastAsia="Times New Roman" w:hAnsi="Times New Roman" w:cs="Times New Roman"/>
                <w:color w:val="000000"/>
                <w:sz w:val="24"/>
                <w:szCs w:val="24"/>
                <w:lang w:eastAsia="en-GB"/>
              </w:rPr>
              <w:t>activity, whereas patients with</w:t>
            </w:r>
            <w:r w:rsidR="0092601E" w:rsidRPr="00E7546E">
              <w:rPr>
                <w:rFonts w:ascii="Times New Roman" w:eastAsia="Times New Roman" w:hAnsi="Times New Roman" w:cs="Times New Roman"/>
                <w:color w:val="000000"/>
                <w:sz w:val="24"/>
                <w:szCs w:val="24"/>
                <w:lang w:eastAsia="en-GB"/>
              </w:rPr>
              <w:t xml:space="preserve"> positive mpMRI result are routed out to ‘Biopsy’ activity. </w:t>
            </w:r>
          </w:p>
          <w:p w14:paraId="017D0596" w14:textId="0463B0F2" w:rsidR="0092601E" w:rsidRPr="00E7546E" w:rsidRDefault="000A38BA" w:rsidP="0092601E">
            <w:p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In the ‘No prostate cancer’ activity</w:t>
            </w:r>
            <w:r w:rsidR="00B641B9" w:rsidRPr="00E7546E">
              <w:rPr>
                <w:rFonts w:ascii="Times New Roman" w:eastAsia="Times New Roman" w:hAnsi="Times New Roman" w:cs="Times New Roman"/>
                <w:color w:val="000000"/>
                <w:sz w:val="24"/>
                <w:szCs w:val="24"/>
                <w:lang w:eastAsia="en-GB"/>
              </w:rPr>
              <w:t xml:space="preserve">, the Routing Out </w:t>
            </w:r>
            <w:proofErr w:type="gramStart"/>
            <w:r w:rsidR="00B641B9" w:rsidRPr="00E7546E">
              <w:rPr>
                <w:rFonts w:ascii="Times New Roman" w:eastAsia="Times New Roman" w:hAnsi="Times New Roman" w:cs="Times New Roman"/>
                <w:color w:val="000000"/>
                <w:sz w:val="24"/>
                <w:szCs w:val="24"/>
                <w:lang w:eastAsia="en-GB"/>
              </w:rPr>
              <w:t>On</w:t>
            </w:r>
            <w:proofErr w:type="gramEnd"/>
            <w:r w:rsidR="00B641B9" w:rsidRPr="00E7546E">
              <w:rPr>
                <w:rFonts w:ascii="Times New Roman" w:eastAsia="Times New Roman" w:hAnsi="Times New Roman" w:cs="Times New Roman"/>
                <w:color w:val="000000"/>
                <w:sz w:val="24"/>
                <w:szCs w:val="24"/>
                <w:lang w:eastAsia="en-GB"/>
              </w:rPr>
              <w:t xml:space="preserve"> Work Complete VL entail the ‘Count Costs by Disease Status’ VL which </w:t>
            </w:r>
            <w:r w:rsidR="00181D65" w:rsidRPr="00E7546E">
              <w:rPr>
                <w:rFonts w:ascii="Times New Roman" w:eastAsia="Times New Roman" w:hAnsi="Times New Roman" w:cs="Times New Roman"/>
                <w:color w:val="000000"/>
                <w:sz w:val="24"/>
                <w:szCs w:val="24"/>
                <w:lang w:eastAsia="en-GB"/>
              </w:rPr>
              <w:t>estimates the costs in primary care, secondary care and total costs sorted by disease status</w:t>
            </w:r>
            <w:r w:rsidR="006678C3" w:rsidRPr="00E7546E">
              <w:rPr>
                <w:rFonts w:ascii="Times New Roman" w:eastAsia="Times New Roman" w:hAnsi="Times New Roman" w:cs="Times New Roman"/>
                <w:color w:val="000000"/>
                <w:sz w:val="24"/>
                <w:szCs w:val="24"/>
                <w:lang w:eastAsia="en-GB"/>
              </w:rPr>
              <w:t xml:space="preserve">. The Label VL runs the ‘Store individual results’ VL to paste the individual labels into a spreadsheet for internal validity checks. </w:t>
            </w:r>
          </w:p>
          <w:p w14:paraId="7F87D5A1" w14:textId="191B77A7" w:rsidR="00BE2EAE" w:rsidRPr="00E7546E" w:rsidRDefault="00BE2EAE" w:rsidP="0092601E">
            <w:pPr>
              <w:rPr>
                <w:rFonts w:ascii="Times New Roman" w:eastAsia="Times New Roman" w:hAnsi="Times New Roman" w:cs="Times New Roman"/>
                <w:color w:val="000000"/>
                <w:sz w:val="24"/>
                <w:szCs w:val="24"/>
                <w:lang w:eastAsia="en-GB"/>
              </w:rPr>
            </w:pPr>
          </w:p>
          <w:p w14:paraId="0CA40BAF" w14:textId="307971F0" w:rsidR="00735E1F" w:rsidRPr="00E7546E" w:rsidRDefault="00BE2EAE" w:rsidP="0092601E">
            <w:p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the ‘Biopsy’ activity, </w:t>
            </w:r>
            <w:r w:rsidR="00E47CF0" w:rsidRPr="00E7546E">
              <w:rPr>
                <w:rFonts w:ascii="Times New Roman" w:eastAsia="Times New Roman" w:hAnsi="Times New Roman" w:cs="Times New Roman"/>
                <w:color w:val="000000"/>
                <w:sz w:val="24"/>
                <w:szCs w:val="24"/>
                <w:lang w:eastAsia="en-GB"/>
              </w:rPr>
              <w:t xml:space="preserve">the Route in After </w:t>
            </w:r>
            <w:r w:rsidR="0076673E" w:rsidRPr="00E7546E">
              <w:rPr>
                <w:rFonts w:ascii="Times New Roman" w:eastAsia="Times New Roman" w:hAnsi="Times New Roman" w:cs="Times New Roman"/>
                <w:color w:val="000000"/>
                <w:sz w:val="24"/>
                <w:szCs w:val="24"/>
                <w:lang w:eastAsia="en-GB"/>
              </w:rPr>
              <w:t xml:space="preserve">Loading Work VL assigns a positive test result for patients truly with prostate cancer and a negative result for patients truly without prostate cancer as biopsy is assumed to be 100% accurate. </w:t>
            </w:r>
            <w:r w:rsidR="00735E1F" w:rsidRPr="00E7546E">
              <w:rPr>
                <w:rFonts w:ascii="Times New Roman" w:eastAsia="Times New Roman" w:hAnsi="Times New Roman" w:cs="Times New Roman"/>
                <w:color w:val="000000"/>
                <w:sz w:val="24"/>
                <w:szCs w:val="24"/>
                <w:lang w:eastAsia="en-GB"/>
              </w:rPr>
              <w:t xml:space="preserve">The Routing Out </w:t>
            </w:r>
            <w:proofErr w:type="gramStart"/>
            <w:r w:rsidR="00735E1F" w:rsidRPr="00E7546E">
              <w:rPr>
                <w:rFonts w:ascii="Times New Roman" w:eastAsia="Times New Roman" w:hAnsi="Times New Roman" w:cs="Times New Roman"/>
                <w:color w:val="000000"/>
                <w:sz w:val="24"/>
                <w:szCs w:val="24"/>
                <w:lang w:eastAsia="en-GB"/>
              </w:rPr>
              <w:t>On</w:t>
            </w:r>
            <w:proofErr w:type="gramEnd"/>
            <w:r w:rsidR="00735E1F" w:rsidRPr="00E7546E">
              <w:rPr>
                <w:rFonts w:ascii="Times New Roman" w:eastAsia="Times New Roman" w:hAnsi="Times New Roman" w:cs="Times New Roman"/>
                <w:color w:val="000000"/>
                <w:sz w:val="24"/>
                <w:szCs w:val="24"/>
                <w:lang w:eastAsia="en-GB"/>
              </w:rPr>
              <w:t xml:space="preserve"> Work Complete VL performs the following tasks:</w:t>
            </w:r>
          </w:p>
          <w:p w14:paraId="528C49F6" w14:textId="29BC2F9D" w:rsidR="00735E1F" w:rsidRPr="00E7546E" w:rsidRDefault="00735E1F" w:rsidP="00735E1F">
            <w:pPr>
              <w:pStyle w:val="ListParagraph"/>
              <w:numPr>
                <w:ilvl w:val="0"/>
                <w:numId w:val="11"/>
              </w:numPr>
              <w:spacing w:after="160" w:line="259" w:lineRule="auto"/>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Global variables count (</w:t>
            </w:r>
            <w:proofErr w:type="spellStart"/>
            <w:r w:rsidRPr="00E7546E">
              <w:rPr>
                <w:rFonts w:ascii="Times New Roman" w:eastAsia="Times New Roman" w:hAnsi="Times New Roman" w:cs="Times New Roman"/>
                <w:color w:val="000000"/>
                <w:sz w:val="24"/>
                <w:szCs w:val="24"/>
                <w:lang w:eastAsia="en-GB"/>
              </w:rPr>
              <w:t>i</w:t>
            </w:r>
            <w:proofErr w:type="spellEnd"/>
            <w:r w:rsidRPr="00E7546E">
              <w:rPr>
                <w:rFonts w:ascii="Times New Roman" w:eastAsia="Times New Roman" w:hAnsi="Times New Roman" w:cs="Times New Roman"/>
                <w:color w:val="000000"/>
                <w:sz w:val="24"/>
                <w:szCs w:val="24"/>
                <w:lang w:eastAsia="en-GB"/>
              </w:rPr>
              <w:t xml:space="preserve">) number of biopsies run; (ii) number of multidisciplinary team cancer meetings; </w:t>
            </w:r>
            <w:r w:rsidR="007C5D2C" w:rsidRPr="00E7546E">
              <w:rPr>
                <w:rFonts w:ascii="Times New Roman" w:eastAsia="Times New Roman" w:hAnsi="Times New Roman" w:cs="Times New Roman"/>
                <w:color w:val="000000"/>
                <w:sz w:val="24"/>
                <w:szCs w:val="24"/>
                <w:lang w:eastAsia="en-GB"/>
              </w:rPr>
              <w:t xml:space="preserve">and </w:t>
            </w:r>
            <w:r w:rsidRPr="00E7546E">
              <w:rPr>
                <w:rFonts w:ascii="Times New Roman" w:eastAsia="Times New Roman" w:hAnsi="Times New Roman" w:cs="Times New Roman"/>
                <w:color w:val="000000"/>
                <w:sz w:val="24"/>
                <w:szCs w:val="24"/>
                <w:lang w:eastAsia="en-GB"/>
              </w:rPr>
              <w:t xml:space="preserve">(iii) number of </w:t>
            </w:r>
            <w:r w:rsidR="007C5D2C" w:rsidRPr="00E7546E">
              <w:rPr>
                <w:rFonts w:ascii="Times New Roman" w:eastAsia="Times New Roman" w:hAnsi="Times New Roman" w:cs="Times New Roman"/>
                <w:color w:val="000000"/>
                <w:sz w:val="24"/>
                <w:szCs w:val="24"/>
                <w:lang w:eastAsia="en-GB"/>
              </w:rPr>
              <w:t xml:space="preserve">unnecessary biopsies in case of patients truly without prostate </w:t>
            </w:r>
            <w:proofErr w:type="gramStart"/>
            <w:r w:rsidR="007C5D2C" w:rsidRPr="00E7546E">
              <w:rPr>
                <w:rFonts w:ascii="Times New Roman" w:eastAsia="Times New Roman" w:hAnsi="Times New Roman" w:cs="Times New Roman"/>
                <w:color w:val="000000"/>
                <w:sz w:val="24"/>
                <w:szCs w:val="24"/>
                <w:lang w:eastAsia="en-GB"/>
              </w:rPr>
              <w:t>cancer;</w:t>
            </w:r>
            <w:proofErr w:type="gramEnd"/>
            <w:r w:rsidRPr="00E7546E">
              <w:rPr>
                <w:rFonts w:ascii="Times New Roman" w:eastAsia="Times New Roman" w:hAnsi="Times New Roman" w:cs="Times New Roman"/>
                <w:color w:val="000000"/>
                <w:sz w:val="24"/>
                <w:szCs w:val="24"/>
                <w:lang w:eastAsia="en-GB"/>
              </w:rPr>
              <w:t xml:space="preserve"> </w:t>
            </w:r>
          </w:p>
          <w:p w14:paraId="3E14DB54" w14:textId="21025698" w:rsidR="00735E1F" w:rsidRPr="00E7546E" w:rsidRDefault="007C5D2C" w:rsidP="00735E1F">
            <w:pPr>
              <w:pStyle w:val="ListParagraph"/>
              <w:numPr>
                <w:ilvl w:val="0"/>
                <w:numId w:val="12"/>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Count Costs by Disease Status’ VL</w:t>
            </w:r>
          </w:p>
          <w:p w14:paraId="3DBD7DB0" w14:textId="03CDEA51" w:rsidR="003E4B78" w:rsidRPr="00E7546E" w:rsidRDefault="002B1B8B" w:rsidP="00D227CF">
            <w:p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The Label VL runs the ‘Store individual results’ VL to paste the individual labels into a spreadsheet for internal validity checks.</w:t>
            </w:r>
          </w:p>
          <w:p w14:paraId="0DA2D190" w14:textId="3A4E3444" w:rsidR="002B1B8B" w:rsidRPr="00E7546E" w:rsidRDefault="002B1B8B" w:rsidP="00D227CF">
            <w:pPr>
              <w:rPr>
                <w:rFonts w:ascii="Times New Roman" w:eastAsia="Times New Roman" w:hAnsi="Times New Roman" w:cs="Times New Roman"/>
                <w:color w:val="000000"/>
                <w:sz w:val="24"/>
                <w:szCs w:val="24"/>
                <w:lang w:eastAsia="en-GB"/>
              </w:rPr>
            </w:pPr>
          </w:p>
          <w:p w14:paraId="6537DBF5" w14:textId="6C9BD478" w:rsidR="002B1B8B" w:rsidRPr="00E7546E" w:rsidRDefault="002B1B8B" w:rsidP="00D227CF">
            <w:p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the bladder and kidney cancer model, </w:t>
            </w:r>
            <w:r w:rsidR="006E091C" w:rsidRPr="00E7546E">
              <w:rPr>
                <w:rFonts w:ascii="Times New Roman" w:eastAsia="Times New Roman" w:hAnsi="Times New Roman" w:cs="Times New Roman"/>
                <w:color w:val="000000"/>
                <w:sz w:val="24"/>
                <w:szCs w:val="24"/>
                <w:lang w:eastAsia="en-GB"/>
              </w:rPr>
              <w:t>both</w:t>
            </w:r>
            <w:r w:rsidR="00AC0265" w:rsidRPr="00E7546E">
              <w:rPr>
                <w:rFonts w:ascii="Times New Roman" w:eastAsia="Times New Roman" w:hAnsi="Times New Roman" w:cs="Times New Roman"/>
                <w:color w:val="000000"/>
                <w:sz w:val="24"/>
                <w:szCs w:val="24"/>
                <w:lang w:eastAsia="en-GB"/>
              </w:rPr>
              <w:t xml:space="preserve"> ‘Cystoscopy’</w:t>
            </w:r>
            <w:r w:rsidR="008A2BE6" w:rsidRPr="00E7546E">
              <w:rPr>
                <w:rFonts w:ascii="Times New Roman" w:eastAsia="Times New Roman" w:hAnsi="Times New Roman" w:cs="Times New Roman"/>
                <w:color w:val="000000"/>
                <w:sz w:val="24"/>
                <w:szCs w:val="24"/>
                <w:lang w:eastAsia="en-GB"/>
              </w:rPr>
              <w:t xml:space="preserve"> and ‘Ultrasound’ activities use global variables to count the number of cystoscopies, ultrasound and x-rays run</w:t>
            </w:r>
            <w:r w:rsidR="006E091C" w:rsidRPr="00E7546E">
              <w:rPr>
                <w:rFonts w:ascii="Times New Roman" w:eastAsia="Times New Roman" w:hAnsi="Times New Roman" w:cs="Times New Roman"/>
                <w:color w:val="000000"/>
                <w:sz w:val="24"/>
                <w:szCs w:val="24"/>
                <w:lang w:eastAsia="en-GB"/>
              </w:rPr>
              <w:t xml:space="preserve">, respectively, in the Routing Out </w:t>
            </w:r>
            <w:proofErr w:type="gramStart"/>
            <w:r w:rsidR="006E091C" w:rsidRPr="00E7546E">
              <w:rPr>
                <w:rFonts w:ascii="Times New Roman" w:eastAsia="Times New Roman" w:hAnsi="Times New Roman" w:cs="Times New Roman"/>
                <w:color w:val="000000"/>
                <w:sz w:val="24"/>
                <w:szCs w:val="24"/>
                <w:lang w:eastAsia="en-GB"/>
              </w:rPr>
              <w:t>On</w:t>
            </w:r>
            <w:proofErr w:type="gramEnd"/>
            <w:r w:rsidR="006E091C" w:rsidRPr="00E7546E">
              <w:rPr>
                <w:rFonts w:ascii="Times New Roman" w:eastAsia="Times New Roman" w:hAnsi="Times New Roman" w:cs="Times New Roman"/>
                <w:color w:val="000000"/>
                <w:sz w:val="24"/>
                <w:szCs w:val="24"/>
                <w:lang w:eastAsia="en-GB"/>
              </w:rPr>
              <w:t xml:space="preserve"> Work Complete VL</w:t>
            </w:r>
            <w:r w:rsidR="00FA7BB7" w:rsidRPr="00E7546E">
              <w:rPr>
                <w:rFonts w:ascii="Times New Roman" w:eastAsia="Times New Roman" w:hAnsi="Times New Roman" w:cs="Times New Roman"/>
                <w:color w:val="000000"/>
                <w:sz w:val="24"/>
                <w:szCs w:val="24"/>
                <w:lang w:eastAsia="en-GB"/>
              </w:rPr>
              <w:t xml:space="preserve">. </w:t>
            </w:r>
          </w:p>
          <w:p w14:paraId="77355CCB" w14:textId="64552044" w:rsidR="00FA7BB7" w:rsidRPr="00E7546E" w:rsidRDefault="00FA7BB7" w:rsidP="00FA7BB7">
            <w:p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the ‘MDT’ activity, the Routing Out </w:t>
            </w:r>
            <w:proofErr w:type="gramStart"/>
            <w:r w:rsidRPr="00E7546E">
              <w:rPr>
                <w:rFonts w:ascii="Times New Roman" w:eastAsia="Times New Roman" w:hAnsi="Times New Roman" w:cs="Times New Roman"/>
                <w:color w:val="000000"/>
                <w:sz w:val="24"/>
                <w:szCs w:val="24"/>
                <w:lang w:eastAsia="en-GB"/>
              </w:rPr>
              <w:t>On</w:t>
            </w:r>
            <w:proofErr w:type="gramEnd"/>
            <w:r w:rsidRPr="00E7546E">
              <w:rPr>
                <w:rFonts w:ascii="Times New Roman" w:eastAsia="Times New Roman" w:hAnsi="Times New Roman" w:cs="Times New Roman"/>
                <w:color w:val="000000"/>
                <w:sz w:val="24"/>
                <w:szCs w:val="24"/>
                <w:lang w:eastAsia="en-GB"/>
              </w:rPr>
              <w:t xml:space="preserve"> Work Complete VL performs the following tasks:</w:t>
            </w:r>
          </w:p>
          <w:p w14:paraId="5535DEFE" w14:textId="276C4256" w:rsidR="00FA7BB7" w:rsidRPr="00E7546E" w:rsidRDefault="00FA7BB7" w:rsidP="00FA7BB7">
            <w:pPr>
              <w:numPr>
                <w:ilvl w:val="0"/>
                <w:numId w:val="11"/>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Global variable counts number of multidisciplinary team cancer </w:t>
            </w:r>
            <w:proofErr w:type="gramStart"/>
            <w:r w:rsidRPr="00E7546E">
              <w:rPr>
                <w:rFonts w:ascii="Times New Roman" w:eastAsia="Times New Roman" w:hAnsi="Times New Roman" w:cs="Times New Roman"/>
                <w:color w:val="000000"/>
                <w:sz w:val="24"/>
                <w:szCs w:val="24"/>
                <w:lang w:eastAsia="en-GB"/>
              </w:rPr>
              <w:t>meetings;</w:t>
            </w:r>
            <w:proofErr w:type="gramEnd"/>
            <w:r w:rsidRPr="00E7546E">
              <w:rPr>
                <w:rFonts w:ascii="Times New Roman" w:eastAsia="Times New Roman" w:hAnsi="Times New Roman" w:cs="Times New Roman"/>
                <w:color w:val="000000"/>
                <w:sz w:val="24"/>
                <w:szCs w:val="24"/>
                <w:lang w:eastAsia="en-GB"/>
              </w:rPr>
              <w:t xml:space="preserve"> </w:t>
            </w:r>
          </w:p>
          <w:p w14:paraId="0EB88ADF" w14:textId="4CCFAF31" w:rsidR="00FA7BB7" w:rsidRPr="00E7546E" w:rsidRDefault="00FA7BB7" w:rsidP="00FA7BB7">
            <w:pPr>
              <w:numPr>
                <w:ilvl w:val="0"/>
                <w:numId w:val="12"/>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Count Costs by Disease Status’ </w:t>
            </w:r>
            <w:proofErr w:type="gramStart"/>
            <w:r w:rsidRPr="00E7546E">
              <w:rPr>
                <w:rFonts w:ascii="Times New Roman" w:eastAsia="Times New Roman" w:hAnsi="Times New Roman" w:cs="Times New Roman"/>
                <w:color w:val="000000"/>
                <w:sz w:val="24"/>
                <w:szCs w:val="24"/>
                <w:lang w:eastAsia="en-GB"/>
              </w:rPr>
              <w:t>VL;</w:t>
            </w:r>
            <w:proofErr w:type="gramEnd"/>
          </w:p>
          <w:p w14:paraId="5680D0DA" w14:textId="734D71D1" w:rsidR="00FA7BB7" w:rsidRPr="00E7546E" w:rsidRDefault="00FA7BB7" w:rsidP="00FA7BB7">
            <w:pPr>
              <w:numPr>
                <w:ilvl w:val="0"/>
                <w:numId w:val="12"/>
              </w:num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‘Store individual results’ VL</w:t>
            </w:r>
          </w:p>
          <w:p w14:paraId="7D1443DA" w14:textId="63DF1F32" w:rsidR="00FA7BB7" w:rsidRPr="00E7546E" w:rsidRDefault="00FA7BB7" w:rsidP="00FA7BB7">
            <w:pPr>
              <w:rPr>
                <w:rFonts w:ascii="Times New Roman" w:eastAsia="Times New Roman" w:hAnsi="Times New Roman" w:cs="Times New Roman"/>
                <w:color w:val="000000"/>
                <w:sz w:val="24"/>
                <w:szCs w:val="24"/>
                <w:lang w:eastAsia="en-GB"/>
              </w:rPr>
            </w:pPr>
          </w:p>
          <w:p w14:paraId="71F1A796" w14:textId="77777777" w:rsidR="00D227CF" w:rsidRPr="00E7546E" w:rsidRDefault="00FA7BB7" w:rsidP="005F310D">
            <w:pPr>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Across both models, </w:t>
            </w:r>
            <w:r w:rsidR="00BE4C91" w:rsidRPr="00E7546E">
              <w:rPr>
                <w:rFonts w:ascii="Times New Roman" w:eastAsia="Times New Roman" w:hAnsi="Times New Roman" w:cs="Times New Roman"/>
                <w:color w:val="000000"/>
                <w:sz w:val="24"/>
                <w:szCs w:val="24"/>
                <w:lang w:eastAsia="en-GB"/>
              </w:rPr>
              <w:t>the ‘End Run’ VL estimates the following outputs: (</w:t>
            </w:r>
            <w:proofErr w:type="spellStart"/>
            <w:r w:rsidR="00BE4C91" w:rsidRPr="00E7546E">
              <w:rPr>
                <w:rFonts w:ascii="Times New Roman" w:eastAsia="Times New Roman" w:hAnsi="Times New Roman" w:cs="Times New Roman"/>
                <w:color w:val="000000"/>
                <w:sz w:val="24"/>
                <w:szCs w:val="24"/>
                <w:lang w:eastAsia="en-GB"/>
              </w:rPr>
              <w:t>i</w:t>
            </w:r>
            <w:proofErr w:type="spellEnd"/>
            <w:r w:rsidR="00BE4C91" w:rsidRPr="00E7546E">
              <w:rPr>
                <w:rFonts w:ascii="Times New Roman" w:eastAsia="Times New Roman" w:hAnsi="Times New Roman" w:cs="Times New Roman"/>
                <w:color w:val="000000"/>
                <w:sz w:val="24"/>
                <w:szCs w:val="24"/>
                <w:lang w:eastAsia="en-GB"/>
              </w:rPr>
              <w:t>) cost of GP consultations</w:t>
            </w:r>
            <w:r w:rsidR="005F0983" w:rsidRPr="00E7546E">
              <w:rPr>
                <w:rFonts w:ascii="Times New Roman" w:eastAsia="Times New Roman" w:hAnsi="Times New Roman" w:cs="Times New Roman"/>
                <w:color w:val="000000"/>
                <w:sz w:val="24"/>
                <w:szCs w:val="24"/>
                <w:lang w:eastAsia="en-GB"/>
              </w:rPr>
              <w:t xml:space="preserve"> (sorted by disease status)</w:t>
            </w:r>
            <w:r w:rsidR="00BE4C91" w:rsidRPr="00E7546E">
              <w:rPr>
                <w:rFonts w:ascii="Times New Roman" w:eastAsia="Times New Roman" w:hAnsi="Times New Roman" w:cs="Times New Roman"/>
                <w:color w:val="000000"/>
                <w:sz w:val="24"/>
                <w:szCs w:val="24"/>
                <w:lang w:eastAsia="en-GB"/>
              </w:rPr>
              <w:t xml:space="preserve">; (ii) additional testing cost primary care; (iii) cost of triage; (iv) cost of mpMRI; (v) cost of biopsies; (vi) cost of MDT; (vii) </w:t>
            </w:r>
            <w:r w:rsidR="005F0983" w:rsidRPr="00E7546E">
              <w:rPr>
                <w:rFonts w:ascii="Times New Roman" w:eastAsia="Times New Roman" w:hAnsi="Times New Roman" w:cs="Times New Roman"/>
                <w:color w:val="000000"/>
                <w:sz w:val="24"/>
                <w:szCs w:val="24"/>
                <w:lang w:eastAsia="en-GB"/>
              </w:rPr>
              <w:t xml:space="preserve">total cost in primary care (sorted by disease status); (viii) </w:t>
            </w:r>
            <w:r w:rsidR="00BE4C91" w:rsidRPr="00E7546E">
              <w:rPr>
                <w:rFonts w:ascii="Times New Roman" w:eastAsia="Times New Roman" w:hAnsi="Times New Roman" w:cs="Times New Roman"/>
                <w:color w:val="000000"/>
                <w:sz w:val="24"/>
                <w:szCs w:val="24"/>
                <w:lang w:eastAsia="en-GB"/>
              </w:rPr>
              <w:t>total cost in secondary care (sorted by disease status)</w:t>
            </w:r>
            <w:r w:rsidR="005F0983" w:rsidRPr="00E7546E">
              <w:rPr>
                <w:rFonts w:ascii="Times New Roman" w:eastAsia="Times New Roman" w:hAnsi="Times New Roman" w:cs="Times New Roman"/>
                <w:color w:val="000000"/>
                <w:sz w:val="24"/>
                <w:szCs w:val="24"/>
                <w:lang w:eastAsia="en-GB"/>
              </w:rPr>
              <w:t xml:space="preserve">; </w:t>
            </w:r>
            <w:r w:rsidR="00381C86" w:rsidRPr="00E7546E">
              <w:rPr>
                <w:rFonts w:ascii="Times New Roman" w:eastAsia="Times New Roman" w:hAnsi="Times New Roman" w:cs="Times New Roman"/>
                <w:color w:val="000000"/>
                <w:sz w:val="24"/>
                <w:szCs w:val="24"/>
                <w:lang w:eastAsia="en-GB"/>
              </w:rPr>
              <w:t xml:space="preserve">and </w:t>
            </w:r>
            <w:r w:rsidR="005F0983" w:rsidRPr="00E7546E">
              <w:rPr>
                <w:rFonts w:ascii="Times New Roman" w:eastAsia="Times New Roman" w:hAnsi="Times New Roman" w:cs="Times New Roman"/>
                <w:color w:val="000000"/>
                <w:sz w:val="24"/>
                <w:szCs w:val="24"/>
                <w:lang w:eastAsia="en-GB"/>
              </w:rPr>
              <w:t xml:space="preserve">(ix) </w:t>
            </w:r>
            <w:r w:rsidR="00381C86" w:rsidRPr="00E7546E">
              <w:rPr>
                <w:rFonts w:ascii="Times New Roman" w:eastAsia="Times New Roman" w:hAnsi="Times New Roman" w:cs="Times New Roman"/>
                <w:color w:val="000000"/>
                <w:sz w:val="24"/>
                <w:szCs w:val="24"/>
                <w:lang w:eastAsia="en-GB"/>
              </w:rPr>
              <w:t>total costs (sorted by disease status).</w:t>
            </w:r>
          </w:p>
          <w:p w14:paraId="046413D4" w14:textId="5B088C0D" w:rsidR="00BD526C" w:rsidRPr="00E7546E" w:rsidRDefault="00BD526C" w:rsidP="005F310D">
            <w:pPr>
              <w:rPr>
                <w:rFonts w:ascii="Times New Roman" w:eastAsia="Times New Roman" w:hAnsi="Times New Roman" w:cs="Times New Roman"/>
                <w:color w:val="000000"/>
                <w:sz w:val="24"/>
                <w:szCs w:val="24"/>
                <w:lang w:eastAsia="en-GB"/>
              </w:rPr>
            </w:pPr>
          </w:p>
        </w:tc>
      </w:tr>
      <w:tr w:rsidR="009744C0" w:rsidRPr="00E7546E" w14:paraId="6907AA5D" w14:textId="77777777" w:rsidTr="00646FF2">
        <w:tc>
          <w:tcPr>
            <w:tcW w:w="2457" w:type="dxa"/>
          </w:tcPr>
          <w:p w14:paraId="1674ADA7"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lastRenderedPageBreak/>
              <w:t>Scenario logic</w:t>
            </w:r>
          </w:p>
        </w:tc>
        <w:tc>
          <w:tcPr>
            <w:tcW w:w="827" w:type="dxa"/>
          </w:tcPr>
          <w:p w14:paraId="1536AD5F"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2.3</w:t>
            </w:r>
          </w:p>
        </w:tc>
        <w:tc>
          <w:tcPr>
            <w:tcW w:w="11742" w:type="dxa"/>
            <w:gridSpan w:val="2"/>
          </w:tcPr>
          <w:p w14:paraId="438FA752" w14:textId="77777777" w:rsidR="009744C0" w:rsidRDefault="00797A08" w:rsidP="00280329">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We investigated the relative cost-effectiveness of </w:t>
            </w:r>
            <w:proofErr w:type="spellStart"/>
            <w:r w:rsidRPr="00E7546E">
              <w:rPr>
                <w:rFonts w:ascii="Times New Roman" w:eastAsia="Times New Roman" w:hAnsi="Times New Roman" w:cs="Times New Roman"/>
                <w:color w:val="000000"/>
                <w:sz w:val="24"/>
                <w:szCs w:val="24"/>
                <w:lang w:eastAsia="en-GB"/>
              </w:rPr>
              <w:t>PinPoint</w:t>
            </w:r>
            <w:proofErr w:type="spellEnd"/>
            <w:r w:rsidRPr="00E7546E">
              <w:rPr>
                <w:rFonts w:ascii="Times New Roman" w:eastAsia="Times New Roman" w:hAnsi="Times New Roman" w:cs="Times New Roman"/>
                <w:color w:val="000000"/>
                <w:sz w:val="24"/>
                <w:szCs w:val="24"/>
                <w:lang w:eastAsia="en-GB"/>
              </w:rPr>
              <w:t xml:space="preserve"> test </w:t>
            </w:r>
            <w:r w:rsidR="00A23D6A">
              <w:rPr>
                <w:rFonts w:ascii="Times New Roman" w:eastAsia="Times New Roman" w:hAnsi="Times New Roman" w:cs="Times New Roman"/>
                <w:color w:val="000000"/>
                <w:sz w:val="24"/>
                <w:szCs w:val="24"/>
                <w:lang w:eastAsia="en-GB"/>
              </w:rPr>
              <w:t xml:space="preserve">across both use cases </w:t>
            </w:r>
            <w:r w:rsidRPr="00E7546E">
              <w:rPr>
                <w:rFonts w:ascii="Times New Roman" w:eastAsia="Times New Roman" w:hAnsi="Times New Roman" w:cs="Times New Roman"/>
                <w:color w:val="000000"/>
                <w:sz w:val="24"/>
                <w:szCs w:val="24"/>
                <w:lang w:eastAsia="en-GB"/>
              </w:rPr>
              <w:t xml:space="preserve">compared to usual care while capturing the impact of both (1) volume of referred patients to the urological diagnostic pathway; and (2) the efficiency of healthcare sites to see patients within two weeks upon GP referral. To do so, three scenarios were evaluated: high, </w:t>
            </w:r>
            <w:r w:rsidRPr="00E7546E">
              <w:rPr>
                <w:rFonts w:ascii="Times New Roman" w:eastAsia="Times New Roman" w:hAnsi="Times New Roman" w:cs="Times New Roman"/>
                <w:color w:val="000000"/>
                <w:sz w:val="24"/>
                <w:szCs w:val="24"/>
                <w:lang w:eastAsia="en-GB"/>
              </w:rPr>
              <w:lastRenderedPageBreak/>
              <w:t xml:space="preserve">low and average volume of patients referred to further diagnostic investigations in secondary care. For each volume scenario, we aimed to evaluate the impact of </w:t>
            </w:r>
            <w:proofErr w:type="spellStart"/>
            <w:r w:rsidRPr="00E7546E">
              <w:rPr>
                <w:rFonts w:ascii="Times New Roman" w:eastAsia="Times New Roman" w:hAnsi="Times New Roman" w:cs="Times New Roman"/>
                <w:color w:val="000000"/>
                <w:sz w:val="24"/>
                <w:szCs w:val="24"/>
                <w:lang w:eastAsia="en-GB"/>
              </w:rPr>
              <w:t>PinPoint</w:t>
            </w:r>
            <w:proofErr w:type="spellEnd"/>
            <w:r w:rsidRPr="00E7546E">
              <w:rPr>
                <w:rFonts w:ascii="Times New Roman" w:eastAsia="Times New Roman" w:hAnsi="Times New Roman" w:cs="Times New Roman"/>
                <w:color w:val="000000"/>
                <w:sz w:val="24"/>
                <w:szCs w:val="24"/>
                <w:lang w:eastAsia="en-GB"/>
              </w:rPr>
              <w:t xml:space="preserve"> test compared to standard care on highly efficient sites, average efficient sites and poorly efficient sites. This, in turn, resulted in a total of 9 scenarios (3 volume scenarios X 3 efficiency scenarios) explored for each testing strategy being evaluated.</w:t>
            </w:r>
          </w:p>
          <w:p w14:paraId="750357C2" w14:textId="77777777" w:rsidR="002505B8" w:rsidRDefault="002505B8" w:rsidP="00280329">
            <w:pPr>
              <w:spacing w:after="120"/>
              <w:contextualSpacing/>
              <w:rPr>
                <w:rFonts w:ascii="Times New Roman" w:eastAsia="Times New Roman" w:hAnsi="Times New Roman" w:cs="Times New Roman"/>
                <w:color w:val="000000"/>
                <w:sz w:val="24"/>
                <w:szCs w:val="24"/>
                <w:lang w:eastAsia="en-GB"/>
              </w:rPr>
            </w:pPr>
          </w:p>
          <w:p w14:paraId="0B1FA0DD" w14:textId="060EA49B" w:rsidR="002505B8" w:rsidRPr="002505B8" w:rsidRDefault="002505B8" w:rsidP="002505B8">
            <w:pPr>
              <w:spacing w:after="120"/>
              <w:contextualSpacing/>
              <w:rPr>
                <w:rFonts w:ascii="Times New Roman" w:eastAsia="Times New Roman" w:hAnsi="Times New Roman" w:cs="Times New Roman"/>
                <w:color w:val="000000"/>
                <w:sz w:val="24"/>
                <w:szCs w:val="24"/>
                <w:lang w:eastAsia="en-GB"/>
              </w:rPr>
            </w:pPr>
            <w:r w:rsidRPr="002505B8">
              <w:rPr>
                <w:rFonts w:ascii="Times New Roman" w:eastAsia="Times New Roman" w:hAnsi="Times New Roman" w:cs="Times New Roman"/>
                <w:color w:val="000000"/>
                <w:sz w:val="24"/>
                <w:szCs w:val="24"/>
                <w:lang w:eastAsia="en-GB"/>
              </w:rPr>
              <w:t xml:space="preserve">We also explored how longer delays to diagnosis may impact upon health outcomes for those individuals with cancer. We applied estimates from a UK-based modelling study which assessed the impact of 2-, 4- and 6-month delays to referral on 10-year survival for different cancer subgroups (stratified by age) </w:t>
            </w:r>
            <w:r w:rsidRPr="002505B8">
              <w:rPr>
                <w:rFonts w:ascii="Times New Roman" w:eastAsia="Times New Roman" w:hAnsi="Times New Roman" w:cs="Times New Roman"/>
                <w:color w:val="000000"/>
                <w:sz w:val="24"/>
                <w:szCs w:val="24"/>
                <w:lang w:eastAsia="en-GB"/>
              </w:rPr>
              <w:fldChar w:fldCharType="begin"/>
            </w:r>
            <w:r>
              <w:rPr>
                <w:rFonts w:ascii="Times New Roman" w:eastAsia="Times New Roman" w:hAnsi="Times New Roman" w:cs="Times New Roman"/>
                <w:color w:val="000000"/>
                <w:sz w:val="24"/>
                <w:szCs w:val="24"/>
                <w:lang w:eastAsia="en-GB"/>
              </w:rPr>
              <w:instrText xml:space="preserve"> ADDIN EN.CITE &lt;EndNote&gt;&lt;Cite&gt;&lt;Author&gt;Sud&lt;/Author&gt;&lt;Year&gt;2020&lt;/Year&gt;&lt;RecNum&gt;15&lt;/RecNum&gt;&lt;DisplayText&gt;&lt;style font="Arial"&gt;[6]&lt;/style&gt;&lt;/DisplayText&gt;&lt;record&gt;&lt;rec-number&gt;15&lt;/rec-number&gt;&lt;foreign-keys&gt;&lt;key app="EN" db-id="wwrs259rt90za9eeffm59s9yra2fw0twarew" timestamp="1673348893"&gt;15&lt;/key&gt;&lt;/foreign-keys&gt;&lt;ref-type name="Journal Article"&gt;17&lt;/ref-type&gt;&lt;contributors&gt;&lt;authors&gt;&lt;author&gt;Sud, Amit&lt;/author&gt;&lt;author&gt;Torr, Bethany&lt;/author&gt;&lt;author&gt;Jones, Michael E.&lt;/author&gt;&lt;author&gt;Broggio, John&lt;/author&gt;&lt;author&gt;Scott, Stephen&lt;/author&gt;&lt;author&gt;Loveday, Chey&lt;/author&gt;&lt;author&gt;Garrett, Alice&lt;/author&gt;&lt;author&gt;Gronthoud, Firza&lt;/author&gt;&lt;author&gt;Nicol, David L.&lt;/author&gt;&lt;author&gt;Jhanji, Shaman&lt;/author&gt;&lt;author&gt;Boyce, Stephen A.&lt;/author&gt;&lt;author&gt;Williams, Matthew&lt;/author&gt;&lt;author&gt;Riboli, Elio&lt;/author&gt;&lt;author&gt;Muller, David C.&lt;/author&gt;&lt;author&gt;Kipps, Emma&lt;/author&gt;&lt;author&gt;Larkin, James&lt;/author&gt;&lt;author&gt;Navani, Neal&lt;/author&gt;&lt;author&gt;Swanton, Charles&lt;/author&gt;&lt;author&gt;Lyratzopoulos, Georgios&lt;/author&gt;&lt;author&gt;McFerran, Ethna&lt;/author&gt;&lt;author&gt;Lawler, Mark&lt;/author&gt;&lt;author&gt;Houlston, Richard&lt;/author&gt;&lt;author&gt;Turnbull, Clare&lt;/author&gt;&lt;/authors&gt;&lt;/contributors&gt;&lt;titles&gt;&lt;title&gt;Effect of delays in the 2-week-wait cancer referral pathway during the COVID-19 pandemic on cancer survival in the UK: a modelling study&lt;/title&gt;&lt;secondary-title&gt;The Lancet Oncology&lt;/secondary-title&gt;&lt;/titles&gt;&lt;periodical&gt;&lt;full-title&gt;The Lancet Oncology&lt;/full-title&gt;&lt;/periodical&gt;&lt;pages&gt;1035-1044&lt;/pages&gt;&lt;volume&gt;21&lt;/volume&gt;&lt;number&gt;8&lt;/number&gt;&lt;dates&gt;&lt;year&gt;2020&lt;/year&gt;&lt;/dates&gt;&lt;publisher&gt;Elsevier&lt;/publisher&gt;&lt;isbn&gt;1470-2045&lt;/isbn&gt;&lt;urls&gt;&lt;related-urls&gt;&lt;url&gt;https://doi.org/10.1016/S1470-2045(20)30392-2&lt;/url&gt;&lt;/related-urls&gt;&lt;/urls&gt;&lt;electronic-resource-num&gt;10.1016/S1470-2045(20)30392-2&lt;/electronic-resource-num&gt;&lt;access-date&gt;2023/01/10&lt;/access-date&gt;&lt;/record&gt;&lt;/Cite&gt;&lt;/EndNote&gt;</w:instrText>
            </w:r>
            <w:r w:rsidRPr="002505B8">
              <w:rPr>
                <w:rFonts w:ascii="Times New Roman" w:eastAsia="Times New Roman" w:hAnsi="Times New Roman" w:cs="Times New Roman"/>
                <w:color w:val="000000"/>
                <w:sz w:val="24"/>
                <w:szCs w:val="24"/>
                <w:lang w:eastAsia="en-GB"/>
              </w:rPr>
              <w:fldChar w:fldCharType="separate"/>
            </w:r>
            <w:r w:rsidRPr="002505B8">
              <w:rPr>
                <w:rFonts w:ascii="Arial" w:eastAsia="Times New Roman" w:hAnsi="Arial" w:cs="Arial"/>
                <w:noProof/>
                <w:color w:val="000000"/>
                <w:sz w:val="24"/>
                <w:szCs w:val="24"/>
                <w:lang w:eastAsia="en-GB"/>
              </w:rPr>
              <w:t>[6]</w:t>
            </w:r>
            <w:r w:rsidRPr="002505B8">
              <w:rPr>
                <w:rFonts w:ascii="Times New Roman" w:eastAsia="Times New Roman" w:hAnsi="Times New Roman" w:cs="Times New Roman"/>
                <w:color w:val="000000"/>
                <w:sz w:val="24"/>
                <w:szCs w:val="24"/>
                <w:lang w:eastAsia="en-GB"/>
              </w:rPr>
              <w:fldChar w:fldCharType="end"/>
            </w:r>
            <w:r w:rsidRPr="002505B8">
              <w:rPr>
                <w:rFonts w:ascii="Times New Roman" w:eastAsia="Times New Roman" w:hAnsi="Times New Roman" w:cs="Times New Roman"/>
                <w:color w:val="000000"/>
                <w:sz w:val="24"/>
                <w:szCs w:val="24"/>
                <w:lang w:eastAsia="en-GB"/>
              </w:rPr>
              <w:t xml:space="preserve">. To apply these estimates, we used the age groups for each cancer pathway as reported in the Routes to Diagnosis data 2013-2016 </w:t>
            </w:r>
            <w:r w:rsidRPr="002505B8">
              <w:rPr>
                <w:rFonts w:ascii="Times New Roman" w:eastAsia="Times New Roman" w:hAnsi="Times New Roman" w:cs="Times New Roman"/>
                <w:color w:val="000000"/>
                <w:sz w:val="24"/>
                <w:szCs w:val="24"/>
                <w:lang w:eastAsia="en-GB"/>
              </w:rPr>
              <w:fldChar w:fldCharType="begin"/>
            </w:r>
            <w:r>
              <w:rPr>
                <w:rFonts w:ascii="Times New Roman" w:eastAsia="Times New Roman" w:hAnsi="Times New Roman" w:cs="Times New Roman"/>
                <w:color w:val="000000"/>
                <w:sz w:val="24"/>
                <w:szCs w:val="24"/>
                <w:lang w:eastAsia="en-GB"/>
              </w:rPr>
              <w:instrText xml:space="preserve"> ADDIN EN.CITE &lt;EndNote&gt;&lt;Cite&gt;&lt;Author&gt;National Cancer Registration and Analysis Service (NCRAS)&lt;/Author&gt;&lt;Year&gt;2018&lt;/Year&gt;&lt;RecNum&gt;16&lt;/RecNum&gt;&lt;DisplayText&gt;&lt;style font="Arial"&gt;[7]&lt;/style&gt;&lt;/DisplayText&gt;&lt;record&gt;&lt;rec-number&gt;16&lt;/rec-number&gt;&lt;foreign-keys&gt;&lt;key app="EN" db-id="wwrs259rt90za9eeffm59s9yra2fw0twarew" timestamp="1674743696"&gt;16&lt;/key&gt;&lt;key app="ENWeb" db-id=""&gt;0&lt;/key&gt;&lt;/foreign-keys&gt;&lt;ref-type name="Report"&gt;27&lt;/ref-type&gt;&lt;contributors&gt;&lt;authors&gt;&lt;author&gt;National Cancer Registration and Analysis Service (NCRAS), &lt;/author&gt;&lt;author&gt;Public Health England,.&lt;/author&gt;&lt;/authors&gt;&lt;/contributors&gt;&lt;titles&gt;&lt;title&gt;Routes to diagnosis 2013-2016&lt;/title&gt;&lt;/titles&gt;&lt;dates&gt;&lt;year&gt;2018&lt;/year&gt;&lt;/dates&gt;&lt;urls&gt;&lt;related-urls&gt;&lt;url&gt;http://www.ncin.org.uk/publications/routes_to_diagnosis&lt;/url&gt;&lt;/related-urls&gt;&lt;/urls&gt;&lt;access-date&gt;16/11/2022&lt;/access-date&gt;&lt;/record&gt;&lt;/Cite&gt;&lt;/EndNote&gt;</w:instrText>
            </w:r>
            <w:r w:rsidRPr="002505B8">
              <w:rPr>
                <w:rFonts w:ascii="Times New Roman" w:eastAsia="Times New Roman" w:hAnsi="Times New Roman" w:cs="Times New Roman"/>
                <w:color w:val="000000"/>
                <w:sz w:val="24"/>
                <w:szCs w:val="24"/>
                <w:lang w:eastAsia="en-GB"/>
              </w:rPr>
              <w:fldChar w:fldCharType="separate"/>
            </w:r>
            <w:r w:rsidRPr="002505B8">
              <w:rPr>
                <w:rFonts w:ascii="Arial" w:eastAsia="Times New Roman" w:hAnsi="Arial" w:cs="Arial"/>
                <w:noProof/>
                <w:color w:val="000000"/>
                <w:sz w:val="24"/>
                <w:szCs w:val="24"/>
                <w:lang w:eastAsia="en-GB"/>
              </w:rPr>
              <w:t>[7]</w:t>
            </w:r>
            <w:r w:rsidRPr="002505B8">
              <w:rPr>
                <w:rFonts w:ascii="Times New Roman" w:eastAsia="Times New Roman" w:hAnsi="Times New Roman" w:cs="Times New Roman"/>
                <w:color w:val="000000"/>
                <w:sz w:val="24"/>
                <w:szCs w:val="24"/>
                <w:lang w:eastAsia="en-GB"/>
              </w:rPr>
              <w:fldChar w:fldCharType="end"/>
            </w:r>
            <w:r w:rsidRPr="002505B8">
              <w:rPr>
                <w:rFonts w:ascii="Times New Roman" w:eastAsia="Times New Roman" w:hAnsi="Times New Roman" w:cs="Times New Roman"/>
                <w:color w:val="000000"/>
                <w:sz w:val="24"/>
                <w:szCs w:val="24"/>
                <w:lang w:eastAsia="en-GB"/>
              </w:rPr>
              <w:t xml:space="preserve"> (</w:t>
            </w:r>
            <w:r w:rsidRPr="002505B8">
              <w:rPr>
                <w:rFonts w:ascii="Times New Roman" w:eastAsia="Times New Roman" w:hAnsi="Times New Roman" w:cs="Times New Roman"/>
                <w:b/>
                <w:bCs/>
                <w:color w:val="000000"/>
                <w:sz w:val="24"/>
                <w:szCs w:val="24"/>
                <w:lang w:eastAsia="en-GB"/>
              </w:rPr>
              <w:t>Table 1</w:t>
            </w:r>
            <w:r w:rsidRPr="002505B8">
              <w:rPr>
                <w:rFonts w:ascii="Times New Roman" w:eastAsia="Times New Roman" w:hAnsi="Times New Roman" w:cs="Times New Roman"/>
                <w:color w:val="000000"/>
                <w:sz w:val="24"/>
                <w:szCs w:val="24"/>
                <w:lang w:eastAsia="en-GB"/>
              </w:rPr>
              <w:t>). Life years lost were discounted at 3.5% per year based on the NICE discount rate.</w:t>
            </w:r>
          </w:p>
          <w:p w14:paraId="576AF355" w14:textId="77777777" w:rsidR="002505B8" w:rsidRPr="002505B8" w:rsidRDefault="002505B8" w:rsidP="002505B8">
            <w:pPr>
              <w:spacing w:after="120"/>
              <w:contextualSpacing/>
              <w:rPr>
                <w:rFonts w:ascii="Times New Roman" w:eastAsia="Times New Roman" w:hAnsi="Times New Roman" w:cs="Times New Roman"/>
                <w:color w:val="000000"/>
                <w:sz w:val="24"/>
                <w:szCs w:val="24"/>
                <w:lang w:eastAsia="en-GB"/>
              </w:rPr>
            </w:pPr>
            <w:r w:rsidRPr="002505B8">
              <w:rPr>
                <w:rFonts w:ascii="Times New Roman" w:eastAsia="Times New Roman" w:hAnsi="Times New Roman" w:cs="Times New Roman"/>
                <w:color w:val="000000"/>
                <w:sz w:val="24"/>
                <w:szCs w:val="24"/>
                <w:lang w:eastAsia="en-GB"/>
              </w:rPr>
              <w:t xml:space="preserve">In the models, individuals with cancer who </w:t>
            </w:r>
            <w:proofErr w:type="gramStart"/>
            <w:r w:rsidRPr="002505B8">
              <w:rPr>
                <w:rFonts w:ascii="Times New Roman" w:eastAsia="Times New Roman" w:hAnsi="Times New Roman" w:cs="Times New Roman"/>
                <w:color w:val="000000"/>
                <w:sz w:val="24"/>
                <w:szCs w:val="24"/>
                <w:lang w:eastAsia="en-GB"/>
              </w:rPr>
              <w:t>have to</w:t>
            </w:r>
            <w:proofErr w:type="gramEnd"/>
            <w:r w:rsidRPr="002505B8">
              <w:rPr>
                <w:rFonts w:ascii="Times New Roman" w:eastAsia="Times New Roman" w:hAnsi="Times New Roman" w:cs="Times New Roman"/>
                <w:color w:val="000000"/>
                <w:sz w:val="24"/>
                <w:szCs w:val="24"/>
                <w:lang w:eastAsia="en-GB"/>
              </w:rPr>
              <w:t xml:space="preserve"> wait longer than 28 days are assumed to experience a 2-month delay decrement to their 10-year survival due to the detrimental impact of waiting for cancer treatment. Similarly, in the triage and prioritisation use case, missed cases are assumed to experience a 6-month delay decrement to their 10-year survival following an incorrect low risk result. The total life years gained (LYG) were estimated comparing the total life years lost between standard care and </w:t>
            </w:r>
            <w:proofErr w:type="spellStart"/>
            <w:r w:rsidRPr="002505B8">
              <w:rPr>
                <w:rFonts w:ascii="Times New Roman" w:eastAsia="Times New Roman" w:hAnsi="Times New Roman" w:cs="Times New Roman"/>
                <w:color w:val="000000"/>
                <w:sz w:val="24"/>
                <w:szCs w:val="24"/>
                <w:lang w:eastAsia="en-GB"/>
              </w:rPr>
              <w:t>PinPoint</w:t>
            </w:r>
            <w:proofErr w:type="spellEnd"/>
            <w:r w:rsidRPr="002505B8">
              <w:rPr>
                <w:rFonts w:ascii="Times New Roman" w:eastAsia="Times New Roman" w:hAnsi="Times New Roman" w:cs="Times New Roman"/>
                <w:color w:val="000000"/>
                <w:sz w:val="24"/>
                <w:szCs w:val="24"/>
                <w:lang w:eastAsia="en-GB"/>
              </w:rPr>
              <w:t xml:space="preserve"> test arm.  </w:t>
            </w:r>
          </w:p>
          <w:p w14:paraId="0E302BA9" w14:textId="3D05F4CC" w:rsidR="002505B8" w:rsidRPr="00E7546E" w:rsidRDefault="002505B8" w:rsidP="002505B8">
            <w:pPr>
              <w:spacing w:after="120"/>
              <w:contextualSpacing/>
              <w:rPr>
                <w:rFonts w:ascii="Times New Roman" w:eastAsia="Times New Roman" w:hAnsi="Times New Roman" w:cs="Times New Roman"/>
                <w:color w:val="000000"/>
                <w:sz w:val="24"/>
                <w:szCs w:val="24"/>
                <w:lang w:eastAsia="en-GB"/>
              </w:rPr>
            </w:pPr>
            <w:r w:rsidRPr="002505B8">
              <w:rPr>
                <w:rFonts w:ascii="Times New Roman" w:eastAsia="Times New Roman" w:hAnsi="Times New Roman" w:cs="Times New Roman"/>
                <w:color w:val="000000"/>
                <w:sz w:val="24"/>
                <w:szCs w:val="24"/>
                <w:lang w:eastAsia="en-GB"/>
              </w:rPr>
              <w:t xml:space="preserve">In addition, to enable the standard cost-effectiveness calculations to be undertaken, we estimated the incremental net monetary benefit (INMB) comparing the </w:t>
            </w:r>
            <w:proofErr w:type="spellStart"/>
            <w:r w:rsidRPr="002505B8">
              <w:rPr>
                <w:rFonts w:ascii="Times New Roman" w:eastAsia="Times New Roman" w:hAnsi="Times New Roman" w:cs="Times New Roman"/>
                <w:color w:val="000000"/>
                <w:sz w:val="24"/>
                <w:szCs w:val="24"/>
                <w:lang w:eastAsia="en-GB"/>
              </w:rPr>
              <w:t>PinPoint</w:t>
            </w:r>
            <w:proofErr w:type="spellEnd"/>
            <w:r w:rsidRPr="002505B8">
              <w:rPr>
                <w:rFonts w:ascii="Times New Roman" w:eastAsia="Times New Roman" w:hAnsi="Times New Roman" w:cs="Times New Roman"/>
                <w:color w:val="000000"/>
                <w:sz w:val="24"/>
                <w:szCs w:val="24"/>
                <w:lang w:eastAsia="en-GB"/>
              </w:rPr>
              <w:t xml:space="preserve"> test against standard care, using the NICE willingness-to-pay (WTP) threshold of £20,000 per quality-adjusted life year (QALY) gained. There is currently, however, a lack of data on the impact of short-term delays to diagnosis of cancer on long-term health-related quality-of-life (</w:t>
            </w:r>
            <w:proofErr w:type="spellStart"/>
            <w:r w:rsidRPr="002505B8">
              <w:rPr>
                <w:rFonts w:ascii="Times New Roman" w:eastAsia="Times New Roman" w:hAnsi="Times New Roman" w:cs="Times New Roman"/>
                <w:color w:val="000000"/>
                <w:sz w:val="24"/>
                <w:szCs w:val="24"/>
                <w:lang w:eastAsia="en-GB"/>
              </w:rPr>
              <w:t>HRQoL</w:t>
            </w:r>
            <w:proofErr w:type="spellEnd"/>
            <w:r w:rsidRPr="002505B8">
              <w:rPr>
                <w:rFonts w:ascii="Times New Roman" w:eastAsia="Times New Roman" w:hAnsi="Times New Roman" w:cs="Times New Roman"/>
                <w:color w:val="000000"/>
                <w:sz w:val="24"/>
                <w:szCs w:val="24"/>
                <w:lang w:eastAsia="en-GB"/>
              </w:rPr>
              <w:t>). We therefore assumed no quality-of-life impact of delayed or faster diagnosis for patients with cancer – the QALYs gained are therefore based solely on the LYG.</w:t>
            </w:r>
          </w:p>
        </w:tc>
      </w:tr>
      <w:tr w:rsidR="009744C0" w:rsidRPr="00E7546E" w14:paraId="1461ECE6" w14:textId="77777777" w:rsidTr="00646FF2">
        <w:tc>
          <w:tcPr>
            <w:tcW w:w="2457" w:type="dxa"/>
          </w:tcPr>
          <w:p w14:paraId="661FA5EC"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lastRenderedPageBreak/>
              <w:t>Algorithms</w:t>
            </w:r>
          </w:p>
        </w:tc>
        <w:tc>
          <w:tcPr>
            <w:tcW w:w="827" w:type="dxa"/>
          </w:tcPr>
          <w:p w14:paraId="672D3D67"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2.4</w:t>
            </w:r>
          </w:p>
        </w:tc>
        <w:tc>
          <w:tcPr>
            <w:tcW w:w="11742" w:type="dxa"/>
            <w:gridSpan w:val="2"/>
          </w:tcPr>
          <w:p w14:paraId="39527513" w14:textId="2CF0B06E"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See Technical documentation - available upon request</w:t>
            </w:r>
          </w:p>
          <w:p w14:paraId="28AD2BCD" w14:textId="50104FEF" w:rsidR="00D42E05" w:rsidRPr="00E7546E" w:rsidRDefault="00D42E05"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This section explains the </w:t>
            </w:r>
            <w:r w:rsidR="00AB71C1" w:rsidRPr="00E7546E">
              <w:rPr>
                <w:rFonts w:ascii="Times New Roman" w:eastAsia="Times New Roman" w:hAnsi="Times New Roman" w:cs="Times New Roman"/>
                <w:color w:val="000000"/>
                <w:sz w:val="24"/>
                <w:szCs w:val="24"/>
                <w:lang w:eastAsia="en-GB"/>
              </w:rPr>
              <w:t>following simulation logics:</w:t>
            </w:r>
          </w:p>
          <w:p w14:paraId="1CD75859" w14:textId="26E84BD7" w:rsidR="00AB71C1" w:rsidRPr="00E7546E" w:rsidRDefault="00511B9C" w:rsidP="00AB71C1">
            <w:pPr>
              <w:pStyle w:val="ListParagraph"/>
              <w:numPr>
                <w:ilvl w:val="0"/>
                <w:numId w:val="13"/>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Estimation of patients entering the model each model &amp; clock </w:t>
            </w:r>
            <w:proofErr w:type="gramStart"/>
            <w:r w:rsidRPr="00E7546E">
              <w:rPr>
                <w:rFonts w:ascii="Times New Roman" w:eastAsia="Times New Roman" w:hAnsi="Times New Roman" w:cs="Times New Roman"/>
                <w:color w:val="000000"/>
                <w:sz w:val="24"/>
                <w:szCs w:val="24"/>
                <w:lang w:eastAsia="en-GB"/>
              </w:rPr>
              <w:t>properties</w:t>
            </w:r>
            <w:proofErr w:type="gramEnd"/>
          </w:p>
          <w:p w14:paraId="316EA087" w14:textId="7173A8FA" w:rsidR="00975E90" w:rsidRPr="00E7546E" w:rsidRDefault="00D72468" w:rsidP="003F4E7A">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both models, on the first minute (9:00am) of the first day of each month, a certain cohort of patients enter the ‘Start Point’ depending on the month-specific number of patients referred to the suspected urological cancer pathway. </w:t>
            </w:r>
            <w:r w:rsidR="002E47FF" w:rsidRPr="00E7546E">
              <w:rPr>
                <w:rFonts w:ascii="Times New Roman" w:eastAsia="Times New Roman" w:hAnsi="Times New Roman" w:cs="Times New Roman"/>
                <w:color w:val="000000"/>
                <w:sz w:val="24"/>
                <w:szCs w:val="24"/>
                <w:lang w:eastAsia="en-GB"/>
              </w:rPr>
              <w:t xml:space="preserve">The timing of ‘Start Point’ is set equal to a global variable called ‘X1’ which enables the new patient arrivals only once a month. The global variable X1 reflects the SIMUL8 minutes required until the beginning of the next month depending on the number of working days in the month being simulated. Based on the NHS England Waiting Time Statistics, it is unknown the exact day when patients are </w:t>
            </w:r>
            <w:r w:rsidR="00FB6872">
              <w:rPr>
                <w:rFonts w:ascii="Times New Roman" w:eastAsia="Times New Roman" w:hAnsi="Times New Roman" w:cs="Times New Roman"/>
                <w:color w:val="000000"/>
                <w:sz w:val="24"/>
                <w:szCs w:val="24"/>
                <w:lang w:eastAsia="en-GB"/>
              </w:rPr>
              <w:t xml:space="preserve">urgently </w:t>
            </w:r>
            <w:r w:rsidR="002E47FF" w:rsidRPr="00E7546E">
              <w:rPr>
                <w:rFonts w:ascii="Times New Roman" w:eastAsia="Times New Roman" w:hAnsi="Times New Roman" w:cs="Times New Roman"/>
                <w:color w:val="000000"/>
                <w:sz w:val="24"/>
                <w:szCs w:val="24"/>
                <w:lang w:eastAsia="en-GB"/>
              </w:rPr>
              <w:t>referred to secondary care for further cancer investigation. It is therefore assumed that at the beginning of each month a cohort of patients with a different size enters the models</w:t>
            </w:r>
          </w:p>
          <w:p w14:paraId="296E3232" w14:textId="148914FF" w:rsidR="003F4E7A" w:rsidRPr="00E7546E" w:rsidRDefault="00D72468" w:rsidP="003F4E7A">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Using the ‘Time Check Logic’ VL every minute, the simulation identifies what month is being simulated based on the Simulation time global variable and the total (cumulative) number of working days in each month. Once the current </w:t>
            </w:r>
            <w:r w:rsidRPr="00E7546E">
              <w:rPr>
                <w:rFonts w:ascii="Times New Roman" w:eastAsia="Times New Roman" w:hAnsi="Times New Roman" w:cs="Times New Roman"/>
                <w:color w:val="000000"/>
                <w:sz w:val="24"/>
                <w:szCs w:val="24"/>
                <w:lang w:eastAsia="en-GB"/>
              </w:rPr>
              <w:lastRenderedPageBreak/>
              <w:t xml:space="preserve">month is identified, the ‘Inter arrival time and maximum daily capacity calculation’ VL </w:t>
            </w:r>
            <w:r w:rsidR="00975E90" w:rsidRPr="00E7546E">
              <w:rPr>
                <w:rFonts w:ascii="Times New Roman" w:eastAsia="Times New Roman" w:hAnsi="Times New Roman" w:cs="Times New Roman"/>
                <w:color w:val="000000"/>
                <w:sz w:val="24"/>
                <w:szCs w:val="24"/>
                <w:lang w:eastAsia="en-GB"/>
              </w:rPr>
              <w:t>defines</w:t>
            </w:r>
            <w:r w:rsidRPr="00E7546E">
              <w:rPr>
                <w:rFonts w:ascii="Times New Roman" w:eastAsia="Times New Roman" w:hAnsi="Times New Roman" w:cs="Times New Roman"/>
                <w:color w:val="000000"/>
                <w:sz w:val="24"/>
                <w:szCs w:val="24"/>
                <w:lang w:eastAsia="en-GB"/>
              </w:rPr>
              <w:t xml:space="preserve"> the number of patients entering the models in that given month and maximum number of patients seen within two weeks depending on (</w:t>
            </w:r>
            <w:proofErr w:type="spellStart"/>
            <w:r w:rsidRPr="00E7546E">
              <w:rPr>
                <w:rFonts w:ascii="Times New Roman" w:eastAsia="Times New Roman" w:hAnsi="Times New Roman" w:cs="Times New Roman"/>
                <w:color w:val="000000"/>
                <w:sz w:val="24"/>
                <w:szCs w:val="24"/>
                <w:lang w:eastAsia="en-GB"/>
              </w:rPr>
              <w:t>i</w:t>
            </w:r>
            <w:proofErr w:type="spellEnd"/>
            <w:r w:rsidRPr="00E7546E">
              <w:rPr>
                <w:rFonts w:ascii="Times New Roman" w:eastAsia="Times New Roman" w:hAnsi="Times New Roman" w:cs="Times New Roman"/>
                <w:color w:val="000000"/>
                <w:sz w:val="24"/>
                <w:szCs w:val="24"/>
                <w:lang w:eastAsia="en-GB"/>
              </w:rPr>
              <w:t>) the volume of referrals and (ii) level of efficiency being simulated. The VL then reschedules the next arrival through the ‘Start Point’ based on the duration of the month of interest</w:t>
            </w:r>
            <w:r w:rsidR="002E47FF" w:rsidRPr="00E7546E">
              <w:rPr>
                <w:rFonts w:ascii="Times New Roman" w:eastAsia="Times New Roman" w:hAnsi="Times New Roman" w:cs="Times New Roman"/>
                <w:color w:val="000000"/>
                <w:sz w:val="24"/>
                <w:szCs w:val="24"/>
                <w:lang w:eastAsia="en-GB"/>
              </w:rPr>
              <w:t xml:space="preserve"> (X1)</w:t>
            </w:r>
            <w:r w:rsidRPr="00E7546E">
              <w:rPr>
                <w:rFonts w:ascii="Times New Roman" w:eastAsia="Times New Roman" w:hAnsi="Times New Roman" w:cs="Times New Roman"/>
                <w:color w:val="000000"/>
                <w:sz w:val="24"/>
                <w:szCs w:val="24"/>
                <w:lang w:eastAsia="en-GB"/>
              </w:rPr>
              <w:t>. This, in turn, allows for the models to have new patient arrivals at the beginning of every month</w:t>
            </w:r>
            <w:r w:rsidR="002E47FF" w:rsidRPr="00E7546E">
              <w:rPr>
                <w:rFonts w:ascii="Times New Roman" w:eastAsia="Times New Roman" w:hAnsi="Times New Roman" w:cs="Times New Roman"/>
                <w:color w:val="000000"/>
                <w:sz w:val="24"/>
                <w:szCs w:val="24"/>
                <w:lang w:eastAsia="en-GB"/>
              </w:rPr>
              <w:t>.</w:t>
            </w:r>
            <w:r w:rsidR="003F4E7A" w:rsidRPr="00E7546E">
              <w:rPr>
                <w:rFonts w:ascii="Times New Roman" w:eastAsia="Times New Roman" w:hAnsi="Times New Roman" w:cs="Times New Roman"/>
                <w:color w:val="000000"/>
                <w:sz w:val="24"/>
                <w:szCs w:val="24"/>
                <w:lang w:eastAsia="en-GB"/>
              </w:rPr>
              <w:t xml:space="preserve"> </w:t>
            </w:r>
            <w:r w:rsidR="00574D32" w:rsidRPr="00E7546E">
              <w:rPr>
                <w:rFonts w:ascii="Times New Roman" w:eastAsia="Times New Roman" w:hAnsi="Times New Roman" w:cs="Times New Roman"/>
                <w:color w:val="000000"/>
                <w:sz w:val="24"/>
                <w:szCs w:val="24"/>
                <w:lang w:eastAsia="en-GB"/>
              </w:rPr>
              <w:t xml:space="preserve">In addition to this, at the beginning of each month, the global variable ‘Patient Entering Clinic’ is reset to 0 to </w:t>
            </w:r>
            <w:r w:rsidR="002E61C6" w:rsidRPr="00E7546E">
              <w:rPr>
                <w:rFonts w:ascii="Times New Roman" w:eastAsia="Times New Roman" w:hAnsi="Times New Roman" w:cs="Times New Roman"/>
                <w:color w:val="000000"/>
                <w:sz w:val="24"/>
                <w:szCs w:val="24"/>
                <w:lang w:eastAsia="en-GB"/>
              </w:rPr>
              <w:t>properly simulate the ability of the secondary care clinic to see patients within two weeks upon GP referral</w:t>
            </w:r>
            <w:r w:rsidR="008B67EA" w:rsidRPr="00E7546E">
              <w:rPr>
                <w:rFonts w:ascii="Times New Roman" w:eastAsia="Times New Roman" w:hAnsi="Times New Roman" w:cs="Times New Roman"/>
                <w:color w:val="000000"/>
                <w:sz w:val="24"/>
                <w:szCs w:val="24"/>
                <w:lang w:eastAsia="en-GB"/>
              </w:rPr>
              <w:t xml:space="preserve"> based on the monthly NHS England Waiting Time data. </w:t>
            </w:r>
          </w:p>
          <w:p w14:paraId="38B237EB" w14:textId="15E69A22" w:rsidR="00511B9C" w:rsidRPr="00E7546E" w:rsidRDefault="00A11CB9" w:rsidP="00A11CB9">
            <w:pPr>
              <w:pStyle w:val="ListParagraph"/>
              <w:numPr>
                <w:ilvl w:val="0"/>
                <w:numId w:val="13"/>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‘Additional Waiting Time’ VL</w:t>
            </w:r>
          </w:p>
          <w:p w14:paraId="4AB3CA6A" w14:textId="4AC169B8" w:rsidR="00F518D0" w:rsidRPr="00E7546E" w:rsidRDefault="00E27D32" w:rsidP="00F518D0">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This logic applies to patients who are not seen in secondary care within two weeks. The simulation checks in what month the individual patient has entered the model. Based on the month of entry</w:t>
            </w:r>
            <w:r w:rsidR="00D80A86" w:rsidRPr="00E7546E">
              <w:rPr>
                <w:rFonts w:ascii="Times New Roman" w:eastAsia="Times New Roman" w:hAnsi="Times New Roman" w:cs="Times New Roman"/>
                <w:color w:val="000000"/>
                <w:sz w:val="24"/>
                <w:szCs w:val="24"/>
                <w:lang w:eastAsia="en-GB"/>
              </w:rPr>
              <w:t>, volume of referrals and level of efficiency</w:t>
            </w:r>
            <w:r w:rsidRPr="00E7546E">
              <w:rPr>
                <w:rFonts w:ascii="Times New Roman" w:eastAsia="Times New Roman" w:hAnsi="Times New Roman" w:cs="Times New Roman"/>
                <w:color w:val="000000"/>
                <w:sz w:val="24"/>
                <w:szCs w:val="24"/>
                <w:lang w:eastAsia="en-GB"/>
              </w:rPr>
              <w:t>,</w:t>
            </w:r>
            <w:r w:rsidR="00E31951" w:rsidRPr="00E7546E">
              <w:rPr>
                <w:rFonts w:ascii="Times New Roman" w:eastAsia="Times New Roman" w:hAnsi="Times New Roman" w:cs="Times New Roman"/>
                <w:color w:val="000000"/>
                <w:sz w:val="24"/>
                <w:szCs w:val="24"/>
                <w:lang w:eastAsia="en-GB"/>
              </w:rPr>
              <w:t xml:space="preserve"> for each patient</w:t>
            </w:r>
            <w:r w:rsidRPr="00E7546E">
              <w:rPr>
                <w:rFonts w:ascii="Times New Roman" w:eastAsia="Times New Roman" w:hAnsi="Times New Roman" w:cs="Times New Roman"/>
                <w:color w:val="000000"/>
                <w:sz w:val="24"/>
                <w:szCs w:val="24"/>
                <w:lang w:eastAsia="en-GB"/>
              </w:rPr>
              <w:t xml:space="preserve"> the simulation set</w:t>
            </w:r>
            <w:r w:rsidR="00E31951" w:rsidRPr="00E7546E">
              <w:rPr>
                <w:rFonts w:ascii="Times New Roman" w:eastAsia="Times New Roman" w:hAnsi="Times New Roman" w:cs="Times New Roman"/>
                <w:color w:val="000000"/>
                <w:sz w:val="24"/>
                <w:szCs w:val="24"/>
                <w:lang w:eastAsia="en-GB"/>
              </w:rPr>
              <w:t>s</w:t>
            </w:r>
            <w:r w:rsidRPr="00E7546E">
              <w:rPr>
                <w:rFonts w:ascii="Times New Roman" w:eastAsia="Times New Roman" w:hAnsi="Times New Roman" w:cs="Times New Roman"/>
                <w:color w:val="000000"/>
                <w:sz w:val="24"/>
                <w:szCs w:val="24"/>
                <w:lang w:eastAsia="en-GB"/>
              </w:rPr>
              <w:t xml:space="preserve"> the additional waiting time </w:t>
            </w:r>
            <w:r w:rsidR="00E31951" w:rsidRPr="00E7546E">
              <w:rPr>
                <w:rFonts w:ascii="Times New Roman" w:eastAsia="Times New Roman" w:hAnsi="Times New Roman" w:cs="Times New Roman"/>
                <w:color w:val="000000"/>
                <w:sz w:val="24"/>
                <w:szCs w:val="24"/>
                <w:lang w:eastAsia="en-GB"/>
              </w:rPr>
              <w:t xml:space="preserve">category </w:t>
            </w:r>
            <w:r w:rsidRPr="00E7546E">
              <w:rPr>
                <w:rFonts w:ascii="Times New Roman" w:eastAsia="Times New Roman" w:hAnsi="Times New Roman" w:cs="Times New Roman"/>
                <w:color w:val="000000"/>
                <w:sz w:val="24"/>
                <w:szCs w:val="24"/>
                <w:lang w:eastAsia="en-GB"/>
              </w:rPr>
              <w:t xml:space="preserve">(i.e. </w:t>
            </w:r>
            <w:proofErr w:type="spellStart"/>
            <w:r w:rsidRPr="00E7546E">
              <w:rPr>
                <w:rFonts w:ascii="Times New Roman" w:eastAsia="Times New Roman" w:hAnsi="Times New Roman" w:cs="Times New Roman"/>
                <w:color w:val="000000"/>
                <w:sz w:val="24"/>
                <w:szCs w:val="24"/>
                <w:lang w:eastAsia="en-GB"/>
              </w:rPr>
              <w:t>lbl_waiting</w:t>
            </w:r>
            <w:proofErr w:type="spellEnd"/>
            <w:r w:rsidRPr="00E7546E">
              <w:rPr>
                <w:rFonts w:ascii="Times New Roman" w:eastAsia="Times New Roman" w:hAnsi="Times New Roman" w:cs="Times New Roman"/>
                <w:color w:val="000000"/>
                <w:sz w:val="24"/>
                <w:szCs w:val="24"/>
                <w:lang w:eastAsia="en-GB"/>
              </w:rPr>
              <w:t xml:space="preserve"> time group) equal to the </w:t>
            </w:r>
            <w:r w:rsidR="00E31951" w:rsidRPr="00E7546E">
              <w:rPr>
                <w:rFonts w:ascii="Times New Roman" w:eastAsia="Times New Roman" w:hAnsi="Times New Roman" w:cs="Times New Roman"/>
                <w:color w:val="000000"/>
                <w:sz w:val="24"/>
                <w:szCs w:val="24"/>
                <w:lang w:eastAsia="en-GB"/>
              </w:rPr>
              <w:t xml:space="preserve">categorical </w:t>
            </w:r>
            <w:r w:rsidRPr="00E7546E">
              <w:rPr>
                <w:rFonts w:ascii="Times New Roman" w:eastAsia="Times New Roman" w:hAnsi="Times New Roman" w:cs="Times New Roman"/>
                <w:color w:val="000000"/>
                <w:sz w:val="24"/>
                <w:szCs w:val="24"/>
                <w:lang w:eastAsia="en-GB"/>
              </w:rPr>
              <w:t xml:space="preserve">month-specific distribution of additional delay, including </w:t>
            </w:r>
            <w:r w:rsidR="00250990" w:rsidRPr="00E7546E">
              <w:rPr>
                <w:rFonts w:ascii="Times New Roman" w:eastAsia="Times New Roman" w:hAnsi="Times New Roman" w:cs="Times New Roman"/>
                <w:color w:val="000000"/>
                <w:sz w:val="24"/>
                <w:szCs w:val="24"/>
                <w:lang w:eastAsia="en-GB"/>
              </w:rPr>
              <w:t>(</w:t>
            </w:r>
            <w:proofErr w:type="spellStart"/>
            <w:r w:rsidR="00250990" w:rsidRPr="00E7546E">
              <w:rPr>
                <w:rFonts w:ascii="Times New Roman" w:eastAsia="Times New Roman" w:hAnsi="Times New Roman" w:cs="Times New Roman"/>
                <w:color w:val="000000"/>
                <w:sz w:val="24"/>
                <w:szCs w:val="24"/>
                <w:lang w:eastAsia="en-GB"/>
              </w:rPr>
              <w:t>i</w:t>
            </w:r>
            <w:proofErr w:type="spellEnd"/>
            <w:r w:rsidR="00250990" w:rsidRPr="00E7546E">
              <w:rPr>
                <w:rFonts w:ascii="Times New Roman" w:eastAsia="Times New Roman" w:hAnsi="Times New Roman" w:cs="Times New Roman"/>
                <w:color w:val="000000"/>
                <w:sz w:val="24"/>
                <w:szCs w:val="24"/>
                <w:lang w:eastAsia="en-GB"/>
              </w:rPr>
              <w:t xml:space="preserve">) </w:t>
            </w:r>
            <w:r w:rsidR="004578A0" w:rsidRPr="00E7546E">
              <w:rPr>
                <w:rFonts w:ascii="Times New Roman" w:eastAsia="Times New Roman" w:hAnsi="Times New Roman" w:cs="Times New Roman"/>
                <w:color w:val="000000"/>
                <w:sz w:val="24"/>
                <w:szCs w:val="24"/>
                <w:lang w:eastAsia="en-GB"/>
              </w:rPr>
              <w:t>15 to 16 days</w:t>
            </w:r>
            <w:r w:rsidR="00D80A86" w:rsidRPr="00E7546E">
              <w:rPr>
                <w:rFonts w:ascii="Times New Roman" w:eastAsia="Times New Roman" w:hAnsi="Times New Roman" w:cs="Times New Roman"/>
                <w:color w:val="000000"/>
                <w:sz w:val="24"/>
                <w:szCs w:val="24"/>
                <w:lang w:eastAsia="en-GB"/>
              </w:rPr>
              <w:t xml:space="preserve"> (which correspond to 1 to 2 additional waiting days)</w:t>
            </w:r>
            <w:r w:rsidR="004578A0" w:rsidRPr="00E7546E">
              <w:rPr>
                <w:rFonts w:ascii="Times New Roman" w:eastAsia="Times New Roman" w:hAnsi="Times New Roman" w:cs="Times New Roman"/>
                <w:color w:val="000000"/>
                <w:sz w:val="24"/>
                <w:szCs w:val="24"/>
                <w:lang w:eastAsia="en-GB"/>
              </w:rPr>
              <w:t>; (ii) 17 to 21 days</w:t>
            </w:r>
            <w:r w:rsidR="00D80A86" w:rsidRPr="00E7546E">
              <w:rPr>
                <w:rFonts w:ascii="Times New Roman" w:eastAsia="Times New Roman" w:hAnsi="Times New Roman" w:cs="Times New Roman"/>
                <w:color w:val="000000"/>
                <w:sz w:val="24"/>
                <w:szCs w:val="24"/>
                <w:lang w:eastAsia="en-GB"/>
              </w:rPr>
              <w:t xml:space="preserve"> (which correspond to 3 to </w:t>
            </w:r>
            <w:r w:rsidR="00B942FB" w:rsidRPr="00E7546E">
              <w:rPr>
                <w:rFonts w:ascii="Times New Roman" w:eastAsia="Times New Roman" w:hAnsi="Times New Roman" w:cs="Times New Roman"/>
                <w:color w:val="000000"/>
                <w:sz w:val="24"/>
                <w:szCs w:val="24"/>
                <w:lang w:eastAsia="en-GB"/>
              </w:rPr>
              <w:t>7</w:t>
            </w:r>
            <w:r w:rsidR="00D80A86" w:rsidRPr="00E7546E">
              <w:rPr>
                <w:rFonts w:ascii="Times New Roman" w:eastAsia="Times New Roman" w:hAnsi="Times New Roman" w:cs="Times New Roman"/>
                <w:color w:val="000000"/>
                <w:sz w:val="24"/>
                <w:szCs w:val="24"/>
                <w:lang w:eastAsia="en-GB"/>
              </w:rPr>
              <w:t xml:space="preserve"> additional waiting days)</w:t>
            </w:r>
            <w:r w:rsidR="004578A0" w:rsidRPr="00E7546E">
              <w:rPr>
                <w:rFonts w:ascii="Times New Roman" w:eastAsia="Times New Roman" w:hAnsi="Times New Roman" w:cs="Times New Roman"/>
                <w:color w:val="000000"/>
                <w:sz w:val="24"/>
                <w:szCs w:val="24"/>
                <w:lang w:eastAsia="en-GB"/>
              </w:rPr>
              <w:t>; (iii) 22 to 28 days</w:t>
            </w:r>
            <w:r w:rsidR="00B942FB" w:rsidRPr="00E7546E">
              <w:rPr>
                <w:rFonts w:ascii="Times New Roman" w:eastAsia="Times New Roman" w:hAnsi="Times New Roman" w:cs="Times New Roman"/>
                <w:color w:val="000000"/>
                <w:sz w:val="24"/>
                <w:szCs w:val="24"/>
                <w:lang w:eastAsia="en-GB"/>
              </w:rPr>
              <w:t xml:space="preserve"> (which correspond to 8 to </w:t>
            </w:r>
            <w:r w:rsidR="006C1D43" w:rsidRPr="00E7546E">
              <w:rPr>
                <w:rFonts w:ascii="Times New Roman" w:eastAsia="Times New Roman" w:hAnsi="Times New Roman" w:cs="Times New Roman"/>
                <w:color w:val="000000"/>
                <w:sz w:val="24"/>
                <w:szCs w:val="24"/>
                <w:lang w:eastAsia="en-GB"/>
              </w:rPr>
              <w:t>14</w:t>
            </w:r>
            <w:r w:rsidR="00B942FB" w:rsidRPr="00E7546E">
              <w:rPr>
                <w:rFonts w:ascii="Times New Roman" w:eastAsia="Times New Roman" w:hAnsi="Times New Roman" w:cs="Times New Roman"/>
                <w:color w:val="000000"/>
                <w:sz w:val="24"/>
                <w:szCs w:val="24"/>
                <w:lang w:eastAsia="en-GB"/>
              </w:rPr>
              <w:t xml:space="preserve"> additional waiting days)</w:t>
            </w:r>
            <w:r w:rsidR="004578A0" w:rsidRPr="00E7546E">
              <w:rPr>
                <w:rFonts w:ascii="Times New Roman" w:eastAsia="Times New Roman" w:hAnsi="Times New Roman" w:cs="Times New Roman"/>
                <w:color w:val="000000"/>
                <w:sz w:val="24"/>
                <w:szCs w:val="24"/>
                <w:lang w:eastAsia="en-GB"/>
              </w:rPr>
              <w:t>; and (iv) after 28 days</w:t>
            </w:r>
            <w:r w:rsidR="006C1D43" w:rsidRPr="00E7546E">
              <w:rPr>
                <w:rFonts w:ascii="Times New Roman" w:eastAsia="Times New Roman" w:hAnsi="Times New Roman" w:cs="Times New Roman"/>
                <w:color w:val="000000"/>
                <w:sz w:val="24"/>
                <w:szCs w:val="24"/>
                <w:lang w:eastAsia="en-GB"/>
              </w:rPr>
              <w:t xml:space="preserve"> (which correspond to 15 to </w:t>
            </w:r>
            <w:r w:rsidR="00236EC2" w:rsidRPr="00E7546E">
              <w:rPr>
                <w:rFonts w:ascii="Times New Roman" w:eastAsia="Times New Roman" w:hAnsi="Times New Roman" w:cs="Times New Roman"/>
                <w:color w:val="000000"/>
                <w:sz w:val="24"/>
                <w:szCs w:val="24"/>
                <w:lang w:eastAsia="en-GB"/>
              </w:rPr>
              <w:t>16 additional waiting days)</w:t>
            </w:r>
            <w:r w:rsidR="004578A0" w:rsidRPr="00E7546E">
              <w:rPr>
                <w:rFonts w:ascii="Times New Roman" w:eastAsia="Times New Roman" w:hAnsi="Times New Roman" w:cs="Times New Roman"/>
                <w:color w:val="000000"/>
                <w:sz w:val="24"/>
                <w:szCs w:val="24"/>
                <w:lang w:eastAsia="en-GB"/>
              </w:rPr>
              <w:t xml:space="preserve">. </w:t>
            </w:r>
            <w:r w:rsidR="00236EC2" w:rsidRPr="00E7546E">
              <w:rPr>
                <w:rFonts w:ascii="Times New Roman" w:eastAsia="Times New Roman" w:hAnsi="Times New Roman" w:cs="Times New Roman"/>
                <w:color w:val="000000"/>
                <w:sz w:val="24"/>
                <w:szCs w:val="24"/>
                <w:lang w:eastAsia="en-GB"/>
              </w:rPr>
              <w:t xml:space="preserve">Note that a maximum of </w:t>
            </w:r>
            <w:r w:rsidR="00814A5E" w:rsidRPr="00E7546E">
              <w:rPr>
                <w:rFonts w:ascii="Times New Roman" w:eastAsia="Times New Roman" w:hAnsi="Times New Roman" w:cs="Times New Roman"/>
                <w:color w:val="000000"/>
                <w:sz w:val="24"/>
                <w:szCs w:val="24"/>
                <w:lang w:eastAsia="en-GB"/>
              </w:rPr>
              <w:t xml:space="preserve">30 days to be seen in secondary care assumed since the NHS England Waiting Time Statistics only reports the number of patients seen after 28 days without specifying the upper bound. </w:t>
            </w:r>
          </w:p>
          <w:p w14:paraId="212BC11C" w14:textId="75343E01" w:rsidR="00392830" w:rsidRPr="00E7546E" w:rsidRDefault="00392830" w:rsidP="00392830">
            <w:p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Because the NHS England Waiting Time Statistics reported additional waiting days categorically only, a uniform distribution was applied to estimate the additional waiting days for patients so that each value within the range was assumed to be likely to occur. </w:t>
            </w:r>
            <w:r w:rsidR="00A11D22" w:rsidRPr="00E7546E">
              <w:rPr>
                <w:rFonts w:ascii="Times New Roman" w:eastAsia="Times New Roman" w:hAnsi="Times New Roman" w:cs="Times New Roman"/>
                <w:color w:val="000000"/>
                <w:sz w:val="24"/>
                <w:szCs w:val="24"/>
                <w:lang w:eastAsia="en-GB"/>
              </w:rPr>
              <w:t>For each range, the simulated additional waiting time was</w:t>
            </w:r>
          </w:p>
          <w:p w14:paraId="3D6F9A43" w14:textId="714ABAB4" w:rsidR="00A11D22" w:rsidRPr="00E7546E" w:rsidRDefault="00A11D22" w:rsidP="00A11D22">
            <w:pPr>
              <w:pStyle w:val="ListParagraph"/>
              <w:numPr>
                <w:ilvl w:val="0"/>
                <w:numId w:val="14"/>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15 to 16 days (which correspond to 1 to 2 additional waiting days) = </w:t>
            </w:r>
            <w:r w:rsidR="00614FCB" w:rsidRPr="00E7546E">
              <w:rPr>
                <w:rFonts w:ascii="Times New Roman" w:eastAsia="Times New Roman" w:hAnsi="Times New Roman" w:cs="Times New Roman"/>
                <w:color w:val="000000"/>
                <w:sz w:val="24"/>
                <w:szCs w:val="24"/>
                <w:lang w:eastAsia="en-GB"/>
              </w:rPr>
              <w:t>U(</w:t>
            </w:r>
            <w:r w:rsidR="00531149" w:rsidRPr="00E7546E">
              <w:rPr>
                <w:rFonts w:ascii="Times New Roman" w:eastAsia="Times New Roman" w:hAnsi="Times New Roman" w:cs="Times New Roman"/>
                <w:color w:val="000000"/>
                <w:sz w:val="24"/>
                <w:szCs w:val="24"/>
                <w:lang w:eastAsia="en-GB"/>
              </w:rPr>
              <w:t>480, 959)</w:t>
            </w:r>
          </w:p>
          <w:p w14:paraId="4C40F4C4" w14:textId="0C7765F9" w:rsidR="00A11D22" w:rsidRPr="00E7546E" w:rsidRDefault="00A11D22" w:rsidP="00A11D22">
            <w:pPr>
              <w:pStyle w:val="ListParagraph"/>
              <w:numPr>
                <w:ilvl w:val="0"/>
                <w:numId w:val="14"/>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17 to 21 days (which correspond to 3 to 7 additional waiting days)</w:t>
            </w:r>
            <w:r w:rsidR="00531149" w:rsidRPr="00E7546E">
              <w:rPr>
                <w:rFonts w:ascii="Times New Roman" w:eastAsia="Times New Roman" w:hAnsi="Times New Roman" w:cs="Times New Roman"/>
                <w:color w:val="000000"/>
                <w:sz w:val="24"/>
                <w:szCs w:val="24"/>
                <w:lang w:eastAsia="en-GB"/>
              </w:rPr>
              <w:t xml:space="preserve"> = U(960, 3359)</w:t>
            </w:r>
          </w:p>
          <w:p w14:paraId="4C13B196" w14:textId="65826F75" w:rsidR="00A11D22" w:rsidRPr="00E7546E" w:rsidRDefault="00A11D22" w:rsidP="00A11D22">
            <w:pPr>
              <w:pStyle w:val="ListParagraph"/>
              <w:numPr>
                <w:ilvl w:val="0"/>
                <w:numId w:val="14"/>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22 to 28 days (which correspond to 8 to 14 additional waiting days)</w:t>
            </w:r>
            <w:r w:rsidR="00531149" w:rsidRPr="00E7546E">
              <w:rPr>
                <w:rFonts w:ascii="Times New Roman" w:eastAsia="Times New Roman" w:hAnsi="Times New Roman" w:cs="Times New Roman"/>
                <w:color w:val="000000"/>
                <w:sz w:val="24"/>
                <w:szCs w:val="24"/>
                <w:lang w:eastAsia="en-GB"/>
              </w:rPr>
              <w:t xml:space="preserve"> = </w:t>
            </w:r>
            <w:r w:rsidR="00EC06F2" w:rsidRPr="00E7546E">
              <w:rPr>
                <w:rFonts w:ascii="Times New Roman" w:eastAsia="Times New Roman" w:hAnsi="Times New Roman" w:cs="Times New Roman"/>
                <w:color w:val="000000"/>
                <w:sz w:val="24"/>
                <w:szCs w:val="24"/>
                <w:lang w:eastAsia="en-GB"/>
              </w:rPr>
              <w:t>U(3360, 6719)</w:t>
            </w:r>
          </w:p>
          <w:p w14:paraId="703BAB70" w14:textId="39DEE396" w:rsidR="00A11D22" w:rsidRPr="00E7546E" w:rsidRDefault="00A11D22" w:rsidP="00A11D22">
            <w:pPr>
              <w:pStyle w:val="ListParagraph"/>
              <w:numPr>
                <w:ilvl w:val="0"/>
                <w:numId w:val="14"/>
              </w:numPr>
              <w:spacing w:after="120"/>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after 28 days (which correspond to 15 to 16 additional waiting days)</w:t>
            </w:r>
            <w:r w:rsidR="00EC06F2" w:rsidRPr="00E7546E">
              <w:rPr>
                <w:rFonts w:ascii="Times New Roman" w:eastAsia="Times New Roman" w:hAnsi="Times New Roman" w:cs="Times New Roman"/>
                <w:color w:val="000000"/>
                <w:sz w:val="24"/>
                <w:szCs w:val="24"/>
                <w:lang w:eastAsia="en-GB"/>
              </w:rPr>
              <w:t xml:space="preserve"> = U(6720, 76</w:t>
            </w:r>
            <w:r w:rsidR="00316A9D" w:rsidRPr="00E7546E">
              <w:rPr>
                <w:rFonts w:ascii="Times New Roman" w:eastAsia="Times New Roman" w:hAnsi="Times New Roman" w:cs="Times New Roman"/>
                <w:color w:val="000000"/>
                <w:sz w:val="24"/>
                <w:szCs w:val="24"/>
                <w:lang w:eastAsia="en-GB"/>
              </w:rPr>
              <w:t>79)</w:t>
            </w:r>
          </w:p>
          <w:p w14:paraId="4D997D1F" w14:textId="2B622D86" w:rsidR="00DC0EFA" w:rsidRPr="00E7546E" w:rsidRDefault="00DC0EFA" w:rsidP="00316A9D">
            <w:pPr>
              <w:spacing w:after="120"/>
              <w:ind w:left="360"/>
              <w:rPr>
                <w:rFonts w:ascii="Times New Roman" w:eastAsia="Times New Roman" w:hAnsi="Times New Roman" w:cs="Times New Roman"/>
                <w:color w:val="000000"/>
                <w:sz w:val="24"/>
                <w:szCs w:val="24"/>
                <w:lang w:eastAsia="en-GB"/>
              </w:rPr>
            </w:pPr>
          </w:p>
        </w:tc>
      </w:tr>
      <w:tr w:rsidR="00BF2F9B" w:rsidRPr="00E7546E" w14:paraId="511B198A" w14:textId="77777777" w:rsidTr="005B2CE7">
        <w:trPr>
          <w:trHeight w:val="630"/>
        </w:trPr>
        <w:tc>
          <w:tcPr>
            <w:tcW w:w="2457" w:type="dxa"/>
            <w:vMerge w:val="restart"/>
          </w:tcPr>
          <w:p w14:paraId="0BC9F6D8" w14:textId="77777777" w:rsidR="00BF2F9B" w:rsidRPr="00E7546E" w:rsidRDefault="00BF2F9B"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lastRenderedPageBreak/>
              <w:t>Components</w:t>
            </w:r>
          </w:p>
        </w:tc>
        <w:tc>
          <w:tcPr>
            <w:tcW w:w="827" w:type="dxa"/>
            <w:vMerge w:val="restart"/>
          </w:tcPr>
          <w:p w14:paraId="5E0F744A" w14:textId="77777777" w:rsidR="00BF2F9B" w:rsidRPr="00E7546E" w:rsidRDefault="00BF2F9B"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2.5</w:t>
            </w:r>
          </w:p>
        </w:tc>
        <w:tc>
          <w:tcPr>
            <w:tcW w:w="2386" w:type="dxa"/>
          </w:tcPr>
          <w:p w14:paraId="6A742F31" w14:textId="1DE36BB8" w:rsidR="00BF2F9B" w:rsidRPr="00E7546E" w:rsidRDefault="005B2CE7"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2.5.1. </w:t>
            </w:r>
            <w:r w:rsidR="00BF2F9B" w:rsidRPr="00E7546E">
              <w:rPr>
                <w:rFonts w:ascii="Times New Roman" w:eastAsia="Times New Roman" w:hAnsi="Times New Roman" w:cs="Times New Roman"/>
                <w:color w:val="000000"/>
                <w:sz w:val="24"/>
                <w:szCs w:val="24"/>
                <w:lang w:eastAsia="en-GB"/>
              </w:rPr>
              <w:t>Entities</w:t>
            </w:r>
          </w:p>
        </w:tc>
        <w:tc>
          <w:tcPr>
            <w:tcW w:w="9356" w:type="dxa"/>
          </w:tcPr>
          <w:p w14:paraId="11ED2117" w14:textId="737A5745" w:rsidR="00BF2F9B" w:rsidRPr="00E7546E" w:rsidRDefault="00D12299" w:rsidP="00A25613">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Both models track </w:t>
            </w:r>
            <w:r w:rsidR="00E814CE" w:rsidRPr="00E7546E">
              <w:rPr>
                <w:rFonts w:ascii="Times New Roman" w:eastAsia="Times New Roman" w:hAnsi="Times New Roman" w:cs="Times New Roman"/>
                <w:color w:val="000000"/>
                <w:sz w:val="24"/>
                <w:szCs w:val="24"/>
                <w:lang w:eastAsia="en-GB"/>
              </w:rPr>
              <w:t xml:space="preserve">adult </w:t>
            </w:r>
            <w:r w:rsidRPr="00E7546E">
              <w:rPr>
                <w:rFonts w:ascii="Times New Roman" w:eastAsia="Times New Roman" w:hAnsi="Times New Roman" w:cs="Times New Roman"/>
                <w:color w:val="000000"/>
                <w:sz w:val="24"/>
                <w:szCs w:val="24"/>
                <w:lang w:eastAsia="en-GB"/>
              </w:rPr>
              <w:t>patients</w:t>
            </w:r>
            <w:r w:rsidR="00E814CE" w:rsidRPr="00E7546E">
              <w:rPr>
                <w:rFonts w:ascii="Times New Roman" w:eastAsia="Times New Roman" w:hAnsi="Times New Roman" w:cs="Times New Roman"/>
                <w:color w:val="000000"/>
                <w:sz w:val="24"/>
                <w:szCs w:val="24"/>
                <w:lang w:eastAsia="en-GB"/>
              </w:rPr>
              <w:t xml:space="preserve"> visiting their GP with symptoms indicative of urological cancer </w:t>
            </w:r>
            <w:r w:rsidR="00A25613" w:rsidRPr="00E7546E">
              <w:rPr>
                <w:rFonts w:ascii="Times New Roman" w:eastAsia="Times New Roman" w:hAnsi="Times New Roman" w:cs="Times New Roman"/>
                <w:color w:val="000000"/>
                <w:sz w:val="24"/>
                <w:szCs w:val="24"/>
                <w:lang w:eastAsia="en-GB"/>
              </w:rPr>
              <w:t xml:space="preserve">who meet the </w:t>
            </w:r>
            <w:r w:rsidR="009D3D66" w:rsidRPr="00E7546E">
              <w:rPr>
                <w:rFonts w:ascii="Times New Roman" w:eastAsia="Times New Roman" w:hAnsi="Times New Roman" w:cs="Times New Roman"/>
                <w:color w:val="000000"/>
                <w:sz w:val="24"/>
                <w:szCs w:val="24"/>
                <w:lang w:eastAsia="en-GB"/>
              </w:rPr>
              <w:t xml:space="preserve">National Institute for Health Care Excellence (NICE) </w:t>
            </w:r>
            <w:r w:rsidR="00A25613" w:rsidRPr="00E7546E">
              <w:rPr>
                <w:rFonts w:ascii="Times New Roman" w:eastAsia="Times New Roman" w:hAnsi="Times New Roman" w:cs="Times New Roman"/>
                <w:color w:val="000000"/>
                <w:sz w:val="24"/>
                <w:szCs w:val="24"/>
                <w:lang w:eastAsia="en-GB"/>
              </w:rPr>
              <w:t xml:space="preserve">NG12 </w:t>
            </w:r>
            <w:proofErr w:type="gramStart"/>
            <w:r w:rsidR="00A25613" w:rsidRPr="00E7546E">
              <w:rPr>
                <w:rFonts w:ascii="Times New Roman" w:eastAsia="Times New Roman" w:hAnsi="Times New Roman" w:cs="Times New Roman"/>
                <w:color w:val="000000"/>
                <w:sz w:val="24"/>
                <w:szCs w:val="24"/>
                <w:lang w:eastAsia="en-GB"/>
              </w:rPr>
              <w:t>two week</w:t>
            </w:r>
            <w:proofErr w:type="gramEnd"/>
            <w:r w:rsidR="00A25613" w:rsidRPr="00E7546E">
              <w:rPr>
                <w:rFonts w:ascii="Times New Roman" w:eastAsia="Times New Roman" w:hAnsi="Times New Roman" w:cs="Times New Roman"/>
                <w:color w:val="000000"/>
                <w:sz w:val="24"/>
                <w:szCs w:val="24"/>
                <w:lang w:eastAsia="en-GB"/>
              </w:rPr>
              <w:t xml:space="preserve"> referral criteria for further investigation in secondary care – either h</w:t>
            </w:r>
            <w:r w:rsidR="008A662A" w:rsidRPr="00E7546E">
              <w:rPr>
                <w:rFonts w:ascii="Times New Roman" w:eastAsia="Times New Roman" w:hAnsi="Times New Roman" w:cs="Times New Roman"/>
                <w:color w:val="000000"/>
                <w:sz w:val="24"/>
                <w:szCs w:val="24"/>
                <w:lang w:eastAsia="en-GB"/>
              </w:rPr>
              <w:t>igh prostate antigen specific (PSA) or</w:t>
            </w:r>
            <w:r w:rsidR="00603045" w:rsidRPr="00E7546E">
              <w:rPr>
                <w:rFonts w:ascii="Times New Roman" w:eastAsia="Times New Roman" w:hAnsi="Times New Roman" w:cs="Times New Roman"/>
                <w:color w:val="000000"/>
                <w:sz w:val="24"/>
                <w:szCs w:val="24"/>
                <w:lang w:eastAsia="en-GB"/>
              </w:rPr>
              <w:t xml:space="preserve"> haematuria</w:t>
            </w:r>
            <w:r w:rsidR="00E814CE" w:rsidRPr="00E7546E">
              <w:rPr>
                <w:rFonts w:ascii="Times New Roman" w:eastAsia="Times New Roman" w:hAnsi="Times New Roman" w:cs="Times New Roman"/>
                <w:color w:val="000000"/>
                <w:sz w:val="24"/>
                <w:szCs w:val="24"/>
                <w:lang w:eastAsia="en-GB"/>
              </w:rPr>
              <w:t xml:space="preserve"> for prostate cancer and kidney and bladder cancer, respectively</w:t>
            </w:r>
            <w:r w:rsidR="00A25613" w:rsidRPr="00E7546E">
              <w:rPr>
                <w:rFonts w:ascii="Times New Roman" w:eastAsia="Times New Roman" w:hAnsi="Times New Roman" w:cs="Times New Roman"/>
                <w:color w:val="000000"/>
                <w:sz w:val="24"/>
                <w:szCs w:val="24"/>
                <w:lang w:eastAsia="en-GB"/>
              </w:rPr>
              <w:t xml:space="preserve">. </w:t>
            </w:r>
          </w:p>
        </w:tc>
      </w:tr>
      <w:tr w:rsidR="00BF2F9B" w:rsidRPr="00E7546E" w14:paraId="51E1B529" w14:textId="77777777" w:rsidTr="005B2CE7">
        <w:trPr>
          <w:trHeight w:val="630"/>
        </w:trPr>
        <w:tc>
          <w:tcPr>
            <w:tcW w:w="2457" w:type="dxa"/>
            <w:vMerge/>
          </w:tcPr>
          <w:p w14:paraId="7E055BA5" w14:textId="77777777" w:rsidR="00BF2F9B" w:rsidRPr="00E7546E" w:rsidRDefault="00BF2F9B" w:rsidP="009744C0">
            <w:pPr>
              <w:spacing w:after="120"/>
              <w:contextualSpacing/>
              <w:rPr>
                <w:rFonts w:ascii="Times New Roman" w:eastAsia="Times New Roman" w:hAnsi="Times New Roman" w:cs="Times New Roman"/>
                <w:color w:val="000000"/>
                <w:sz w:val="24"/>
                <w:szCs w:val="24"/>
                <w:lang w:eastAsia="en-GB"/>
              </w:rPr>
            </w:pPr>
          </w:p>
        </w:tc>
        <w:tc>
          <w:tcPr>
            <w:tcW w:w="827" w:type="dxa"/>
            <w:vMerge/>
          </w:tcPr>
          <w:p w14:paraId="2E99B7C3" w14:textId="77777777" w:rsidR="00BF2F9B" w:rsidRPr="00E7546E" w:rsidRDefault="00BF2F9B" w:rsidP="009744C0">
            <w:pPr>
              <w:spacing w:after="120"/>
              <w:contextualSpacing/>
              <w:rPr>
                <w:rFonts w:ascii="Times New Roman" w:eastAsia="Times New Roman" w:hAnsi="Times New Roman" w:cs="Times New Roman"/>
                <w:color w:val="000000"/>
                <w:sz w:val="24"/>
                <w:szCs w:val="24"/>
                <w:lang w:eastAsia="en-GB"/>
              </w:rPr>
            </w:pPr>
          </w:p>
        </w:tc>
        <w:tc>
          <w:tcPr>
            <w:tcW w:w="2386" w:type="dxa"/>
          </w:tcPr>
          <w:p w14:paraId="5AB2B077" w14:textId="38A82B8A" w:rsidR="00BF2F9B" w:rsidRPr="00E7546E" w:rsidRDefault="005B2CE7"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2.5.2. </w:t>
            </w:r>
            <w:r w:rsidR="00BF2F9B" w:rsidRPr="00E7546E">
              <w:rPr>
                <w:rFonts w:ascii="Times New Roman" w:eastAsia="Times New Roman" w:hAnsi="Times New Roman" w:cs="Times New Roman"/>
                <w:color w:val="000000"/>
                <w:sz w:val="24"/>
                <w:szCs w:val="24"/>
                <w:lang w:eastAsia="en-GB"/>
              </w:rPr>
              <w:t>Activities</w:t>
            </w:r>
          </w:p>
        </w:tc>
        <w:tc>
          <w:tcPr>
            <w:tcW w:w="9356" w:type="dxa"/>
          </w:tcPr>
          <w:p w14:paraId="1D8762B6" w14:textId="307D0A81" w:rsidR="00BF2F9B" w:rsidRPr="00E7546E" w:rsidRDefault="006D676E" w:rsidP="009744C0">
            <w:pPr>
              <w:spacing w:after="120"/>
              <w:contextualSpacing/>
              <w:rPr>
                <w:rFonts w:ascii="Times New Roman" w:eastAsia="Times New Roman" w:hAnsi="Times New Roman" w:cs="Times New Roman"/>
                <w:b/>
                <w:bCs/>
                <w:color w:val="000000"/>
                <w:sz w:val="24"/>
                <w:szCs w:val="24"/>
                <w:lang w:eastAsia="en-GB"/>
              </w:rPr>
            </w:pPr>
            <w:r w:rsidRPr="00E7546E">
              <w:rPr>
                <w:rFonts w:ascii="Times New Roman" w:eastAsia="Times New Roman" w:hAnsi="Times New Roman" w:cs="Times New Roman"/>
                <w:color w:val="000000"/>
                <w:sz w:val="24"/>
                <w:szCs w:val="24"/>
                <w:lang w:eastAsia="en-GB"/>
              </w:rPr>
              <w:t>The key activities for both models are presented in Figure 1</w:t>
            </w:r>
            <w:r w:rsidR="00565C44" w:rsidRPr="00E7546E">
              <w:rPr>
                <w:rFonts w:ascii="Times New Roman" w:eastAsia="Times New Roman" w:hAnsi="Times New Roman" w:cs="Times New Roman"/>
                <w:color w:val="000000"/>
                <w:sz w:val="24"/>
                <w:szCs w:val="24"/>
                <w:lang w:eastAsia="en-GB"/>
              </w:rPr>
              <w:t xml:space="preserve"> and described in </w:t>
            </w:r>
            <w:r w:rsidR="00882F01" w:rsidRPr="00E7546E">
              <w:rPr>
                <w:rFonts w:ascii="Times New Roman" w:eastAsia="Times New Roman" w:hAnsi="Times New Roman" w:cs="Times New Roman"/>
                <w:color w:val="000000"/>
                <w:sz w:val="24"/>
                <w:szCs w:val="24"/>
                <w:lang w:eastAsia="en-GB"/>
              </w:rPr>
              <w:t>section 2.1 and 2.1.</w:t>
            </w:r>
            <w:r w:rsidR="00882F01" w:rsidRPr="00E7546E">
              <w:rPr>
                <w:rFonts w:ascii="Times New Roman" w:eastAsia="Times New Roman" w:hAnsi="Times New Roman" w:cs="Times New Roman"/>
                <w:b/>
                <w:bCs/>
                <w:color w:val="000000"/>
                <w:sz w:val="24"/>
                <w:szCs w:val="24"/>
                <w:lang w:eastAsia="en-GB"/>
              </w:rPr>
              <w:t xml:space="preserve"> </w:t>
            </w:r>
          </w:p>
          <w:p w14:paraId="4808C384" w14:textId="134171D4" w:rsidR="00A30DD1" w:rsidRPr="00E7546E" w:rsidRDefault="00A30DD1" w:rsidP="009744C0">
            <w:pPr>
              <w:spacing w:after="120"/>
              <w:contextualSpacing/>
              <w:rPr>
                <w:rFonts w:ascii="Times New Roman" w:eastAsia="Times New Roman" w:hAnsi="Times New Roman" w:cs="Times New Roman"/>
                <w:b/>
                <w:bCs/>
                <w:color w:val="000000"/>
                <w:sz w:val="24"/>
                <w:szCs w:val="24"/>
                <w:lang w:eastAsia="en-GB"/>
              </w:rPr>
            </w:pPr>
          </w:p>
          <w:p w14:paraId="50B88172" w14:textId="21595C52" w:rsidR="00A30DD1" w:rsidRPr="00E7546E" w:rsidRDefault="005C7783"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lastRenderedPageBreak/>
              <w:t xml:space="preserve">Each </w:t>
            </w:r>
            <w:r w:rsidR="00C70066" w:rsidRPr="00E7546E">
              <w:rPr>
                <w:rFonts w:ascii="Times New Roman" w:eastAsia="Times New Roman" w:hAnsi="Times New Roman" w:cs="Times New Roman"/>
                <w:color w:val="000000"/>
                <w:sz w:val="24"/>
                <w:szCs w:val="24"/>
                <w:lang w:eastAsia="en-GB"/>
              </w:rPr>
              <w:t>activity</w:t>
            </w:r>
            <w:r w:rsidRPr="00E7546E">
              <w:rPr>
                <w:rFonts w:ascii="Times New Roman" w:eastAsia="Times New Roman" w:hAnsi="Times New Roman" w:cs="Times New Roman"/>
                <w:color w:val="000000"/>
                <w:sz w:val="24"/>
                <w:szCs w:val="24"/>
                <w:lang w:eastAsia="en-GB"/>
              </w:rPr>
              <w:t xml:space="preserve"> is </w:t>
            </w:r>
            <w:r w:rsidR="00C70066" w:rsidRPr="00E7546E">
              <w:rPr>
                <w:rFonts w:ascii="Times New Roman" w:eastAsia="Times New Roman" w:hAnsi="Times New Roman" w:cs="Times New Roman"/>
                <w:color w:val="000000"/>
                <w:sz w:val="24"/>
                <w:szCs w:val="24"/>
                <w:lang w:eastAsia="en-GB"/>
              </w:rPr>
              <w:t>replicated for many times (</w:t>
            </w:r>
            <w:proofErr w:type="gramStart"/>
            <w:r w:rsidR="00C70066" w:rsidRPr="00E7546E">
              <w:rPr>
                <w:rFonts w:ascii="Times New Roman" w:eastAsia="Times New Roman" w:hAnsi="Times New Roman" w:cs="Times New Roman"/>
                <w:color w:val="000000"/>
                <w:sz w:val="24"/>
                <w:szCs w:val="24"/>
                <w:lang w:eastAsia="en-GB"/>
              </w:rPr>
              <w:t>i.e.</w:t>
            </w:r>
            <w:proofErr w:type="gramEnd"/>
            <w:r w:rsidR="00C70066" w:rsidRPr="00E7546E">
              <w:rPr>
                <w:rFonts w:ascii="Times New Roman" w:eastAsia="Times New Roman" w:hAnsi="Times New Roman" w:cs="Times New Roman"/>
                <w:color w:val="000000"/>
                <w:sz w:val="24"/>
                <w:szCs w:val="24"/>
                <w:lang w:eastAsia="en-GB"/>
              </w:rPr>
              <w:t xml:space="preserve"> 1,000) to ensure that there are no bottlenecks in the urological models. </w:t>
            </w:r>
            <w:r w:rsidR="00D56191" w:rsidRPr="00E7546E">
              <w:rPr>
                <w:rFonts w:ascii="Times New Roman" w:eastAsia="Times New Roman" w:hAnsi="Times New Roman" w:cs="Times New Roman"/>
                <w:color w:val="000000"/>
                <w:sz w:val="24"/>
                <w:szCs w:val="24"/>
                <w:lang w:eastAsia="en-GB"/>
              </w:rPr>
              <w:t xml:space="preserve"> </w:t>
            </w:r>
          </w:p>
          <w:p w14:paraId="5A2B8031" w14:textId="6DE29384" w:rsidR="006D676E" w:rsidRPr="00E7546E" w:rsidRDefault="006D676E" w:rsidP="009744C0">
            <w:pPr>
              <w:spacing w:after="120"/>
              <w:contextualSpacing/>
              <w:rPr>
                <w:rFonts w:ascii="Times New Roman" w:eastAsia="Times New Roman" w:hAnsi="Times New Roman" w:cs="Times New Roman"/>
                <w:color w:val="000000"/>
                <w:sz w:val="24"/>
                <w:szCs w:val="24"/>
                <w:lang w:eastAsia="en-GB"/>
              </w:rPr>
            </w:pPr>
          </w:p>
        </w:tc>
      </w:tr>
      <w:tr w:rsidR="00BF2F9B" w:rsidRPr="00E7546E" w14:paraId="6616DBEE" w14:textId="77777777" w:rsidTr="005B2CE7">
        <w:trPr>
          <w:trHeight w:val="630"/>
        </w:trPr>
        <w:tc>
          <w:tcPr>
            <w:tcW w:w="2457" w:type="dxa"/>
            <w:vMerge/>
          </w:tcPr>
          <w:p w14:paraId="5AEFCC2C" w14:textId="77777777" w:rsidR="00BF2F9B" w:rsidRPr="00E7546E" w:rsidRDefault="00BF2F9B" w:rsidP="009744C0">
            <w:pPr>
              <w:spacing w:after="120"/>
              <w:contextualSpacing/>
              <w:rPr>
                <w:rFonts w:ascii="Times New Roman" w:eastAsia="Times New Roman" w:hAnsi="Times New Roman" w:cs="Times New Roman"/>
                <w:color w:val="000000"/>
                <w:sz w:val="24"/>
                <w:szCs w:val="24"/>
                <w:lang w:eastAsia="en-GB"/>
              </w:rPr>
            </w:pPr>
          </w:p>
        </w:tc>
        <w:tc>
          <w:tcPr>
            <w:tcW w:w="827" w:type="dxa"/>
            <w:vMerge/>
          </w:tcPr>
          <w:p w14:paraId="3C788B80" w14:textId="77777777" w:rsidR="00BF2F9B" w:rsidRPr="00E7546E" w:rsidRDefault="00BF2F9B" w:rsidP="009744C0">
            <w:pPr>
              <w:spacing w:after="120"/>
              <w:contextualSpacing/>
              <w:rPr>
                <w:rFonts w:ascii="Times New Roman" w:eastAsia="Times New Roman" w:hAnsi="Times New Roman" w:cs="Times New Roman"/>
                <w:color w:val="000000"/>
                <w:sz w:val="24"/>
                <w:szCs w:val="24"/>
                <w:lang w:eastAsia="en-GB"/>
              </w:rPr>
            </w:pPr>
          </w:p>
        </w:tc>
        <w:tc>
          <w:tcPr>
            <w:tcW w:w="2386" w:type="dxa"/>
          </w:tcPr>
          <w:p w14:paraId="3D43FE52" w14:textId="3708DB17" w:rsidR="00BF2F9B" w:rsidRPr="00E7546E" w:rsidRDefault="005B2CE7"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2.5.3. Resources</w:t>
            </w:r>
          </w:p>
        </w:tc>
        <w:tc>
          <w:tcPr>
            <w:tcW w:w="9356" w:type="dxa"/>
          </w:tcPr>
          <w:p w14:paraId="778C8D55" w14:textId="452B8A89" w:rsidR="00BF2F9B" w:rsidRPr="00E7546E" w:rsidRDefault="005C05DC"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No resources were applied to the urological models. </w:t>
            </w:r>
          </w:p>
        </w:tc>
      </w:tr>
      <w:tr w:rsidR="00BF2F9B" w:rsidRPr="00E7546E" w14:paraId="7888AD77" w14:textId="77777777" w:rsidTr="005B2CE7">
        <w:trPr>
          <w:trHeight w:val="630"/>
        </w:trPr>
        <w:tc>
          <w:tcPr>
            <w:tcW w:w="2457" w:type="dxa"/>
            <w:vMerge/>
          </w:tcPr>
          <w:p w14:paraId="16002297" w14:textId="77777777" w:rsidR="00BF2F9B" w:rsidRPr="00E7546E" w:rsidRDefault="00BF2F9B" w:rsidP="009744C0">
            <w:pPr>
              <w:spacing w:after="120"/>
              <w:contextualSpacing/>
              <w:rPr>
                <w:rFonts w:ascii="Times New Roman" w:eastAsia="Times New Roman" w:hAnsi="Times New Roman" w:cs="Times New Roman"/>
                <w:color w:val="000000"/>
                <w:sz w:val="24"/>
                <w:szCs w:val="24"/>
                <w:lang w:eastAsia="en-GB"/>
              </w:rPr>
            </w:pPr>
          </w:p>
        </w:tc>
        <w:tc>
          <w:tcPr>
            <w:tcW w:w="827" w:type="dxa"/>
            <w:vMerge/>
          </w:tcPr>
          <w:p w14:paraId="1E3BA844" w14:textId="77777777" w:rsidR="00BF2F9B" w:rsidRPr="00E7546E" w:rsidRDefault="00BF2F9B" w:rsidP="009744C0">
            <w:pPr>
              <w:spacing w:after="120"/>
              <w:contextualSpacing/>
              <w:rPr>
                <w:rFonts w:ascii="Times New Roman" w:eastAsia="Times New Roman" w:hAnsi="Times New Roman" w:cs="Times New Roman"/>
                <w:color w:val="000000"/>
                <w:sz w:val="24"/>
                <w:szCs w:val="24"/>
                <w:lang w:eastAsia="en-GB"/>
              </w:rPr>
            </w:pPr>
          </w:p>
        </w:tc>
        <w:tc>
          <w:tcPr>
            <w:tcW w:w="2386" w:type="dxa"/>
          </w:tcPr>
          <w:p w14:paraId="2ACC87C3" w14:textId="43FC5716" w:rsidR="00BF2F9B" w:rsidRPr="00E7546E" w:rsidRDefault="005B2CE7"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2.5.4. Queues</w:t>
            </w:r>
          </w:p>
        </w:tc>
        <w:tc>
          <w:tcPr>
            <w:tcW w:w="9356" w:type="dxa"/>
          </w:tcPr>
          <w:p w14:paraId="71B2EF06" w14:textId="057D1E16" w:rsidR="000F635F" w:rsidRPr="00E7546E" w:rsidRDefault="00F15A45"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All queues in the models follow a first in first out discipline, except the queue called </w:t>
            </w:r>
            <w:r w:rsidR="00FA6D2D" w:rsidRPr="00ED59F5">
              <w:rPr>
                <w:rFonts w:ascii="Times New Roman" w:eastAsia="Times New Roman" w:hAnsi="Times New Roman" w:cs="Times New Roman"/>
                <w:color w:val="000000"/>
                <w:sz w:val="24"/>
                <w:szCs w:val="24"/>
                <w:lang w:eastAsia="en-GB"/>
              </w:rPr>
              <w:t>“</w:t>
            </w:r>
            <w:r w:rsidR="005F2A0D" w:rsidRPr="00ED59F5">
              <w:rPr>
                <w:rFonts w:ascii="Times New Roman" w:eastAsia="Times New Roman" w:hAnsi="Times New Roman" w:cs="Times New Roman"/>
                <w:color w:val="000000"/>
                <w:sz w:val="24"/>
                <w:szCs w:val="24"/>
                <w:lang w:eastAsia="en-GB"/>
              </w:rPr>
              <w:t xml:space="preserve">Queue for </w:t>
            </w:r>
            <w:r w:rsidR="00FA6D2D" w:rsidRPr="00ED59F5">
              <w:rPr>
                <w:rFonts w:ascii="Times New Roman" w:eastAsia="Times New Roman" w:hAnsi="Times New Roman" w:cs="Times New Roman"/>
                <w:color w:val="000000"/>
                <w:sz w:val="24"/>
                <w:szCs w:val="24"/>
                <w:lang w:eastAsia="en-GB"/>
              </w:rPr>
              <w:t xml:space="preserve">‘Urgent </w:t>
            </w:r>
            <w:r w:rsidR="00ED59F5" w:rsidRPr="00ED59F5">
              <w:rPr>
                <w:rFonts w:ascii="Times New Roman" w:eastAsia="Times New Roman" w:hAnsi="Times New Roman" w:cs="Times New Roman"/>
                <w:color w:val="000000"/>
                <w:sz w:val="24"/>
                <w:szCs w:val="24"/>
                <w:lang w:eastAsia="en-GB"/>
              </w:rPr>
              <w:t>referral for suspected cancer”</w:t>
            </w:r>
            <w:r w:rsidR="005F2A0D" w:rsidRPr="00ED59F5">
              <w:rPr>
                <w:rFonts w:ascii="Times New Roman" w:eastAsia="Times New Roman" w:hAnsi="Times New Roman" w:cs="Times New Roman"/>
                <w:color w:val="000000"/>
                <w:sz w:val="24"/>
                <w:szCs w:val="24"/>
                <w:lang w:eastAsia="en-GB"/>
              </w:rPr>
              <w:t>.</w:t>
            </w:r>
            <w:r w:rsidR="005F2A0D" w:rsidRPr="00E7546E">
              <w:rPr>
                <w:rFonts w:ascii="Times New Roman" w:eastAsia="Times New Roman" w:hAnsi="Times New Roman" w:cs="Times New Roman"/>
                <w:color w:val="000000"/>
                <w:sz w:val="24"/>
                <w:szCs w:val="24"/>
                <w:lang w:eastAsia="en-GB"/>
              </w:rPr>
              <w:t xml:space="preserve"> This queue only applies to the </w:t>
            </w:r>
            <w:proofErr w:type="spellStart"/>
            <w:r w:rsidR="005F2A0D" w:rsidRPr="00E7546E">
              <w:rPr>
                <w:rFonts w:ascii="Times New Roman" w:eastAsia="Times New Roman" w:hAnsi="Times New Roman" w:cs="Times New Roman"/>
                <w:color w:val="000000"/>
                <w:sz w:val="24"/>
                <w:szCs w:val="24"/>
                <w:lang w:eastAsia="en-GB"/>
              </w:rPr>
              <w:t>PinPoint</w:t>
            </w:r>
            <w:proofErr w:type="spellEnd"/>
            <w:r w:rsidR="005F2A0D" w:rsidRPr="00E7546E">
              <w:rPr>
                <w:rFonts w:ascii="Times New Roman" w:eastAsia="Times New Roman" w:hAnsi="Times New Roman" w:cs="Times New Roman"/>
                <w:color w:val="000000"/>
                <w:sz w:val="24"/>
                <w:szCs w:val="24"/>
                <w:lang w:eastAsia="en-GB"/>
              </w:rPr>
              <w:t xml:space="preserve"> test arm where patients are prioritised based on their </w:t>
            </w:r>
            <w:r w:rsidR="007E156F" w:rsidRPr="00E7546E">
              <w:rPr>
                <w:rFonts w:ascii="Times New Roman" w:eastAsia="Times New Roman" w:hAnsi="Times New Roman" w:cs="Times New Roman"/>
                <w:color w:val="000000"/>
                <w:sz w:val="24"/>
                <w:szCs w:val="24"/>
                <w:lang w:eastAsia="en-GB"/>
              </w:rPr>
              <w:t>risk of having cancer</w:t>
            </w:r>
            <w:r w:rsidR="000F635F" w:rsidRPr="00E7546E">
              <w:rPr>
                <w:rFonts w:ascii="Times New Roman" w:eastAsia="Times New Roman" w:hAnsi="Times New Roman" w:cs="Times New Roman"/>
                <w:color w:val="000000"/>
                <w:sz w:val="24"/>
                <w:szCs w:val="24"/>
                <w:lang w:eastAsia="en-GB"/>
              </w:rPr>
              <w:t xml:space="preserve">. In this queue, patients are </w:t>
            </w:r>
            <w:r w:rsidR="003A3EA6" w:rsidRPr="00E7546E">
              <w:rPr>
                <w:rFonts w:ascii="Times New Roman" w:eastAsia="Times New Roman" w:hAnsi="Times New Roman" w:cs="Times New Roman"/>
                <w:color w:val="000000"/>
                <w:sz w:val="24"/>
                <w:szCs w:val="24"/>
                <w:lang w:eastAsia="en-GB"/>
              </w:rPr>
              <w:t>prioritised</w:t>
            </w:r>
            <w:r w:rsidR="000F635F" w:rsidRPr="00E7546E">
              <w:rPr>
                <w:rFonts w:ascii="Times New Roman" w:eastAsia="Times New Roman" w:hAnsi="Times New Roman" w:cs="Times New Roman"/>
                <w:color w:val="000000"/>
                <w:sz w:val="24"/>
                <w:szCs w:val="24"/>
                <w:lang w:eastAsia="en-GB"/>
              </w:rPr>
              <w:t xml:space="preserve"> based on the ‘</w:t>
            </w:r>
            <w:proofErr w:type="spellStart"/>
            <w:r w:rsidR="000F635F" w:rsidRPr="00E7546E">
              <w:rPr>
                <w:rFonts w:ascii="Times New Roman" w:eastAsia="Times New Roman" w:hAnsi="Times New Roman" w:cs="Times New Roman"/>
                <w:color w:val="000000"/>
                <w:sz w:val="24"/>
                <w:szCs w:val="24"/>
                <w:lang w:eastAsia="en-GB"/>
              </w:rPr>
              <w:t>PP_risk</w:t>
            </w:r>
            <w:proofErr w:type="spellEnd"/>
            <w:r w:rsidR="000F635F" w:rsidRPr="00E7546E">
              <w:rPr>
                <w:rFonts w:ascii="Times New Roman" w:eastAsia="Times New Roman" w:hAnsi="Times New Roman" w:cs="Times New Roman"/>
                <w:color w:val="000000"/>
                <w:sz w:val="24"/>
                <w:szCs w:val="24"/>
                <w:lang w:eastAsia="en-GB"/>
              </w:rPr>
              <w:t xml:space="preserve">’ label indicating their risk of having cancer – 3 indicating high risk (‘red-flagged’), 2 indicating medium risk (‘amber-flagged’) and 1 indicating low risk (‘green-flagged). </w:t>
            </w:r>
          </w:p>
        </w:tc>
      </w:tr>
      <w:tr w:rsidR="00BF2F9B" w:rsidRPr="00E7546E" w14:paraId="682ABBED" w14:textId="77777777" w:rsidTr="005B2CE7">
        <w:trPr>
          <w:trHeight w:val="630"/>
        </w:trPr>
        <w:tc>
          <w:tcPr>
            <w:tcW w:w="2457" w:type="dxa"/>
            <w:vMerge/>
          </w:tcPr>
          <w:p w14:paraId="2E73AAD6" w14:textId="77777777" w:rsidR="00BF2F9B" w:rsidRPr="00E7546E" w:rsidRDefault="00BF2F9B" w:rsidP="009744C0">
            <w:pPr>
              <w:spacing w:after="120"/>
              <w:contextualSpacing/>
              <w:rPr>
                <w:rFonts w:ascii="Times New Roman" w:eastAsia="Times New Roman" w:hAnsi="Times New Roman" w:cs="Times New Roman"/>
                <w:color w:val="000000"/>
                <w:sz w:val="24"/>
                <w:szCs w:val="24"/>
                <w:lang w:eastAsia="en-GB"/>
              </w:rPr>
            </w:pPr>
          </w:p>
        </w:tc>
        <w:tc>
          <w:tcPr>
            <w:tcW w:w="827" w:type="dxa"/>
            <w:vMerge/>
          </w:tcPr>
          <w:p w14:paraId="266DB048" w14:textId="77777777" w:rsidR="00BF2F9B" w:rsidRPr="00E7546E" w:rsidRDefault="00BF2F9B" w:rsidP="009744C0">
            <w:pPr>
              <w:spacing w:after="120"/>
              <w:contextualSpacing/>
              <w:rPr>
                <w:rFonts w:ascii="Times New Roman" w:eastAsia="Times New Roman" w:hAnsi="Times New Roman" w:cs="Times New Roman"/>
                <w:color w:val="000000"/>
                <w:sz w:val="24"/>
                <w:szCs w:val="24"/>
                <w:lang w:eastAsia="en-GB"/>
              </w:rPr>
            </w:pPr>
          </w:p>
        </w:tc>
        <w:tc>
          <w:tcPr>
            <w:tcW w:w="2386" w:type="dxa"/>
          </w:tcPr>
          <w:p w14:paraId="5822988C" w14:textId="66816C6F" w:rsidR="00BF2F9B" w:rsidRPr="00E7546E" w:rsidRDefault="005B2CE7"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2.5.5. Entry/Exit points</w:t>
            </w:r>
          </w:p>
        </w:tc>
        <w:tc>
          <w:tcPr>
            <w:tcW w:w="9356" w:type="dxa"/>
          </w:tcPr>
          <w:p w14:paraId="161AB0B7" w14:textId="77777777" w:rsidR="00BF2F9B" w:rsidRPr="00E7546E" w:rsidRDefault="00227E7F"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Entry and Exit points for both models are presented in </w:t>
            </w:r>
            <w:r w:rsidRPr="00E7546E">
              <w:rPr>
                <w:rFonts w:ascii="Times New Roman" w:eastAsia="Times New Roman" w:hAnsi="Times New Roman" w:cs="Times New Roman"/>
                <w:b/>
                <w:bCs/>
                <w:color w:val="000000"/>
                <w:sz w:val="24"/>
                <w:szCs w:val="24"/>
                <w:lang w:eastAsia="en-GB"/>
              </w:rPr>
              <w:t>Figure 1</w:t>
            </w:r>
            <w:r w:rsidRPr="00E7546E">
              <w:rPr>
                <w:rFonts w:ascii="Times New Roman" w:eastAsia="Times New Roman" w:hAnsi="Times New Roman" w:cs="Times New Roman"/>
                <w:color w:val="000000"/>
                <w:sz w:val="24"/>
                <w:szCs w:val="24"/>
                <w:lang w:eastAsia="en-GB"/>
              </w:rPr>
              <w:t xml:space="preserve">. </w:t>
            </w:r>
          </w:p>
          <w:p w14:paraId="0987D297" w14:textId="77777777" w:rsidR="00227E7F" w:rsidRPr="00E7546E" w:rsidRDefault="00227E7F" w:rsidP="009744C0">
            <w:pPr>
              <w:spacing w:after="120"/>
              <w:contextualSpacing/>
              <w:rPr>
                <w:rFonts w:ascii="Times New Roman" w:eastAsia="Times New Roman" w:hAnsi="Times New Roman" w:cs="Times New Roman"/>
                <w:color w:val="000000"/>
                <w:sz w:val="24"/>
                <w:szCs w:val="24"/>
                <w:lang w:eastAsia="en-GB"/>
              </w:rPr>
            </w:pPr>
          </w:p>
          <w:p w14:paraId="6B46AE57" w14:textId="30EEDE36" w:rsidR="00013DD1" w:rsidRDefault="00E54EF0" w:rsidP="004C2E2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w:t>
            </w:r>
            <w:r w:rsidR="00316DCB" w:rsidRPr="00E7546E">
              <w:rPr>
                <w:rFonts w:ascii="Times New Roman" w:eastAsia="Times New Roman" w:hAnsi="Times New Roman" w:cs="Times New Roman"/>
                <w:color w:val="000000"/>
                <w:sz w:val="24"/>
                <w:szCs w:val="24"/>
                <w:lang w:eastAsia="en-GB"/>
              </w:rPr>
              <w:t>both urological</w:t>
            </w:r>
            <w:r w:rsidRPr="00E7546E">
              <w:rPr>
                <w:rFonts w:ascii="Times New Roman" w:eastAsia="Times New Roman" w:hAnsi="Times New Roman" w:cs="Times New Roman"/>
                <w:color w:val="000000"/>
                <w:sz w:val="24"/>
                <w:szCs w:val="24"/>
                <w:lang w:eastAsia="en-GB"/>
              </w:rPr>
              <w:t xml:space="preserve"> model</w:t>
            </w:r>
            <w:r w:rsidR="00316DCB" w:rsidRPr="00E7546E">
              <w:rPr>
                <w:rFonts w:ascii="Times New Roman" w:eastAsia="Times New Roman" w:hAnsi="Times New Roman" w:cs="Times New Roman"/>
                <w:color w:val="000000"/>
                <w:sz w:val="24"/>
                <w:szCs w:val="24"/>
                <w:lang w:eastAsia="en-GB"/>
              </w:rPr>
              <w:t>s</w:t>
            </w:r>
            <w:r w:rsidRPr="00E7546E">
              <w:rPr>
                <w:rFonts w:ascii="Times New Roman" w:eastAsia="Times New Roman" w:hAnsi="Times New Roman" w:cs="Times New Roman"/>
                <w:color w:val="000000"/>
                <w:sz w:val="24"/>
                <w:szCs w:val="24"/>
                <w:lang w:eastAsia="en-GB"/>
              </w:rPr>
              <w:t>,</w:t>
            </w:r>
            <w:r w:rsidR="00603B16" w:rsidRPr="00E7546E">
              <w:rPr>
                <w:rFonts w:ascii="Times New Roman" w:eastAsia="Times New Roman" w:hAnsi="Times New Roman" w:cs="Times New Roman"/>
                <w:color w:val="000000"/>
                <w:sz w:val="24"/>
                <w:szCs w:val="24"/>
                <w:lang w:eastAsia="en-GB"/>
              </w:rPr>
              <w:t xml:space="preserve"> </w:t>
            </w:r>
            <w:r w:rsidR="00616FF0" w:rsidRPr="00E7546E">
              <w:rPr>
                <w:rFonts w:ascii="Times New Roman" w:eastAsia="Times New Roman" w:hAnsi="Times New Roman" w:cs="Times New Roman"/>
                <w:color w:val="000000"/>
                <w:sz w:val="24"/>
                <w:szCs w:val="24"/>
                <w:lang w:eastAsia="en-GB"/>
              </w:rPr>
              <w:t>on the first minute (9:</w:t>
            </w:r>
            <w:r w:rsidR="003F4E7A" w:rsidRPr="00E7546E">
              <w:rPr>
                <w:rFonts w:ascii="Times New Roman" w:eastAsia="Times New Roman" w:hAnsi="Times New Roman" w:cs="Times New Roman"/>
                <w:color w:val="000000"/>
                <w:sz w:val="24"/>
                <w:szCs w:val="24"/>
                <w:lang w:eastAsia="en-GB"/>
              </w:rPr>
              <w:t xml:space="preserve">00 am of the first day of each month) a certain cohort of patients </w:t>
            </w:r>
            <w:r w:rsidRPr="00E7546E">
              <w:rPr>
                <w:rFonts w:ascii="Times New Roman" w:eastAsia="Times New Roman" w:hAnsi="Times New Roman" w:cs="Times New Roman"/>
                <w:color w:val="000000"/>
                <w:sz w:val="24"/>
                <w:szCs w:val="24"/>
                <w:lang w:eastAsia="en-GB"/>
              </w:rPr>
              <w:t>enter</w:t>
            </w:r>
            <w:r w:rsidR="003F4E7A" w:rsidRPr="00E7546E">
              <w:rPr>
                <w:rFonts w:ascii="Times New Roman" w:eastAsia="Times New Roman" w:hAnsi="Times New Roman" w:cs="Times New Roman"/>
                <w:color w:val="000000"/>
                <w:sz w:val="24"/>
                <w:szCs w:val="24"/>
                <w:lang w:eastAsia="en-GB"/>
              </w:rPr>
              <w:t>s</w:t>
            </w:r>
            <w:r w:rsidRPr="00E7546E">
              <w:rPr>
                <w:rFonts w:ascii="Times New Roman" w:eastAsia="Times New Roman" w:hAnsi="Times New Roman" w:cs="Times New Roman"/>
                <w:color w:val="000000"/>
                <w:sz w:val="24"/>
                <w:szCs w:val="24"/>
                <w:lang w:eastAsia="en-GB"/>
              </w:rPr>
              <w:t xml:space="preserve"> the model at the ‘Start </w:t>
            </w:r>
            <w:r w:rsidR="00D3646D" w:rsidRPr="00E7546E">
              <w:rPr>
                <w:rFonts w:ascii="Times New Roman" w:eastAsia="Times New Roman" w:hAnsi="Times New Roman" w:cs="Times New Roman"/>
                <w:color w:val="000000"/>
                <w:sz w:val="24"/>
                <w:szCs w:val="24"/>
                <w:lang w:eastAsia="en-GB"/>
              </w:rPr>
              <w:t xml:space="preserve">Point’ (illustrated as a blue arrow to the left of the ‘GP activity’ in </w:t>
            </w:r>
            <w:r w:rsidR="00D3646D" w:rsidRPr="00E7546E">
              <w:rPr>
                <w:rFonts w:ascii="Times New Roman" w:eastAsia="Times New Roman" w:hAnsi="Times New Roman" w:cs="Times New Roman"/>
                <w:b/>
                <w:bCs/>
                <w:color w:val="000000"/>
                <w:sz w:val="24"/>
                <w:szCs w:val="24"/>
                <w:lang w:eastAsia="en-GB"/>
              </w:rPr>
              <w:t>Figure 1</w:t>
            </w:r>
            <w:r w:rsidR="002F6A99" w:rsidRPr="00E7546E">
              <w:rPr>
                <w:rFonts w:ascii="Times New Roman" w:eastAsia="Times New Roman" w:hAnsi="Times New Roman" w:cs="Times New Roman"/>
                <w:color w:val="000000"/>
                <w:sz w:val="24"/>
                <w:szCs w:val="24"/>
                <w:lang w:eastAsia="en-GB"/>
              </w:rPr>
              <w:t>)</w:t>
            </w:r>
            <w:r w:rsidR="000A04CC" w:rsidRPr="00E7546E">
              <w:rPr>
                <w:rFonts w:ascii="Times New Roman" w:eastAsia="Times New Roman" w:hAnsi="Times New Roman" w:cs="Times New Roman"/>
                <w:color w:val="000000"/>
                <w:sz w:val="24"/>
                <w:szCs w:val="24"/>
                <w:lang w:eastAsia="en-GB"/>
              </w:rPr>
              <w:t xml:space="preserve">. </w:t>
            </w:r>
            <w:r w:rsidR="00D72468" w:rsidRPr="00E7546E">
              <w:rPr>
                <w:rFonts w:ascii="Times New Roman" w:eastAsia="Times New Roman" w:hAnsi="Times New Roman" w:cs="Times New Roman"/>
                <w:color w:val="000000"/>
                <w:sz w:val="24"/>
                <w:szCs w:val="24"/>
                <w:lang w:eastAsia="en-GB"/>
              </w:rPr>
              <w:t xml:space="preserve">The size of the cohort each month </w:t>
            </w:r>
            <w:r w:rsidR="000D35E7" w:rsidRPr="00E7546E">
              <w:rPr>
                <w:rFonts w:ascii="Times New Roman" w:eastAsia="Times New Roman" w:hAnsi="Times New Roman" w:cs="Times New Roman"/>
                <w:color w:val="000000"/>
                <w:sz w:val="24"/>
                <w:szCs w:val="24"/>
                <w:lang w:eastAsia="en-GB"/>
              </w:rPr>
              <w:t>depend</w:t>
            </w:r>
            <w:r w:rsidR="004C2E20" w:rsidRPr="00E7546E">
              <w:rPr>
                <w:rFonts w:ascii="Times New Roman" w:eastAsia="Times New Roman" w:hAnsi="Times New Roman" w:cs="Times New Roman"/>
                <w:color w:val="000000"/>
                <w:sz w:val="24"/>
                <w:szCs w:val="24"/>
                <w:lang w:eastAsia="en-GB"/>
              </w:rPr>
              <w:t>s</w:t>
            </w:r>
            <w:r w:rsidR="005910A5" w:rsidRPr="00E7546E">
              <w:rPr>
                <w:rFonts w:ascii="Times New Roman" w:eastAsia="Times New Roman" w:hAnsi="Times New Roman" w:cs="Times New Roman"/>
                <w:color w:val="000000"/>
                <w:sz w:val="24"/>
                <w:szCs w:val="24"/>
                <w:lang w:eastAsia="en-GB"/>
              </w:rPr>
              <w:t xml:space="preserve"> on the month-specific number of </w:t>
            </w:r>
            <w:r w:rsidR="006B6BE0" w:rsidRPr="00E7546E">
              <w:rPr>
                <w:rFonts w:ascii="Times New Roman" w:eastAsia="Times New Roman" w:hAnsi="Times New Roman" w:cs="Times New Roman"/>
                <w:color w:val="000000"/>
                <w:sz w:val="24"/>
                <w:szCs w:val="24"/>
                <w:lang w:eastAsia="en-GB"/>
              </w:rPr>
              <w:t>patients referred to the suspected urological cancer pathway</w:t>
            </w:r>
            <w:r w:rsidR="004C2E20" w:rsidRPr="00E7546E">
              <w:rPr>
                <w:rFonts w:ascii="Times New Roman" w:eastAsia="Times New Roman" w:hAnsi="Times New Roman" w:cs="Times New Roman"/>
                <w:color w:val="000000"/>
                <w:sz w:val="24"/>
                <w:szCs w:val="24"/>
                <w:lang w:eastAsia="en-GB"/>
              </w:rPr>
              <w:t xml:space="preserve">. For more detail see section 2.4. </w:t>
            </w:r>
          </w:p>
          <w:p w14:paraId="6619CFB0" w14:textId="77777777" w:rsidR="00A23D6A" w:rsidRDefault="00A23D6A" w:rsidP="004C2E20">
            <w:pPr>
              <w:spacing w:after="120"/>
              <w:contextualSpacing/>
              <w:rPr>
                <w:rFonts w:ascii="Times New Roman" w:eastAsia="Times New Roman" w:hAnsi="Times New Roman" w:cs="Times New Roman"/>
                <w:color w:val="000000"/>
                <w:sz w:val="24"/>
                <w:szCs w:val="24"/>
                <w:lang w:eastAsia="en-GB"/>
              </w:rPr>
            </w:pPr>
          </w:p>
          <w:p w14:paraId="221D4052" w14:textId="00134BE8" w:rsidR="00A23D6A" w:rsidRPr="00E7546E" w:rsidRDefault="00A23D6A" w:rsidP="004C2E20">
            <w:pPr>
              <w:spacing w:after="120"/>
              <w:contextualSpacing/>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both models, in the context of </w:t>
            </w:r>
            <w:proofErr w:type="spellStart"/>
            <w:r>
              <w:rPr>
                <w:rFonts w:ascii="Times New Roman" w:eastAsia="Times New Roman" w:hAnsi="Times New Roman" w:cs="Times New Roman"/>
                <w:color w:val="000000"/>
                <w:sz w:val="24"/>
                <w:szCs w:val="24"/>
                <w:lang w:eastAsia="en-GB"/>
              </w:rPr>
              <w:t>PinPoint</w:t>
            </w:r>
            <w:proofErr w:type="spellEnd"/>
            <w:r>
              <w:rPr>
                <w:rFonts w:ascii="Times New Roman" w:eastAsia="Times New Roman" w:hAnsi="Times New Roman" w:cs="Times New Roman"/>
                <w:color w:val="000000"/>
                <w:sz w:val="24"/>
                <w:szCs w:val="24"/>
                <w:lang w:eastAsia="en-GB"/>
              </w:rPr>
              <w:t xml:space="preserve"> test as triage and prioritisation tool, individuals classed as low risk exit the model at either </w:t>
            </w:r>
            <w:r w:rsidRPr="00ED59F5">
              <w:rPr>
                <w:rFonts w:ascii="Times New Roman" w:eastAsia="Times New Roman" w:hAnsi="Times New Roman" w:cs="Times New Roman"/>
                <w:color w:val="000000"/>
                <w:sz w:val="24"/>
                <w:szCs w:val="24"/>
                <w:lang w:eastAsia="en-GB"/>
              </w:rPr>
              <w:t>‘</w:t>
            </w:r>
            <w:r w:rsidR="00ED59F5" w:rsidRPr="00ED59F5">
              <w:rPr>
                <w:rFonts w:ascii="Times New Roman" w:eastAsia="Times New Roman" w:hAnsi="Times New Roman" w:cs="Times New Roman"/>
                <w:color w:val="000000"/>
                <w:sz w:val="24"/>
                <w:szCs w:val="24"/>
                <w:lang w:eastAsia="en-GB"/>
              </w:rPr>
              <w:t xml:space="preserve">Not Urgently Referred for cancer (true-negative) </w:t>
            </w:r>
            <w:r w:rsidRPr="00ED59F5">
              <w:rPr>
                <w:rFonts w:ascii="Times New Roman" w:eastAsia="Times New Roman" w:hAnsi="Times New Roman" w:cs="Times New Roman"/>
                <w:color w:val="000000"/>
                <w:sz w:val="24"/>
                <w:szCs w:val="24"/>
                <w:lang w:eastAsia="en-GB"/>
              </w:rPr>
              <w:t>Exit</w:t>
            </w:r>
            <w:r w:rsidR="00ED59F5" w:rsidRPr="00ED59F5">
              <w:rPr>
                <w:rFonts w:ascii="Times New Roman" w:eastAsia="Times New Roman" w:hAnsi="Times New Roman" w:cs="Times New Roman"/>
                <w:color w:val="000000"/>
                <w:sz w:val="24"/>
                <w:szCs w:val="24"/>
                <w:lang w:eastAsia="en-GB"/>
              </w:rPr>
              <w:t xml:space="preserve"> Point</w:t>
            </w:r>
            <w:r w:rsidRPr="00ED59F5">
              <w:rPr>
                <w:rFonts w:ascii="Times New Roman" w:eastAsia="Times New Roman" w:hAnsi="Times New Roman" w:cs="Times New Roman"/>
                <w:color w:val="000000"/>
                <w:sz w:val="24"/>
                <w:szCs w:val="24"/>
                <w:lang w:eastAsia="en-GB"/>
              </w:rPr>
              <w:t>’ or ‘Missed Case Exit’ depending on the true disease prevalence.</w:t>
            </w:r>
            <w:r>
              <w:rPr>
                <w:rFonts w:ascii="Times New Roman" w:eastAsia="Times New Roman" w:hAnsi="Times New Roman" w:cs="Times New Roman"/>
                <w:color w:val="000000"/>
                <w:sz w:val="24"/>
                <w:szCs w:val="24"/>
                <w:lang w:eastAsia="en-GB"/>
              </w:rPr>
              <w:t xml:space="preserve"> </w:t>
            </w:r>
          </w:p>
          <w:p w14:paraId="21898DBD" w14:textId="77777777" w:rsidR="00086206" w:rsidRPr="00E7546E" w:rsidRDefault="00086206" w:rsidP="009744C0">
            <w:pPr>
              <w:spacing w:after="120"/>
              <w:contextualSpacing/>
              <w:rPr>
                <w:rFonts w:ascii="Times New Roman" w:eastAsia="Times New Roman" w:hAnsi="Times New Roman" w:cs="Times New Roman"/>
                <w:color w:val="000000"/>
                <w:sz w:val="24"/>
                <w:szCs w:val="24"/>
                <w:lang w:eastAsia="en-GB"/>
              </w:rPr>
            </w:pPr>
          </w:p>
          <w:p w14:paraId="59107A25" w14:textId="17AF46F9" w:rsidR="00EB1AC1" w:rsidRPr="00E7546E" w:rsidRDefault="00316DCB"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In </w:t>
            </w:r>
            <w:r w:rsidR="00086206" w:rsidRPr="00E7546E">
              <w:rPr>
                <w:rFonts w:ascii="Times New Roman" w:eastAsia="Times New Roman" w:hAnsi="Times New Roman" w:cs="Times New Roman"/>
                <w:color w:val="000000"/>
                <w:sz w:val="24"/>
                <w:szCs w:val="24"/>
                <w:lang w:eastAsia="en-GB"/>
              </w:rPr>
              <w:t>the prostate cancer model</w:t>
            </w:r>
            <w:r w:rsidR="00FB6C4F">
              <w:rPr>
                <w:rFonts w:ascii="Times New Roman" w:eastAsia="Times New Roman" w:hAnsi="Times New Roman" w:cs="Times New Roman"/>
                <w:color w:val="000000"/>
                <w:sz w:val="24"/>
                <w:szCs w:val="24"/>
                <w:lang w:eastAsia="en-GB"/>
              </w:rPr>
              <w:t xml:space="preserve"> (across both use cases)</w:t>
            </w:r>
            <w:r w:rsidR="00086206" w:rsidRPr="00E7546E">
              <w:rPr>
                <w:rFonts w:ascii="Times New Roman" w:eastAsia="Times New Roman" w:hAnsi="Times New Roman" w:cs="Times New Roman"/>
                <w:color w:val="000000"/>
                <w:sz w:val="24"/>
                <w:szCs w:val="24"/>
                <w:lang w:eastAsia="en-GB"/>
              </w:rPr>
              <w:t xml:space="preserve">, </w:t>
            </w:r>
            <w:r w:rsidR="00603B16" w:rsidRPr="00E7546E">
              <w:rPr>
                <w:rFonts w:ascii="Times New Roman" w:eastAsia="Times New Roman" w:hAnsi="Times New Roman" w:cs="Times New Roman"/>
                <w:color w:val="000000"/>
                <w:sz w:val="24"/>
                <w:szCs w:val="24"/>
                <w:lang w:eastAsia="en-GB"/>
              </w:rPr>
              <w:t xml:space="preserve">all patients exit the model at </w:t>
            </w:r>
            <w:r w:rsidR="00792367" w:rsidRPr="00E7546E">
              <w:rPr>
                <w:rFonts w:ascii="Times New Roman" w:eastAsia="Times New Roman" w:hAnsi="Times New Roman" w:cs="Times New Roman"/>
                <w:color w:val="000000"/>
                <w:sz w:val="24"/>
                <w:szCs w:val="24"/>
                <w:lang w:eastAsia="en-GB"/>
              </w:rPr>
              <w:t>‘Prostate Cancer Detected Exit’ or ‘No Prostate Cancer Detected Exit’ depending on the final diagnosis of prostate cancer. In the blad</w:t>
            </w:r>
            <w:r w:rsidR="004857A5" w:rsidRPr="00E7546E">
              <w:rPr>
                <w:rFonts w:ascii="Times New Roman" w:eastAsia="Times New Roman" w:hAnsi="Times New Roman" w:cs="Times New Roman"/>
                <w:color w:val="000000"/>
                <w:sz w:val="24"/>
                <w:szCs w:val="24"/>
                <w:lang w:eastAsia="en-GB"/>
              </w:rPr>
              <w:t>der and kidney cancer model</w:t>
            </w:r>
            <w:r w:rsidR="00FB6C4F">
              <w:rPr>
                <w:rFonts w:ascii="Times New Roman" w:eastAsia="Times New Roman" w:hAnsi="Times New Roman" w:cs="Times New Roman"/>
                <w:color w:val="000000"/>
                <w:sz w:val="24"/>
                <w:szCs w:val="24"/>
                <w:lang w:eastAsia="en-GB"/>
              </w:rPr>
              <w:t xml:space="preserve"> (across both use cases)</w:t>
            </w:r>
            <w:r w:rsidR="004857A5" w:rsidRPr="00E7546E">
              <w:rPr>
                <w:rFonts w:ascii="Times New Roman" w:eastAsia="Times New Roman" w:hAnsi="Times New Roman" w:cs="Times New Roman"/>
                <w:color w:val="000000"/>
                <w:sz w:val="24"/>
                <w:szCs w:val="24"/>
                <w:lang w:eastAsia="en-GB"/>
              </w:rPr>
              <w:t>, all patients exit the model at ‘</w:t>
            </w:r>
            <w:r w:rsidR="00F9699D" w:rsidRPr="00E7546E">
              <w:rPr>
                <w:rFonts w:ascii="Times New Roman" w:eastAsia="Times New Roman" w:hAnsi="Times New Roman" w:cs="Times New Roman"/>
                <w:color w:val="000000"/>
                <w:sz w:val="24"/>
                <w:szCs w:val="24"/>
                <w:lang w:eastAsia="en-GB"/>
              </w:rPr>
              <w:t xml:space="preserve">Exit point’ regardless of the final diagnosis. </w:t>
            </w:r>
            <w:r w:rsidR="00603B16" w:rsidRPr="00E7546E">
              <w:rPr>
                <w:rFonts w:ascii="Times New Roman" w:eastAsia="Times New Roman" w:hAnsi="Times New Roman" w:cs="Times New Roman"/>
                <w:color w:val="000000"/>
                <w:sz w:val="24"/>
                <w:szCs w:val="24"/>
                <w:lang w:eastAsia="en-GB"/>
              </w:rPr>
              <w:t xml:space="preserve"> </w:t>
            </w:r>
          </w:p>
        </w:tc>
      </w:tr>
      <w:tr w:rsidR="009744C0" w:rsidRPr="00E7546E" w14:paraId="46C39CAB" w14:textId="77777777" w:rsidTr="00646FF2">
        <w:tc>
          <w:tcPr>
            <w:tcW w:w="2457" w:type="dxa"/>
          </w:tcPr>
          <w:p w14:paraId="251D5E42" w14:textId="77777777" w:rsidR="009744C0" w:rsidRPr="00E7546E" w:rsidRDefault="009744C0" w:rsidP="009744C0">
            <w:pPr>
              <w:numPr>
                <w:ilvl w:val="0"/>
                <w:numId w:val="1"/>
              </w:numPr>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b/>
                <w:bCs/>
                <w:color w:val="000000"/>
                <w:sz w:val="24"/>
                <w:szCs w:val="24"/>
                <w:lang w:eastAsia="en-GB"/>
              </w:rPr>
              <w:t>Data</w:t>
            </w:r>
          </w:p>
        </w:tc>
        <w:tc>
          <w:tcPr>
            <w:tcW w:w="12569" w:type="dxa"/>
            <w:gridSpan w:val="3"/>
          </w:tcPr>
          <w:p w14:paraId="72B5E29D"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p>
        </w:tc>
      </w:tr>
      <w:tr w:rsidR="009744C0" w:rsidRPr="00E7546E" w14:paraId="0C4FCB66" w14:textId="77777777" w:rsidTr="00646FF2">
        <w:tc>
          <w:tcPr>
            <w:tcW w:w="2457" w:type="dxa"/>
          </w:tcPr>
          <w:p w14:paraId="595E1ADF"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Data sources</w:t>
            </w:r>
          </w:p>
        </w:tc>
        <w:tc>
          <w:tcPr>
            <w:tcW w:w="827" w:type="dxa"/>
          </w:tcPr>
          <w:p w14:paraId="0A39B32F"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3.1</w:t>
            </w:r>
          </w:p>
        </w:tc>
        <w:tc>
          <w:tcPr>
            <w:tcW w:w="11742" w:type="dxa"/>
            <w:gridSpan w:val="2"/>
          </w:tcPr>
          <w:p w14:paraId="643E1939" w14:textId="6453D39E" w:rsidR="009744C0" w:rsidRPr="00E7546E" w:rsidRDefault="00EA254B"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A list of input parameters and associated data sources can be found in </w:t>
            </w:r>
            <w:r w:rsidR="00C41242" w:rsidRPr="00E7546E">
              <w:rPr>
                <w:rFonts w:ascii="Times New Roman" w:eastAsia="Times New Roman" w:hAnsi="Times New Roman" w:cs="Times New Roman"/>
                <w:color w:val="000000"/>
                <w:sz w:val="24"/>
                <w:szCs w:val="24"/>
                <w:lang w:eastAsia="en-GB"/>
              </w:rPr>
              <w:t xml:space="preserve">Table 1 and Supplemental Material A. </w:t>
            </w:r>
          </w:p>
          <w:p w14:paraId="7EEA2F6F" w14:textId="792AA9C2" w:rsidR="00C41242" w:rsidRPr="00E7546E" w:rsidRDefault="00C41242" w:rsidP="009744C0">
            <w:pPr>
              <w:spacing w:after="120"/>
              <w:contextualSpacing/>
              <w:rPr>
                <w:rFonts w:ascii="Times New Roman" w:eastAsia="Times New Roman" w:hAnsi="Times New Roman" w:cs="Times New Roman"/>
                <w:color w:val="000000"/>
                <w:sz w:val="24"/>
                <w:szCs w:val="24"/>
                <w:lang w:eastAsia="en-GB"/>
              </w:rPr>
            </w:pPr>
          </w:p>
          <w:p w14:paraId="299CE616" w14:textId="63E3C7D4" w:rsidR="00732454" w:rsidRPr="00E7546E" w:rsidRDefault="00732454" w:rsidP="00732454">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To populate both models, we used the </w:t>
            </w:r>
            <w:r w:rsidR="00C907C5" w:rsidRPr="00E7546E">
              <w:rPr>
                <w:rFonts w:ascii="Times New Roman" w:eastAsia="Times New Roman" w:hAnsi="Times New Roman" w:cs="Times New Roman"/>
                <w:color w:val="000000"/>
                <w:sz w:val="24"/>
                <w:szCs w:val="24"/>
                <w:lang w:eastAsia="en-GB"/>
              </w:rPr>
              <w:t xml:space="preserve">main </w:t>
            </w:r>
            <w:r w:rsidRPr="00E7546E">
              <w:rPr>
                <w:rFonts w:ascii="Times New Roman" w:eastAsia="Times New Roman" w:hAnsi="Times New Roman" w:cs="Times New Roman"/>
                <w:color w:val="000000"/>
                <w:sz w:val="24"/>
                <w:szCs w:val="24"/>
                <w:lang w:eastAsia="en-GB"/>
              </w:rPr>
              <w:t>data sources</w:t>
            </w:r>
            <w:r w:rsidR="00C907C5" w:rsidRPr="00E7546E">
              <w:rPr>
                <w:rFonts w:ascii="Times New Roman" w:eastAsia="Times New Roman" w:hAnsi="Times New Roman" w:cs="Times New Roman"/>
                <w:color w:val="000000"/>
                <w:sz w:val="24"/>
                <w:szCs w:val="24"/>
                <w:lang w:eastAsia="en-GB"/>
              </w:rPr>
              <w:t>, including:</w:t>
            </w:r>
          </w:p>
          <w:p w14:paraId="0333A945" w14:textId="21BE68E5" w:rsidR="00732454" w:rsidRPr="00E7546E" w:rsidRDefault="00732454" w:rsidP="00732454">
            <w:pPr>
              <w:numPr>
                <w:ilvl w:val="0"/>
                <w:numId w:val="15"/>
              </w:num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NHS England Two Week Waiting Time Statistics – to inform the number of referred patients, the number of referred patients seen within two weeks and </w:t>
            </w:r>
            <w:r w:rsidR="00E32B06" w:rsidRPr="00E7546E">
              <w:rPr>
                <w:rFonts w:ascii="Times New Roman" w:eastAsia="Times New Roman" w:hAnsi="Times New Roman" w:cs="Times New Roman"/>
                <w:color w:val="000000"/>
                <w:sz w:val="24"/>
                <w:szCs w:val="24"/>
                <w:lang w:eastAsia="en-GB"/>
              </w:rPr>
              <w:t xml:space="preserve">the number of </w:t>
            </w:r>
            <w:r w:rsidR="00FF57FB" w:rsidRPr="00E7546E">
              <w:rPr>
                <w:rFonts w:ascii="Times New Roman" w:eastAsia="Times New Roman" w:hAnsi="Times New Roman" w:cs="Times New Roman"/>
                <w:color w:val="000000"/>
                <w:sz w:val="24"/>
                <w:szCs w:val="24"/>
                <w:lang w:eastAsia="en-GB"/>
              </w:rPr>
              <w:t>patients seen after two weeks</w:t>
            </w:r>
          </w:p>
          <w:p w14:paraId="6FF17648" w14:textId="77777777" w:rsidR="00732454" w:rsidRPr="00E7546E" w:rsidRDefault="00732454" w:rsidP="00732454">
            <w:pPr>
              <w:numPr>
                <w:ilvl w:val="0"/>
                <w:numId w:val="15"/>
              </w:num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lastRenderedPageBreak/>
              <w:t xml:space="preserve">Route to Diagnosis dataset was used to inform the prevalence of urological cancer, and the proportion of urological referrals specific to prostate cancer, bladder and kidney cancer, separately. </w:t>
            </w:r>
          </w:p>
          <w:p w14:paraId="629BC134" w14:textId="260E09FE" w:rsidR="00906AF8" w:rsidRPr="00E7546E" w:rsidRDefault="00732454" w:rsidP="00C907C5">
            <w:pPr>
              <w:numPr>
                <w:ilvl w:val="0"/>
                <w:numId w:val="15"/>
              </w:num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NHS Reference Costs</w:t>
            </w:r>
            <w:r w:rsidR="00FF57FB" w:rsidRPr="00E7546E">
              <w:rPr>
                <w:rFonts w:ascii="Times New Roman" w:eastAsia="Times New Roman" w:hAnsi="Times New Roman" w:cs="Times New Roman"/>
                <w:color w:val="000000"/>
                <w:sz w:val="24"/>
                <w:szCs w:val="24"/>
                <w:lang w:eastAsia="en-GB"/>
              </w:rPr>
              <w:t>, NHS National tariffs 2020/2021 and Personal Social Services Research Unit (PSSRU) – to inform unit costs</w:t>
            </w:r>
          </w:p>
        </w:tc>
      </w:tr>
      <w:tr w:rsidR="009744C0" w:rsidRPr="00E7546E" w14:paraId="3855FBB5" w14:textId="77777777" w:rsidTr="00646FF2">
        <w:tc>
          <w:tcPr>
            <w:tcW w:w="2457" w:type="dxa"/>
          </w:tcPr>
          <w:p w14:paraId="6C3AC3EC"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lastRenderedPageBreak/>
              <w:t>Pre-processing</w:t>
            </w:r>
          </w:p>
        </w:tc>
        <w:tc>
          <w:tcPr>
            <w:tcW w:w="827" w:type="dxa"/>
          </w:tcPr>
          <w:p w14:paraId="257B1398"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3.2</w:t>
            </w:r>
          </w:p>
        </w:tc>
        <w:tc>
          <w:tcPr>
            <w:tcW w:w="11742" w:type="dxa"/>
            <w:gridSpan w:val="2"/>
          </w:tcPr>
          <w:p w14:paraId="34EC63E6" w14:textId="77777777" w:rsidR="00341AEC" w:rsidRPr="00E7546E" w:rsidRDefault="00EA1D4F" w:rsidP="009744C0">
            <w:pPr>
              <w:spacing w:after="120"/>
              <w:rPr>
                <w:rFonts w:ascii="Times New Roman" w:eastAsia="Times New Roman" w:hAnsi="Times New Roman" w:cs="Times New Roman"/>
                <w:sz w:val="24"/>
                <w:szCs w:val="24"/>
                <w:lang w:eastAsia="en-GB"/>
              </w:rPr>
            </w:pPr>
            <w:r w:rsidRPr="00E7546E">
              <w:rPr>
                <w:rFonts w:ascii="Times New Roman" w:eastAsia="Times New Roman" w:hAnsi="Times New Roman" w:cs="Times New Roman"/>
                <w:sz w:val="24"/>
                <w:szCs w:val="24"/>
                <w:lang w:eastAsia="en-GB"/>
              </w:rPr>
              <w:t xml:space="preserve">Analysis was undertaken on </w:t>
            </w:r>
            <w:r w:rsidR="008B28E2" w:rsidRPr="00E7546E">
              <w:rPr>
                <w:rFonts w:ascii="Times New Roman" w:eastAsia="Times New Roman" w:hAnsi="Times New Roman" w:cs="Times New Roman"/>
                <w:sz w:val="24"/>
                <w:szCs w:val="24"/>
                <w:lang w:eastAsia="en-GB"/>
              </w:rPr>
              <w:t>(</w:t>
            </w:r>
            <w:proofErr w:type="spellStart"/>
            <w:r w:rsidR="008B28E2" w:rsidRPr="00E7546E">
              <w:rPr>
                <w:rFonts w:ascii="Times New Roman" w:eastAsia="Times New Roman" w:hAnsi="Times New Roman" w:cs="Times New Roman"/>
                <w:sz w:val="24"/>
                <w:szCs w:val="24"/>
                <w:lang w:eastAsia="en-GB"/>
              </w:rPr>
              <w:t>i</w:t>
            </w:r>
            <w:proofErr w:type="spellEnd"/>
            <w:r w:rsidR="008B28E2" w:rsidRPr="00E7546E">
              <w:rPr>
                <w:rFonts w:ascii="Times New Roman" w:eastAsia="Times New Roman" w:hAnsi="Times New Roman" w:cs="Times New Roman"/>
                <w:sz w:val="24"/>
                <w:szCs w:val="24"/>
                <w:lang w:eastAsia="en-GB"/>
              </w:rPr>
              <w:t xml:space="preserve">) </w:t>
            </w:r>
            <w:r w:rsidRPr="00E7546E">
              <w:rPr>
                <w:rFonts w:ascii="Times New Roman" w:eastAsia="Times New Roman" w:hAnsi="Times New Roman" w:cs="Times New Roman"/>
                <w:sz w:val="24"/>
                <w:szCs w:val="24"/>
                <w:lang w:eastAsia="en-GB"/>
              </w:rPr>
              <w:t xml:space="preserve">the </w:t>
            </w:r>
            <w:r w:rsidR="008B28E2" w:rsidRPr="00E7546E">
              <w:rPr>
                <w:rFonts w:ascii="Times New Roman" w:eastAsia="Times New Roman" w:hAnsi="Times New Roman" w:cs="Times New Roman"/>
                <w:sz w:val="24"/>
                <w:szCs w:val="24"/>
                <w:lang w:eastAsia="en-GB"/>
              </w:rPr>
              <w:t>number of patients referred to the suspected urological cancer pathway;  (ii) the number of referred patients</w:t>
            </w:r>
            <w:r w:rsidR="00472D9C" w:rsidRPr="00E7546E">
              <w:rPr>
                <w:rFonts w:ascii="Times New Roman" w:eastAsia="Times New Roman" w:hAnsi="Times New Roman" w:cs="Times New Roman"/>
                <w:sz w:val="24"/>
                <w:szCs w:val="24"/>
                <w:lang w:eastAsia="en-GB"/>
              </w:rPr>
              <w:t xml:space="preserve"> seen within two weeks; (iii) the number of patients seen </w:t>
            </w:r>
            <w:r w:rsidR="005D0CB7" w:rsidRPr="00E7546E">
              <w:rPr>
                <w:rFonts w:ascii="Times New Roman" w:eastAsia="Times New Roman" w:hAnsi="Times New Roman" w:cs="Times New Roman"/>
                <w:sz w:val="24"/>
                <w:szCs w:val="24"/>
                <w:lang w:eastAsia="en-GB"/>
              </w:rPr>
              <w:t xml:space="preserve">in 15 to 16 days; (iv) the number of patients seen in 17 to 21 days; (v) the number of patients seen in 22 to 28 days; and (vi) </w:t>
            </w:r>
            <w:r w:rsidR="0014465D" w:rsidRPr="00E7546E">
              <w:rPr>
                <w:rFonts w:ascii="Times New Roman" w:eastAsia="Times New Roman" w:hAnsi="Times New Roman" w:cs="Times New Roman"/>
                <w:sz w:val="24"/>
                <w:szCs w:val="24"/>
                <w:lang w:eastAsia="en-GB"/>
              </w:rPr>
              <w:t xml:space="preserve">the number of patients seen </w:t>
            </w:r>
            <w:r w:rsidR="005D0CB7" w:rsidRPr="00E7546E">
              <w:rPr>
                <w:rFonts w:ascii="Times New Roman" w:eastAsia="Times New Roman" w:hAnsi="Times New Roman" w:cs="Times New Roman"/>
                <w:sz w:val="24"/>
                <w:szCs w:val="24"/>
                <w:lang w:eastAsia="en-GB"/>
              </w:rPr>
              <w:t>after 28 days</w:t>
            </w:r>
            <w:r w:rsidR="0014465D" w:rsidRPr="00E7546E">
              <w:rPr>
                <w:rFonts w:ascii="Times New Roman" w:eastAsia="Times New Roman" w:hAnsi="Times New Roman" w:cs="Times New Roman"/>
                <w:sz w:val="24"/>
                <w:szCs w:val="24"/>
                <w:lang w:eastAsia="en-GB"/>
              </w:rPr>
              <w:t xml:space="preserve"> based on the NHS England Waiting Time Statistics. </w:t>
            </w:r>
          </w:p>
          <w:p w14:paraId="71311A4B" w14:textId="40A53E26" w:rsidR="00341AEC" w:rsidRPr="00E7546E" w:rsidRDefault="00341AEC" w:rsidP="009744C0">
            <w:pPr>
              <w:spacing w:after="120"/>
              <w:rPr>
                <w:rFonts w:ascii="Times New Roman" w:eastAsia="Times New Roman" w:hAnsi="Times New Roman" w:cs="Times New Roman"/>
                <w:sz w:val="24"/>
                <w:szCs w:val="24"/>
                <w:lang w:eastAsia="en-GB"/>
              </w:rPr>
            </w:pPr>
            <w:r w:rsidRPr="00E7546E">
              <w:rPr>
                <w:rFonts w:ascii="Times New Roman" w:eastAsia="Times New Roman" w:hAnsi="Times New Roman" w:cs="Times New Roman"/>
                <w:sz w:val="24"/>
                <w:szCs w:val="24"/>
                <w:lang w:eastAsia="en-GB"/>
              </w:rPr>
              <w:t>Healthcare providers were categorised both by volume of referrals (high, average, and low) and by efficiency. After ranking the providers by number of referrals for each month, those in the top 40 were categorised as ‘High volume’ providers, those in the bottom 40 as ‘low volume’ providers and the remaining were categorised as ‘average volume’. Within each volume subgroup (</w:t>
            </w:r>
            <w:proofErr w:type="gramStart"/>
            <w:r w:rsidRPr="00E7546E">
              <w:rPr>
                <w:rFonts w:ascii="Times New Roman" w:eastAsia="Times New Roman" w:hAnsi="Times New Roman" w:cs="Times New Roman"/>
                <w:sz w:val="24"/>
                <w:szCs w:val="24"/>
                <w:lang w:eastAsia="en-GB"/>
              </w:rPr>
              <w:t>i.e.</w:t>
            </w:r>
            <w:proofErr w:type="gramEnd"/>
            <w:r w:rsidRPr="00E7546E">
              <w:rPr>
                <w:rFonts w:ascii="Times New Roman" w:eastAsia="Times New Roman" w:hAnsi="Times New Roman" w:cs="Times New Roman"/>
                <w:sz w:val="24"/>
                <w:szCs w:val="24"/>
                <w:lang w:eastAsia="en-GB"/>
              </w:rPr>
              <w:t xml:space="preserve"> ‘high volume’, ‘average volume’, ‘low volume’), for each month we then identified the top and bottom 25% performing healthcare sites based on the reported percentage of referred patients seen within two weeks as stated in the NHS Waiting Time Statistics. For each volume and efficiency subgroup, we then calculated the following outputs: (</w:t>
            </w:r>
            <w:proofErr w:type="spellStart"/>
            <w:r w:rsidRPr="00E7546E">
              <w:rPr>
                <w:rFonts w:ascii="Times New Roman" w:eastAsia="Times New Roman" w:hAnsi="Times New Roman" w:cs="Times New Roman"/>
                <w:sz w:val="24"/>
                <w:szCs w:val="24"/>
                <w:lang w:eastAsia="en-GB"/>
              </w:rPr>
              <w:t>i</w:t>
            </w:r>
            <w:proofErr w:type="spellEnd"/>
            <w:r w:rsidRPr="00E7546E">
              <w:rPr>
                <w:rFonts w:ascii="Times New Roman" w:eastAsia="Times New Roman" w:hAnsi="Times New Roman" w:cs="Times New Roman"/>
                <w:sz w:val="24"/>
                <w:szCs w:val="24"/>
                <w:lang w:eastAsia="en-GB"/>
              </w:rPr>
              <w:t xml:space="preserve">) the average number of referred patients seen by a specialist; (ii) the average number of referred patients seen within two weeks; and (iii) the average number </w:t>
            </w:r>
            <w:r w:rsidR="00034340" w:rsidRPr="00E7546E">
              <w:rPr>
                <w:rFonts w:ascii="Times New Roman" w:eastAsia="Times New Roman" w:hAnsi="Times New Roman" w:cs="Times New Roman"/>
                <w:sz w:val="24"/>
                <w:szCs w:val="24"/>
                <w:lang w:eastAsia="en-GB"/>
              </w:rPr>
              <w:t xml:space="preserve">and proportion </w:t>
            </w:r>
            <w:r w:rsidRPr="00E7546E">
              <w:rPr>
                <w:rFonts w:ascii="Times New Roman" w:eastAsia="Times New Roman" w:hAnsi="Times New Roman" w:cs="Times New Roman"/>
                <w:sz w:val="24"/>
                <w:szCs w:val="24"/>
                <w:lang w:eastAsia="en-GB"/>
              </w:rPr>
              <w:t>of referred patients seen after two weeks</w:t>
            </w:r>
            <w:r w:rsidR="00034340" w:rsidRPr="00E7546E">
              <w:rPr>
                <w:rFonts w:ascii="Times New Roman" w:eastAsia="Times New Roman" w:hAnsi="Times New Roman" w:cs="Times New Roman"/>
                <w:sz w:val="24"/>
                <w:szCs w:val="24"/>
                <w:lang w:eastAsia="en-GB"/>
              </w:rPr>
              <w:t xml:space="preserve"> (15 to 16 days; 17 to 21 days; 22 to 28 days; after 28 days).</w:t>
            </w:r>
          </w:p>
          <w:p w14:paraId="7DAB868E" w14:textId="05EFF78A" w:rsidR="009744C0" w:rsidRPr="00E7546E" w:rsidRDefault="009744C0" w:rsidP="009744C0">
            <w:pPr>
              <w:spacing w:after="120"/>
              <w:rPr>
                <w:rFonts w:ascii="Times New Roman" w:eastAsia="Times New Roman" w:hAnsi="Times New Roman" w:cs="Times New Roman"/>
                <w:sz w:val="24"/>
                <w:szCs w:val="24"/>
                <w:lang w:eastAsia="en-GB"/>
              </w:rPr>
            </w:pPr>
          </w:p>
        </w:tc>
      </w:tr>
      <w:tr w:rsidR="009744C0" w:rsidRPr="00E7546E" w14:paraId="54E1552B" w14:textId="77777777" w:rsidTr="00646FF2">
        <w:tc>
          <w:tcPr>
            <w:tcW w:w="2457" w:type="dxa"/>
          </w:tcPr>
          <w:p w14:paraId="55A62DFD"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Input parameters</w:t>
            </w:r>
          </w:p>
        </w:tc>
        <w:tc>
          <w:tcPr>
            <w:tcW w:w="827" w:type="dxa"/>
          </w:tcPr>
          <w:p w14:paraId="633F1794"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3.3</w:t>
            </w:r>
          </w:p>
        </w:tc>
        <w:tc>
          <w:tcPr>
            <w:tcW w:w="11742" w:type="dxa"/>
            <w:gridSpan w:val="2"/>
          </w:tcPr>
          <w:p w14:paraId="06786C59" w14:textId="2B192CDC" w:rsidR="009744C0" w:rsidRPr="00E7546E" w:rsidRDefault="005A070A"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A list of input parameters for both models </w:t>
            </w:r>
            <w:r w:rsidR="009F3C1F" w:rsidRPr="00E7546E">
              <w:rPr>
                <w:rFonts w:ascii="Times New Roman" w:eastAsia="Times New Roman" w:hAnsi="Times New Roman" w:cs="Times New Roman"/>
                <w:color w:val="000000"/>
                <w:sz w:val="24"/>
                <w:szCs w:val="24"/>
                <w:lang w:eastAsia="en-GB"/>
              </w:rPr>
              <w:t>is provided in Table 1.</w:t>
            </w:r>
          </w:p>
        </w:tc>
      </w:tr>
      <w:tr w:rsidR="009744C0" w:rsidRPr="00E7546E" w14:paraId="5CC32D76" w14:textId="77777777" w:rsidTr="00646FF2">
        <w:tc>
          <w:tcPr>
            <w:tcW w:w="2457" w:type="dxa"/>
          </w:tcPr>
          <w:p w14:paraId="638D2D5B"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Assumptions</w:t>
            </w:r>
          </w:p>
        </w:tc>
        <w:tc>
          <w:tcPr>
            <w:tcW w:w="827" w:type="dxa"/>
          </w:tcPr>
          <w:p w14:paraId="3A11FAFD"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3.4</w:t>
            </w:r>
          </w:p>
        </w:tc>
        <w:tc>
          <w:tcPr>
            <w:tcW w:w="11742" w:type="dxa"/>
            <w:gridSpan w:val="2"/>
          </w:tcPr>
          <w:p w14:paraId="53BB91C4" w14:textId="77777777" w:rsidR="00BF51B5" w:rsidRPr="00E7546E" w:rsidRDefault="00BF51B5" w:rsidP="00BF51B5">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Model assumptions common to both models are listed below, including: </w:t>
            </w:r>
          </w:p>
          <w:p w14:paraId="2C149384" w14:textId="37CEBCCB" w:rsidR="00FB6C4F" w:rsidRDefault="00FB6C4F" w:rsidP="00CA7F8C">
            <w:pPr>
              <w:pStyle w:val="ListParagraph"/>
              <w:numPr>
                <w:ilvl w:val="0"/>
                <w:numId w:val="3"/>
              </w:numPr>
              <w:spacing w:after="12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GPs are assumed to fully adhere to the results of the </w:t>
            </w:r>
            <w:proofErr w:type="spellStart"/>
            <w:r>
              <w:rPr>
                <w:rFonts w:ascii="Times New Roman" w:eastAsia="Times New Roman" w:hAnsi="Times New Roman" w:cs="Times New Roman"/>
                <w:color w:val="000000"/>
                <w:sz w:val="24"/>
                <w:szCs w:val="24"/>
                <w:lang w:eastAsia="en-GB"/>
              </w:rPr>
              <w:t>PinPoint</w:t>
            </w:r>
            <w:proofErr w:type="spellEnd"/>
            <w:r>
              <w:rPr>
                <w:rFonts w:ascii="Times New Roman" w:eastAsia="Times New Roman" w:hAnsi="Times New Roman" w:cs="Times New Roman"/>
                <w:color w:val="000000"/>
                <w:sz w:val="24"/>
                <w:szCs w:val="24"/>
                <w:lang w:eastAsia="en-GB"/>
              </w:rPr>
              <w:t xml:space="preserve"> </w:t>
            </w:r>
            <w:proofErr w:type="gramStart"/>
            <w:r>
              <w:rPr>
                <w:rFonts w:ascii="Times New Roman" w:eastAsia="Times New Roman" w:hAnsi="Times New Roman" w:cs="Times New Roman"/>
                <w:color w:val="000000"/>
                <w:sz w:val="24"/>
                <w:szCs w:val="24"/>
                <w:lang w:eastAsia="en-GB"/>
              </w:rPr>
              <w:t>test;</w:t>
            </w:r>
            <w:proofErr w:type="gramEnd"/>
          </w:p>
          <w:p w14:paraId="70AC2024" w14:textId="77777777" w:rsidR="009774C7" w:rsidRDefault="00BF51B5" w:rsidP="00CA7F8C">
            <w:pPr>
              <w:numPr>
                <w:ilvl w:val="0"/>
                <w:numId w:val="3"/>
              </w:numPr>
              <w:spacing w:after="160" w:line="276" w:lineRule="auto"/>
              <w:contextualSpacing/>
              <w:jc w:val="both"/>
              <w:rPr>
                <w:rFonts w:eastAsiaTheme="minorEastAsia"/>
              </w:rPr>
            </w:pPr>
            <w:r w:rsidRPr="00E7546E">
              <w:rPr>
                <w:rFonts w:ascii="Times New Roman" w:eastAsia="Times New Roman" w:hAnsi="Times New Roman" w:cs="Times New Roman"/>
                <w:color w:val="000000"/>
                <w:sz w:val="24"/>
                <w:szCs w:val="24"/>
                <w:lang w:eastAsia="en-GB"/>
              </w:rPr>
              <w:t xml:space="preserve">Upon referral for further investigations in secondary care, patients have to wait a minimum of </w:t>
            </w:r>
            <w:r w:rsidR="00DD4752" w:rsidRPr="00E7546E">
              <w:rPr>
                <w:rFonts w:ascii="Times New Roman" w:eastAsia="Times New Roman" w:hAnsi="Times New Roman" w:cs="Times New Roman"/>
                <w:color w:val="000000"/>
                <w:sz w:val="24"/>
                <w:szCs w:val="24"/>
                <w:lang w:eastAsia="en-GB"/>
              </w:rPr>
              <w:t>13</w:t>
            </w:r>
            <w:r w:rsidRPr="00E7546E">
              <w:rPr>
                <w:rFonts w:ascii="Times New Roman" w:eastAsia="Times New Roman" w:hAnsi="Times New Roman" w:cs="Times New Roman"/>
                <w:color w:val="000000"/>
                <w:sz w:val="24"/>
                <w:szCs w:val="24"/>
                <w:lang w:eastAsia="en-GB"/>
              </w:rPr>
              <w:t xml:space="preserve"> before they are booked for further investigations in secondary care;</w:t>
            </w:r>
            <w:r w:rsidR="00DD4752" w:rsidRPr="00E7546E">
              <w:rPr>
                <w:rFonts w:ascii="Times New Roman" w:hAnsi="Times New Roman" w:cs="Times New Roman"/>
              </w:rPr>
              <w:t xml:space="preserve"> </w:t>
            </w:r>
            <w:r w:rsidR="00DD4752" w:rsidRPr="00E7546E">
              <w:rPr>
                <w:rFonts w:ascii="Times New Roman" w:eastAsia="Times New Roman" w:hAnsi="Times New Roman" w:cs="Times New Roman"/>
                <w:color w:val="000000"/>
                <w:sz w:val="24"/>
                <w:szCs w:val="24"/>
                <w:lang w:eastAsia="en-GB"/>
              </w:rPr>
              <w:t>This is due to (</w:t>
            </w:r>
            <w:proofErr w:type="spellStart"/>
            <w:r w:rsidR="00DD4752" w:rsidRPr="00E7546E">
              <w:rPr>
                <w:rFonts w:ascii="Times New Roman" w:eastAsia="Times New Roman" w:hAnsi="Times New Roman" w:cs="Times New Roman"/>
                <w:color w:val="000000"/>
                <w:sz w:val="24"/>
                <w:szCs w:val="24"/>
                <w:lang w:eastAsia="en-GB"/>
              </w:rPr>
              <w:t>i</w:t>
            </w:r>
            <w:proofErr w:type="spellEnd"/>
            <w:r w:rsidR="00DD4752" w:rsidRPr="00E7546E">
              <w:rPr>
                <w:rFonts w:ascii="Times New Roman" w:eastAsia="Times New Roman" w:hAnsi="Times New Roman" w:cs="Times New Roman"/>
                <w:color w:val="000000"/>
                <w:sz w:val="24"/>
                <w:szCs w:val="24"/>
                <w:lang w:eastAsia="en-GB"/>
              </w:rPr>
              <w:t>) logistical reasons (</w:t>
            </w:r>
            <w:proofErr w:type="gramStart"/>
            <w:r w:rsidR="00DD4752" w:rsidRPr="00E7546E">
              <w:rPr>
                <w:rFonts w:ascii="Times New Roman" w:eastAsia="Times New Roman" w:hAnsi="Times New Roman" w:cs="Times New Roman"/>
                <w:color w:val="000000"/>
                <w:sz w:val="24"/>
                <w:szCs w:val="24"/>
                <w:lang w:eastAsia="en-GB"/>
              </w:rPr>
              <w:t>e.g.</w:t>
            </w:r>
            <w:proofErr w:type="gramEnd"/>
            <w:r w:rsidR="00DD4752" w:rsidRPr="00E7546E">
              <w:rPr>
                <w:rFonts w:ascii="Times New Roman" w:eastAsia="Times New Roman" w:hAnsi="Times New Roman" w:cs="Times New Roman"/>
                <w:color w:val="000000"/>
                <w:sz w:val="24"/>
                <w:szCs w:val="24"/>
                <w:lang w:eastAsia="en-GB"/>
              </w:rPr>
              <w:t xml:space="preserve"> booking, phone calls) and (ii) based on the NHS England Waiting Time Statistics, it is unknown exactly the day within two weeks patients are actually seen in secondary care;</w:t>
            </w:r>
            <w:r w:rsidR="009774C7" w:rsidRPr="00831D11">
              <w:rPr>
                <w:rFonts w:eastAsiaTheme="minorEastAsia"/>
              </w:rPr>
              <w:t xml:space="preserve"> </w:t>
            </w:r>
          </w:p>
          <w:p w14:paraId="6ADAB656" w14:textId="46C9D3A2" w:rsidR="009774C7" w:rsidRPr="009774C7" w:rsidRDefault="009774C7" w:rsidP="00CA7F8C">
            <w:pPr>
              <w:numPr>
                <w:ilvl w:val="0"/>
                <w:numId w:val="3"/>
              </w:numPr>
              <w:spacing w:after="120" w:line="276" w:lineRule="auto"/>
              <w:contextualSpacing/>
              <w:jc w:val="both"/>
              <w:rPr>
                <w:rFonts w:ascii="Times New Roman" w:eastAsia="Times New Roman" w:hAnsi="Times New Roman" w:cs="Times New Roman"/>
                <w:color w:val="000000"/>
                <w:sz w:val="24"/>
                <w:szCs w:val="24"/>
                <w:lang w:eastAsia="en-GB"/>
              </w:rPr>
            </w:pPr>
            <w:r w:rsidRPr="00CA7F8C">
              <w:rPr>
                <w:rFonts w:ascii="Times New Roman" w:eastAsiaTheme="minorEastAsia" w:hAnsi="Times New Roman" w:cs="Times New Roman"/>
                <w:sz w:val="24"/>
                <w:szCs w:val="24"/>
              </w:rPr>
              <w:t>Each month, a limited number of patients can be seen in secondary care within 2 weeks. Once the clinic reaches the maximum, individuals who did not get an appointment will wait additional days (between one to 16 days), depending on the ability of the providers to meet the TWW target</w:t>
            </w:r>
            <w:r>
              <w:rPr>
                <w:rFonts w:ascii="Times New Roman" w:eastAsiaTheme="minorEastAsia" w:hAnsi="Times New Roman" w:cs="Times New Roman"/>
                <w:sz w:val="24"/>
                <w:szCs w:val="24"/>
              </w:rPr>
              <w:t>.</w:t>
            </w:r>
            <w:r w:rsidRPr="00CA7F8C">
              <w:rPr>
                <w:rFonts w:ascii="Times New Roman" w:eastAsia="Times New Roman" w:hAnsi="Times New Roman" w:cs="Times New Roman"/>
                <w:color w:val="000000"/>
                <w:sz w:val="24"/>
                <w:szCs w:val="24"/>
                <w:lang w:eastAsia="en-GB"/>
              </w:rPr>
              <w:t xml:space="preserve"> </w:t>
            </w:r>
          </w:p>
          <w:p w14:paraId="21734BC0" w14:textId="77777777" w:rsidR="009774C7" w:rsidRDefault="00BF51B5" w:rsidP="00CA7F8C">
            <w:pPr>
              <w:numPr>
                <w:ilvl w:val="0"/>
                <w:numId w:val="3"/>
              </w:numPr>
              <w:spacing w:after="120" w:line="276" w:lineRule="auto"/>
              <w:contextualSpacing/>
              <w:jc w:val="both"/>
              <w:rPr>
                <w:rFonts w:ascii="Times New Roman" w:eastAsia="Times New Roman" w:hAnsi="Times New Roman" w:cs="Times New Roman"/>
                <w:color w:val="000000"/>
                <w:sz w:val="24"/>
                <w:szCs w:val="24"/>
                <w:lang w:eastAsia="en-GB"/>
              </w:rPr>
            </w:pPr>
            <w:r w:rsidRPr="009774C7">
              <w:rPr>
                <w:rFonts w:ascii="Times New Roman" w:eastAsia="Times New Roman" w:hAnsi="Times New Roman" w:cs="Times New Roman"/>
                <w:color w:val="000000"/>
                <w:sz w:val="24"/>
                <w:szCs w:val="24"/>
                <w:lang w:eastAsia="en-GB"/>
              </w:rPr>
              <w:t xml:space="preserve">Patients with urological cancer (either true-positive or false-negative) who have waited longer than 28 days to be seen in secondary care are exposed to a reduced 10-year survival due to the detrimental impact of waiting for </w:t>
            </w:r>
            <w:r w:rsidRPr="009774C7">
              <w:rPr>
                <w:rFonts w:ascii="Times New Roman" w:eastAsia="Times New Roman" w:hAnsi="Times New Roman" w:cs="Times New Roman"/>
                <w:color w:val="000000"/>
                <w:sz w:val="24"/>
                <w:szCs w:val="24"/>
                <w:lang w:eastAsia="en-GB"/>
              </w:rPr>
              <w:lastRenderedPageBreak/>
              <w:t xml:space="preserve">cancer treatment and/or surgery for two months. The longer the delay patients experience, the greater the 10-year survival for patients with urological cancer. </w:t>
            </w:r>
          </w:p>
          <w:p w14:paraId="3F71C79C" w14:textId="77777777" w:rsidR="00521F0D" w:rsidRDefault="00FB6C4F" w:rsidP="00CA7F8C">
            <w:pPr>
              <w:numPr>
                <w:ilvl w:val="0"/>
                <w:numId w:val="3"/>
              </w:numPr>
              <w:spacing w:after="120" w:line="276" w:lineRule="auto"/>
              <w:contextualSpacing/>
              <w:jc w:val="both"/>
              <w:rPr>
                <w:rFonts w:ascii="Times New Roman" w:eastAsia="Times New Roman" w:hAnsi="Times New Roman" w:cs="Times New Roman"/>
                <w:color w:val="000000"/>
                <w:sz w:val="24"/>
                <w:szCs w:val="24"/>
                <w:lang w:eastAsia="en-GB"/>
              </w:rPr>
            </w:pPr>
            <w:r w:rsidRPr="009774C7">
              <w:rPr>
                <w:rFonts w:ascii="Times New Roman" w:eastAsia="Times New Roman" w:hAnsi="Times New Roman" w:cs="Times New Roman"/>
                <w:color w:val="000000"/>
                <w:sz w:val="24"/>
                <w:szCs w:val="24"/>
                <w:lang w:eastAsia="en-GB"/>
              </w:rPr>
              <w:t>In the triage and prioritisation use case, cancer patients incorrectly not referred are assumed to remain symptomatic, visit the GP twice for additional consultations and receive a delayed referral after 6 months. As a result, they are assumed to experience an age-stratified six-month delay decrement to their 10-year survival due to the initial correct diagnosis and the extended waiting time.</w:t>
            </w:r>
          </w:p>
          <w:p w14:paraId="5448319A" w14:textId="6392E256" w:rsidR="00FB6C4F" w:rsidRPr="00CA7F8C" w:rsidRDefault="00521F0D" w:rsidP="00CA7F8C">
            <w:pPr>
              <w:numPr>
                <w:ilvl w:val="0"/>
                <w:numId w:val="3"/>
              </w:numPr>
              <w:spacing w:after="120" w:line="276" w:lineRule="auto"/>
              <w:contextualSpacing/>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the triage and prioritisation use case, no benefits or harms associated with receiving a true-negative result with </w:t>
            </w:r>
            <w:proofErr w:type="spellStart"/>
            <w:r>
              <w:rPr>
                <w:rFonts w:ascii="Times New Roman" w:eastAsia="Times New Roman" w:hAnsi="Times New Roman" w:cs="Times New Roman"/>
                <w:color w:val="000000"/>
                <w:sz w:val="24"/>
                <w:szCs w:val="24"/>
                <w:lang w:eastAsia="en-GB"/>
              </w:rPr>
              <w:t>PinPoint</w:t>
            </w:r>
            <w:proofErr w:type="spellEnd"/>
            <w:r>
              <w:rPr>
                <w:rFonts w:ascii="Times New Roman" w:eastAsia="Times New Roman" w:hAnsi="Times New Roman" w:cs="Times New Roman"/>
                <w:color w:val="000000"/>
                <w:sz w:val="24"/>
                <w:szCs w:val="24"/>
                <w:lang w:eastAsia="en-GB"/>
              </w:rPr>
              <w:t xml:space="preserve"> test (i.e. individuals without cancer classified as low risk) were assumed due to (</w:t>
            </w:r>
            <w:proofErr w:type="spellStart"/>
            <w:r>
              <w:rPr>
                <w:rFonts w:ascii="Times New Roman" w:eastAsia="Times New Roman" w:hAnsi="Times New Roman" w:cs="Times New Roman"/>
                <w:color w:val="000000"/>
                <w:sz w:val="24"/>
                <w:szCs w:val="24"/>
                <w:lang w:eastAsia="en-GB"/>
              </w:rPr>
              <w:t>i</w:t>
            </w:r>
            <w:proofErr w:type="spellEnd"/>
            <w:r>
              <w:rPr>
                <w:rFonts w:ascii="Times New Roman" w:eastAsia="Times New Roman" w:hAnsi="Times New Roman" w:cs="Times New Roman"/>
                <w:color w:val="000000"/>
                <w:sz w:val="24"/>
                <w:szCs w:val="24"/>
                <w:lang w:eastAsia="en-GB"/>
              </w:rPr>
              <w:t>) paucity of data on the</w:t>
            </w:r>
            <w:r w:rsidR="003649B4">
              <w:rPr>
                <w:rFonts w:ascii="Times New Roman" w:eastAsia="Times New Roman" w:hAnsi="Times New Roman" w:cs="Times New Roman"/>
                <w:color w:val="000000"/>
                <w:sz w:val="24"/>
                <w:szCs w:val="24"/>
                <w:lang w:eastAsia="en-GB"/>
              </w:rPr>
              <w:t xml:space="preserve"> expected</w:t>
            </w:r>
            <w:r>
              <w:rPr>
                <w:rFonts w:ascii="Times New Roman" w:eastAsia="Times New Roman" w:hAnsi="Times New Roman" w:cs="Times New Roman"/>
                <w:color w:val="000000"/>
                <w:sz w:val="24"/>
                <w:szCs w:val="24"/>
                <w:lang w:eastAsia="en-GB"/>
              </w:rPr>
              <w:t xml:space="preserve"> health impact and management </w:t>
            </w:r>
            <w:r w:rsidR="003649B4">
              <w:rPr>
                <w:rFonts w:ascii="Times New Roman" w:eastAsia="Times New Roman" w:hAnsi="Times New Roman" w:cs="Times New Roman"/>
                <w:color w:val="000000"/>
                <w:sz w:val="24"/>
                <w:szCs w:val="24"/>
                <w:lang w:eastAsia="en-GB"/>
              </w:rPr>
              <w:t xml:space="preserve">of individuals initially not urgently referred using </w:t>
            </w:r>
            <w:proofErr w:type="spellStart"/>
            <w:r w:rsidR="003649B4">
              <w:rPr>
                <w:rFonts w:ascii="Times New Roman" w:eastAsia="Times New Roman" w:hAnsi="Times New Roman" w:cs="Times New Roman"/>
                <w:color w:val="000000"/>
                <w:sz w:val="24"/>
                <w:szCs w:val="24"/>
                <w:lang w:eastAsia="en-GB"/>
              </w:rPr>
              <w:t>PinPoint</w:t>
            </w:r>
            <w:proofErr w:type="spellEnd"/>
            <w:r w:rsidR="003649B4">
              <w:rPr>
                <w:rFonts w:ascii="Times New Roman" w:eastAsia="Times New Roman" w:hAnsi="Times New Roman" w:cs="Times New Roman"/>
                <w:color w:val="000000"/>
                <w:sz w:val="24"/>
                <w:szCs w:val="24"/>
                <w:lang w:eastAsia="en-GB"/>
              </w:rPr>
              <w:t xml:space="preserve"> as a triage and prioritisation tool; (ii) </w:t>
            </w:r>
            <w:r w:rsidR="00315139">
              <w:rPr>
                <w:rFonts w:ascii="Times New Roman" w:eastAsia="Times New Roman" w:hAnsi="Times New Roman" w:cs="Times New Roman"/>
                <w:color w:val="000000"/>
                <w:sz w:val="24"/>
                <w:szCs w:val="24"/>
                <w:lang w:eastAsia="en-GB"/>
              </w:rPr>
              <w:t xml:space="preserve">the models focus on the processes and expected impact of </w:t>
            </w:r>
            <w:proofErr w:type="spellStart"/>
            <w:r w:rsidR="00315139">
              <w:rPr>
                <w:rFonts w:ascii="Times New Roman" w:eastAsia="Times New Roman" w:hAnsi="Times New Roman" w:cs="Times New Roman"/>
                <w:color w:val="000000"/>
                <w:sz w:val="24"/>
                <w:szCs w:val="24"/>
                <w:lang w:eastAsia="en-GB"/>
              </w:rPr>
              <w:t>PinPoint</w:t>
            </w:r>
            <w:proofErr w:type="spellEnd"/>
            <w:r w:rsidR="00315139">
              <w:rPr>
                <w:rFonts w:ascii="Times New Roman" w:eastAsia="Times New Roman" w:hAnsi="Times New Roman" w:cs="Times New Roman"/>
                <w:color w:val="000000"/>
                <w:sz w:val="24"/>
                <w:szCs w:val="24"/>
                <w:lang w:eastAsia="en-GB"/>
              </w:rPr>
              <w:t xml:space="preserve"> test of patients referred down the urgent suspected cancer pathway only. </w:t>
            </w:r>
          </w:p>
          <w:p w14:paraId="6DC18439" w14:textId="12A8F862" w:rsidR="009774C7" w:rsidRPr="00CA7F8C" w:rsidRDefault="00BF51B5" w:rsidP="00CA7F8C">
            <w:pPr>
              <w:numPr>
                <w:ilvl w:val="0"/>
                <w:numId w:val="3"/>
              </w:num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All patients with positive test results for cancer in secondary care undergo a multidisciplinary cancer meeting to confirm cancer diagnosis. </w:t>
            </w:r>
          </w:p>
          <w:p w14:paraId="3632E0B4" w14:textId="77777777" w:rsidR="009774C7" w:rsidRPr="00E7546E" w:rsidRDefault="009774C7" w:rsidP="00CA7F8C">
            <w:pPr>
              <w:spacing w:after="120"/>
              <w:contextualSpacing/>
              <w:rPr>
                <w:rFonts w:ascii="Times New Roman" w:eastAsia="Times New Roman" w:hAnsi="Times New Roman" w:cs="Times New Roman"/>
                <w:color w:val="000000"/>
                <w:sz w:val="24"/>
                <w:szCs w:val="24"/>
                <w:lang w:eastAsia="en-GB"/>
              </w:rPr>
            </w:pPr>
          </w:p>
          <w:p w14:paraId="5DC279FB" w14:textId="77777777" w:rsidR="00BF51B5" w:rsidRPr="00E7546E" w:rsidRDefault="00BF51B5" w:rsidP="00BF51B5">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There are also some clinical assumptions specific to the prostate cancer model, including</w:t>
            </w:r>
          </w:p>
          <w:p w14:paraId="21CBCD65" w14:textId="0E6D183D" w:rsidR="00DF35CB" w:rsidRDefault="00DF35CB" w:rsidP="00DF35CB">
            <w:pPr>
              <w:pStyle w:val="ListParagrap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 </w:t>
            </w:r>
            <w:r w:rsidR="009774C7" w:rsidRPr="00CA7F8C">
              <w:rPr>
                <w:rFonts w:ascii="Times New Roman" w:eastAsia="Times New Roman" w:hAnsi="Times New Roman" w:cs="Times New Roman"/>
                <w:color w:val="000000"/>
                <w:sz w:val="24"/>
                <w:szCs w:val="24"/>
                <w:lang w:eastAsia="en-GB"/>
              </w:rPr>
              <w:t>All tests run in secondary care required are assumed available if needed when a patient is seen in secondary care.</w:t>
            </w:r>
          </w:p>
          <w:p w14:paraId="1366FBB6" w14:textId="3EC0E013" w:rsidR="009774C7" w:rsidRDefault="00DF35CB" w:rsidP="00CA7F8C">
            <w:pPr>
              <w:pStyle w:val="ListParagraph"/>
              <w:rPr>
                <w:lang w:eastAsia="en-GB"/>
              </w:rPr>
            </w:pPr>
            <w:r>
              <w:rPr>
                <w:rFonts w:ascii="Times New Roman" w:eastAsia="Times New Roman" w:hAnsi="Times New Roman" w:cs="Times New Roman"/>
                <w:color w:val="000000"/>
                <w:sz w:val="24"/>
                <w:szCs w:val="24"/>
                <w:lang w:eastAsia="en-GB"/>
              </w:rPr>
              <w:t xml:space="preserve">2. </w:t>
            </w:r>
            <w:r w:rsidR="009774C7" w:rsidRPr="00CA7F8C">
              <w:rPr>
                <w:rFonts w:ascii="Times New Roman" w:eastAsia="Times New Roman" w:hAnsi="Times New Roman" w:cs="Times New Roman"/>
                <w:color w:val="000000"/>
                <w:sz w:val="24"/>
                <w:szCs w:val="24"/>
                <w:lang w:eastAsia="en-GB"/>
              </w:rPr>
              <w:t>All tests run in secondary care are assumed to have perfected diagnostic accuracy in identifying patients with urological cancer and ruling out patients without cancer</w:t>
            </w:r>
            <w:r w:rsidR="009774C7" w:rsidRPr="00CA7F8C" w:rsidDel="009774C7">
              <w:rPr>
                <w:rFonts w:ascii="Times New Roman" w:eastAsia="Times New Roman" w:hAnsi="Times New Roman" w:cs="Times New Roman"/>
                <w:color w:val="000000"/>
                <w:sz w:val="24"/>
                <w:szCs w:val="24"/>
                <w:lang w:eastAsia="en-GB"/>
              </w:rPr>
              <w:t xml:space="preserve"> </w:t>
            </w:r>
            <w:r w:rsidR="00BF51B5" w:rsidRPr="00DF35CB">
              <w:rPr>
                <w:lang w:eastAsia="en-GB"/>
              </w:rPr>
              <w:t xml:space="preserve"> </w:t>
            </w:r>
          </w:p>
          <w:p w14:paraId="498DC4E3" w14:textId="77777777" w:rsidR="00DF35CB" w:rsidRDefault="00DF35CB" w:rsidP="00DF35CB">
            <w:pPr>
              <w:spacing w:after="120"/>
              <w:ind w:left="720"/>
              <w:contextualSpacing/>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 </w:t>
            </w:r>
            <w:r w:rsidR="009774C7" w:rsidRPr="00CA7F8C">
              <w:rPr>
                <w:rFonts w:ascii="Times New Roman" w:eastAsia="Times New Roman" w:hAnsi="Times New Roman" w:cs="Times New Roman"/>
                <w:color w:val="000000"/>
                <w:sz w:val="24"/>
                <w:szCs w:val="24"/>
                <w:lang w:eastAsia="en-GB"/>
              </w:rPr>
              <w:t>An MDT meeting confirms the cancer diagnosis for all patients referred to secondary care.</w:t>
            </w:r>
          </w:p>
          <w:p w14:paraId="67810C56" w14:textId="640A2C2B" w:rsidR="009744C0" w:rsidRPr="00E7546E" w:rsidRDefault="00DF35CB" w:rsidP="00CA7F8C">
            <w:pPr>
              <w:spacing w:after="120"/>
              <w:ind w:left="720"/>
              <w:contextualSpacing/>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r w:rsidR="009774C7" w:rsidRPr="009774C7">
              <w:rPr>
                <w:rFonts w:ascii="Times New Roman" w:eastAsia="Times New Roman" w:hAnsi="Times New Roman" w:cs="Times New Roman"/>
                <w:color w:val="000000"/>
                <w:sz w:val="24"/>
                <w:szCs w:val="24"/>
                <w:lang w:eastAsia="en-GB"/>
              </w:rPr>
              <w:t>T</w:t>
            </w:r>
            <w:r w:rsidR="009774C7" w:rsidRPr="00CA7F8C">
              <w:rPr>
                <w:rFonts w:ascii="Times New Roman" w:eastAsia="Times New Roman" w:hAnsi="Times New Roman" w:cs="Times New Roman"/>
                <w:color w:val="000000"/>
                <w:sz w:val="24"/>
                <w:szCs w:val="24"/>
                <w:lang w:eastAsia="en-GB"/>
              </w:rPr>
              <w:t xml:space="preserve">he models do not include the treatment pathways (and associated costs) as </w:t>
            </w:r>
            <w:proofErr w:type="spellStart"/>
            <w:r w:rsidR="009774C7" w:rsidRPr="00CA7F8C">
              <w:rPr>
                <w:rFonts w:ascii="Times New Roman" w:eastAsia="Times New Roman" w:hAnsi="Times New Roman" w:cs="Times New Roman"/>
                <w:color w:val="000000"/>
                <w:sz w:val="24"/>
                <w:szCs w:val="24"/>
                <w:lang w:eastAsia="en-GB"/>
              </w:rPr>
              <w:t>PinPoint</w:t>
            </w:r>
            <w:proofErr w:type="spellEnd"/>
            <w:r w:rsidR="009774C7" w:rsidRPr="00CA7F8C">
              <w:rPr>
                <w:rFonts w:ascii="Times New Roman" w:eastAsia="Times New Roman" w:hAnsi="Times New Roman" w:cs="Times New Roman"/>
                <w:color w:val="000000"/>
                <w:sz w:val="24"/>
                <w:szCs w:val="24"/>
                <w:lang w:eastAsia="en-GB"/>
              </w:rPr>
              <w:t xml:space="preserve"> test is not expected to impact upon treatment decisions, just the timing of diagnosis and treatment.</w:t>
            </w:r>
          </w:p>
        </w:tc>
      </w:tr>
      <w:tr w:rsidR="009744C0" w:rsidRPr="00E7546E" w14:paraId="3AF9582A" w14:textId="77777777" w:rsidTr="00646FF2">
        <w:tc>
          <w:tcPr>
            <w:tcW w:w="2457" w:type="dxa"/>
          </w:tcPr>
          <w:p w14:paraId="46B3E920" w14:textId="77777777" w:rsidR="009744C0" w:rsidRPr="00E7546E" w:rsidRDefault="009744C0" w:rsidP="009744C0">
            <w:pPr>
              <w:numPr>
                <w:ilvl w:val="0"/>
                <w:numId w:val="1"/>
              </w:numPr>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b/>
                <w:bCs/>
                <w:color w:val="000000"/>
                <w:sz w:val="24"/>
                <w:szCs w:val="24"/>
                <w:lang w:eastAsia="en-GB"/>
              </w:rPr>
              <w:lastRenderedPageBreak/>
              <w:t xml:space="preserve">Experimentation </w:t>
            </w:r>
          </w:p>
        </w:tc>
        <w:tc>
          <w:tcPr>
            <w:tcW w:w="12569" w:type="dxa"/>
            <w:gridSpan w:val="3"/>
          </w:tcPr>
          <w:p w14:paraId="7F03419E"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p>
        </w:tc>
      </w:tr>
      <w:tr w:rsidR="009744C0" w:rsidRPr="00E7546E" w14:paraId="52D67236" w14:textId="77777777" w:rsidTr="00646FF2">
        <w:tc>
          <w:tcPr>
            <w:tcW w:w="2457" w:type="dxa"/>
          </w:tcPr>
          <w:p w14:paraId="0AB81036"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Initialisation</w:t>
            </w:r>
          </w:p>
        </w:tc>
        <w:tc>
          <w:tcPr>
            <w:tcW w:w="827" w:type="dxa"/>
          </w:tcPr>
          <w:p w14:paraId="5252AFFF"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4.1</w:t>
            </w:r>
          </w:p>
        </w:tc>
        <w:tc>
          <w:tcPr>
            <w:tcW w:w="11742" w:type="dxa"/>
            <w:gridSpan w:val="2"/>
          </w:tcPr>
          <w:p w14:paraId="4936B54F" w14:textId="3DB79603" w:rsidR="009744C0" w:rsidRPr="00E7546E" w:rsidRDefault="00701071"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No </w:t>
            </w:r>
            <w:proofErr w:type="gramStart"/>
            <w:r w:rsidRPr="00E7546E">
              <w:rPr>
                <w:rFonts w:ascii="Times New Roman" w:eastAsia="Times New Roman" w:hAnsi="Times New Roman" w:cs="Times New Roman"/>
                <w:color w:val="000000"/>
                <w:sz w:val="24"/>
                <w:szCs w:val="24"/>
                <w:lang w:eastAsia="en-GB"/>
              </w:rPr>
              <w:t>warm up</w:t>
            </w:r>
            <w:proofErr w:type="gramEnd"/>
            <w:r w:rsidRPr="00E7546E">
              <w:rPr>
                <w:rFonts w:ascii="Times New Roman" w:eastAsia="Times New Roman" w:hAnsi="Times New Roman" w:cs="Times New Roman"/>
                <w:color w:val="000000"/>
                <w:sz w:val="24"/>
                <w:szCs w:val="24"/>
                <w:lang w:eastAsia="en-GB"/>
              </w:rPr>
              <w:t xml:space="preserve"> period was applied as the model applies monthly-specific data for the number of patients entering the simulation. </w:t>
            </w:r>
            <w:r w:rsidR="00A777AD" w:rsidRPr="00E7546E">
              <w:rPr>
                <w:rFonts w:ascii="Times New Roman" w:eastAsia="Times New Roman" w:hAnsi="Times New Roman" w:cs="Times New Roman"/>
                <w:color w:val="000000"/>
                <w:sz w:val="24"/>
                <w:szCs w:val="24"/>
                <w:lang w:eastAsia="en-GB"/>
              </w:rPr>
              <w:t>The model runs in minutes.</w:t>
            </w:r>
          </w:p>
        </w:tc>
      </w:tr>
      <w:tr w:rsidR="009744C0" w:rsidRPr="00E7546E" w14:paraId="2AFD18C2" w14:textId="77777777" w:rsidTr="00646FF2">
        <w:tc>
          <w:tcPr>
            <w:tcW w:w="2457" w:type="dxa"/>
          </w:tcPr>
          <w:p w14:paraId="07E86BA5"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Run length</w:t>
            </w:r>
          </w:p>
        </w:tc>
        <w:tc>
          <w:tcPr>
            <w:tcW w:w="827" w:type="dxa"/>
          </w:tcPr>
          <w:p w14:paraId="7A764D3D"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4.2</w:t>
            </w:r>
          </w:p>
        </w:tc>
        <w:tc>
          <w:tcPr>
            <w:tcW w:w="11742" w:type="dxa"/>
            <w:gridSpan w:val="2"/>
          </w:tcPr>
          <w:p w14:paraId="277E151F" w14:textId="0936CE18" w:rsidR="009744C0" w:rsidRPr="00E7546E" w:rsidRDefault="00610D2C"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The models cover a one-year period between 1</w:t>
            </w:r>
            <w:r w:rsidRPr="00E7546E">
              <w:rPr>
                <w:rFonts w:ascii="Times New Roman" w:eastAsia="Times New Roman" w:hAnsi="Times New Roman" w:cs="Times New Roman"/>
                <w:color w:val="000000"/>
                <w:sz w:val="24"/>
                <w:szCs w:val="24"/>
                <w:vertAlign w:val="superscript"/>
                <w:lang w:eastAsia="en-GB"/>
              </w:rPr>
              <w:t>st</w:t>
            </w:r>
            <w:r w:rsidRPr="00E7546E">
              <w:rPr>
                <w:rFonts w:ascii="Times New Roman" w:eastAsia="Times New Roman" w:hAnsi="Times New Roman" w:cs="Times New Roman"/>
                <w:color w:val="000000"/>
                <w:sz w:val="24"/>
                <w:szCs w:val="24"/>
                <w:lang w:eastAsia="en-GB"/>
              </w:rPr>
              <w:t xml:space="preserve"> December 2021 and 30</w:t>
            </w:r>
            <w:r w:rsidRPr="00E7546E">
              <w:rPr>
                <w:rFonts w:ascii="Times New Roman" w:eastAsia="Times New Roman" w:hAnsi="Times New Roman" w:cs="Times New Roman"/>
                <w:color w:val="000000"/>
                <w:sz w:val="24"/>
                <w:szCs w:val="24"/>
                <w:vertAlign w:val="superscript"/>
                <w:lang w:eastAsia="en-GB"/>
              </w:rPr>
              <w:t>th</w:t>
            </w:r>
            <w:r w:rsidRPr="00E7546E">
              <w:rPr>
                <w:rFonts w:ascii="Times New Roman" w:eastAsia="Times New Roman" w:hAnsi="Times New Roman" w:cs="Times New Roman"/>
                <w:color w:val="000000"/>
                <w:sz w:val="24"/>
                <w:szCs w:val="24"/>
                <w:lang w:eastAsia="en-GB"/>
              </w:rPr>
              <w:t xml:space="preserve"> November 2022 (295 days to </w:t>
            </w:r>
            <w:r w:rsidR="00FC28A2" w:rsidRPr="00E7546E">
              <w:rPr>
                <w:rFonts w:ascii="Times New Roman" w:eastAsia="Times New Roman" w:hAnsi="Times New Roman" w:cs="Times New Roman"/>
                <w:color w:val="000000"/>
                <w:sz w:val="24"/>
                <w:szCs w:val="24"/>
                <w:lang w:eastAsia="en-GB"/>
              </w:rPr>
              <w:t xml:space="preserve">ensure that all patients exit the simulation). </w:t>
            </w:r>
            <w:r w:rsidR="0055571F" w:rsidRPr="0055571F">
              <w:rPr>
                <w:rFonts w:ascii="Times New Roman" w:eastAsia="Times New Roman" w:hAnsi="Times New Roman" w:cs="Times New Roman"/>
                <w:color w:val="000000"/>
                <w:sz w:val="24"/>
                <w:szCs w:val="24"/>
                <w:lang w:eastAsia="en-GB"/>
              </w:rPr>
              <w:t xml:space="preserve">This time horizon was selected to explore the impact that </w:t>
            </w:r>
            <w:proofErr w:type="spellStart"/>
            <w:r w:rsidR="0055571F" w:rsidRPr="0055571F">
              <w:rPr>
                <w:rFonts w:ascii="Times New Roman" w:eastAsia="Times New Roman" w:hAnsi="Times New Roman" w:cs="Times New Roman"/>
                <w:color w:val="000000"/>
                <w:sz w:val="24"/>
                <w:szCs w:val="24"/>
                <w:lang w:eastAsia="en-GB"/>
              </w:rPr>
              <w:t>PinPoint</w:t>
            </w:r>
            <w:proofErr w:type="spellEnd"/>
            <w:r w:rsidR="0055571F" w:rsidRPr="0055571F">
              <w:rPr>
                <w:rFonts w:ascii="Times New Roman" w:eastAsia="Times New Roman" w:hAnsi="Times New Roman" w:cs="Times New Roman"/>
                <w:color w:val="000000"/>
                <w:sz w:val="24"/>
                <w:szCs w:val="24"/>
                <w:lang w:eastAsia="en-GB"/>
              </w:rPr>
              <w:t xml:space="preserve"> test would have had on reducing waiting time for referred patients after the social distancing measures used during the COVID-19 pandemic were lifted.</w:t>
            </w:r>
          </w:p>
        </w:tc>
      </w:tr>
      <w:tr w:rsidR="009744C0" w:rsidRPr="00E7546E" w14:paraId="5030BBA6" w14:textId="77777777" w:rsidTr="00646FF2">
        <w:tc>
          <w:tcPr>
            <w:tcW w:w="2457" w:type="dxa"/>
          </w:tcPr>
          <w:p w14:paraId="4AABA3CA"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p>
          <w:p w14:paraId="35B76A01"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Estimation approach</w:t>
            </w:r>
          </w:p>
          <w:p w14:paraId="586A783C" w14:textId="77777777" w:rsidR="009744C0" w:rsidRPr="00E7546E" w:rsidRDefault="009744C0" w:rsidP="009744C0">
            <w:pPr>
              <w:spacing w:after="120"/>
              <w:contextualSpacing/>
              <w:rPr>
                <w:rFonts w:ascii="Times New Roman" w:eastAsia="Times New Roman" w:hAnsi="Times New Roman" w:cs="Times New Roman"/>
                <w:b/>
                <w:bCs/>
                <w:color w:val="000000"/>
                <w:sz w:val="24"/>
                <w:szCs w:val="24"/>
                <w:lang w:eastAsia="en-GB"/>
              </w:rPr>
            </w:pPr>
          </w:p>
        </w:tc>
        <w:tc>
          <w:tcPr>
            <w:tcW w:w="827" w:type="dxa"/>
          </w:tcPr>
          <w:p w14:paraId="079387C4"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4.3</w:t>
            </w:r>
          </w:p>
        </w:tc>
        <w:tc>
          <w:tcPr>
            <w:tcW w:w="11742" w:type="dxa"/>
            <w:gridSpan w:val="2"/>
          </w:tcPr>
          <w:p w14:paraId="41CC283E" w14:textId="3283F691" w:rsidR="009744C0" w:rsidRPr="00E7546E" w:rsidRDefault="00226A8A"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All model analyses were based on running 650 replications (trials) of the model, to account for first order uncertainty – each run using a different random number sequence</w:t>
            </w:r>
            <w:r w:rsidR="00F909E0" w:rsidRPr="00E7546E">
              <w:rPr>
                <w:rFonts w:ascii="Times New Roman" w:eastAsia="Times New Roman" w:hAnsi="Times New Roman" w:cs="Times New Roman"/>
                <w:color w:val="000000"/>
                <w:sz w:val="24"/>
                <w:szCs w:val="24"/>
                <w:lang w:eastAsia="en-GB"/>
              </w:rPr>
              <w:t>.</w:t>
            </w:r>
          </w:p>
        </w:tc>
      </w:tr>
      <w:tr w:rsidR="009744C0" w:rsidRPr="00E7546E" w14:paraId="7B402ADA" w14:textId="77777777" w:rsidTr="00646FF2">
        <w:tc>
          <w:tcPr>
            <w:tcW w:w="2457" w:type="dxa"/>
          </w:tcPr>
          <w:p w14:paraId="789BA312" w14:textId="77777777" w:rsidR="009744C0" w:rsidRPr="00E7546E" w:rsidRDefault="009744C0" w:rsidP="009744C0">
            <w:pPr>
              <w:numPr>
                <w:ilvl w:val="0"/>
                <w:numId w:val="1"/>
              </w:numPr>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b/>
                <w:bCs/>
                <w:color w:val="000000"/>
                <w:sz w:val="24"/>
                <w:szCs w:val="24"/>
                <w:lang w:eastAsia="en-GB"/>
              </w:rPr>
              <w:lastRenderedPageBreak/>
              <w:t xml:space="preserve">Implementation </w:t>
            </w:r>
          </w:p>
        </w:tc>
        <w:tc>
          <w:tcPr>
            <w:tcW w:w="12569" w:type="dxa"/>
            <w:gridSpan w:val="3"/>
          </w:tcPr>
          <w:p w14:paraId="05CBEC98"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p>
        </w:tc>
      </w:tr>
      <w:tr w:rsidR="009744C0" w:rsidRPr="00E7546E" w14:paraId="5DBDA7B7" w14:textId="77777777" w:rsidTr="00646FF2">
        <w:tc>
          <w:tcPr>
            <w:tcW w:w="2457" w:type="dxa"/>
          </w:tcPr>
          <w:p w14:paraId="67B8F0C4"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Software or programming language</w:t>
            </w:r>
          </w:p>
        </w:tc>
        <w:tc>
          <w:tcPr>
            <w:tcW w:w="827" w:type="dxa"/>
          </w:tcPr>
          <w:p w14:paraId="3CF98DE8"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5.1</w:t>
            </w:r>
          </w:p>
        </w:tc>
        <w:tc>
          <w:tcPr>
            <w:tcW w:w="11742" w:type="dxa"/>
            <w:gridSpan w:val="2"/>
          </w:tcPr>
          <w:p w14:paraId="4CC5DD0A" w14:textId="3A3A8D8D" w:rsidR="009744C0" w:rsidRPr="00E7546E" w:rsidRDefault="00D3381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The model</w:t>
            </w:r>
            <w:r w:rsidR="008125F8" w:rsidRPr="00E7546E">
              <w:rPr>
                <w:rFonts w:ascii="Times New Roman" w:eastAsia="Times New Roman" w:hAnsi="Times New Roman" w:cs="Times New Roman"/>
                <w:color w:val="000000"/>
                <w:sz w:val="24"/>
                <w:szCs w:val="24"/>
                <w:lang w:eastAsia="en-GB"/>
              </w:rPr>
              <w:t>s</w:t>
            </w:r>
            <w:r w:rsidRPr="00E7546E">
              <w:rPr>
                <w:rFonts w:ascii="Times New Roman" w:eastAsia="Times New Roman" w:hAnsi="Times New Roman" w:cs="Times New Roman"/>
                <w:color w:val="000000"/>
                <w:sz w:val="24"/>
                <w:szCs w:val="24"/>
                <w:lang w:eastAsia="en-GB"/>
              </w:rPr>
              <w:t xml:space="preserve"> </w:t>
            </w:r>
            <w:r w:rsidR="008125F8" w:rsidRPr="00E7546E">
              <w:rPr>
                <w:rFonts w:ascii="Times New Roman" w:eastAsia="Times New Roman" w:hAnsi="Times New Roman" w:cs="Times New Roman"/>
                <w:color w:val="000000"/>
                <w:sz w:val="24"/>
                <w:szCs w:val="24"/>
                <w:lang w:eastAsia="en-GB"/>
              </w:rPr>
              <w:t>were developed</w:t>
            </w:r>
            <w:r w:rsidRPr="00E7546E">
              <w:rPr>
                <w:rFonts w:ascii="Times New Roman" w:eastAsia="Times New Roman" w:hAnsi="Times New Roman" w:cs="Times New Roman"/>
                <w:color w:val="000000"/>
                <w:sz w:val="24"/>
                <w:szCs w:val="24"/>
                <w:lang w:eastAsia="en-GB"/>
              </w:rPr>
              <w:t xml:space="preserve"> in Simul8 </w:t>
            </w:r>
            <w:r w:rsidR="008125F8" w:rsidRPr="00E7546E">
              <w:rPr>
                <w:rFonts w:ascii="Times New Roman" w:eastAsia="Times New Roman" w:hAnsi="Times New Roman" w:cs="Times New Roman"/>
                <w:color w:val="000000"/>
                <w:sz w:val="24"/>
                <w:szCs w:val="24"/>
                <w:lang w:eastAsia="en-GB"/>
              </w:rPr>
              <w:t>(SIMUL8 Corp, Boston, MA)</w:t>
            </w:r>
            <w:r w:rsidRPr="00E7546E">
              <w:rPr>
                <w:rFonts w:ascii="Times New Roman" w:eastAsia="Times New Roman" w:hAnsi="Times New Roman" w:cs="Times New Roman"/>
                <w:color w:val="000000"/>
                <w:sz w:val="24"/>
                <w:szCs w:val="24"/>
                <w:lang w:eastAsia="en-GB"/>
              </w:rPr>
              <w:t>(</w:t>
            </w:r>
            <w:hyperlink r:id="rId6" w:history="1">
              <w:r w:rsidRPr="00E7546E">
                <w:rPr>
                  <w:rStyle w:val="Hyperlink"/>
                  <w:rFonts w:ascii="Times New Roman" w:eastAsia="Times New Roman" w:hAnsi="Times New Roman" w:cs="Times New Roman"/>
                  <w:sz w:val="24"/>
                  <w:szCs w:val="24"/>
                  <w:lang w:eastAsia="en-GB"/>
                </w:rPr>
                <w:t>https://www.simul8.com</w:t>
              </w:r>
            </w:hyperlink>
            <w:r w:rsidRPr="00E7546E">
              <w:rPr>
                <w:rFonts w:ascii="Times New Roman" w:eastAsia="Times New Roman" w:hAnsi="Times New Roman" w:cs="Times New Roman"/>
                <w:color w:val="000000"/>
                <w:sz w:val="24"/>
                <w:szCs w:val="24"/>
                <w:lang w:eastAsia="en-GB"/>
              </w:rPr>
              <w:t>).</w:t>
            </w:r>
          </w:p>
        </w:tc>
      </w:tr>
      <w:tr w:rsidR="009744C0" w:rsidRPr="00E7546E" w14:paraId="281F8651" w14:textId="77777777" w:rsidTr="00646FF2">
        <w:tc>
          <w:tcPr>
            <w:tcW w:w="2457" w:type="dxa"/>
          </w:tcPr>
          <w:p w14:paraId="4FD80493"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Random sampling </w:t>
            </w:r>
          </w:p>
        </w:tc>
        <w:tc>
          <w:tcPr>
            <w:tcW w:w="827" w:type="dxa"/>
          </w:tcPr>
          <w:p w14:paraId="2D34673A"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5.2</w:t>
            </w:r>
          </w:p>
        </w:tc>
        <w:tc>
          <w:tcPr>
            <w:tcW w:w="11742" w:type="dxa"/>
            <w:gridSpan w:val="2"/>
          </w:tcPr>
          <w:p w14:paraId="4E68DE28" w14:textId="3D6DD0AC" w:rsidR="009744C0" w:rsidRPr="00E7546E" w:rsidRDefault="00F909E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All model analyses were based on running 650 replications of the model, to account for first order uncertainty – each run using a different random number sequence.</w:t>
            </w:r>
          </w:p>
        </w:tc>
      </w:tr>
      <w:tr w:rsidR="009744C0" w:rsidRPr="00E7546E" w14:paraId="2FDBE05F" w14:textId="77777777" w:rsidTr="00646FF2">
        <w:tc>
          <w:tcPr>
            <w:tcW w:w="2457" w:type="dxa"/>
          </w:tcPr>
          <w:p w14:paraId="5C708679" w14:textId="77777777" w:rsidR="009744C0" w:rsidRPr="00E7546E" w:rsidRDefault="009744C0" w:rsidP="009744C0">
            <w:pPr>
              <w:spacing w:after="120"/>
              <w:contextualSpacing/>
              <w:rPr>
                <w:rFonts w:ascii="Times New Roman" w:eastAsia="Times New Roman" w:hAnsi="Times New Roman" w:cs="Times New Roman"/>
                <w:b/>
                <w:bCs/>
                <w:color w:val="000000"/>
                <w:sz w:val="24"/>
                <w:szCs w:val="24"/>
                <w:lang w:eastAsia="en-GB"/>
              </w:rPr>
            </w:pPr>
            <w:r w:rsidRPr="00E7546E">
              <w:rPr>
                <w:rFonts w:ascii="Times New Roman" w:eastAsia="Times New Roman" w:hAnsi="Times New Roman" w:cs="Times New Roman"/>
                <w:color w:val="000000"/>
                <w:sz w:val="24"/>
                <w:szCs w:val="24"/>
                <w:lang w:eastAsia="en-GB"/>
              </w:rPr>
              <w:t>Model execution</w:t>
            </w:r>
          </w:p>
        </w:tc>
        <w:tc>
          <w:tcPr>
            <w:tcW w:w="827" w:type="dxa"/>
          </w:tcPr>
          <w:p w14:paraId="63E3C0DF" w14:textId="77777777"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5.3</w:t>
            </w:r>
          </w:p>
        </w:tc>
        <w:tc>
          <w:tcPr>
            <w:tcW w:w="11742" w:type="dxa"/>
            <w:gridSpan w:val="2"/>
          </w:tcPr>
          <w:p w14:paraId="336B20F3" w14:textId="3C962A1E" w:rsidR="009744C0" w:rsidRPr="00E7546E" w:rsidRDefault="009744C0" w:rsidP="009744C0">
            <w:pPr>
              <w:spacing w:after="120"/>
              <w:contextualSpacing/>
              <w:rPr>
                <w:rFonts w:ascii="Times New Roman" w:eastAsia="Times New Roman" w:hAnsi="Times New Roman" w:cs="Times New Roman"/>
                <w:color w:val="000000"/>
                <w:sz w:val="24"/>
                <w:szCs w:val="24"/>
                <w:lang w:eastAsia="en-GB"/>
              </w:rPr>
            </w:pPr>
          </w:p>
        </w:tc>
      </w:tr>
      <w:tr w:rsidR="00DC53C9" w:rsidRPr="00E7546E" w14:paraId="42F78CE4" w14:textId="77777777" w:rsidTr="00646FF2">
        <w:tc>
          <w:tcPr>
            <w:tcW w:w="2457" w:type="dxa"/>
          </w:tcPr>
          <w:p w14:paraId="213B6B0A" w14:textId="77777777" w:rsidR="00DC53C9" w:rsidRPr="00E7546E" w:rsidRDefault="00DC53C9" w:rsidP="00DC53C9">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System Specification</w:t>
            </w:r>
          </w:p>
        </w:tc>
        <w:tc>
          <w:tcPr>
            <w:tcW w:w="827" w:type="dxa"/>
          </w:tcPr>
          <w:p w14:paraId="7F861FE4" w14:textId="77777777" w:rsidR="00DC53C9" w:rsidRPr="00E7546E" w:rsidRDefault="00DC53C9" w:rsidP="00DC53C9">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5.4</w:t>
            </w:r>
          </w:p>
        </w:tc>
        <w:tc>
          <w:tcPr>
            <w:tcW w:w="11742" w:type="dxa"/>
            <w:gridSpan w:val="2"/>
          </w:tcPr>
          <w:p w14:paraId="5782760C" w14:textId="443249AA" w:rsidR="00DC53C9" w:rsidRPr="00E7546E" w:rsidRDefault="00DC53C9" w:rsidP="00DC53C9">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The models were implemented in the commercial software SIMUL8 version 28.0.0.4</w:t>
            </w:r>
            <w:r w:rsidR="007868F6" w:rsidRPr="00E7546E">
              <w:rPr>
                <w:rFonts w:ascii="Times New Roman" w:eastAsia="Times New Roman" w:hAnsi="Times New Roman" w:cs="Times New Roman"/>
                <w:color w:val="000000"/>
                <w:sz w:val="24"/>
                <w:szCs w:val="24"/>
                <w:lang w:eastAsia="en-GB"/>
              </w:rPr>
              <w:t>249</w:t>
            </w:r>
            <w:r w:rsidRPr="00E7546E">
              <w:rPr>
                <w:rFonts w:ascii="Times New Roman" w:eastAsia="Times New Roman" w:hAnsi="Times New Roman" w:cs="Times New Roman"/>
                <w:color w:val="000000"/>
                <w:sz w:val="24"/>
                <w:szCs w:val="24"/>
                <w:lang w:eastAsia="en-GB"/>
              </w:rPr>
              <w:t xml:space="preserve"> Student </w:t>
            </w:r>
            <w:proofErr w:type="gramStart"/>
            <w:r w:rsidRPr="00E7546E">
              <w:rPr>
                <w:rFonts w:ascii="Times New Roman" w:eastAsia="Times New Roman" w:hAnsi="Times New Roman" w:cs="Times New Roman"/>
                <w:color w:val="000000"/>
                <w:sz w:val="24"/>
                <w:szCs w:val="24"/>
                <w:lang w:eastAsia="en-GB"/>
              </w:rPr>
              <w:t>edition, and</w:t>
            </w:r>
            <w:proofErr w:type="gramEnd"/>
            <w:r w:rsidRPr="00E7546E">
              <w:rPr>
                <w:rFonts w:ascii="Times New Roman" w:eastAsia="Times New Roman" w:hAnsi="Times New Roman" w:cs="Times New Roman"/>
                <w:color w:val="000000"/>
                <w:sz w:val="24"/>
                <w:szCs w:val="24"/>
                <w:lang w:eastAsia="en-GB"/>
              </w:rPr>
              <w:t xml:space="preserve"> run on a </w:t>
            </w:r>
            <w:proofErr w:type="spellStart"/>
            <w:r w:rsidRPr="00E7546E">
              <w:rPr>
                <w:rFonts w:ascii="Times New Roman" w:eastAsia="Times New Roman" w:hAnsi="Times New Roman" w:cs="Times New Roman"/>
                <w:color w:val="000000"/>
                <w:sz w:val="24"/>
                <w:szCs w:val="24"/>
                <w:lang w:eastAsia="en-GB"/>
              </w:rPr>
              <w:t>VivoBook</w:t>
            </w:r>
            <w:proofErr w:type="spellEnd"/>
            <w:r w:rsidRPr="00E7546E">
              <w:rPr>
                <w:rFonts w:ascii="Times New Roman" w:eastAsia="Times New Roman" w:hAnsi="Times New Roman" w:cs="Times New Roman"/>
                <w:color w:val="000000"/>
                <w:sz w:val="24"/>
                <w:szCs w:val="24"/>
                <w:lang w:eastAsia="en-GB"/>
              </w:rPr>
              <w:t xml:space="preserve"> ASUS laptop X571GT_F571GT with a 2.60 </w:t>
            </w:r>
            <w:proofErr w:type="spellStart"/>
            <w:r w:rsidRPr="00E7546E">
              <w:rPr>
                <w:rFonts w:ascii="Times New Roman" w:eastAsia="Times New Roman" w:hAnsi="Times New Roman" w:cs="Times New Roman"/>
                <w:color w:val="000000"/>
                <w:sz w:val="24"/>
                <w:szCs w:val="24"/>
                <w:lang w:eastAsia="en-GB"/>
              </w:rPr>
              <w:t>GDHz</w:t>
            </w:r>
            <w:proofErr w:type="spellEnd"/>
            <w:r w:rsidRPr="00E7546E">
              <w:rPr>
                <w:rFonts w:ascii="Times New Roman" w:eastAsia="Times New Roman" w:hAnsi="Times New Roman" w:cs="Times New Roman"/>
                <w:color w:val="000000"/>
                <w:sz w:val="24"/>
                <w:szCs w:val="24"/>
                <w:lang w:eastAsia="en-GB"/>
              </w:rPr>
              <w:t xml:space="preserve"> Intel ® Core ™ i7 processor and 16 GB of memory under Microsoft Windows 10 Home (build 19,043). Total model run time was approximately 23 minutes for both testing strategies without using parallel processing. The model runs from 9am to </w:t>
            </w:r>
            <w:r w:rsidR="00960473" w:rsidRPr="00E7546E">
              <w:rPr>
                <w:rFonts w:ascii="Times New Roman" w:eastAsia="Times New Roman" w:hAnsi="Times New Roman" w:cs="Times New Roman"/>
                <w:color w:val="000000"/>
                <w:sz w:val="24"/>
                <w:szCs w:val="24"/>
                <w:lang w:eastAsia="en-GB"/>
              </w:rPr>
              <w:t>5</w:t>
            </w:r>
            <w:r w:rsidRPr="00E7546E">
              <w:rPr>
                <w:rFonts w:ascii="Times New Roman" w:eastAsia="Times New Roman" w:hAnsi="Times New Roman" w:cs="Times New Roman"/>
                <w:color w:val="000000"/>
                <w:sz w:val="24"/>
                <w:szCs w:val="24"/>
                <w:lang w:eastAsia="en-GB"/>
              </w:rPr>
              <w:t>pm (</w:t>
            </w:r>
            <w:r w:rsidR="00DE5D8B" w:rsidRPr="00E7546E">
              <w:rPr>
                <w:rFonts w:ascii="Times New Roman" w:eastAsia="Times New Roman" w:hAnsi="Times New Roman" w:cs="Times New Roman"/>
                <w:color w:val="000000"/>
                <w:sz w:val="24"/>
                <w:szCs w:val="24"/>
                <w:lang w:eastAsia="en-GB"/>
              </w:rPr>
              <w:t>8</w:t>
            </w:r>
            <w:r w:rsidRPr="00E7546E">
              <w:rPr>
                <w:rFonts w:ascii="Times New Roman" w:eastAsia="Times New Roman" w:hAnsi="Times New Roman" w:cs="Times New Roman"/>
                <w:color w:val="000000"/>
                <w:sz w:val="24"/>
                <w:szCs w:val="24"/>
                <w:lang w:eastAsia="en-GB"/>
              </w:rPr>
              <w:t xml:space="preserve"> hours = </w:t>
            </w:r>
            <w:r w:rsidR="00DE5D8B" w:rsidRPr="00E7546E">
              <w:rPr>
                <w:rFonts w:ascii="Times New Roman" w:eastAsia="Times New Roman" w:hAnsi="Times New Roman" w:cs="Times New Roman"/>
                <w:color w:val="000000"/>
                <w:sz w:val="24"/>
                <w:szCs w:val="24"/>
                <w:lang w:eastAsia="en-GB"/>
              </w:rPr>
              <w:t>480</w:t>
            </w:r>
            <w:r w:rsidRPr="00E7546E">
              <w:rPr>
                <w:rFonts w:ascii="Times New Roman" w:eastAsia="Times New Roman" w:hAnsi="Times New Roman" w:cs="Times New Roman"/>
                <w:color w:val="000000"/>
                <w:sz w:val="24"/>
                <w:szCs w:val="24"/>
                <w:lang w:eastAsia="en-GB"/>
              </w:rPr>
              <w:t xml:space="preserve"> minutes in SIMUL8) for 5 days each week (Monday to Friday).</w:t>
            </w:r>
          </w:p>
        </w:tc>
      </w:tr>
      <w:tr w:rsidR="00DC53C9" w:rsidRPr="00E7546E" w14:paraId="5CE8001E" w14:textId="77777777" w:rsidTr="00646FF2">
        <w:tc>
          <w:tcPr>
            <w:tcW w:w="2457" w:type="dxa"/>
          </w:tcPr>
          <w:p w14:paraId="2DE4DB33" w14:textId="77777777" w:rsidR="00DC53C9" w:rsidRPr="00E7546E" w:rsidRDefault="00DC53C9" w:rsidP="00DC53C9">
            <w:pPr>
              <w:numPr>
                <w:ilvl w:val="0"/>
                <w:numId w:val="1"/>
              </w:numPr>
              <w:contextualSpacing/>
              <w:rPr>
                <w:rFonts w:ascii="Times New Roman" w:eastAsia="Times New Roman" w:hAnsi="Times New Roman" w:cs="Times New Roman"/>
                <w:b/>
                <w:color w:val="000000"/>
                <w:sz w:val="24"/>
                <w:szCs w:val="24"/>
                <w:lang w:eastAsia="en-GB"/>
              </w:rPr>
            </w:pPr>
            <w:bookmarkStart w:id="0" w:name="_Hlk493085978"/>
            <w:r w:rsidRPr="00E7546E">
              <w:rPr>
                <w:rFonts w:ascii="Times New Roman" w:eastAsia="Times New Roman" w:hAnsi="Times New Roman" w:cs="Times New Roman"/>
                <w:b/>
                <w:color w:val="000000"/>
                <w:sz w:val="24"/>
                <w:szCs w:val="24"/>
                <w:lang w:eastAsia="en-GB"/>
              </w:rPr>
              <w:t>Code Access</w:t>
            </w:r>
          </w:p>
        </w:tc>
        <w:tc>
          <w:tcPr>
            <w:tcW w:w="12569" w:type="dxa"/>
            <w:gridSpan w:val="3"/>
          </w:tcPr>
          <w:p w14:paraId="3FB9FB3C" w14:textId="77777777" w:rsidR="00DC53C9" w:rsidRPr="00E7546E" w:rsidRDefault="00DC53C9" w:rsidP="00DC53C9">
            <w:pPr>
              <w:spacing w:after="120"/>
              <w:contextualSpacing/>
              <w:rPr>
                <w:rFonts w:ascii="Times New Roman" w:eastAsia="Times New Roman" w:hAnsi="Times New Roman" w:cs="Times New Roman"/>
                <w:color w:val="000000"/>
                <w:sz w:val="24"/>
                <w:szCs w:val="24"/>
                <w:lang w:eastAsia="en-GB"/>
              </w:rPr>
            </w:pPr>
          </w:p>
        </w:tc>
      </w:tr>
      <w:tr w:rsidR="00DC53C9" w:rsidRPr="00E7546E" w14:paraId="01A41DAC" w14:textId="77777777" w:rsidTr="00646FF2">
        <w:tc>
          <w:tcPr>
            <w:tcW w:w="2457" w:type="dxa"/>
          </w:tcPr>
          <w:p w14:paraId="4B595823" w14:textId="77777777" w:rsidR="00DC53C9" w:rsidRPr="00E7546E" w:rsidRDefault="00DC53C9" w:rsidP="00DC53C9">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Computer Model Sharing Statement</w:t>
            </w:r>
          </w:p>
        </w:tc>
        <w:tc>
          <w:tcPr>
            <w:tcW w:w="827" w:type="dxa"/>
          </w:tcPr>
          <w:p w14:paraId="3D971D5E" w14:textId="77777777" w:rsidR="00DC53C9" w:rsidRPr="00E7546E" w:rsidRDefault="00DC53C9" w:rsidP="00DC53C9">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6.1</w:t>
            </w:r>
          </w:p>
        </w:tc>
        <w:tc>
          <w:tcPr>
            <w:tcW w:w="11742" w:type="dxa"/>
            <w:gridSpan w:val="2"/>
          </w:tcPr>
          <w:p w14:paraId="694E7324" w14:textId="6C38055F" w:rsidR="00DC53C9" w:rsidRPr="00E7546E" w:rsidRDefault="008079F4" w:rsidP="00DC53C9">
            <w:pPr>
              <w:spacing w:after="120"/>
              <w:contextualSpacing/>
              <w:rPr>
                <w:rFonts w:ascii="Times New Roman" w:eastAsia="Times New Roman" w:hAnsi="Times New Roman" w:cs="Times New Roman"/>
                <w:color w:val="000000"/>
                <w:sz w:val="24"/>
                <w:szCs w:val="24"/>
                <w:lang w:eastAsia="en-GB"/>
              </w:rPr>
            </w:pPr>
            <w:r w:rsidRPr="00E7546E">
              <w:rPr>
                <w:rFonts w:ascii="Times New Roman" w:eastAsia="Times New Roman" w:hAnsi="Times New Roman" w:cs="Times New Roman"/>
                <w:color w:val="000000"/>
                <w:sz w:val="24"/>
                <w:szCs w:val="24"/>
                <w:lang w:eastAsia="en-GB"/>
              </w:rPr>
              <w:t xml:space="preserve">Simul8 software can be purchased via the Simul8 website: </w:t>
            </w:r>
            <w:hyperlink r:id="rId7" w:history="1">
              <w:r w:rsidRPr="00E7546E">
                <w:rPr>
                  <w:rStyle w:val="Hyperlink"/>
                  <w:rFonts w:ascii="Times New Roman" w:eastAsia="Times New Roman" w:hAnsi="Times New Roman" w:cs="Times New Roman"/>
                  <w:sz w:val="24"/>
                  <w:szCs w:val="24"/>
                  <w:lang w:eastAsia="en-GB"/>
                </w:rPr>
                <w:t>https://www.simul8.com</w:t>
              </w:r>
            </w:hyperlink>
            <w:r w:rsidRPr="00E7546E">
              <w:rPr>
                <w:rFonts w:ascii="Times New Roman" w:eastAsia="Times New Roman" w:hAnsi="Times New Roman" w:cs="Times New Roman"/>
                <w:color w:val="000000"/>
                <w:sz w:val="24"/>
                <w:szCs w:val="24"/>
                <w:lang w:eastAsia="en-GB"/>
              </w:rPr>
              <w:t xml:space="preserve">. Model coding </w:t>
            </w:r>
            <w:r w:rsidR="002A629E" w:rsidRPr="00E7546E">
              <w:rPr>
                <w:rFonts w:ascii="Times New Roman" w:eastAsia="Times New Roman" w:hAnsi="Times New Roman" w:cs="Times New Roman"/>
                <w:color w:val="000000"/>
                <w:sz w:val="24"/>
                <w:szCs w:val="24"/>
                <w:lang w:eastAsia="en-GB"/>
              </w:rPr>
              <w:t xml:space="preserve">can be requested to the corresponding author at </w:t>
            </w:r>
            <w:hyperlink r:id="rId8" w:history="1">
              <w:r w:rsidR="002A629E" w:rsidRPr="00E7546E">
                <w:rPr>
                  <w:rStyle w:val="Hyperlink"/>
                  <w:rFonts w:ascii="Times New Roman" w:eastAsia="Times New Roman" w:hAnsi="Times New Roman" w:cs="Times New Roman"/>
                  <w:sz w:val="24"/>
                  <w:szCs w:val="24"/>
                  <w:lang w:eastAsia="en-GB"/>
                </w:rPr>
                <w:t>P.Cocco@leeds.ac.uk</w:t>
              </w:r>
            </w:hyperlink>
            <w:r w:rsidR="002A629E" w:rsidRPr="00E7546E">
              <w:rPr>
                <w:rFonts w:ascii="Times New Roman" w:eastAsia="Times New Roman" w:hAnsi="Times New Roman" w:cs="Times New Roman"/>
                <w:color w:val="000000"/>
                <w:sz w:val="24"/>
                <w:szCs w:val="24"/>
                <w:lang w:eastAsia="en-GB"/>
              </w:rPr>
              <w:t xml:space="preserve"> </w:t>
            </w:r>
          </w:p>
        </w:tc>
      </w:tr>
      <w:bookmarkEnd w:id="0"/>
    </w:tbl>
    <w:p w14:paraId="7C9C87C9" w14:textId="77777777" w:rsidR="002344CA" w:rsidRDefault="002344CA">
      <w:pPr>
        <w:rPr>
          <w:rFonts w:ascii="Times New Roman" w:hAnsi="Times New Roman" w:cs="Times New Roman"/>
        </w:rPr>
      </w:pPr>
    </w:p>
    <w:p w14:paraId="7ED0EB20" w14:textId="77777777" w:rsidR="002344CA" w:rsidRDefault="002344CA">
      <w:pPr>
        <w:rPr>
          <w:rFonts w:ascii="Times New Roman" w:hAnsi="Times New Roman" w:cs="Times New Roman"/>
        </w:rPr>
      </w:pPr>
    </w:p>
    <w:p w14:paraId="46B6DB93" w14:textId="77777777" w:rsidR="002505B8" w:rsidRPr="002505B8" w:rsidRDefault="002344CA" w:rsidP="002505B8">
      <w:pPr>
        <w:pStyle w:val="EndNoteBibliography"/>
        <w:spacing w:after="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002505B8" w:rsidRPr="002505B8">
        <w:t>1.</w:t>
      </w:r>
      <w:r w:rsidR="002505B8" w:rsidRPr="002505B8">
        <w:tab/>
      </w:r>
      <w:r w:rsidR="002505B8" w:rsidRPr="002505B8">
        <w:rPr>
          <w:b/>
        </w:rPr>
        <w:t>Husereau D, et al.</w:t>
      </w:r>
      <w:r w:rsidR="002505B8" w:rsidRPr="002505B8">
        <w:t xml:space="preserve"> Consolidated Health Economic Evaluation Reporting Standards 2022 (CHEERS 2022) Statement: Updated Reporting Guidance for Health Economic Evaluations. </w:t>
      </w:r>
      <w:r w:rsidR="002505B8" w:rsidRPr="002505B8">
        <w:rPr>
          <w:i/>
        </w:rPr>
        <w:t>Value in Health</w:t>
      </w:r>
      <w:r w:rsidR="002505B8" w:rsidRPr="002505B8">
        <w:t xml:space="preserve">. </w:t>
      </w:r>
      <w:r w:rsidR="002505B8" w:rsidRPr="002505B8">
        <w:rPr>
          <w:b/>
        </w:rPr>
        <w:t>2022</w:t>
      </w:r>
      <w:r w:rsidR="002505B8" w:rsidRPr="002505B8">
        <w:t xml:space="preserve"> </w:t>
      </w:r>
    </w:p>
    <w:p w14:paraId="7D784763" w14:textId="77777777" w:rsidR="002505B8" w:rsidRPr="002505B8" w:rsidRDefault="002505B8" w:rsidP="002505B8">
      <w:pPr>
        <w:pStyle w:val="EndNoteBibliography"/>
        <w:spacing w:after="0"/>
      </w:pPr>
      <w:r w:rsidRPr="002505B8">
        <w:t>2.</w:t>
      </w:r>
      <w:r w:rsidRPr="002505B8">
        <w:tab/>
      </w:r>
      <w:r w:rsidRPr="002505B8">
        <w:rPr>
          <w:b/>
        </w:rPr>
        <w:t>Monks T, et al.</w:t>
      </w:r>
      <w:r w:rsidRPr="002505B8">
        <w:t xml:space="preserve"> Strengthening the reporting of empirical simulation studies: Introducing the STRESS guidelines. </w:t>
      </w:r>
      <w:r w:rsidRPr="002505B8">
        <w:rPr>
          <w:i/>
        </w:rPr>
        <w:t>Journal of Simulation</w:t>
      </w:r>
      <w:r w:rsidRPr="002505B8">
        <w:t xml:space="preserve">. </w:t>
      </w:r>
      <w:r w:rsidRPr="002505B8">
        <w:rPr>
          <w:b/>
        </w:rPr>
        <w:t>2019</w:t>
      </w:r>
      <w:r w:rsidRPr="002505B8">
        <w:t xml:space="preserve"> </w:t>
      </w:r>
    </w:p>
    <w:p w14:paraId="5C537D06" w14:textId="77777777" w:rsidR="002505B8" w:rsidRPr="002505B8" w:rsidRDefault="002505B8" w:rsidP="002505B8">
      <w:pPr>
        <w:pStyle w:val="EndNoteBibliography"/>
        <w:spacing w:after="0"/>
      </w:pPr>
      <w:r w:rsidRPr="002505B8">
        <w:t>3.</w:t>
      </w:r>
      <w:r w:rsidRPr="002505B8">
        <w:tab/>
      </w:r>
      <w:r w:rsidRPr="002505B8">
        <w:rPr>
          <w:b/>
        </w:rPr>
        <w:t>Brennan A, et al.</w:t>
      </w:r>
      <w:r w:rsidRPr="002505B8">
        <w:t xml:space="preserve"> A taxonomy of model structures for economic evaluation of health technologies. </w:t>
      </w:r>
      <w:r w:rsidRPr="002505B8">
        <w:rPr>
          <w:i/>
        </w:rPr>
        <w:t xml:space="preserve">Health Econ </w:t>
      </w:r>
      <w:r w:rsidRPr="002505B8">
        <w:rPr>
          <w:b/>
        </w:rPr>
        <w:t>2006</w:t>
      </w:r>
      <w:r w:rsidRPr="002505B8">
        <w:t xml:space="preserve"> </w:t>
      </w:r>
    </w:p>
    <w:p w14:paraId="6455E3A9" w14:textId="77777777" w:rsidR="002505B8" w:rsidRPr="002505B8" w:rsidRDefault="002505B8" w:rsidP="002505B8">
      <w:pPr>
        <w:pStyle w:val="EndNoteBibliography"/>
        <w:spacing w:after="0"/>
      </w:pPr>
      <w:r w:rsidRPr="002505B8">
        <w:t>4.</w:t>
      </w:r>
      <w:r w:rsidRPr="002505B8">
        <w:tab/>
      </w:r>
      <w:r w:rsidRPr="002505B8">
        <w:rPr>
          <w:b/>
        </w:rPr>
        <w:t>Karnon J, et al.</w:t>
      </w:r>
      <w:r w:rsidRPr="002505B8">
        <w:t xml:space="preserve"> Selecting a decision model for economic evaluation: a case study and review. </w:t>
      </w:r>
      <w:r w:rsidRPr="002505B8">
        <w:rPr>
          <w:i/>
        </w:rPr>
        <w:t>Health Care Manag Sci</w:t>
      </w:r>
      <w:r w:rsidRPr="002505B8">
        <w:t xml:space="preserve">. </w:t>
      </w:r>
      <w:r w:rsidRPr="002505B8">
        <w:rPr>
          <w:b/>
        </w:rPr>
        <w:t>1998</w:t>
      </w:r>
      <w:r w:rsidRPr="002505B8">
        <w:t xml:space="preserve"> </w:t>
      </w:r>
    </w:p>
    <w:p w14:paraId="308E5920" w14:textId="77777777" w:rsidR="002505B8" w:rsidRPr="002505B8" w:rsidRDefault="002505B8" w:rsidP="002505B8">
      <w:pPr>
        <w:pStyle w:val="EndNoteBibliography"/>
        <w:spacing w:after="0"/>
      </w:pPr>
      <w:r w:rsidRPr="002505B8">
        <w:t>5.</w:t>
      </w:r>
      <w:r w:rsidRPr="002505B8">
        <w:tab/>
      </w:r>
      <w:r w:rsidRPr="002505B8">
        <w:rPr>
          <w:b/>
        </w:rPr>
        <w:t>Squires H, et al.</w:t>
      </w:r>
      <w:r w:rsidRPr="002505B8">
        <w:t xml:space="preserve"> A Framework for Developing the Structure of Public Health Economic Models. </w:t>
      </w:r>
      <w:r w:rsidRPr="002505B8">
        <w:rPr>
          <w:i/>
        </w:rPr>
        <w:t>Value in Health</w:t>
      </w:r>
      <w:r w:rsidRPr="002505B8">
        <w:t xml:space="preserve">. </w:t>
      </w:r>
      <w:r w:rsidRPr="002505B8">
        <w:rPr>
          <w:b/>
        </w:rPr>
        <w:t>2016</w:t>
      </w:r>
      <w:r w:rsidRPr="002505B8">
        <w:t xml:space="preserve"> </w:t>
      </w:r>
    </w:p>
    <w:p w14:paraId="5EACD533" w14:textId="77777777" w:rsidR="002505B8" w:rsidRPr="002505B8" w:rsidRDefault="002505B8" w:rsidP="002505B8">
      <w:pPr>
        <w:pStyle w:val="EndNoteBibliography"/>
        <w:spacing w:after="0"/>
      </w:pPr>
      <w:r w:rsidRPr="002505B8">
        <w:t>6.</w:t>
      </w:r>
      <w:r w:rsidRPr="002505B8">
        <w:tab/>
      </w:r>
      <w:r w:rsidRPr="002505B8">
        <w:rPr>
          <w:b/>
        </w:rPr>
        <w:t>Sud A, et al.</w:t>
      </w:r>
      <w:r w:rsidRPr="002505B8">
        <w:t xml:space="preserve"> Effect of delays in the 2-week-wait cancer referral pathway during the COVID-19 pandemic on cancer survival in the UK: a modelling study. </w:t>
      </w:r>
      <w:r w:rsidRPr="002505B8">
        <w:rPr>
          <w:i/>
        </w:rPr>
        <w:t>The Lancet Oncology</w:t>
      </w:r>
      <w:r w:rsidRPr="002505B8">
        <w:t xml:space="preserve">. </w:t>
      </w:r>
      <w:r w:rsidRPr="002505B8">
        <w:rPr>
          <w:b/>
        </w:rPr>
        <w:t>2020</w:t>
      </w:r>
      <w:r w:rsidRPr="002505B8">
        <w:t xml:space="preserve"> </w:t>
      </w:r>
    </w:p>
    <w:p w14:paraId="0779342E" w14:textId="01B53ADF" w:rsidR="002505B8" w:rsidRPr="002505B8" w:rsidRDefault="002505B8" w:rsidP="002505B8">
      <w:pPr>
        <w:pStyle w:val="EndNoteBibliography"/>
      </w:pPr>
      <w:r w:rsidRPr="002505B8">
        <w:t>7.</w:t>
      </w:r>
      <w:r w:rsidRPr="002505B8">
        <w:tab/>
      </w:r>
      <w:r w:rsidRPr="002505B8">
        <w:rPr>
          <w:b/>
        </w:rPr>
        <w:t>National Cancer Registration and Analysis Service (NCRAS), et al.</w:t>
      </w:r>
      <w:r w:rsidRPr="002505B8">
        <w:t xml:space="preserve"> Routes to diagnosis 2013-2016 2018. Available online: </w:t>
      </w:r>
      <w:hyperlink r:id="rId9" w:history="1">
        <w:r w:rsidRPr="002505B8">
          <w:rPr>
            <w:rStyle w:val="Hyperlink"/>
          </w:rPr>
          <w:t>http://www.ncin.org.uk/publications/routes_to_diagnosis</w:t>
        </w:r>
      </w:hyperlink>
      <w:r w:rsidRPr="002505B8">
        <w:t>. (accessed 16/11/2022)</w:t>
      </w:r>
    </w:p>
    <w:p w14:paraId="3149A751" w14:textId="1A99B243" w:rsidR="009162EC" w:rsidRPr="00E7546E" w:rsidRDefault="002344CA">
      <w:pPr>
        <w:rPr>
          <w:rFonts w:ascii="Times New Roman" w:hAnsi="Times New Roman" w:cs="Times New Roman"/>
        </w:rPr>
      </w:pPr>
      <w:r>
        <w:rPr>
          <w:rFonts w:ascii="Times New Roman" w:hAnsi="Times New Roman" w:cs="Times New Roman"/>
        </w:rPr>
        <w:fldChar w:fldCharType="end"/>
      </w:r>
    </w:p>
    <w:sectPr w:rsidR="009162EC" w:rsidRPr="00E7546E" w:rsidSect="00646FF2">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489"/>
    <w:multiLevelType w:val="hybridMultilevel"/>
    <w:tmpl w:val="82CE9094"/>
    <w:lvl w:ilvl="0" w:tplc="031A6D72">
      <w:start w:val="1"/>
      <w:numFmt w:val="bullet"/>
      <w:lvlText w:val="•"/>
      <w:lvlJc w:val="left"/>
      <w:pPr>
        <w:tabs>
          <w:tab w:val="num" w:pos="720"/>
        </w:tabs>
        <w:ind w:left="720" w:hanging="360"/>
      </w:pPr>
      <w:rPr>
        <w:rFonts w:ascii="Arial" w:hAnsi="Arial" w:hint="default"/>
      </w:rPr>
    </w:lvl>
    <w:lvl w:ilvl="1" w:tplc="13F4E894" w:tentative="1">
      <w:start w:val="1"/>
      <w:numFmt w:val="bullet"/>
      <w:lvlText w:val="•"/>
      <w:lvlJc w:val="left"/>
      <w:pPr>
        <w:tabs>
          <w:tab w:val="num" w:pos="1440"/>
        </w:tabs>
        <w:ind w:left="1440" w:hanging="360"/>
      </w:pPr>
      <w:rPr>
        <w:rFonts w:ascii="Arial" w:hAnsi="Arial" w:hint="default"/>
      </w:rPr>
    </w:lvl>
    <w:lvl w:ilvl="2" w:tplc="091E0700" w:tentative="1">
      <w:start w:val="1"/>
      <w:numFmt w:val="bullet"/>
      <w:lvlText w:val="•"/>
      <w:lvlJc w:val="left"/>
      <w:pPr>
        <w:tabs>
          <w:tab w:val="num" w:pos="2160"/>
        </w:tabs>
        <w:ind w:left="2160" w:hanging="360"/>
      </w:pPr>
      <w:rPr>
        <w:rFonts w:ascii="Arial" w:hAnsi="Arial" w:hint="default"/>
      </w:rPr>
    </w:lvl>
    <w:lvl w:ilvl="3" w:tplc="C80C02B6" w:tentative="1">
      <w:start w:val="1"/>
      <w:numFmt w:val="bullet"/>
      <w:lvlText w:val="•"/>
      <w:lvlJc w:val="left"/>
      <w:pPr>
        <w:tabs>
          <w:tab w:val="num" w:pos="2880"/>
        </w:tabs>
        <w:ind w:left="2880" w:hanging="360"/>
      </w:pPr>
      <w:rPr>
        <w:rFonts w:ascii="Arial" w:hAnsi="Arial" w:hint="default"/>
      </w:rPr>
    </w:lvl>
    <w:lvl w:ilvl="4" w:tplc="63B0ECB0" w:tentative="1">
      <w:start w:val="1"/>
      <w:numFmt w:val="bullet"/>
      <w:lvlText w:val="•"/>
      <w:lvlJc w:val="left"/>
      <w:pPr>
        <w:tabs>
          <w:tab w:val="num" w:pos="3600"/>
        </w:tabs>
        <w:ind w:left="3600" w:hanging="360"/>
      </w:pPr>
      <w:rPr>
        <w:rFonts w:ascii="Arial" w:hAnsi="Arial" w:hint="default"/>
      </w:rPr>
    </w:lvl>
    <w:lvl w:ilvl="5" w:tplc="B5423FF8" w:tentative="1">
      <w:start w:val="1"/>
      <w:numFmt w:val="bullet"/>
      <w:lvlText w:val="•"/>
      <w:lvlJc w:val="left"/>
      <w:pPr>
        <w:tabs>
          <w:tab w:val="num" w:pos="4320"/>
        </w:tabs>
        <w:ind w:left="4320" w:hanging="360"/>
      </w:pPr>
      <w:rPr>
        <w:rFonts w:ascii="Arial" w:hAnsi="Arial" w:hint="default"/>
      </w:rPr>
    </w:lvl>
    <w:lvl w:ilvl="6" w:tplc="61241FF6" w:tentative="1">
      <w:start w:val="1"/>
      <w:numFmt w:val="bullet"/>
      <w:lvlText w:val="•"/>
      <w:lvlJc w:val="left"/>
      <w:pPr>
        <w:tabs>
          <w:tab w:val="num" w:pos="5040"/>
        </w:tabs>
        <w:ind w:left="5040" w:hanging="360"/>
      </w:pPr>
      <w:rPr>
        <w:rFonts w:ascii="Arial" w:hAnsi="Arial" w:hint="default"/>
      </w:rPr>
    </w:lvl>
    <w:lvl w:ilvl="7" w:tplc="73DAE25A" w:tentative="1">
      <w:start w:val="1"/>
      <w:numFmt w:val="bullet"/>
      <w:lvlText w:val="•"/>
      <w:lvlJc w:val="left"/>
      <w:pPr>
        <w:tabs>
          <w:tab w:val="num" w:pos="5760"/>
        </w:tabs>
        <w:ind w:left="5760" w:hanging="360"/>
      </w:pPr>
      <w:rPr>
        <w:rFonts w:ascii="Arial" w:hAnsi="Arial" w:hint="default"/>
      </w:rPr>
    </w:lvl>
    <w:lvl w:ilvl="8" w:tplc="503ECC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FA6340"/>
    <w:multiLevelType w:val="hybridMultilevel"/>
    <w:tmpl w:val="D1FC67F2"/>
    <w:lvl w:ilvl="0" w:tplc="67D851F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3523F"/>
    <w:multiLevelType w:val="hybridMultilevel"/>
    <w:tmpl w:val="DEA4E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56CAE"/>
    <w:multiLevelType w:val="hybridMultilevel"/>
    <w:tmpl w:val="0E6A3DB0"/>
    <w:lvl w:ilvl="0" w:tplc="67D851F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06CB0"/>
    <w:multiLevelType w:val="hybridMultilevel"/>
    <w:tmpl w:val="825A3D58"/>
    <w:lvl w:ilvl="0" w:tplc="67D851FA">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2B54D8"/>
    <w:multiLevelType w:val="hybridMultilevel"/>
    <w:tmpl w:val="87C654C6"/>
    <w:lvl w:ilvl="0" w:tplc="67D851F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43857"/>
    <w:multiLevelType w:val="hybridMultilevel"/>
    <w:tmpl w:val="473A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66DDF"/>
    <w:multiLevelType w:val="hybridMultilevel"/>
    <w:tmpl w:val="8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C046C"/>
    <w:multiLevelType w:val="hybridMultilevel"/>
    <w:tmpl w:val="A1AE4190"/>
    <w:lvl w:ilvl="0" w:tplc="907205F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A22E59"/>
    <w:multiLevelType w:val="hybridMultilevel"/>
    <w:tmpl w:val="D152B4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D59B8"/>
    <w:multiLevelType w:val="hybridMultilevel"/>
    <w:tmpl w:val="93A23294"/>
    <w:lvl w:ilvl="0" w:tplc="67D851F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24157"/>
    <w:multiLevelType w:val="hybridMultilevel"/>
    <w:tmpl w:val="BD4E05B8"/>
    <w:lvl w:ilvl="0" w:tplc="67D851F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C0D44"/>
    <w:multiLevelType w:val="hybridMultilevel"/>
    <w:tmpl w:val="4BECF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B55F8"/>
    <w:multiLevelType w:val="hybridMultilevel"/>
    <w:tmpl w:val="BC56B5F8"/>
    <w:lvl w:ilvl="0" w:tplc="67D851F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83C7E"/>
    <w:multiLevelType w:val="hybridMultilevel"/>
    <w:tmpl w:val="D220C47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1725C4"/>
    <w:multiLevelType w:val="hybridMultilevel"/>
    <w:tmpl w:val="2E223E2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5B33A5"/>
    <w:multiLevelType w:val="hybridMultilevel"/>
    <w:tmpl w:val="3964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17862"/>
    <w:multiLevelType w:val="hybridMultilevel"/>
    <w:tmpl w:val="254C24A0"/>
    <w:lvl w:ilvl="0" w:tplc="67D851FA">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147E37"/>
    <w:multiLevelType w:val="hybridMultilevel"/>
    <w:tmpl w:val="DEA4EC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69633153">
    <w:abstractNumId w:val="8"/>
  </w:num>
  <w:num w:numId="2" w16cid:durableId="467403664">
    <w:abstractNumId w:val="2"/>
  </w:num>
  <w:num w:numId="3" w16cid:durableId="1303854305">
    <w:abstractNumId w:val="12"/>
  </w:num>
  <w:num w:numId="4" w16cid:durableId="398283024">
    <w:abstractNumId w:val="7"/>
  </w:num>
  <w:num w:numId="5" w16cid:durableId="1388140497">
    <w:abstractNumId w:val="10"/>
  </w:num>
  <w:num w:numId="6" w16cid:durableId="1678119660">
    <w:abstractNumId w:val="4"/>
  </w:num>
  <w:num w:numId="7" w16cid:durableId="1717588053">
    <w:abstractNumId w:val="3"/>
  </w:num>
  <w:num w:numId="8" w16cid:durableId="328604562">
    <w:abstractNumId w:val="16"/>
  </w:num>
  <w:num w:numId="9" w16cid:durableId="1379548638">
    <w:abstractNumId w:val="5"/>
  </w:num>
  <w:num w:numId="10" w16cid:durableId="1518695793">
    <w:abstractNumId w:val="11"/>
  </w:num>
  <w:num w:numId="11" w16cid:durableId="552736692">
    <w:abstractNumId w:val="1"/>
  </w:num>
  <w:num w:numId="12" w16cid:durableId="423184865">
    <w:abstractNumId w:val="17"/>
  </w:num>
  <w:num w:numId="13" w16cid:durableId="1014041133">
    <w:abstractNumId w:val="9"/>
  </w:num>
  <w:num w:numId="14" w16cid:durableId="1947156696">
    <w:abstractNumId w:val="13"/>
  </w:num>
  <w:num w:numId="15" w16cid:durableId="112721971">
    <w:abstractNumId w:val="0"/>
  </w:num>
  <w:num w:numId="16" w16cid:durableId="1544630972">
    <w:abstractNumId w:val="18"/>
  </w:num>
  <w:num w:numId="17" w16cid:durableId="1834563292">
    <w:abstractNumId w:val="14"/>
  </w:num>
  <w:num w:numId="18" w16cid:durableId="1974021909">
    <w:abstractNumId w:val="15"/>
  </w:num>
  <w:num w:numId="19" w16cid:durableId="7076047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Uniform Requiremen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rs259rt90za9eeffm59s9yra2fw0twarew&quot;&gt;UoL projects - Library&lt;record-ids&gt;&lt;item&gt;15&lt;/item&gt;&lt;item&gt;16&lt;/item&gt;&lt;item&gt;24&lt;/item&gt;&lt;item&gt;25&lt;/item&gt;&lt;item&gt;26&lt;/item&gt;&lt;item&gt;28&lt;/item&gt;&lt;item&gt;29&lt;/item&gt;&lt;/record-ids&gt;&lt;/item&gt;&lt;/Libraries&gt;"/>
  </w:docVars>
  <w:rsids>
    <w:rsidRoot w:val="009744C0"/>
    <w:rsid w:val="0001158E"/>
    <w:rsid w:val="00013DD1"/>
    <w:rsid w:val="00034340"/>
    <w:rsid w:val="0004120E"/>
    <w:rsid w:val="00041435"/>
    <w:rsid w:val="000421F6"/>
    <w:rsid w:val="0004485D"/>
    <w:rsid w:val="000476D6"/>
    <w:rsid w:val="000516BA"/>
    <w:rsid w:val="00054B6A"/>
    <w:rsid w:val="000568E6"/>
    <w:rsid w:val="000613C6"/>
    <w:rsid w:val="000656E8"/>
    <w:rsid w:val="000718D4"/>
    <w:rsid w:val="00072634"/>
    <w:rsid w:val="000756FF"/>
    <w:rsid w:val="00086206"/>
    <w:rsid w:val="000871E0"/>
    <w:rsid w:val="00091517"/>
    <w:rsid w:val="00092696"/>
    <w:rsid w:val="000A04CC"/>
    <w:rsid w:val="000A38BA"/>
    <w:rsid w:val="000A5E05"/>
    <w:rsid w:val="000C05E1"/>
    <w:rsid w:val="000C4A4D"/>
    <w:rsid w:val="000D1FEE"/>
    <w:rsid w:val="000D35E7"/>
    <w:rsid w:val="000D63F3"/>
    <w:rsid w:val="000D69A1"/>
    <w:rsid w:val="000E3259"/>
    <w:rsid w:val="000E389D"/>
    <w:rsid w:val="000F10F0"/>
    <w:rsid w:val="000F635F"/>
    <w:rsid w:val="00101148"/>
    <w:rsid w:val="00101551"/>
    <w:rsid w:val="00110079"/>
    <w:rsid w:val="001265AB"/>
    <w:rsid w:val="00140591"/>
    <w:rsid w:val="0014465D"/>
    <w:rsid w:val="0015192F"/>
    <w:rsid w:val="0015795D"/>
    <w:rsid w:val="001626A5"/>
    <w:rsid w:val="001640EF"/>
    <w:rsid w:val="001654F0"/>
    <w:rsid w:val="00170367"/>
    <w:rsid w:val="00173617"/>
    <w:rsid w:val="00181D65"/>
    <w:rsid w:val="00194AC9"/>
    <w:rsid w:val="001A21ED"/>
    <w:rsid w:val="001A5815"/>
    <w:rsid w:val="001D2501"/>
    <w:rsid w:val="001D2F25"/>
    <w:rsid w:val="001F7186"/>
    <w:rsid w:val="002029C4"/>
    <w:rsid w:val="0021181D"/>
    <w:rsid w:val="00216B8E"/>
    <w:rsid w:val="00216BEF"/>
    <w:rsid w:val="0021748C"/>
    <w:rsid w:val="00226A8A"/>
    <w:rsid w:val="00227E7F"/>
    <w:rsid w:val="002344CA"/>
    <w:rsid w:val="002351B2"/>
    <w:rsid w:val="00236EC2"/>
    <w:rsid w:val="002505B8"/>
    <w:rsid w:val="00250990"/>
    <w:rsid w:val="002531AF"/>
    <w:rsid w:val="00274FF3"/>
    <w:rsid w:val="002750D6"/>
    <w:rsid w:val="00280329"/>
    <w:rsid w:val="00281AAF"/>
    <w:rsid w:val="00284662"/>
    <w:rsid w:val="0029435D"/>
    <w:rsid w:val="002A629E"/>
    <w:rsid w:val="002B1B8B"/>
    <w:rsid w:val="002C04CE"/>
    <w:rsid w:val="002C3AAD"/>
    <w:rsid w:val="002E47FF"/>
    <w:rsid w:val="002E61C6"/>
    <w:rsid w:val="002E7D23"/>
    <w:rsid w:val="002F31D1"/>
    <w:rsid w:val="002F6A99"/>
    <w:rsid w:val="00312CB0"/>
    <w:rsid w:val="003143F0"/>
    <w:rsid w:val="00314E9E"/>
    <w:rsid w:val="00315139"/>
    <w:rsid w:val="00316A9D"/>
    <w:rsid w:val="00316DCB"/>
    <w:rsid w:val="00333D68"/>
    <w:rsid w:val="00336194"/>
    <w:rsid w:val="00336800"/>
    <w:rsid w:val="00341AEC"/>
    <w:rsid w:val="00353900"/>
    <w:rsid w:val="00364326"/>
    <w:rsid w:val="003649B4"/>
    <w:rsid w:val="00372299"/>
    <w:rsid w:val="00375AF5"/>
    <w:rsid w:val="00381C86"/>
    <w:rsid w:val="003849BF"/>
    <w:rsid w:val="0039076A"/>
    <w:rsid w:val="00392830"/>
    <w:rsid w:val="0039763A"/>
    <w:rsid w:val="003A3EA6"/>
    <w:rsid w:val="003B4006"/>
    <w:rsid w:val="003B6CB2"/>
    <w:rsid w:val="003C2BF8"/>
    <w:rsid w:val="003D57E6"/>
    <w:rsid w:val="003D71B5"/>
    <w:rsid w:val="003E3866"/>
    <w:rsid w:val="003E4B78"/>
    <w:rsid w:val="003E54FD"/>
    <w:rsid w:val="003F4E7A"/>
    <w:rsid w:val="003F7DED"/>
    <w:rsid w:val="00402C41"/>
    <w:rsid w:val="00407837"/>
    <w:rsid w:val="00422C9E"/>
    <w:rsid w:val="004233FE"/>
    <w:rsid w:val="00424458"/>
    <w:rsid w:val="0042744B"/>
    <w:rsid w:val="00436009"/>
    <w:rsid w:val="00440441"/>
    <w:rsid w:val="0044236C"/>
    <w:rsid w:val="004578A0"/>
    <w:rsid w:val="0046112E"/>
    <w:rsid w:val="00472D9C"/>
    <w:rsid w:val="00473B23"/>
    <w:rsid w:val="00475ECD"/>
    <w:rsid w:val="00483582"/>
    <w:rsid w:val="004843FE"/>
    <w:rsid w:val="004857A5"/>
    <w:rsid w:val="00486521"/>
    <w:rsid w:val="00490D12"/>
    <w:rsid w:val="004924F0"/>
    <w:rsid w:val="00493864"/>
    <w:rsid w:val="004B132D"/>
    <w:rsid w:val="004B1A84"/>
    <w:rsid w:val="004C2E20"/>
    <w:rsid w:val="004E1D8D"/>
    <w:rsid w:val="004F16D3"/>
    <w:rsid w:val="004F2808"/>
    <w:rsid w:val="004F5305"/>
    <w:rsid w:val="00500CF2"/>
    <w:rsid w:val="00503BD6"/>
    <w:rsid w:val="0050492B"/>
    <w:rsid w:val="00505072"/>
    <w:rsid w:val="00511B9C"/>
    <w:rsid w:val="00511EFD"/>
    <w:rsid w:val="00521F0D"/>
    <w:rsid w:val="005224AB"/>
    <w:rsid w:val="00531149"/>
    <w:rsid w:val="00550F81"/>
    <w:rsid w:val="00553BF1"/>
    <w:rsid w:val="0055571F"/>
    <w:rsid w:val="00565C44"/>
    <w:rsid w:val="00565F64"/>
    <w:rsid w:val="00572EA5"/>
    <w:rsid w:val="00574D32"/>
    <w:rsid w:val="005772C4"/>
    <w:rsid w:val="0058786C"/>
    <w:rsid w:val="005910A5"/>
    <w:rsid w:val="00594033"/>
    <w:rsid w:val="00594224"/>
    <w:rsid w:val="005A070A"/>
    <w:rsid w:val="005A4359"/>
    <w:rsid w:val="005A753D"/>
    <w:rsid w:val="005B18E6"/>
    <w:rsid w:val="005B2435"/>
    <w:rsid w:val="005B2CE7"/>
    <w:rsid w:val="005C05DC"/>
    <w:rsid w:val="005C083F"/>
    <w:rsid w:val="005C3798"/>
    <w:rsid w:val="005C62A4"/>
    <w:rsid w:val="005C7783"/>
    <w:rsid w:val="005D0CB7"/>
    <w:rsid w:val="005D3175"/>
    <w:rsid w:val="005E30A8"/>
    <w:rsid w:val="005E581E"/>
    <w:rsid w:val="005F0983"/>
    <w:rsid w:val="005F2A0D"/>
    <w:rsid w:val="005F310D"/>
    <w:rsid w:val="005F538D"/>
    <w:rsid w:val="00603045"/>
    <w:rsid w:val="00603B16"/>
    <w:rsid w:val="00610D2C"/>
    <w:rsid w:val="00614FCB"/>
    <w:rsid w:val="00616FF0"/>
    <w:rsid w:val="00641395"/>
    <w:rsid w:val="00646848"/>
    <w:rsid w:val="00646FF2"/>
    <w:rsid w:val="00654BBC"/>
    <w:rsid w:val="00666ED7"/>
    <w:rsid w:val="00667025"/>
    <w:rsid w:val="006678C3"/>
    <w:rsid w:val="00691489"/>
    <w:rsid w:val="006942EB"/>
    <w:rsid w:val="006A6C2F"/>
    <w:rsid w:val="006B0EA1"/>
    <w:rsid w:val="006B5CC6"/>
    <w:rsid w:val="006B6BE0"/>
    <w:rsid w:val="006C1D43"/>
    <w:rsid w:val="006C5B39"/>
    <w:rsid w:val="006D36B1"/>
    <w:rsid w:val="006D676E"/>
    <w:rsid w:val="006E091C"/>
    <w:rsid w:val="006F33B0"/>
    <w:rsid w:val="006F6E2C"/>
    <w:rsid w:val="00701071"/>
    <w:rsid w:val="0070302D"/>
    <w:rsid w:val="007047D1"/>
    <w:rsid w:val="00720142"/>
    <w:rsid w:val="007215C8"/>
    <w:rsid w:val="00723D43"/>
    <w:rsid w:val="00732454"/>
    <w:rsid w:val="00735E1F"/>
    <w:rsid w:val="00753F4B"/>
    <w:rsid w:val="00760E81"/>
    <w:rsid w:val="00762B2B"/>
    <w:rsid w:val="0076673E"/>
    <w:rsid w:val="00777F98"/>
    <w:rsid w:val="007868F6"/>
    <w:rsid w:val="00792367"/>
    <w:rsid w:val="00797A08"/>
    <w:rsid w:val="007B1ACC"/>
    <w:rsid w:val="007B2C7B"/>
    <w:rsid w:val="007B7A6D"/>
    <w:rsid w:val="007C1437"/>
    <w:rsid w:val="007C3F85"/>
    <w:rsid w:val="007C5D2C"/>
    <w:rsid w:val="007C7579"/>
    <w:rsid w:val="007E156F"/>
    <w:rsid w:val="007E1F19"/>
    <w:rsid w:val="007F432A"/>
    <w:rsid w:val="007F7F51"/>
    <w:rsid w:val="008016B7"/>
    <w:rsid w:val="008055F7"/>
    <w:rsid w:val="008057E8"/>
    <w:rsid w:val="008079F4"/>
    <w:rsid w:val="008125F8"/>
    <w:rsid w:val="00813C18"/>
    <w:rsid w:val="00814A5E"/>
    <w:rsid w:val="00817E69"/>
    <w:rsid w:val="00823D17"/>
    <w:rsid w:val="008315C1"/>
    <w:rsid w:val="008406C6"/>
    <w:rsid w:val="00841602"/>
    <w:rsid w:val="00845DEF"/>
    <w:rsid w:val="008521A3"/>
    <w:rsid w:val="00853B36"/>
    <w:rsid w:val="00862193"/>
    <w:rsid w:val="008669F5"/>
    <w:rsid w:val="00882F01"/>
    <w:rsid w:val="00887B31"/>
    <w:rsid w:val="00892F9F"/>
    <w:rsid w:val="008965DD"/>
    <w:rsid w:val="008A1A2B"/>
    <w:rsid w:val="008A2BE6"/>
    <w:rsid w:val="008A662A"/>
    <w:rsid w:val="008B09D2"/>
    <w:rsid w:val="008B0E55"/>
    <w:rsid w:val="008B28E2"/>
    <w:rsid w:val="008B67EA"/>
    <w:rsid w:val="008D3B86"/>
    <w:rsid w:val="008E4E85"/>
    <w:rsid w:val="008F1E68"/>
    <w:rsid w:val="00901B27"/>
    <w:rsid w:val="00903016"/>
    <w:rsid w:val="0090312B"/>
    <w:rsid w:val="00906AF8"/>
    <w:rsid w:val="009162EC"/>
    <w:rsid w:val="009176B5"/>
    <w:rsid w:val="00917718"/>
    <w:rsid w:val="00920038"/>
    <w:rsid w:val="0092470B"/>
    <w:rsid w:val="0092601E"/>
    <w:rsid w:val="00937D80"/>
    <w:rsid w:val="00951FB6"/>
    <w:rsid w:val="00952A56"/>
    <w:rsid w:val="00953F96"/>
    <w:rsid w:val="00960473"/>
    <w:rsid w:val="00961884"/>
    <w:rsid w:val="009700A1"/>
    <w:rsid w:val="00972E59"/>
    <w:rsid w:val="009744C0"/>
    <w:rsid w:val="00975E90"/>
    <w:rsid w:val="00976C3D"/>
    <w:rsid w:val="009774C7"/>
    <w:rsid w:val="00996FE1"/>
    <w:rsid w:val="009A72BE"/>
    <w:rsid w:val="009B35D1"/>
    <w:rsid w:val="009C45B2"/>
    <w:rsid w:val="009C4B3B"/>
    <w:rsid w:val="009C5BFC"/>
    <w:rsid w:val="009D29BF"/>
    <w:rsid w:val="009D3D66"/>
    <w:rsid w:val="009F26DF"/>
    <w:rsid w:val="009F3C1F"/>
    <w:rsid w:val="009F6F5E"/>
    <w:rsid w:val="009F6F60"/>
    <w:rsid w:val="00A02932"/>
    <w:rsid w:val="00A10317"/>
    <w:rsid w:val="00A11CB9"/>
    <w:rsid w:val="00A11D22"/>
    <w:rsid w:val="00A23D6A"/>
    <w:rsid w:val="00A25613"/>
    <w:rsid w:val="00A30DD1"/>
    <w:rsid w:val="00A40EAC"/>
    <w:rsid w:val="00A4114C"/>
    <w:rsid w:val="00A41BC0"/>
    <w:rsid w:val="00A41CEE"/>
    <w:rsid w:val="00A43455"/>
    <w:rsid w:val="00A46D1C"/>
    <w:rsid w:val="00A50F44"/>
    <w:rsid w:val="00A570D5"/>
    <w:rsid w:val="00A610B9"/>
    <w:rsid w:val="00A737E0"/>
    <w:rsid w:val="00A777AD"/>
    <w:rsid w:val="00A95962"/>
    <w:rsid w:val="00AA71DA"/>
    <w:rsid w:val="00AB2F9C"/>
    <w:rsid w:val="00AB41E9"/>
    <w:rsid w:val="00AB71C1"/>
    <w:rsid w:val="00AC0265"/>
    <w:rsid w:val="00AC0DE8"/>
    <w:rsid w:val="00AC2CB5"/>
    <w:rsid w:val="00AD1AB4"/>
    <w:rsid w:val="00AE0EE4"/>
    <w:rsid w:val="00AE24D2"/>
    <w:rsid w:val="00AE3D70"/>
    <w:rsid w:val="00AE443D"/>
    <w:rsid w:val="00AE538F"/>
    <w:rsid w:val="00AF0A71"/>
    <w:rsid w:val="00AF18A3"/>
    <w:rsid w:val="00B0071A"/>
    <w:rsid w:val="00B07F4C"/>
    <w:rsid w:val="00B12CC5"/>
    <w:rsid w:val="00B14772"/>
    <w:rsid w:val="00B2741F"/>
    <w:rsid w:val="00B3549B"/>
    <w:rsid w:val="00B37902"/>
    <w:rsid w:val="00B641B9"/>
    <w:rsid w:val="00B7495C"/>
    <w:rsid w:val="00B81F9A"/>
    <w:rsid w:val="00B942FB"/>
    <w:rsid w:val="00BA527D"/>
    <w:rsid w:val="00BD526C"/>
    <w:rsid w:val="00BE2EAE"/>
    <w:rsid w:val="00BE4C91"/>
    <w:rsid w:val="00BE6ADB"/>
    <w:rsid w:val="00BF2F9B"/>
    <w:rsid w:val="00BF51B5"/>
    <w:rsid w:val="00C0778B"/>
    <w:rsid w:val="00C219B0"/>
    <w:rsid w:val="00C23E72"/>
    <w:rsid w:val="00C41242"/>
    <w:rsid w:val="00C55D47"/>
    <w:rsid w:val="00C56745"/>
    <w:rsid w:val="00C56D40"/>
    <w:rsid w:val="00C5746B"/>
    <w:rsid w:val="00C70066"/>
    <w:rsid w:val="00C73EDE"/>
    <w:rsid w:val="00C743AD"/>
    <w:rsid w:val="00C758C4"/>
    <w:rsid w:val="00C862F4"/>
    <w:rsid w:val="00C907C5"/>
    <w:rsid w:val="00C907DA"/>
    <w:rsid w:val="00C94C70"/>
    <w:rsid w:val="00C96AD1"/>
    <w:rsid w:val="00CA3924"/>
    <w:rsid w:val="00CA7E30"/>
    <w:rsid w:val="00CA7F8C"/>
    <w:rsid w:val="00CB3A57"/>
    <w:rsid w:val="00CC4D3C"/>
    <w:rsid w:val="00CC63C1"/>
    <w:rsid w:val="00CD5305"/>
    <w:rsid w:val="00CE0A63"/>
    <w:rsid w:val="00CF1D08"/>
    <w:rsid w:val="00CF3A25"/>
    <w:rsid w:val="00D01F04"/>
    <w:rsid w:val="00D06134"/>
    <w:rsid w:val="00D12299"/>
    <w:rsid w:val="00D20518"/>
    <w:rsid w:val="00D227CF"/>
    <w:rsid w:val="00D264C2"/>
    <w:rsid w:val="00D33810"/>
    <w:rsid w:val="00D3646D"/>
    <w:rsid w:val="00D41ACF"/>
    <w:rsid w:val="00D42E05"/>
    <w:rsid w:val="00D46297"/>
    <w:rsid w:val="00D518C0"/>
    <w:rsid w:val="00D533B1"/>
    <w:rsid w:val="00D56191"/>
    <w:rsid w:val="00D666C9"/>
    <w:rsid w:val="00D72056"/>
    <w:rsid w:val="00D72468"/>
    <w:rsid w:val="00D77AFA"/>
    <w:rsid w:val="00D80A86"/>
    <w:rsid w:val="00D910D6"/>
    <w:rsid w:val="00D97DF9"/>
    <w:rsid w:val="00DA13B2"/>
    <w:rsid w:val="00DA620F"/>
    <w:rsid w:val="00DC013B"/>
    <w:rsid w:val="00DC0EFA"/>
    <w:rsid w:val="00DC53C9"/>
    <w:rsid w:val="00DD4752"/>
    <w:rsid w:val="00DD76F8"/>
    <w:rsid w:val="00DE5D8B"/>
    <w:rsid w:val="00DE68BE"/>
    <w:rsid w:val="00DF35CB"/>
    <w:rsid w:val="00E01586"/>
    <w:rsid w:val="00E024C7"/>
    <w:rsid w:val="00E02F73"/>
    <w:rsid w:val="00E17F96"/>
    <w:rsid w:val="00E21C0B"/>
    <w:rsid w:val="00E21D9A"/>
    <w:rsid w:val="00E26BA0"/>
    <w:rsid w:val="00E27D32"/>
    <w:rsid w:val="00E308E3"/>
    <w:rsid w:val="00E31951"/>
    <w:rsid w:val="00E32B06"/>
    <w:rsid w:val="00E34456"/>
    <w:rsid w:val="00E3622C"/>
    <w:rsid w:val="00E45882"/>
    <w:rsid w:val="00E47CF0"/>
    <w:rsid w:val="00E51B78"/>
    <w:rsid w:val="00E54EF0"/>
    <w:rsid w:val="00E6222F"/>
    <w:rsid w:val="00E625B9"/>
    <w:rsid w:val="00E7546E"/>
    <w:rsid w:val="00E81376"/>
    <w:rsid w:val="00E814CE"/>
    <w:rsid w:val="00E95B86"/>
    <w:rsid w:val="00EA1D4F"/>
    <w:rsid w:val="00EA254B"/>
    <w:rsid w:val="00EB1AC1"/>
    <w:rsid w:val="00EB4A13"/>
    <w:rsid w:val="00EB553A"/>
    <w:rsid w:val="00EC06F2"/>
    <w:rsid w:val="00ED59F5"/>
    <w:rsid w:val="00EE072C"/>
    <w:rsid w:val="00EE55F5"/>
    <w:rsid w:val="00EF23F1"/>
    <w:rsid w:val="00F12E54"/>
    <w:rsid w:val="00F15A45"/>
    <w:rsid w:val="00F258AC"/>
    <w:rsid w:val="00F518D0"/>
    <w:rsid w:val="00F636D4"/>
    <w:rsid w:val="00F671BA"/>
    <w:rsid w:val="00F73659"/>
    <w:rsid w:val="00F746BC"/>
    <w:rsid w:val="00F75049"/>
    <w:rsid w:val="00F77BB9"/>
    <w:rsid w:val="00F8437B"/>
    <w:rsid w:val="00F90195"/>
    <w:rsid w:val="00F909E0"/>
    <w:rsid w:val="00F9699D"/>
    <w:rsid w:val="00FA4766"/>
    <w:rsid w:val="00FA6074"/>
    <w:rsid w:val="00FA6D13"/>
    <w:rsid w:val="00FA6D2D"/>
    <w:rsid w:val="00FA7BB7"/>
    <w:rsid w:val="00FB6872"/>
    <w:rsid w:val="00FB6C4F"/>
    <w:rsid w:val="00FC28A2"/>
    <w:rsid w:val="00FC46FA"/>
    <w:rsid w:val="00FD0CCF"/>
    <w:rsid w:val="00FD55A4"/>
    <w:rsid w:val="00FE5A48"/>
    <w:rsid w:val="00FF5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1298"/>
  <w15:chartTrackingRefBased/>
  <w15:docId w15:val="{A831A210-1AF7-4702-BA07-B8B4AA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774C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810"/>
    <w:rPr>
      <w:color w:val="0563C1" w:themeColor="hyperlink"/>
      <w:u w:val="single"/>
    </w:rPr>
  </w:style>
  <w:style w:type="character" w:styleId="UnresolvedMention">
    <w:name w:val="Unresolved Mention"/>
    <w:basedOn w:val="DefaultParagraphFont"/>
    <w:uiPriority w:val="99"/>
    <w:semiHidden/>
    <w:unhideWhenUsed/>
    <w:rsid w:val="00D33810"/>
    <w:rPr>
      <w:color w:val="605E5C"/>
      <w:shd w:val="clear" w:color="auto" w:fill="E1DFDD"/>
    </w:rPr>
  </w:style>
  <w:style w:type="character" w:styleId="CommentReference">
    <w:name w:val="annotation reference"/>
    <w:basedOn w:val="DefaultParagraphFont"/>
    <w:uiPriority w:val="99"/>
    <w:semiHidden/>
    <w:unhideWhenUsed/>
    <w:rsid w:val="00BF51B5"/>
    <w:rPr>
      <w:sz w:val="16"/>
      <w:szCs w:val="16"/>
    </w:rPr>
  </w:style>
  <w:style w:type="paragraph" w:styleId="CommentText">
    <w:name w:val="annotation text"/>
    <w:basedOn w:val="Normal"/>
    <w:link w:val="CommentTextChar"/>
    <w:uiPriority w:val="99"/>
    <w:unhideWhenUsed/>
    <w:rsid w:val="00BF51B5"/>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BF51B5"/>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B41E9"/>
    <w:pPr>
      <w:ind w:left="720"/>
      <w:contextualSpacing/>
    </w:pPr>
  </w:style>
  <w:style w:type="paragraph" w:styleId="CommentSubject">
    <w:name w:val="annotation subject"/>
    <w:basedOn w:val="CommentText"/>
    <w:next w:val="CommentText"/>
    <w:link w:val="CommentSubjectChar"/>
    <w:uiPriority w:val="99"/>
    <w:semiHidden/>
    <w:unhideWhenUsed/>
    <w:rsid w:val="00FE5A4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E5A48"/>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8D3B86"/>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B37902"/>
    <w:pPr>
      <w:spacing w:after="200" w:line="240" w:lineRule="auto"/>
    </w:pPr>
    <w:rPr>
      <w:i/>
      <w:iCs/>
      <w:color w:val="44546A" w:themeColor="text2"/>
      <w:sz w:val="18"/>
      <w:szCs w:val="18"/>
    </w:rPr>
  </w:style>
  <w:style w:type="paragraph" w:styleId="Revision">
    <w:name w:val="Revision"/>
    <w:hidden/>
    <w:uiPriority w:val="99"/>
    <w:semiHidden/>
    <w:rsid w:val="00F258AC"/>
    <w:pPr>
      <w:spacing w:after="0" w:line="240" w:lineRule="auto"/>
    </w:pPr>
  </w:style>
  <w:style w:type="character" w:customStyle="1" w:styleId="Heading3Char">
    <w:name w:val="Heading 3 Char"/>
    <w:basedOn w:val="DefaultParagraphFont"/>
    <w:link w:val="Heading3"/>
    <w:uiPriority w:val="9"/>
    <w:rsid w:val="009774C7"/>
    <w:rPr>
      <w:rFonts w:asciiTheme="majorHAnsi" w:eastAsiaTheme="majorEastAsia" w:hAnsiTheme="majorHAnsi" w:cstheme="majorBidi"/>
      <w:color w:val="1F3763" w:themeColor="accent1" w:themeShade="7F"/>
      <w:sz w:val="24"/>
      <w:szCs w:val="24"/>
      <w:lang w:eastAsia="en-GB"/>
    </w:rPr>
  </w:style>
  <w:style w:type="paragraph" w:customStyle="1" w:styleId="EndNoteBibliographyTitle">
    <w:name w:val="EndNote Bibliography Title"/>
    <w:basedOn w:val="Normal"/>
    <w:link w:val="EndNoteBibliographyTitleChar"/>
    <w:rsid w:val="002344C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344CA"/>
    <w:rPr>
      <w:rFonts w:ascii="Calibri" w:hAnsi="Calibri" w:cs="Calibri"/>
      <w:noProof/>
      <w:lang w:val="en-US"/>
    </w:rPr>
  </w:style>
  <w:style w:type="paragraph" w:customStyle="1" w:styleId="EndNoteBibliography">
    <w:name w:val="EndNote Bibliography"/>
    <w:basedOn w:val="Normal"/>
    <w:link w:val="EndNoteBibliographyChar"/>
    <w:rsid w:val="002344C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344CA"/>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9645">
      <w:bodyDiv w:val="1"/>
      <w:marLeft w:val="0"/>
      <w:marRight w:val="0"/>
      <w:marTop w:val="0"/>
      <w:marBottom w:val="0"/>
      <w:divBdr>
        <w:top w:val="none" w:sz="0" w:space="0" w:color="auto"/>
        <w:left w:val="none" w:sz="0" w:space="0" w:color="auto"/>
        <w:bottom w:val="none" w:sz="0" w:space="0" w:color="auto"/>
        <w:right w:val="none" w:sz="0" w:space="0" w:color="auto"/>
      </w:divBdr>
      <w:divsChild>
        <w:div w:id="599526736">
          <w:marLeft w:val="274"/>
          <w:marRight w:val="0"/>
          <w:marTop w:val="0"/>
          <w:marBottom w:val="0"/>
          <w:divBdr>
            <w:top w:val="none" w:sz="0" w:space="0" w:color="auto"/>
            <w:left w:val="none" w:sz="0" w:space="0" w:color="auto"/>
            <w:bottom w:val="none" w:sz="0" w:space="0" w:color="auto"/>
            <w:right w:val="none" w:sz="0" w:space="0" w:color="auto"/>
          </w:divBdr>
        </w:div>
        <w:div w:id="2060125480">
          <w:marLeft w:val="274"/>
          <w:marRight w:val="0"/>
          <w:marTop w:val="0"/>
          <w:marBottom w:val="0"/>
          <w:divBdr>
            <w:top w:val="none" w:sz="0" w:space="0" w:color="auto"/>
            <w:left w:val="none" w:sz="0" w:space="0" w:color="auto"/>
            <w:bottom w:val="none" w:sz="0" w:space="0" w:color="auto"/>
            <w:right w:val="none" w:sz="0" w:space="0" w:color="auto"/>
          </w:divBdr>
        </w:div>
        <w:div w:id="2115708838">
          <w:marLeft w:val="274"/>
          <w:marRight w:val="0"/>
          <w:marTop w:val="0"/>
          <w:marBottom w:val="0"/>
          <w:divBdr>
            <w:top w:val="none" w:sz="0" w:space="0" w:color="auto"/>
            <w:left w:val="none" w:sz="0" w:space="0" w:color="auto"/>
            <w:bottom w:val="none" w:sz="0" w:space="0" w:color="auto"/>
            <w:right w:val="none" w:sz="0" w:space="0" w:color="auto"/>
          </w:divBdr>
        </w:div>
      </w:divsChild>
    </w:div>
    <w:div w:id="1172138327">
      <w:bodyDiv w:val="1"/>
      <w:marLeft w:val="0"/>
      <w:marRight w:val="0"/>
      <w:marTop w:val="0"/>
      <w:marBottom w:val="0"/>
      <w:divBdr>
        <w:top w:val="none" w:sz="0" w:space="0" w:color="auto"/>
        <w:left w:val="none" w:sz="0" w:space="0" w:color="auto"/>
        <w:bottom w:val="none" w:sz="0" w:space="0" w:color="auto"/>
        <w:right w:val="none" w:sz="0" w:space="0" w:color="auto"/>
      </w:divBdr>
      <w:divsChild>
        <w:div w:id="1043217943">
          <w:marLeft w:val="274"/>
          <w:marRight w:val="0"/>
          <w:marTop w:val="0"/>
          <w:marBottom w:val="0"/>
          <w:divBdr>
            <w:top w:val="none" w:sz="0" w:space="0" w:color="auto"/>
            <w:left w:val="none" w:sz="0" w:space="0" w:color="auto"/>
            <w:bottom w:val="none" w:sz="0" w:space="0" w:color="auto"/>
            <w:right w:val="none" w:sz="0" w:space="0" w:color="auto"/>
          </w:divBdr>
        </w:div>
        <w:div w:id="1774856690">
          <w:marLeft w:val="274"/>
          <w:marRight w:val="0"/>
          <w:marTop w:val="0"/>
          <w:marBottom w:val="0"/>
          <w:divBdr>
            <w:top w:val="none" w:sz="0" w:space="0" w:color="auto"/>
            <w:left w:val="none" w:sz="0" w:space="0" w:color="auto"/>
            <w:bottom w:val="none" w:sz="0" w:space="0" w:color="auto"/>
            <w:right w:val="none" w:sz="0" w:space="0" w:color="auto"/>
          </w:divBdr>
        </w:div>
        <w:div w:id="8018131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cco@leeds.ac.uk" TargetMode="External"/><Relationship Id="rId3" Type="http://schemas.openxmlformats.org/officeDocument/2006/relationships/styles" Target="styles.xml"/><Relationship Id="rId7" Type="http://schemas.openxmlformats.org/officeDocument/2006/relationships/hyperlink" Target="https://www.simul8.co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mul8.com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in.org.uk/publications/routes_to_diag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DBAB-9CF8-4F7F-B7E7-22204C99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Cocco</dc:creator>
  <cp:keywords/>
  <dc:description/>
  <cp:lastModifiedBy>Paola Cocco</cp:lastModifiedBy>
  <cp:revision>22</cp:revision>
  <dcterms:created xsi:type="dcterms:W3CDTF">2023-11-02T12:34:00Z</dcterms:created>
  <dcterms:modified xsi:type="dcterms:W3CDTF">2023-11-14T10:41:00Z</dcterms:modified>
</cp:coreProperties>
</file>